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charts/chart2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xml" ContentType="application/vnd.openxmlformats-officedocument.themeOverride+xml"/>
  <Override PartName="/word/charts/chart29.xml" ContentType="application/vnd.openxmlformats-officedocument.drawingml.chart+xml"/>
  <Override PartName="/word/theme/themeOverride2.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3.xml" ContentType="application/vnd.openxmlformats-officedocument.themeOverride+xml"/>
  <Override PartName="/word/charts/chart37.xml" ContentType="application/vnd.openxmlformats-officedocument.drawingml.chart+xml"/>
  <Override PartName="/word/theme/themeOverride4.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rawings/drawing2.xml" ContentType="application/vnd.openxmlformats-officedocument.drawingml.chartshapes+xml"/>
  <Override PartName="/word/header13.xml" ContentType="application/vnd.openxmlformats-officedocument.wordprocessingml.header+xml"/>
  <Override PartName="/word/footer5.xml" ContentType="application/vnd.openxmlformats-officedocument.wordprocessingml.footer+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5.xml" ContentType="application/vnd.openxmlformats-officedocument.themeOverride+xml"/>
  <Override PartName="/word/charts/chart49.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charts/chart50.xml" ContentType="application/vnd.openxmlformats-officedocument.drawingml.chart+xml"/>
  <Override PartName="/word/charts/chart51.xml" ContentType="application/vnd.openxmlformats-officedocument.drawingml.chart+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B2" w:rsidRPr="00AE6EDB" w:rsidRDefault="002625B2" w:rsidP="002625B2">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bookmarkStart w:id="12" w:name="_Toc422233413"/>
      <w:bookmarkStart w:id="13" w:name="_Toc356482695"/>
      <w:bookmarkStart w:id="14" w:name="_Toc356482816"/>
      <w:r w:rsidRPr="00AE6EDB">
        <w:rPr>
          <w:b/>
          <w:sz w:val="28"/>
          <w:szCs w:val="28"/>
        </w:rPr>
        <w:t>MINISTERSTVO PRÁCE, SOCIÁLNYCH VECÍ A RODINY</w:t>
      </w:r>
      <w:bookmarkEnd w:id="0"/>
      <w:bookmarkEnd w:id="1"/>
      <w:bookmarkEnd w:id="2"/>
      <w:bookmarkEnd w:id="3"/>
      <w:bookmarkEnd w:id="4"/>
      <w:bookmarkEnd w:id="5"/>
      <w:bookmarkEnd w:id="6"/>
      <w:bookmarkEnd w:id="7"/>
      <w:bookmarkEnd w:id="8"/>
      <w:bookmarkEnd w:id="9"/>
      <w:bookmarkEnd w:id="10"/>
      <w:bookmarkEnd w:id="11"/>
    </w:p>
    <w:p w:rsidR="002625B2" w:rsidRPr="00AE6EDB" w:rsidRDefault="002625B2" w:rsidP="002625B2">
      <w:pPr>
        <w:jc w:val="center"/>
        <w:rPr>
          <w:b/>
          <w:sz w:val="28"/>
          <w:szCs w:val="28"/>
        </w:rPr>
      </w:pPr>
      <w:bookmarkStart w:id="15" w:name="_Toc293169728"/>
      <w:bookmarkStart w:id="16" w:name="_Toc293171572"/>
      <w:bookmarkStart w:id="17" w:name="_Toc293171789"/>
      <w:bookmarkStart w:id="18" w:name="_Toc293171964"/>
      <w:bookmarkStart w:id="19" w:name="_Toc293172078"/>
      <w:bookmarkStart w:id="20" w:name="_Toc294016295"/>
      <w:bookmarkStart w:id="21" w:name="_Toc294018424"/>
      <w:bookmarkStart w:id="22" w:name="_Toc294021228"/>
      <w:bookmarkStart w:id="23" w:name="_Toc294027941"/>
      <w:bookmarkStart w:id="24" w:name="_Toc313877432"/>
      <w:bookmarkStart w:id="25" w:name="_Toc325438096"/>
      <w:bookmarkStart w:id="26" w:name="_Toc325440870"/>
      <w:bookmarkStart w:id="27" w:name="_Toc325626683"/>
      <w:bookmarkStart w:id="28" w:name="_Toc326216944"/>
      <w:r w:rsidRPr="00AE6EDB">
        <w:rPr>
          <w:b/>
          <w:sz w:val="28"/>
          <w:szCs w:val="28"/>
        </w:rPr>
        <w:t>SLOVENSKEJ REPUBLIKY</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2625B2" w:rsidRPr="00AE6EDB" w:rsidRDefault="002625B2" w:rsidP="002625B2">
      <w:pPr>
        <w:rPr>
          <w:color w:val="000000" w:themeColor="text1"/>
        </w:rPr>
      </w:pPr>
      <w:r w:rsidRPr="00AE6EDB">
        <w:rPr>
          <w:color w:val="000000" w:themeColor="text1"/>
        </w:rPr>
        <w:t>___________________________________________________________________________</w:t>
      </w: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jc w:val="center"/>
        <w:rPr>
          <w:b/>
          <w:sz w:val="28"/>
          <w:szCs w:val="28"/>
        </w:rPr>
      </w:pPr>
    </w:p>
    <w:p w:rsidR="002625B2" w:rsidRPr="00AE6EDB" w:rsidRDefault="002625B2" w:rsidP="002625B2">
      <w:pPr>
        <w:jc w:val="center"/>
        <w:rPr>
          <w:b/>
          <w:sz w:val="28"/>
          <w:szCs w:val="28"/>
        </w:rPr>
      </w:pPr>
    </w:p>
    <w:p w:rsidR="002625B2" w:rsidRPr="00D24744" w:rsidRDefault="002625B2" w:rsidP="002625B2">
      <w:pPr>
        <w:jc w:val="center"/>
        <w:rPr>
          <w:b/>
          <w:sz w:val="28"/>
          <w:szCs w:val="28"/>
        </w:rPr>
      </w:pPr>
      <w:r w:rsidRPr="00D24744">
        <w:rPr>
          <w:b/>
          <w:sz w:val="28"/>
          <w:szCs w:val="28"/>
        </w:rPr>
        <w:t>Správa</w:t>
      </w:r>
    </w:p>
    <w:p w:rsidR="000464F1" w:rsidRPr="00D24744" w:rsidRDefault="000464F1" w:rsidP="002625B2">
      <w:pPr>
        <w:jc w:val="center"/>
        <w:rPr>
          <w:b/>
          <w:sz w:val="28"/>
          <w:szCs w:val="28"/>
        </w:rPr>
      </w:pPr>
    </w:p>
    <w:p w:rsidR="002625B2" w:rsidRPr="00AE6EDB" w:rsidRDefault="002625B2" w:rsidP="002625B2">
      <w:pPr>
        <w:jc w:val="center"/>
        <w:rPr>
          <w:b/>
        </w:rPr>
      </w:pPr>
      <w:r w:rsidRPr="00D24744">
        <w:rPr>
          <w:b/>
        </w:rPr>
        <w:t>o sociálnej situácii obyvateľstva Slovenskej republiky za rok 2015</w:t>
      </w:r>
    </w:p>
    <w:p w:rsidR="002625B2" w:rsidRPr="00AE6EDB" w:rsidRDefault="002625B2" w:rsidP="002625B2">
      <w:pPr>
        <w:pStyle w:val="Zkladntext"/>
        <w:rPr>
          <w:b/>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jc w:val="center"/>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Default="002625B2" w:rsidP="002625B2">
      <w:pPr>
        <w:pStyle w:val="Zkladntext"/>
        <w:jc w:val="center"/>
        <w:rPr>
          <w:color w:val="000000" w:themeColor="text1"/>
        </w:rPr>
      </w:pPr>
      <w:r w:rsidRPr="00AE6EDB">
        <w:rPr>
          <w:color w:val="000000" w:themeColor="text1"/>
        </w:rPr>
        <w:t>Bratislava 20</w:t>
      </w:r>
      <w:bookmarkStart w:id="29" w:name="_Toc294016297"/>
      <w:bookmarkStart w:id="30" w:name="_Toc294018426"/>
      <w:bookmarkStart w:id="31" w:name="_Toc294027943"/>
      <w:r w:rsidRPr="00AE6EDB">
        <w:rPr>
          <w:color w:val="000000" w:themeColor="text1"/>
        </w:rPr>
        <w:t>16</w:t>
      </w:r>
    </w:p>
    <w:p w:rsidR="00EF6199" w:rsidRDefault="00EF6199" w:rsidP="002625B2">
      <w:pPr>
        <w:pStyle w:val="Zkladntext"/>
        <w:jc w:val="center"/>
        <w:rPr>
          <w:color w:val="000000" w:themeColor="text1"/>
          <w:highlight w:val="cyan"/>
        </w:rPr>
        <w:sectPr w:rsidR="00EF6199" w:rsidSect="00B253E7">
          <w:type w:val="oddPage"/>
          <w:pgSz w:w="11906" w:h="16838" w:code="9"/>
          <w:pgMar w:top="1417" w:right="1417" w:bottom="1417" w:left="1417" w:header="709" w:footer="709" w:gutter="0"/>
          <w:pgNumType w:start="1"/>
          <w:cols w:space="708"/>
          <w:titlePg/>
          <w:docGrid w:linePitch="360"/>
        </w:sectPr>
      </w:pPr>
    </w:p>
    <w:p w:rsidR="002625B2" w:rsidRPr="00AE6EDB" w:rsidRDefault="002625B2" w:rsidP="002625B2">
      <w:pPr>
        <w:pStyle w:val="Zkladntext"/>
        <w:jc w:val="center"/>
        <w:rPr>
          <w:b/>
          <w:highlight w:val="cyan"/>
        </w:rPr>
      </w:pPr>
    </w:p>
    <w:p w:rsidR="002625B2" w:rsidRPr="00B253E7" w:rsidRDefault="002625B2" w:rsidP="002625B2">
      <w:pPr>
        <w:pStyle w:val="Nadpis1"/>
        <w:numPr>
          <w:ilvl w:val="0"/>
          <w:numId w:val="0"/>
        </w:numPr>
        <w:ind w:left="432" w:hanging="432"/>
      </w:pPr>
      <w:bookmarkStart w:id="32" w:name="_Toc388534183"/>
      <w:bookmarkStart w:id="33" w:name="_Toc389646805"/>
      <w:bookmarkStart w:id="34" w:name="_Toc394061414"/>
      <w:bookmarkStart w:id="35" w:name="_Toc394062007"/>
      <w:bookmarkStart w:id="36" w:name="_Toc394062183"/>
      <w:bookmarkStart w:id="37" w:name="_Toc418672226"/>
      <w:bookmarkStart w:id="38" w:name="_Toc419355212"/>
      <w:bookmarkStart w:id="39" w:name="_Toc419457175"/>
      <w:bookmarkStart w:id="40" w:name="_Toc419795335"/>
      <w:bookmarkStart w:id="41" w:name="_Toc422150956"/>
      <w:bookmarkStart w:id="42" w:name="_Toc422233396"/>
      <w:bookmarkStart w:id="43" w:name="_Toc449609466"/>
      <w:bookmarkStart w:id="44" w:name="_Toc449609563"/>
      <w:bookmarkStart w:id="45" w:name="_Toc451939788"/>
      <w:bookmarkStart w:id="46" w:name="_Toc451939854"/>
      <w:bookmarkStart w:id="47" w:name="_Toc451940038"/>
      <w:bookmarkStart w:id="48" w:name="_Toc452469853"/>
      <w:bookmarkEnd w:id="29"/>
      <w:bookmarkEnd w:id="30"/>
      <w:bookmarkEnd w:id="31"/>
      <w:r w:rsidRPr="00B253E7">
        <w:t>OBSAH</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bookmarkStart w:id="49" w:name="_Toc356482611"/>
    <w:bookmarkStart w:id="50" w:name="_Toc356482796"/>
    <w:bookmarkStart w:id="51" w:name="_Toc356482804"/>
    <w:bookmarkStart w:id="52" w:name="_Toc394061345"/>
    <w:bookmarkStart w:id="53" w:name="_Toc418672227"/>
    <w:bookmarkStart w:id="54" w:name="_Toc419355213"/>
    <w:bookmarkStart w:id="55" w:name="_Toc419457176"/>
    <w:bookmarkStart w:id="56" w:name="_Toc419795336"/>
    <w:bookmarkStart w:id="57" w:name="_Toc422150957"/>
    <w:bookmarkStart w:id="58" w:name="_Toc422233397"/>
    <w:p w:rsidR="00E77D8B" w:rsidRDefault="00FD7905" w:rsidP="00E77D8B">
      <w:pPr>
        <w:pStyle w:val="Obsah1"/>
        <w:rPr>
          <w:rFonts w:asciiTheme="minorHAnsi" w:eastAsiaTheme="minorEastAsia" w:hAnsiTheme="minorHAnsi" w:cstheme="minorBidi"/>
          <w:b w:val="0"/>
          <w:color w:val="auto"/>
          <w:szCs w:val="22"/>
        </w:rPr>
      </w:pPr>
      <w:r w:rsidRPr="00AE6EDB">
        <w:rPr>
          <w:bCs/>
          <w:caps/>
          <w:color w:val="auto"/>
          <w:highlight w:val="cyan"/>
        </w:rPr>
        <w:fldChar w:fldCharType="begin"/>
      </w:r>
      <w:r w:rsidR="002625B2" w:rsidRPr="00AE6EDB">
        <w:rPr>
          <w:bCs/>
          <w:caps/>
          <w:color w:val="auto"/>
          <w:highlight w:val="cyan"/>
        </w:rPr>
        <w:instrText xml:space="preserve"> TOC \o "1-6" \h \z \u </w:instrText>
      </w:r>
      <w:r w:rsidRPr="00AE6EDB">
        <w:rPr>
          <w:bCs/>
          <w:caps/>
          <w:color w:val="auto"/>
          <w:highlight w:val="cyan"/>
        </w:rPr>
        <w:fldChar w:fldCharType="separate"/>
      </w:r>
      <w:hyperlink w:anchor="_Toc452469854" w:history="1">
        <w:r w:rsidR="00E77D8B" w:rsidRPr="00880ACA">
          <w:rPr>
            <w:rStyle w:val="Hypertextovprepojenie"/>
          </w:rPr>
          <w:t>Zoznam skratiek</w:t>
        </w:r>
        <w:r w:rsidR="00E77D8B">
          <w:rPr>
            <w:webHidden/>
          </w:rPr>
          <w:tab/>
        </w:r>
        <w:r w:rsidR="00E77D8B">
          <w:rPr>
            <w:webHidden/>
          </w:rPr>
          <w:fldChar w:fldCharType="begin"/>
        </w:r>
        <w:r w:rsidR="00E77D8B">
          <w:rPr>
            <w:webHidden/>
          </w:rPr>
          <w:instrText xml:space="preserve"> PAGEREF _Toc452469854 \h </w:instrText>
        </w:r>
        <w:r w:rsidR="00E77D8B">
          <w:rPr>
            <w:webHidden/>
          </w:rPr>
        </w:r>
        <w:r w:rsidR="00E77D8B">
          <w:rPr>
            <w:webHidden/>
          </w:rPr>
          <w:fldChar w:fldCharType="separate"/>
        </w:r>
        <w:r w:rsidR="007D6A0E">
          <w:rPr>
            <w:webHidden/>
          </w:rPr>
          <w:t>3</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855" w:history="1">
        <w:r w:rsidR="00E77D8B" w:rsidRPr="00880ACA">
          <w:rPr>
            <w:rStyle w:val="Hypertextovprepojenie"/>
          </w:rPr>
          <w:t>ÚVOD</w:t>
        </w:r>
        <w:r w:rsidR="00E77D8B">
          <w:rPr>
            <w:webHidden/>
          </w:rPr>
          <w:tab/>
        </w:r>
        <w:r w:rsidR="00E77D8B">
          <w:rPr>
            <w:webHidden/>
          </w:rPr>
          <w:fldChar w:fldCharType="begin"/>
        </w:r>
        <w:r w:rsidR="00E77D8B">
          <w:rPr>
            <w:webHidden/>
          </w:rPr>
          <w:instrText xml:space="preserve"> PAGEREF _Toc452469855 \h </w:instrText>
        </w:r>
        <w:r w:rsidR="00E77D8B">
          <w:rPr>
            <w:webHidden/>
          </w:rPr>
        </w:r>
        <w:r w:rsidR="00E77D8B">
          <w:rPr>
            <w:webHidden/>
          </w:rPr>
          <w:fldChar w:fldCharType="separate"/>
        </w:r>
        <w:r w:rsidR="007D6A0E">
          <w:rPr>
            <w:webHidden/>
          </w:rPr>
          <w:t>5</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856" w:history="1">
        <w:r w:rsidR="00E77D8B" w:rsidRPr="00880ACA">
          <w:rPr>
            <w:rStyle w:val="Hypertextovprepojenie"/>
          </w:rPr>
          <w:t>1</w:t>
        </w:r>
        <w:r w:rsidR="00E77D8B">
          <w:rPr>
            <w:rFonts w:asciiTheme="minorHAnsi" w:eastAsiaTheme="minorEastAsia" w:hAnsiTheme="minorHAnsi" w:cstheme="minorBidi"/>
            <w:b w:val="0"/>
            <w:color w:val="auto"/>
            <w:szCs w:val="22"/>
          </w:rPr>
          <w:tab/>
        </w:r>
        <w:r w:rsidR="00E77D8B" w:rsidRPr="00880ACA">
          <w:rPr>
            <w:rStyle w:val="Hypertextovprepojenie"/>
          </w:rPr>
          <w:t>HLAVNÉ MAKROEKONOMICKO-DEMOGRAFICKÉ UKAZOVATELE V PODMIENKACH SLOVENSKEJ REPUBLIKY</w:t>
        </w:r>
        <w:r w:rsidR="00E77D8B">
          <w:rPr>
            <w:webHidden/>
          </w:rPr>
          <w:tab/>
        </w:r>
        <w:r w:rsidR="00E77D8B">
          <w:rPr>
            <w:webHidden/>
          </w:rPr>
          <w:fldChar w:fldCharType="begin"/>
        </w:r>
        <w:r w:rsidR="00E77D8B">
          <w:rPr>
            <w:webHidden/>
          </w:rPr>
          <w:instrText xml:space="preserve"> PAGEREF _Toc452469856 \h </w:instrText>
        </w:r>
        <w:r w:rsidR="00E77D8B">
          <w:rPr>
            <w:webHidden/>
          </w:rPr>
        </w:r>
        <w:r w:rsidR="00E77D8B">
          <w:rPr>
            <w:webHidden/>
          </w:rPr>
          <w:fldChar w:fldCharType="separate"/>
        </w:r>
        <w:r w:rsidR="007D6A0E">
          <w:rPr>
            <w:webHidden/>
          </w:rPr>
          <w:t>7</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57" w:history="1">
        <w:r w:rsidR="00E77D8B" w:rsidRPr="00880ACA">
          <w:rPr>
            <w:rStyle w:val="Hypertextovprepojenie"/>
          </w:rPr>
          <w:t>1.1</w:t>
        </w:r>
        <w:r w:rsidR="00E77D8B">
          <w:rPr>
            <w:rFonts w:asciiTheme="minorHAnsi" w:eastAsiaTheme="minorEastAsia" w:hAnsiTheme="minorHAnsi" w:cstheme="minorBidi"/>
            <w:szCs w:val="22"/>
          </w:rPr>
          <w:tab/>
        </w:r>
        <w:r w:rsidR="00E77D8B" w:rsidRPr="00880ACA">
          <w:rPr>
            <w:rStyle w:val="Hypertextovprepojenie"/>
          </w:rPr>
          <w:t>Základné makroekonomické charakteristiky</w:t>
        </w:r>
        <w:r w:rsidR="00E77D8B">
          <w:rPr>
            <w:webHidden/>
          </w:rPr>
          <w:tab/>
        </w:r>
        <w:r w:rsidR="00E77D8B">
          <w:rPr>
            <w:webHidden/>
          </w:rPr>
          <w:fldChar w:fldCharType="begin"/>
        </w:r>
        <w:r w:rsidR="00E77D8B">
          <w:rPr>
            <w:webHidden/>
          </w:rPr>
          <w:instrText xml:space="preserve"> PAGEREF _Toc452469857 \h </w:instrText>
        </w:r>
        <w:r w:rsidR="00E77D8B">
          <w:rPr>
            <w:webHidden/>
          </w:rPr>
        </w:r>
        <w:r w:rsidR="00E77D8B">
          <w:rPr>
            <w:webHidden/>
          </w:rPr>
          <w:fldChar w:fldCharType="separate"/>
        </w:r>
        <w:r w:rsidR="007D6A0E">
          <w:rPr>
            <w:webHidden/>
          </w:rPr>
          <w:t>7</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58" w:history="1">
        <w:r w:rsidR="00E77D8B" w:rsidRPr="00880ACA">
          <w:rPr>
            <w:rStyle w:val="Hypertextovprepojenie"/>
          </w:rPr>
          <w:t>1.2</w:t>
        </w:r>
        <w:r w:rsidR="00E77D8B">
          <w:rPr>
            <w:rFonts w:asciiTheme="minorHAnsi" w:eastAsiaTheme="minorEastAsia" w:hAnsiTheme="minorHAnsi" w:cstheme="minorBidi"/>
            <w:szCs w:val="22"/>
          </w:rPr>
          <w:tab/>
        </w:r>
        <w:r w:rsidR="00E77D8B" w:rsidRPr="00880ACA">
          <w:rPr>
            <w:rStyle w:val="Hypertextovprepojenie"/>
          </w:rPr>
          <w:t>Vybrané demografické ukazovatele</w:t>
        </w:r>
        <w:r w:rsidR="00E77D8B">
          <w:rPr>
            <w:webHidden/>
          </w:rPr>
          <w:tab/>
        </w:r>
        <w:r w:rsidR="00E77D8B">
          <w:rPr>
            <w:webHidden/>
          </w:rPr>
          <w:fldChar w:fldCharType="begin"/>
        </w:r>
        <w:r w:rsidR="00E77D8B">
          <w:rPr>
            <w:webHidden/>
          </w:rPr>
          <w:instrText xml:space="preserve"> PAGEREF _Toc452469858 \h </w:instrText>
        </w:r>
        <w:r w:rsidR="00E77D8B">
          <w:rPr>
            <w:webHidden/>
          </w:rPr>
        </w:r>
        <w:r w:rsidR="00E77D8B">
          <w:rPr>
            <w:webHidden/>
          </w:rPr>
          <w:fldChar w:fldCharType="separate"/>
        </w:r>
        <w:r w:rsidR="007D6A0E">
          <w:rPr>
            <w:webHidden/>
          </w:rPr>
          <w:t>9</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859" w:history="1">
        <w:r w:rsidR="00E77D8B" w:rsidRPr="00880ACA">
          <w:rPr>
            <w:rStyle w:val="Hypertextovprepojenie"/>
          </w:rPr>
          <w:t>2</w:t>
        </w:r>
        <w:r w:rsidR="00E77D8B">
          <w:rPr>
            <w:rFonts w:asciiTheme="minorHAnsi" w:eastAsiaTheme="minorEastAsia" w:hAnsiTheme="minorHAnsi" w:cstheme="minorBidi"/>
            <w:b w:val="0"/>
            <w:color w:val="auto"/>
            <w:szCs w:val="22"/>
          </w:rPr>
          <w:tab/>
        </w:r>
        <w:r w:rsidR="00E77D8B" w:rsidRPr="00880ACA">
          <w:rPr>
            <w:rStyle w:val="Hypertextovprepojenie"/>
          </w:rPr>
          <w:t>TRH PRÁCE, MZDY A PRACOVNÉ PODMIENKY</w:t>
        </w:r>
        <w:r w:rsidR="00E77D8B">
          <w:rPr>
            <w:webHidden/>
          </w:rPr>
          <w:tab/>
        </w:r>
        <w:r w:rsidR="00E77D8B">
          <w:rPr>
            <w:webHidden/>
          </w:rPr>
          <w:fldChar w:fldCharType="begin"/>
        </w:r>
        <w:r w:rsidR="00E77D8B">
          <w:rPr>
            <w:webHidden/>
          </w:rPr>
          <w:instrText xml:space="preserve"> PAGEREF _Toc452469859 \h </w:instrText>
        </w:r>
        <w:r w:rsidR="00E77D8B">
          <w:rPr>
            <w:webHidden/>
          </w:rPr>
        </w:r>
        <w:r w:rsidR="00E77D8B">
          <w:rPr>
            <w:webHidden/>
          </w:rPr>
          <w:fldChar w:fldCharType="separate"/>
        </w:r>
        <w:r w:rsidR="007D6A0E">
          <w:rPr>
            <w:webHidden/>
          </w:rPr>
          <w:t>11</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60" w:history="1">
        <w:r w:rsidR="00E77D8B" w:rsidRPr="00880ACA">
          <w:rPr>
            <w:rStyle w:val="Hypertextovprepojenie"/>
          </w:rPr>
          <w:t>2.1</w:t>
        </w:r>
        <w:r w:rsidR="00E77D8B">
          <w:rPr>
            <w:rFonts w:asciiTheme="minorHAnsi" w:eastAsiaTheme="minorEastAsia" w:hAnsiTheme="minorHAnsi" w:cstheme="minorBidi"/>
            <w:szCs w:val="22"/>
          </w:rPr>
          <w:tab/>
        </w:r>
        <w:r w:rsidR="00E77D8B" w:rsidRPr="00880ACA">
          <w:rPr>
            <w:rStyle w:val="Hypertextovprepojenie"/>
          </w:rPr>
          <w:t>Trh práce</w:t>
        </w:r>
        <w:r w:rsidR="00E77D8B">
          <w:rPr>
            <w:webHidden/>
          </w:rPr>
          <w:tab/>
        </w:r>
        <w:r w:rsidR="00E77D8B">
          <w:rPr>
            <w:webHidden/>
          </w:rPr>
          <w:fldChar w:fldCharType="begin"/>
        </w:r>
        <w:r w:rsidR="00E77D8B">
          <w:rPr>
            <w:webHidden/>
          </w:rPr>
          <w:instrText xml:space="preserve"> PAGEREF _Toc452469860 \h </w:instrText>
        </w:r>
        <w:r w:rsidR="00E77D8B">
          <w:rPr>
            <w:webHidden/>
          </w:rPr>
        </w:r>
        <w:r w:rsidR="00E77D8B">
          <w:rPr>
            <w:webHidden/>
          </w:rPr>
          <w:fldChar w:fldCharType="separate"/>
        </w:r>
        <w:r w:rsidR="007D6A0E">
          <w:rPr>
            <w:webHidden/>
          </w:rPr>
          <w:t>11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1" w:history="1">
        <w:r w:rsidR="00E77D8B" w:rsidRPr="00880ACA">
          <w:rPr>
            <w:rStyle w:val="Hypertextovprepojenie"/>
          </w:rPr>
          <w:t>2.1.1</w:t>
        </w:r>
        <w:r w:rsidR="00E77D8B">
          <w:rPr>
            <w:rFonts w:asciiTheme="minorHAnsi" w:eastAsiaTheme="minorEastAsia" w:hAnsiTheme="minorHAnsi" w:cstheme="minorBidi"/>
            <w:szCs w:val="22"/>
          </w:rPr>
          <w:tab/>
        </w:r>
        <w:r w:rsidR="00E77D8B" w:rsidRPr="00880ACA">
          <w:rPr>
            <w:rStyle w:val="Hypertextovprepojenie"/>
          </w:rPr>
          <w:t>Vývoj ekonomickej aktivity obyvateľstva</w:t>
        </w:r>
        <w:r w:rsidR="00E77D8B">
          <w:rPr>
            <w:webHidden/>
          </w:rPr>
          <w:tab/>
        </w:r>
        <w:r w:rsidR="00E77D8B">
          <w:rPr>
            <w:webHidden/>
          </w:rPr>
          <w:fldChar w:fldCharType="begin"/>
        </w:r>
        <w:r w:rsidR="00E77D8B">
          <w:rPr>
            <w:webHidden/>
          </w:rPr>
          <w:instrText xml:space="preserve"> PAGEREF _Toc452469861 \h </w:instrText>
        </w:r>
        <w:r w:rsidR="00E77D8B">
          <w:rPr>
            <w:webHidden/>
          </w:rPr>
        </w:r>
        <w:r w:rsidR="00E77D8B">
          <w:rPr>
            <w:webHidden/>
          </w:rPr>
          <w:fldChar w:fldCharType="separate"/>
        </w:r>
        <w:r w:rsidR="007D6A0E">
          <w:rPr>
            <w:webHidden/>
          </w:rPr>
          <w:t>11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2" w:history="1">
        <w:r w:rsidR="00E77D8B" w:rsidRPr="00880ACA">
          <w:rPr>
            <w:rStyle w:val="Hypertextovprepojenie"/>
          </w:rPr>
          <w:t>2.1.2</w:t>
        </w:r>
        <w:r w:rsidR="00E77D8B">
          <w:rPr>
            <w:rFonts w:asciiTheme="minorHAnsi" w:eastAsiaTheme="minorEastAsia" w:hAnsiTheme="minorHAnsi" w:cstheme="minorBidi"/>
            <w:szCs w:val="22"/>
          </w:rPr>
          <w:tab/>
        </w:r>
        <w:r w:rsidR="00E77D8B" w:rsidRPr="00880ACA">
          <w:rPr>
            <w:rStyle w:val="Hypertextovprepojenie"/>
          </w:rPr>
          <w:t>Vývoj zamestnanosti</w:t>
        </w:r>
        <w:r w:rsidR="00E77D8B">
          <w:rPr>
            <w:webHidden/>
          </w:rPr>
          <w:tab/>
        </w:r>
        <w:r w:rsidR="00E77D8B">
          <w:rPr>
            <w:webHidden/>
          </w:rPr>
          <w:fldChar w:fldCharType="begin"/>
        </w:r>
        <w:r w:rsidR="00E77D8B">
          <w:rPr>
            <w:webHidden/>
          </w:rPr>
          <w:instrText xml:space="preserve"> PAGEREF _Toc452469862 \h </w:instrText>
        </w:r>
        <w:r w:rsidR="00E77D8B">
          <w:rPr>
            <w:webHidden/>
          </w:rPr>
        </w:r>
        <w:r w:rsidR="00E77D8B">
          <w:rPr>
            <w:webHidden/>
          </w:rPr>
          <w:fldChar w:fldCharType="separate"/>
        </w:r>
        <w:r w:rsidR="007D6A0E">
          <w:rPr>
            <w:webHidden/>
          </w:rPr>
          <w:t>13</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3" w:history="1">
        <w:r w:rsidR="00E77D8B" w:rsidRPr="00880ACA">
          <w:rPr>
            <w:rStyle w:val="Hypertextovprepojenie"/>
          </w:rPr>
          <w:t>2.1.3</w:t>
        </w:r>
        <w:r w:rsidR="00E77D8B">
          <w:rPr>
            <w:rFonts w:asciiTheme="minorHAnsi" w:eastAsiaTheme="minorEastAsia" w:hAnsiTheme="minorHAnsi" w:cstheme="minorBidi"/>
            <w:szCs w:val="22"/>
          </w:rPr>
          <w:tab/>
        </w:r>
        <w:r w:rsidR="00E77D8B" w:rsidRPr="00880ACA">
          <w:rPr>
            <w:rStyle w:val="Hypertextovprepojenie"/>
          </w:rPr>
          <w:t>Vývoj nezamestnanosti</w:t>
        </w:r>
        <w:r w:rsidR="00E77D8B">
          <w:rPr>
            <w:webHidden/>
          </w:rPr>
          <w:tab/>
        </w:r>
        <w:r w:rsidR="00E77D8B">
          <w:rPr>
            <w:webHidden/>
          </w:rPr>
          <w:fldChar w:fldCharType="begin"/>
        </w:r>
        <w:r w:rsidR="00E77D8B">
          <w:rPr>
            <w:webHidden/>
          </w:rPr>
          <w:instrText xml:space="preserve"> PAGEREF _Toc452469863 \h </w:instrText>
        </w:r>
        <w:r w:rsidR="00E77D8B">
          <w:rPr>
            <w:webHidden/>
          </w:rPr>
        </w:r>
        <w:r w:rsidR="00E77D8B">
          <w:rPr>
            <w:webHidden/>
          </w:rPr>
          <w:fldChar w:fldCharType="separate"/>
        </w:r>
        <w:r w:rsidR="007D6A0E">
          <w:rPr>
            <w:webHidden/>
          </w:rPr>
          <w:t>23</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4" w:history="1">
        <w:r w:rsidR="00E77D8B" w:rsidRPr="00880ACA">
          <w:rPr>
            <w:rStyle w:val="Hypertextovprepojenie"/>
          </w:rPr>
          <w:t>2.1.4</w:t>
        </w:r>
        <w:r w:rsidR="00E77D8B">
          <w:rPr>
            <w:rFonts w:asciiTheme="minorHAnsi" w:eastAsiaTheme="minorEastAsia" w:hAnsiTheme="minorHAnsi" w:cstheme="minorBidi"/>
            <w:szCs w:val="22"/>
          </w:rPr>
          <w:tab/>
        </w:r>
        <w:r w:rsidR="00E77D8B" w:rsidRPr="00880ACA">
          <w:rPr>
            <w:rStyle w:val="Hypertextovprepojenie"/>
          </w:rPr>
          <w:t>Aktívne opatrenia na trhu práce</w:t>
        </w:r>
        <w:r w:rsidR="00E77D8B">
          <w:rPr>
            <w:webHidden/>
          </w:rPr>
          <w:tab/>
        </w:r>
        <w:r w:rsidR="00E77D8B">
          <w:rPr>
            <w:webHidden/>
          </w:rPr>
          <w:fldChar w:fldCharType="begin"/>
        </w:r>
        <w:r w:rsidR="00E77D8B">
          <w:rPr>
            <w:webHidden/>
          </w:rPr>
          <w:instrText xml:space="preserve"> PAGEREF _Toc452469864 \h </w:instrText>
        </w:r>
        <w:r w:rsidR="00E77D8B">
          <w:rPr>
            <w:webHidden/>
          </w:rPr>
        </w:r>
        <w:r w:rsidR="00E77D8B">
          <w:rPr>
            <w:webHidden/>
          </w:rPr>
          <w:fldChar w:fldCharType="separate"/>
        </w:r>
        <w:r w:rsidR="007D6A0E">
          <w:rPr>
            <w:webHidden/>
          </w:rPr>
          <w:t>36</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65" w:history="1">
        <w:r w:rsidR="00E77D8B" w:rsidRPr="00880ACA">
          <w:rPr>
            <w:rStyle w:val="Hypertextovprepojenie"/>
          </w:rPr>
          <w:t>2.2</w:t>
        </w:r>
        <w:r w:rsidR="00E77D8B">
          <w:rPr>
            <w:rFonts w:asciiTheme="minorHAnsi" w:eastAsiaTheme="minorEastAsia" w:hAnsiTheme="minorHAnsi" w:cstheme="minorBidi"/>
            <w:szCs w:val="22"/>
          </w:rPr>
          <w:tab/>
        </w:r>
        <w:r w:rsidR="00E77D8B" w:rsidRPr="00880ACA">
          <w:rPr>
            <w:rStyle w:val="Hypertextovprepojenie"/>
          </w:rPr>
          <w:t>Mzdy a pracovné podmienky</w:t>
        </w:r>
        <w:r w:rsidR="00E77D8B">
          <w:rPr>
            <w:webHidden/>
          </w:rPr>
          <w:tab/>
        </w:r>
        <w:r w:rsidR="00E77D8B">
          <w:rPr>
            <w:webHidden/>
          </w:rPr>
          <w:fldChar w:fldCharType="begin"/>
        </w:r>
        <w:r w:rsidR="00E77D8B">
          <w:rPr>
            <w:webHidden/>
          </w:rPr>
          <w:instrText xml:space="preserve"> PAGEREF _Toc452469865 \h </w:instrText>
        </w:r>
        <w:r w:rsidR="00E77D8B">
          <w:rPr>
            <w:webHidden/>
          </w:rPr>
        </w:r>
        <w:r w:rsidR="00E77D8B">
          <w:rPr>
            <w:webHidden/>
          </w:rPr>
          <w:fldChar w:fldCharType="separate"/>
        </w:r>
        <w:r w:rsidR="007D6A0E">
          <w:rPr>
            <w:webHidden/>
          </w:rPr>
          <w:t>38</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6" w:history="1">
        <w:r w:rsidR="00E77D8B" w:rsidRPr="00880ACA">
          <w:rPr>
            <w:rStyle w:val="Hypertextovprepojenie"/>
          </w:rPr>
          <w:t>2.2.1</w:t>
        </w:r>
        <w:r w:rsidR="00E77D8B">
          <w:rPr>
            <w:rFonts w:asciiTheme="minorHAnsi" w:eastAsiaTheme="minorEastAsia" w:hAnsiTheme="minorHAnsi" w:cstheme="minorBidi"/>
            <w:szCs w:val="22"/>
          </w:rPr>
          <w:tab/>
        </w:r>
        <w:r w:rsidR="00E77D8B" w:rsidRPr="00880ACA">
          <w:rPr>
            <w:rStyle w:val="Hypertextovprepojenie"/>
          </w:rPr>
          <w:t>Mzdy</w:t>
        </w:r>
        <w:r w:rsidR="00E77D8B">
          <w:rPr>
            <w:webHidden/>
          </w:rPr>
          <w:tab/>
        </w:r>
        <w:r w:rsidR="00E77D8B">
          <w:rPr>
            <w:webHidden/>
          </w:rPr>
          <w:fldChar w:fldCharType="begin"/>
        </w:r>
        <w:r w:rsidR="00E77D8B">
          <w:rPr>
            <w:webHidden/>
          </w:rPr>
          <w:instrText xml:space="preserve"> PAGEREF _Toc452469866 \h </w:instrText>
        </w:r>
        <w:r w:rsidR="00E77D8B">
          <w:rPr>
            <w:webHidden/>
          </w:rPr>
        </w:r>
        <w:r w:rsidR="00E77D8B">
          <w:rPr>
            <w:webHidden/>
          </w:rPr>
          <w:fldChar w:fldCharType="separate"/>
        </w:r>
        <w:r w:rsidR="007D6A0E">
          <w:rPr>
            <w:webHidden/>
          </w:rPr>
          <w:t>41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7" w:history="1">
        <w:r w:rsidR="00E77D8B" w:rsidRPr="00880ACA">
          <w:rPr>
            <w:rStyle w:val="Hypertextovprepojenie"/>
          </w:rPr>
          <w:t>2.2.2</w:t>
        </w:r>
        <w:r w:rsidR="00E77D8B">
          <w:rPr>
            <w:rFonts w:asciiTheme="minorHAnsi" w:eastAsiaTheme="minorEastAsia" w:hAnsiTheme="minorHAnsi" w:cstheme="minorBidi"/>
            <w:szCs w:val="22"/>
          </w:rPr>
          <w:tab/>
        </w:r>
        <w:r w:rsidR="00E77D8B" w:rsidRPr="00880ACA">
          <w:rPr>
            <w:rStyle w:val="Hypertextovprepojenie"/>
          </w:rPr>
          <w:t>Úplné náklady práce</w:t>
        </w:r>
        <w:r w:rsidR="00E77D8B">
          <w:rPr>
            <w:webHidden/>
          </w:rPr>
          <w:tab/>
        </w:r>
        <w:r w:rsidR="00E77D8B">
          <w:rPr>
            <w:webHidden/>
          </w:rPr>
          <w:fldChar w:fldCharType="begin"/>
        </w:r>
        <w:r w:rsidR="00E77D8B">
          <w:rPr>
            <w:webHidden/>
          </w:rPr>
          <w:instrText xml:space="preserve"> PAGEREF _Toc452469867 \h </w:instrText>
        </w:r>
        <w:r w:rsidR="00E77D8B">
          <w:rPr>
            <w:webHidden/>
          </w:rPr>
        </w:r>
        <w:r w:rsidR="00E77D8B">
          <w:rPr>
            <w:webHidden/>
          </w:rPr>
          <w:fldChar w:fldCharType="separate"/>
        </w:r>
        <w:r w:rsidR="007D6A0E">
          <w:rPr>
            <w:webHidden/>
          </w:rPr>
          <w:t>46</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8" w:history="1">
        <w:r w:rsidR="00E77D8B" w:rsidRPr="00880ACA">
          <w:rPr>
            <w:rStyle w:val="Hypertextovprepojenie"/>
          </w:rPr>
          <w:t>2.2.3</w:t>
        </w:r>
        <w:r w:rsidR="00E77D8B">
          <w:rPr>
            <w:rFonts w:asciiTheme="minorHAnsi" w:eastAsiaTheme="minorEastAsia" w:hAnsiTheme="minorHAnsi" w:cstheme="minorBidi"/>
            <w:szCs w:val="22"/>
          </w:rPr>
          <w:tab/>
        </w:r>
        <w:r w:rsidR="00E77D8B" w:rsidRPr="00880ACA">
          <w:rPr>
            <w:rStyle w:val="Hypertextovprepojenie"/>
          </w:rPr>
          <w:t>Kolektívne vyjednávanie</w:t>
        </w:r>
        <w:r w:rsidR="00E77D8B">
          <w:rPr>
            <w:webHidden/>
          </w:rPr>
          <w:tab/>
        </w:r>
        <w:r w:rsidR="00E77D8B">
          <w:rPr>
            <w:webHidden/>
          </w:rPr>
          <w:fldChar w:fldCharType="begin"/>
        </w:r>
        <w:r w:rsidR="00E77D8B">
          <w:rPr>
            <w:webHidden/>
          </w:rPr>
          <w:instrText xml:space="preserve"> PAGEREF _Toc452469868 \h </w:instrText>
        </w:r>
        <w:r w:rsidR="00E77D8B">
          <w:rPr>
            <w:webHidden/>
          </w:rPr>
        </w:r>
        <w:r w:rsidR="00E77D8B">
          <w:rPr>
            <w:webHidden/>
          </w:rPr>
          <w:fldChar w:fldCharType="separate"/>
        </w:r>
        <w:r w:rsidR="007D6A0E">
          <w:rPr>
            <w:webHidden/>
          </w:rPr>
          <w:t>49</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69" w:history="1">
        <w:r w:rsidR="00E77D8B" w:rsidRPr="00880ACA">
          <w:rPr>
            <w:rStyle w:val="Hypertextovprepojenie"/>
          </w:rPr>
          <w:t>2.2.4</w:t>
        </w:r>
        <w:r w:rsidR="00E77D8B">
          <w:rPr>
            <w:rFonts w:asciiTheme="minorHAnsi" w:eastAsiaTheme="minorEastAsia" w:hAnsiTheme="minorHAnsi" w:cstheme="minorBidi"/>
            <w:szCs w:val="22"/>
          </w:rPr>
          <w:tab/>
        </w:r>
        <w:r w:rsidR="00E77D8B" w:rsidRPr="00880ACA">
          <w:rPr>
            <w:rStyle w:val="Hypertextovprepojenie"/>
          </w:rPr>
          <w:t>Bezpečnosť a ochrana zdravia pri práci</w:t>
        </w:r>
        <w:r w:rsidR="00E77D8B">
          <w:rPr>
            <w:webHidden/>
          </w:rPr>
          <w:tab/>
        </w:r>
        <w:r w:rsidR="00E77D8B">
          <w:rPr>
            <w:webHidden/>
          </w:rPr>
          <w:fldChar w:fldCharType="begin"/>
        </w:r>
        <w:r w:rsidR="00E77D8B">
          <w:rPr>
            <w:webHidden/>
          </w:rPr>
          <w:instrText xml:space="preserve"> PAGEREF _Toc452469869 \h </w:instrText>
        </w:r>
        <w:r w:rsidR="00E77D8B">
          <w:rPr>
            <w:webHidden/>
          </w:rPr>
        </w:r>
        <w:r w:rsidR="00E77D8B">
          <w:rPr>
            <w:webHidden/>
          </w:rPr>
          <w:fldChar w:fldCharType="separate"/>
        </w:r>
        <w:r w:rsidR="007D6A0E">
          <w:rPr>
            <w:webHidden/>
          </w:rPr>
          <w:t>49</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870" w:history="1">
        <w:r w:rsidR="00E77D8B" w:rsidRPr="00880ACA">
          <w:rPr>
            <w:rStyle w:val="Hypertextovprepojenie"/>
          </w:rPr>
          <w:t>3</w:t>
        </w:r>
        <w:r w:rsidR="00E77D8B">
          <w:rPr>
            <w:rFonts w:asciiTheme="minorHAnsi" w:eastAsiaTheme="minorEastAsia" w:hAnsiTheme="minorHAnsi" w:cstheme="minorBidi"/>
            <w:b w:val="0"/>
            <w:color w:val="auto"/>
            <w:szCs w:val="22"/>
          </w:rPr>
          <w:tab/>
        </w:r>
        <w:r w:rsidR="00E77D8B" w:rsidRPr="00880ACA">
          <w:rPr>
            <w:rStyle w:val="Hypertextovprepojenie"/>
          </w:rPr>
          <w:t>SOCIÁLNA OCHRANA</w:t>
        </w:r>
        <w:r w:rsidR="00E77D8B">
          <w:rPr>
            <w:webHidden/>
          </w:rPr>
          <w:tab/>
        </w:r>
        <w:r w:rsidR="00E77D8B">
          <w:rPr>
            <w:webHidden/>
          </w:rPr>
          <w:fldChar w:fldCharType="begin"/>
        </w:r>
        <w:r w:rsidR="00E77D8B">
          <w:rPr>
            <w:webHidden/>
          </w:rPr>
          <w:instrText xml:space="preserve"> PAGEREF _Toc452469870 \h </w:instrText>
        </w:r>
        <w:r w:rsidR="00E77D8B">
          <w:rPr>
            <w:webHidden/>
          </w:rPr>
        </w:r>
        <w:r w:rsidR="00E77D8B">
          <w:rPr>
            <w:webHidden/>
          </w:rPr>
          <w:fldChar w:fldCharType="separate"/>
        </w:r>
        <w:r w:rsidR="007D6A0E">
          <w:rPr>
            <w:webHidden/>
          </w:rPr>
          <w:t>53</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71" w:history="1">
        <w:r w:rsidR="00E77D8B" w:rsidRPr="00880ACA">
          <w:rPr>
            <w:rStyle w:val="Hypertextovprepojenie"/>
          </w:rPr>
          <w:t>3.1</w:t>
        </w:r>
        <w:r w:rsidR="00E77D8B">
          <w:rPr>
            <w:rFonts w:asciiTheme="minorHAnsi" w:eastAsiaTheme="minorEastAsia" w:hAnsiTheme="minorHAnsi" w:cstheme="minorBidi"/>
            <w:szCs w:val="22"/>
          </w:rPr>
          <w:tab/>
        </w:r>
        <w:r w:rsidR="00E77D8B" w:rsidRPr="00880ACA">
          <w:rPr>
            <w:rStyle w:val="Hypertextovprepojenie"/>
          </w:rPr>
          <w:t>Sociálne poistenie</w:t>
        </w:r>
        <w:r w:rsidR="00E77D8B">
          <w:rPr>
            <w:webHidden/>
          </w:rPr>
          <w:tab/>
        </w:r>
        <w:r w:rsidR="00E77D8B">
          <w:rPr>
            <w:webHidden/>
          </w:rPr>
          <w:fldChar w:fldCharType="begin"/>
        </w:r>
        <w:r w:rsidR="00E77D8B">
          <w:rPr>
            <w:webHidden/>
          </w:rPr>
          <w:instrText xml:space="preserve"> PAGEREF _Toc452469871 \h </w:instrText>
        </w:r>
        <w:r w:rsidR="00E77D8B">
          <w:rPr>
            <w:webHidden/>
          </w:rPr>
        </w:r>
        <w:r w:rsidR="00E77D8B">
          <w:rPr>
            <w:webHidden/>
          </w:rPr>
          <w:fldChar w:fldCharType="separate"/>
        </w:r>
        <w:r w:rsidR="007D6A0E">
          <w:rPr>
            <w:webHidden/>
          </w:rPr>
          <w:t>53</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2" w:history="1">
        <w:r w:rsidR="00E77D8B" w:rsidRPr="00880ACA">
          <w:rPr>
            <w:rStyle w:val="Hypertextovprepojenie"/>
          </w:rPr>
          <w:t>3.1.1</w:t>
        </w:r>
        <w:r w:rsidR="00E77D8B">
          <w:rPr>
            <w:rFonts w:asciiTheme="minorHAnsi" w:eastAsiaTheme="minorEastAsia" w:hAnsiTheme="minorHAnsi" w:cstheme="minorBidi"/>
            <w:szCs w:val="22"/>
          </w:rPr>
          <w:tab/>
        </w:r>
        <w:r w:rsidR="00E77D8B" w:rsidRPr="00880ACA">
          <w:rPr>
            <w:rStyle w:val="Hypertextovprepojenie"/>
          </w:rPr>
          <w:t>Nemocenské poistenie</w:t>
        </w:r>
        <w:r w:rsidR="00E77D8B">
          <w:rPr>
            <w:webHidden/>
          </w:rPr>
          <w:tab/>
        </w:r>
        <w:r w:rsidR="00E77D8B">
          <w:rPr>
            <w:webHidden/>
          </w:rPr>
          <w:fldChar w:fldCharType="begin"/>
        </w:r>
        <w:r w:rsidR="00E77D8B">
          <w:rPr>
            <w:webHidden/>
          </w:rPr>
          <w:instrText xml:space="preserve"> PAGEREF _Toc452469872 \h </w:instrText>
        </w:r>
        <w:r w:rsidR="00E77D8B">
          <w:rPr>
            <w:webHidden/>
          </w:rPr>
        </w:r>
        <w:r w:rsidR="00E77D8B">
          <w:rPr>
            <w:webHidden/>
          </w:rPr>
          <w:fldChar w:fldCharType="separate"/>
        </w:r>
        <w:r w:rsidR="007D6A0E">
          <w:rPr>
            <w:webHidden/>
          </w:rPr>
          <w:t>56</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3" w:history="1">
        <w:r w:rsidR="00E77D8B" w:rsidRPr="00880ACA">
          <w:rPr>
            <w:rStyle w:val="Hypertextovprepojenie"/>
          </w:rPr>
          <w:t>3.1.2</w:t>
        </w:r>
        <w:r w:rsidR="00E77D8B">
          <w:rPr>
            <w:rFonts w:asciiTheme="minorHAnsi" w:eastAsiaTheme="minorEastAsia" w:hAnsiTheme="minorHAnsi" w:cstheme="minorBidi"/>
            <w:szCs w:val="22"/>
          </w:rPr>
          <w:tab/>
        </w:r>
        <w:r w:rsidR="00E77D8B" w:rsidRPr="00880ACA">
          <w:rPr>
            <w:rStyle w:val="Hypertextovprepojenie"/>
          </w:rPr>
          <w:t>Dôchodkové poistenie</w:t>
        </w:r>
        <w:r w:rsidR="00E77D8B">
          <w:rPr>
            <w:webHidden/>
          </w:rPr>
          <w:tab/>
        </w:r>
        <w:r w:rsidR="00E77D8B">
          <w:rPr>
            <w:webHidden/>
          </w:rPr>
          <w:fldChar w:fldCharType="begin"/>
        </w:r>
        <w:r w:rsidR="00E77D8B">
          <w:rPr>
            <w:webHidden/>
          </w:rPr>
          <w:instrText xml:space="preserve"> PAGEREF _Toc452469873 \h </w:instrText>
        </w:r>
        <w:r w:rsidR="00E77D8B">
          <w:rPr>
            <w:webHidden/>
          </w:rPr>
        </w:r>
        <w:r w:rsidR="00E77D8B">
          <w:rPr>
            <w:webHidden/>
          </w:rPr>
          <w:fldChar w:fldCharType="separate"/>
        </w:r>
        <w:r w:rsidR="007D6A0E">
          <w:rPr>
            <w:webHidden/>
          </w:rPr>
          <w:t>57</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4" w:history="1">
        <w:r w:rsidR="00E77D8B" w:rsidRPr="00880ACA">
          <w:rPr>
            <w:rStyle w:val="Hypertextovprepojenie"/>
          </w:rPr>
          <w:t>3.1.3</w:t>
        </w:r>
        <w:r w:rsidR="00E77D8B">
          <w:rPr>
            <w:rFonts w:asciiTheme="minorHAnsi" w:eastAsiaTheme="minorEastAsia" w:hAnsiTheme="minorHAnsi" w:cstheme="minorBidi"/>
            <w:szCs w:val="22"/>
          </w:rPr>
          <w:tab/>
        </w:r>
        <w:r w:rsidR="00E77D8B" w:rsidRPr="00880ACA">
          <w:rPr>
            <w:rStyle w:val="Hypertextovprepojenie"/>
          </w:rPr>
          <w:t>Úrazové poistenie</w:t>
        </w:r>
        <w:r w:rsidR="00E77D8B">
          <w:rPr>
            <w:webHidden/>
          </w:rPr>
          <w:tab/>
        </w:r>
        <w:r w:rsidR="00E77D8B">
          <w:rPr>
            <w:webHidden/>
          </w:rPr>
          <w:fldChar w:fldCharType="begin"/>
        </w:r>
        <w:r w:rsidR="00E77D8B">
          <w:rPr>
            <w:webHidden/>
          </w:rPr>
          <w:instrText xml:space="preserve"> PAGEREF _Toc452469874 \h </w:instrText>
        </w:r>
        <w:r w:rsidR="00E77D8B">
          <w:rPr>
            <w:webHidden/>
          </w:rPr>
        </w:r>
        <w:r w:rsidR="00E77D8B">
          <w:rPr>
            <w:webHidden/>
          </w:rPr>
          <w:fldChar w:fldCharType="separate"/>
        </w:r>
        <w:r w:rsidR="007D6A0E">
          <w:rPr>
            <w:webHidden/>
          </w:rPr>
          <w:t>59</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5" w:history="1">
        <w:r w:rsidR="00E77D8B" w:rsidRPr="00880ACA">
          <w:rPr>
            <w:rStyle w:val="Hypertextovprepojenie"/>
          </w:rPr>
          <w:t>3.1.4</w:t>
        </w:r>
        <w:r w:rsidR="00E77D8B">
          <w:rPr>
            <w:rFonts w:asciiTheme="minorHAnsi" w:eastAsiaTheme="minorEastAsia" w:hAnsiTheme="minorHAnsi" w:cstheme="minorBidi"/>
            <w:szCs w:val="22"/>
          </w:rPr>
          <w:tab/>
        </w:r>
        <w:r w:rsidR="00E77D8B" w:rsidRPr="00880ACA">
          <w:rPr>
            <w:rStyle w:val="Hypertextovprepojenie"/>
          </w:rPr>
          <w:t>Garančné poistenie</w:t>
        </w:r>
        <w:r w:rsidR="00E77D8B">
          <w:rPr>
            <w:webHidden/>
          </w:rPr>
          <w:tab/>
        </w:r>
        <w:r w:rsidR="00E77D8B">
          <w:rPr>
            <w:webHidden/>
          </w:rPr>
          <w:fldChar w:fldCharType="begin"/>
        </w:r>
        <w:r w:rsidR="00E77D8B">
          <w:rPr>
            <w:webHidden/>
          </w:rPr>
          <w:instrText xml:space="preserve"> PAGEREF _Toc452469875 \h </w:instrText>
        </w:r>
        <w:r w:rsidR="00E77D8B">
          <w:rPr>
            <w:webHidden/>
          </w:rPr>
        </w:r>
        <w:r w:rsidR="00E77D8B">
          <w:rPr>
            <w:webHidden/>
          </w:rPr>
          <w:fldChar w:fldCharType="separate"/>
        </w:r>
        <w:r w:rsidR="007D6A0E">
          <w:rPr>
            <w:webHidden/>
          </w:rPr>
          <w:t>59</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6" w:history="1">
        <w:r w:rsidR="00E77D8B" w:rsidRPr="00880ACA">
          <w:rPr>
            <w:rStyle w:val="Hypertextovprepojenie"/>
          </w:rPr>
          <w:t>3.1.5</w:t>
        </w:r>
        <w:r w:rsidR="00E77D8B">
          <w:rPr>
            <w:rFonts w:asciiTheme="minorHAnsi" w:eastAsiaTheme="minorEastAsia" w:hAnsiTheme="minorHAnsi" w:cstheme="minorBidi"/>
            <w:szCs w:val="22"/>
          </w:rPr>
          <w:tab/>
        </w:r>
        <w:r w:rsidR="00E77D8B" w:rsidRPr="00880ACA">
          <w:rPr>
            <w:rStyle w:val="Hypertextovprepojenie"/>
          </w:rPr>
          <w:t>Poistenie v nezamestnanosti</w:t>
        </w:r>
        <w:r w:rsidR="00E77D8B">
          <w:rPr>
            <w:webHidden/>
          </w:rPr>
          <w:tab/>
        </w:r>
        <w:r w:rsidR="00E77D8B">
          <w:rPr>
            <w:webHidden/>
          </w:rPr>
          <w:fldChar w:fldCharType="begin"/>
        </w:r>
        <w:r w:rsidR="00E77D8B">
          <w:rPr>
            <w:webHidden/>
          </w:rPr>
          <w:instrText xml:space="preserve"> PAGEREF _Toc452469876 \h </w:instrText>
        </w:r>
        <w:r w:rsidR="00E77D8B">
          <w:rPr>
            <w:webHidden/>
          </w:rPr>
        </w:r>
        <w:r w:rsidR="00E77D8B">
          <w:rPr>
            <w:webHidden/>
          </w:rPr>
          <w:fldChar w:fldCharType="separate"/>
        </w:r>
        <w:r w:rsidR="007D6A0E">
          <w:rPr>
            <w:webHidden/>
          </w:rPr>
          <w:t>60</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77" w:history="1">
        <w:r w:rsidR="00E77D8B" w:rsidRPr="00880ACA">
          <w:rPr>
            <w:rStyle w:val="Hypertextovprepojenie"/>
          </w:rPr>
          <w:t>3.2</w:t>
        </w:r>
        <w:r w:rsidR="00E77D8B">
          <w:rPr>
            <w:rFonts w:asciiTheme="minorHAnsi" w:eastAsiaTheme="minorEastAsia" w:hAnsiTheme="minorHAnsi" w:cstheme="minorBidi"/>
            <w:szCs w:val="22"/>
          </w:rPr>
          <w:tab/>
        </w:r>
        <w:r w:rsidR="00E77D8B" w:rsidRPr="00880ACA">
          <w:rPr>
            <w:rStyle w:val="Hypertextovprepojenie"/>
          </w:rPr>
          <w:t>Dôchodkové sporenie</w:t>
        </w:r>
        <w:r w:rsidR="00E77D8B">
          <w:rPr>
            <w:webHidden/>
          </w:rPr>
          <w:tab/>
        </w:r>
        <w:r w:rsidR="00E77D8B">
          <w:rPr>
            <w:webHidden/>
          </w:rPr>
          <w:fldChar w:fldCharType="begin"/>
        </w:r>
        <w:r w:rsidR="00E77D8B">
          <w:rPr>
            <w:webHidden/>
          </w:rPr>
          <w:instrText xml:space="preserve"> PAGEREF _Toc452469877 \h </w:instrText>
        </w:r>
        <w:r w:rsidR="00E77D8B">
          <w:rPr>
            <w:webHidden/>
          </w:rPr>
        </w:r>
        <w:r w:rsidR="00E77D8B">
          <w:rPr>
            <w:webHidden/>
          </w:rPr>
          <w:fldChar w:fldCharType="separate"/>
        </w:r>
        <w:r w:rsidR="007D6A0E">
          <w:rPr>
            <w:webHidden/>
          </w:rPr>
          <w:t>61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8" w:history="1">
        <w:r w:rsidR="00E77D8B" w:rsidRPr="00880ACA">
          <w:rPr>
            <w:rStyle w:val="Hypertextovprepojenie"/>
          </w:rPr>
          <w:t>3.2.1</w:t>
        </w:r>
        <w:r w:rsidR="00E77D8B">
          <w:rPr>
            <w:rFonts w:asciiTheme="minorHAnsi" w:eastAsiaTheme="minorEastAsia" w:hAnsiTheme="minorHAnsi" w:cstheme="minorBidi"/>
            <w:szCs w:val="22"/>
          </w:rPr>
          <w:tab/>
        </w:r>
        <w:r w:rsidR="00E77D8B" w:rsidRPr="00880ACA">
          <w:rPr>
            <w:rStyle w:val="Hypertextovprepojenie"/>
          </w:rPr>
          <w:t>Starobné dôchodkové sporenie</w:t>
        </w:r>
        <w:r w:rsidR="00E77D8B">
          <w:rPr>
            <w:webHidden/>
          </w:rPr>
          <w:tab/>
        </w:r>
        <w:r w:rsidR="00E77D8B">
          <w:rPr>
            <w:webHidden/>
          </w:rPr>
          <w:fldChar w:fldCharType="begin"/>
        </w:r>
        <w:r w:rsidR="00E77D8B">
          <w:rPr>
            <w:webHidden/>
          </w:rPr>
          <w:instrText xml:space="preserve"> PAGEREF _Toc452469878 \h </w:instrText>
        </w:r>
        <w:r w:rsidR="00E77D8B">
          <w:rPr>
            <w:webHidden/>
          </w:rPr>
        </w:r>
        <w:r w:rsidR="00E77D8B">
          <w:rPr>
            <w:webHidden/>
          </w:rPr>
          <w:fldChar w:fldCharType="separate"/>
        </w:r>
        <w:r w:rsidR="007D6A0E">
          <w:rPr>
            <w:webHidden/>
          </w:rPr>
          <w:t>61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79" w:history="1">
        <w:r w:rsidR="00E77D8B" w:rsidRPr="00880ACA">
          <w:rPr>
            <w:rStyle w:val="Hypertextovprepojenie"/>
          </w:rPr>
          <w:t>3.2.2</w:t>
        </w:r>
        <w:r w:rsidR="00E77D8B">
          <w:rPr>
            <w:rFonts w:asciiTheme="minorHAnsi" w:eastAsiaTheme="minorEastAsia" w:hAnsiTheme="minorHAnsi" w:cstheme="minorBidi"/>
            <w:szCs w:val="22"/>
          </w:rPr>
          <w:tab/>
        </w:r>
        <w:r w:rsidR="00E77D8B" w:rsidRPr="00880ACA">
          <w:rPr>
            <w:rStyle w:val="Hypertextovprepojenie"/>
          </w:rPr>
          <w:t>Doplnkové dôchodkové sporenie</w:t>
        </w:r>
        <w:r w:rsidR="00E77D8B">
          <w:rPr>
            <w:webHidden/>
          </w:rPr>
          <w:tab/>
        </w:r>
        <w:r w:rsidR="00E77D8B">
          <w:rPr>
            <w:webHidden/>
          </w:rPr>
          <w:fldChar w:fldCharType="begin"/>
        </w:r>
        <w:r w:rsidR="00E77D8B">
          <w:rPr>
            <w:webHidden/>
          </w:rPr>
          <w:instrText xml:space="preserve"> PAGEREF _Toc452469879 \h </w:instrText>
        </w:r>
        <w:r w:rsidR="00E77D8B">
          <w:rPr>
            <w:webHidden/>
          </w:rPr>
        </w:r>
        <w:r w:rsidR="00E77D8B">
          <w:rPr>
            <w:webHidden/>
          </w:rPr>
          <w:fldChar w:fldCharType="separate"/>
        </w:r>
        <w:r w:rsidR="007D6A0E">
          <w:rPr>
            <w:webHidden/>
          </w:rPr>
          <w:t>68</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80" w:history="1">
        <w:r w:rsidR="00E77D8B" w:rsidRPr="00880ACA">
          <w:rPr>
            <w:rStyle w:val="Hypertextovprepojenie"/>
          </w:rPr>
          <w:t>3.3</w:t>
        </w:r>
        <w:r w:rsidR="00E77D8B">
          <w:rPr>
            <w:rFonts w:asciiTheme="minorHAnsi" w:eastAsiaTheme="minorEastAsia" w:hAnsiTheme="minorHAnsi" w:cstheme="minorBidi"/>
            <w:szCs w:val="22"/>
          </w:rPr>
          <w:tab/>
        </w:r>
        <w:r w:rsidR="00E77D8B" w:rsidRPr="00880ACA">
          <w:rPr>
            <w:rStyle w:val="Hypertextovprepojenie"/>
          </w:rPr>
          <w:t>Štátna sociálna podpora</w:t>
        </w:r>
        <w:r w:rsidR="00E77D8B">
          <w:rPr>
            <w:webHidden/>
          </w:rPr>
          <w:tab/>
        </w:r>
        <w:r w:rsidR="00E77D8B">
          <w:rPr>
            <w:webHidden/>
          </w:rPr>
          <w:fldChar w:fldCharType="begin"/>
        </w:r>
        <w:r w:rsidR="00E77D8B">
          <w:rPr>
            <w:webHidden/>
          </w:rPr>
          <w:instrText xml:space="preserve"> PAGEREF _Toc452469880 \h </w:instrText>
        </w:r>
        <w:r w:rsidR="00E77D8B">
          <w:rPr>
            <w:webHidden/>
          </w:rPr>
        </w:r>
        <w:r w:rsidR="00E77D8B">
          <w:rPr>
            <w:webHidden/>
          </w:rPr>
          <w:fldChar w:fldCharType="separate"/>
        </w:r>
        <w:r w:rsidR="007D6A0E">
          <w:rPr>
            <w:webHidden/>
          </w:rPr>
          <w:t>71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1" w:history="1">
        <w:r w:rsidR="00E77D8B" w:rsidRPr="00880ACA">
          <w:rPr>
            <w:rStyle w:val="Hypertextovprepojenie"/>
          </w:rPr>
          <w:t>3.3.1</w:t>
        </w:r>
        <w:r w:rsidR="00E77D8B">
          <w:rPr>
            <w:rFonts w:asciiTheme="minorHAnsi" w:eastAsiaTheme="minorEastAsia" w:hAnsiTheme="minorHAnsi" w:cstheme="minorBidi"/>
            <w:szCs w:val="22"/>
          </w:rPr>
          <w:tab/>
        </w:r>
        <w:r w:rsidR="00E77D8B" w:rsidRPr="00880ACA">
          <w:rPr>
            <w:rStyle w:val="Hypertextovprepojenie"/>
          </w:rPr>
          <w:t>Prídavok na dieťa</w:t>
        </w:r>
        <w:r w:rsidR="00E77D8B">
          <w:rPr>
            <w:webHidden/>
          </w:rPr>
          <w:tab/>
        </w:r>
        <w:r w:rsidR="00E77D8B">
          <w:rPr>
            <w:webHidden/>
          </w:rPr>
          <w:fldChar w:fldCharType="begin"/>
        </w:r>
        <w:r w:rsidR="00E77D8B">
          <w:rPr>
            <w:webHidden/>
          </w:rPr>
          <w:instrText xml:space="preserve"> PAGEREF _Toc452469881 \h </w:instrText>
        </w:r>
        <w:r w:rsidR="00E77D8B">
          <w:rPr>
            <w:webHidden/>
          </w:rPr>
        </w:r>
        <w:r w:rsidR="00E77D8B">
          <w:rPr>
            <w:webHidden/>
          </w:rPr>
          <w:fldChar w:fldCharType="separate"/>
        </w:r>
        <w:r w:rsidR="007D6A0E">
          <w:rPr>
            <w:webHidden/>
          </w:rPr>
          <w:t>71</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2" w:history="1">
        <w:r w:rsidR="00E77D8B" w:rsidRPr="00880ACA">
          <w:rPr>
            <w:rStyle w:val="Hypertextovprepojenie"/>
          </w:rPr>
          <w:t>3.3.2</w:t>
        </w:r>
        <w:r w:rsidR="00E77D8B">
          <w:rPr>
            <w:rFonts w:asciiTheme="minorHAnsi" w:eastAsiaTheme="minorEastAsia" w:hAnsiTheme="minorHAnsi" w:cstheme="minorBidi"/>
            <w:szCs w:val="22"/>
          </w:rPr>
          <w:tab/>
        </w:r>
        <w:r w:rsidR="00E77D8B" w:rsidRPr="00880ACA">
          <w:rPr>
            <w:rStyle w:val="Hypertextovprepojenie"/>
          </w:rPr>
          <w:t>Príplatok k prídavku na dieťa</w:t>
        </w:r>
        <w:r w:rsidR="00E77D8B">
          <w:rPr>
            <w:webHidden/>
          </w:rPr>
          <w:tab/>
        </w:r>
        <w:r w:rsidR="00E77D8B">
          <w:rPr>
            <w:webHidden/>
          </w:rPr>
          <w:fldChar w:fldCharType="begin"/>
        </w:r>
        <w:r w:rsidR="00E77D8B">
          <w:rPr>
            <w:webHidden/>
          </w:rPr>
          <w:instrText xml:space="preserve"> PAGEREF _Toc452469882 \h </w:instrText>
        </w:r>
        <w:r w:rsidR="00E77D8B">
          <w:rPr>
            <w:webHidden/>
          </w:rPr>
        </w:r>
        <w:r w:rsidR="00E77D8B">
          <w:rPr>
            <w:webHidden/>
          </w:rPr>
          <w:fldChar w:fldCharType="separate"/>
        </w:r>
        <w:r w:rsidR="007D6A0E">
          <w:rPr>
            <w:webHidden/>
          </w:rPr>
          <w:t>72</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3" w:history="1">
        <w:r w:rsidR="00E77D8B" w:rsidRPr="00880ACA">
          <w:rPr>
            <w:rStyle w:val="Hypertextovprepojenie"/>
          </w:rPr>
          <w:t>3.3.3</w:t>
        </w:r>
        <w:r w:rsidR="00E77D8B">
          <w:rPr>
            <w:rFonts w:asciiTheme="minorHAnsi" w:eastAsiaTheme="minorEastAsia" w:hAnsiTheme="minorHAnsi" w:cstheme="minorBidi"/>
            <w:szCs w:val="22"/>
          </w:rPr>
          <w:tab/>
        </w:r>
        <w:r w:rsidR="00E77D8B" w:rsidRPr="00880ACA">
          <w:rPr>
            <w:rStyle w:val="Hypertextovprepojenie"/>
          </w:rPr>
          <w:t>Rodičovský príspevok</w:t>
        </w:r>
        <w:r w:rsidR="00E77D8B">
          <w:rPr>
            <w:webHidden/>
          </w:rPr>
          <w:tab/>
        </w:r>
        <w:r w:rsidR="00E77D8B">
          <w:rPr>
            <w:webHidden/>
          </w:rPr>
          <w:fldChar w:fldCharType="begin"/>
        </w:r>
        <w:r w:rsidR="00E77D8B">
          <w:rPr>
            <w:webHidden/>
          </w:rPr>
          <w:instrText xml:space="preserve"> PAGEREF _Toc452469883 \h </w:instrText>
        </w:r>
        <w:r w:rsidR="00E77D8B">
          <w:rPr>
            <w:webHidden/>
          </w:rPr>
        </w:r>
        <w:r w:rsidR="00E77D8B">
          <w:rPr>
            <w:webHidden/>
          </w:rPr>
          <w:fldChar w:fldCharType="separate"/>
        </w:r>
        <w:r w:rsidR="007D6A0E">
          <w:rPr>
            <w:webHidden/>
          </w:rPr>
          <w:t>73</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4" w:history="1">
        <w:r w:rsidR="00E77D8B" w:rsidRPr="00880ACA">
          <w:rPr>
            <w:rStyle w:val="Hypertextovprepojenie"/>
          </w:rPr>
          <w:t>3.3.4</w:t>
        </w:r>
        <w:r w:rsidR="00E77D8B">
          <w:rPr>
            <w:rFonts w:asciiTheme="minorHAnsi" w:eastAsiaTheme="minorEastAsia" w:hAnsiTheme="minorHAnsi" w:cstheme="minorBidi"/>
            <w:szCs w:val="22"/>
          </w:rPr>
          <w:tab/>
        </w:r>
        <w:r w:rsidR="00E77D8B" w:rsidRPr="00880ACA">
          <w:rPr>
            <w:rStyle w:val="Hypertextovprepojenie"/>
          </w:rPr>
          <w:t>Príspevok na starostlivosť o dieťa</w:t>
        </w:r>
        <w:r w:rsidR="00E77D8B">
          <w:rPr>
            <w:webHidden/>
          </w:rPr>
          <w:tab/>
        </w:r>
        <w:r w:rsidR="00E77D8B">
          <w:rPr>
            <w:webHidden/>
          </w:rPr>
          <w:fldChar w:fldCharType="begin"/>
        </w:r>
        <w:r w:rsidR="00E77D8B">
          <w:rPr>
            <w:webHidden/>
          </w:rPr>
          <w:instrText xml:space="preserve"> PAGEREF _Toc452469884 \h </w:instrText>
        </w:r>
        <w:r w:rsidR="00E77D8B">
          <w:rPr>
            <w:webHidden/>
          </w:rPr>
        </w:r>
        <w:r w:rsidR="00E77D8B">
          <w:rPr>
            <w:webHidden/>
          </w:rPr>
          <w:fldChar w:fldCharType="separate"/>
        </w:r>
        <w:r w:rsidR="007D6A0E">
          <w:rPr>
            <w:webHidden/>
          </w:rPr>
          <w:t>74</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5" w:history="1">
        <w:r w:rsidR="00E77D8B" w:rsidRPr="00880ACA">
          <w:rPr>
            <w:rStyle w:val="Hypertextovprepojenie"/>
          </w:rPr>
          <w:t>3.3.5</w:t>
        </w:r>
        <w:r w:rsidR="00E77D8B">
          <w:rPr>
            <w:rFonts w:asciiTheme="minorHAnsi" w:eastAsiaTheme="minorEastAsia" w:hAnsiTheme="minorHAnsi" w:cstheme="minorBidi"/>
            <w:szCs w:val="22"/>
          </w:rPr>
          <w:tab/>
        </w:r>
        <w:r w:rsidR="00E77D8B" w:rsidRPr="00880ACA">
          <w:rPr>
            <w:rStyle w:val="Hypertextovprepojenie"/>
          </w:rPr>
          <w:t>Príspevok pri narodení dieťaťa</w:t>
        </w:r>
        <w:r w:rsidR="00E77D8B">
          <w:rPr>
            <w:webHidden/>
          </w:rPr>
          <w:tab/>
        </w:r>
        <w:r w:rsidR="00E77D8B">
          <w:rPr>
            <w:webHidden/>
          </w:rPr>
          <w:fldChar w:fldCharType="begin"/>
        </w:r>
        <w:r w:rsidR="00E77D8B">
          <w:rPr>
            <w:webHidden/>
          </w:rPr>
          <w:instrText xml:space="preserve"> PAGEREF _Toc452469885 \h </w:instrText>
        </w:r>
        <w:r w:rsidR="00E77D8B">
          <w:rPr>
            <w:webHidden/>
          </w:rPr>
        </w:r>
        <w:r w:rsidR="00E77D8B">
          <w:rPr>
            <w:webHidden/>
          </w:rPr>
          <w:fldChar w:fldCharType="separate"/>
        </w:r>
        <w:r w:rsidR="007D6A0E">
          <w:rPr>
            <w:webHidden/>
          </w:rPr>
          <w:t>75</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6" w:history="1">
        <w:r w:rsidR="00E77D8B" w:rsidRPr="00880ACA">
          <w:rPr>
            <w:rStyle w:val="Hypertextovprepojenie"/>
          </w:rPr>
          <w:t>3.3.6</w:t>
        </w:r>
        <w:r w:rsidR="00E77D8B">
          <w:rPr>
            <w:rFonts w:asciiTheme="minorHAnsi" w:eastAsiaTheme="minorEastAsia" w:hAnsiTheme="minorHAnsi" w:cstheme="minorBidi"/>
            <w:szCs w:val="22"/>
          </w:rPr>
          <w:tab/>
        </w:r>
        <w:r w:rsidR="00E77D8B" w:rsidRPr="00880ACA">
          <w:rPr>
            <w:rStyle w:val="Hypertextovprepojenie"/>
          </w:rPr>
          <w:t>Príspevok na viac súčasne narodených detí</w:t>
        </w:r>
        <w:r w:rsidR="00E77D8B">
          <w:rPr>
            <w:webHidden/>
          </w:rPr>
          <w:tab/>
        </w:r>
        <w:r w:rsidR="00E77D8B">
          <w:rPr>
            <w:webHidden/>
          </w:rPr>
          <w:fldChar w:fldCharType="begin"/>
        </w:r>
        <w:r w:rsidR="00E77D8B">
          <w:rPr>
            <w:webHidden/>
          </w:rPr>
          <w:instrText xml:space="preserve"> PAGEREF _Toc452469886 \h </w:instrText>
        </w:r>
        <w:r w:rsidR="00E77D8B">
          <w:rPr>
            <w:webHidden/>
          </w:rPr>
        </w:r>
        <w:r w:rsidR="00E77D8B">
          <w:rPr>
            <w:webHidden/>
          </w:rPr>
          <w:fldChar w:fldCharType="separate"/>
        </w:r>
        <w:r w:rsidR="007D6A0E">
          <w:rPr>
            <w:webHidden/>
          </w:rPr>
          <w:t>75</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7" w:history="1">
        <w:r w:rsidR="00E77D8B" w:rsidRPr="00880ACA">
          <w:rPr>
            <w:rStyle w:val="Hypertextovprepojenie"/>
          </w:rPr>
          <w:t>3.3.7</w:t>
        </w:r>
        <w:r w:rsidR="00E77D8B">
          <w:rPr>
            <w:rFonts w:asciiTheme="minorHAnsi" w:eastAsiaTheme="minorEastAsia" w:hAnsiTheme="minorHAnsi" w:cstheme="minorBidi"/>
            <w:szCs w:val="22"/>
          </w:rPr>
          <w:tab/>
        </w:r>
        <w:r w:rsidR="00E77D8B" w:rsidRPr="00880ACA">
          <w:rPr>
            <w:rStyle w:val="Hypertextovprepojenie"/>
          </w:rPr>
          <w:t>Príspevok na pohreb</w:t>
        </w:r>
        <w:r w:rsidR="00E77D8B">
          <w:rPr>
            <w:webHidden/>
          </w:rPr>
          <w:tab/>
        </w:r>
        <w:r w:rsidR="00E77D8B">
          <w:rPr>
            <w:webHidden/>
          </w:rPr>
          <w:fldChar w:fldCharType="begin"/>
        </w:r>
        <w:r w:rsidR="00E77D8B">
          <w:rPr>
            <w:webHidden/>
          </w:rPr>
          <w:instrText xml:space="preserve"> PAGEREF _Toc452469887 \h </w:instrText>
        </w:r>
        <w:r w:rsidR="00E77D8B">
          <w:rPr>
            <w:webHidden/>
          </w:rPr>
        </w:r>
        <w:r w:rsidR="00E77D8B">
          <w:rPr>
            <w:webHidden/>
          </w:rPr>
          <w:fldChar w:fldCharType="separate"/>
        </w:r>
        <w:r w:rsidR="007D6A0E">
          <w:rPr>
            <w:webHidden/>
          </w:rPr>
          <w:t>75</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88" w:history="1">
        <w:r w:rsidR="00E77D8B" w:rsidRPr="00880ACA">
          <w:rPr>
            <w:rStyle w:val="Hypertextovprepojenie"/>
          </w:rPr>
          <w:t>3.4</w:t>
        </w:r>
        <w:r w:rsidR="00E77D8B">
          <w:rPr>
            <w:rFonts w:asciiTheme="minorHAnsi" w:eastAsiaTheme="minorEastAsia" w:hAnsiTheme="minorHAnsi" w:cstheme="minorBidi"/>
            <w:szCs w:val="22"/>
          </w:rPr>
          <w:tab/>
        </w:r>
        <w:r w:rsidR="00E77D8B" w:rsidRPr="00880ACA">
          <w:rPr>
            <w:rStyle w:val="Hypertextovprepojenie"/>
          </w:rPr>
          <w:t>Sociálna pomoc</w:t>
        </w:r>
        <w:r w:rsidR="00E77D8B">
          <w:rPr>
            <w:webHidden/>
          </w:rPr>
          <w:tab/>
        </w:r>
        <w:r w:rsidR="00E77D8B">
          <w:rPr>
            <w:webHidden/>
          </w:rPr>
          <w:fldChar w:fldCharType="begin"/>
        </w:r>
        <w:r w:rsidR="00E77D8B">
          <w:rPr>
            <w:webHidden/>
          </w:rPr>
          <w:instrText xml:space="preserve"> PAGEREF _Toc452469888 \h </w:instrText>
        </w:r>
        <w:r w:rsidR="00E77D8B">
          <w:rPr>
            <w:webHidden/>
          </w:rPr>
        </w:r>
        <w:r w:rsidR="00E77D8B">
          <w:rPr>
            <w:webHidden/>
          </w:rPr>
          <w:fldChar w:fldCharType="separate"/>
        </w:r>
        <w:r w:rsidR="007D6A0E">
          <w:rPr>
            <w:webHidden/>
          </w:rPr>
          <w:t>77</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89" w:history="1">
        <w:r w:rsidR="00E77D8B" w:rsidRPr="00880ACA">
          <w:rPr>
            <w:rStyle w:val="Hypertextovprepojenie"/>
          </w:rPr>
          <w:t>3.4.1</w:t>
        </w:r>
        <w:r w:rsidR="00E77D8B">
          <w:rPr>
            <w:rFonts w:asciiTheme="minorHAnsi" w:eastAsiaTheme="minorEastAsia" w:hAnsiTheme="minorHAnsi" w:cstheme="minorBidi"/>
            <w:szCs w:val="22"/>
          </w:rPr>
          <w:tab/>
        </w:r>
        <w:r w:rsidR="00E77D8B" w:rsidRPr="00880ACA">
          <w:rPr>
            <w:rStyle w:val="Hypertextovprepojenie"/>
          </w:rPr>
          <w:t>Pomoc v hmotnej núdzi</w:t>
        </w:r>
        <w:r w:rsidR="00E77D8B">
          <w:rPr>
            <w:webHidden/>
          </w:rPr>
          <w:tab/>
        </w:r>
        <w:r w:rsidR="00E77D8B">
          <w:rPr>
            <w:webHidden/>
          </w:rPr>
          <w:fldChar w:fldCharType="begin"/>
        </w:r>
        <w:r w:rsidR="00E77D8B">
          <w:rPr>
            <w:webHidden/>
          </w:rPr>
          <w:instrText xml:space="preserve"> PAGEREF _Toc452469889 \h </w:instrText>
        </w:r>
        <w:r w:rsidR="00E77D8B">
          <w:rPr>
            <w:webHidden/>
          </w:rPr>
        </w:r>
        <w:r w:rsidR="00E77D8B">
          <w:rPr>
            <w:webHidden/>
          </w:rPr>
          <w:fldChar w:fldCharType="separate"/>
        </w:r>
        <w:r w:rsidR="007D6A0E">
          <w:rPr>
            <w:webHidden/>
          </w:rPr>
          <w:t>77</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0" w:history="1">
        <w:r w:rsidR="00E77D8B" w:rsidRPr="00880ACA">
          <w:rPr>
            <w:rStyle w:val="Hypertextovprepojenie"/>
          </w:rPr>
          <w:t>3.4.2</w:t>
        </w:r>
        <w:r w:rsidR="00E77D8B">
          <w:rPr>
            <w:rFonts w:asciiTheme="minorHAnsi" w:eastAsiaTheme="minorEastAsia" w:hAnsiTheme="minorHAnsi" w:cstheme="minorBidi"/>
            <w:szCs w:val="22"/>
          </w:rPr>
          <w:tab/>
        </w:r>
        <w:r w:rsidR="00E77D8B" w:rsidRPr="00880ACA">
          <w:rPr>
            <w:rStyle w:val="Hypertextovprepojenie"/>
          </w:rPr>
          <w:t>Dotácie pre dieťa v hmotnej núdzi</w:t>
        </w:r>
        <w:r w:rsidR="00E77D8B">
          <w:rPr>
            <w:webHidden/>
          </w:rPr>
          <w:tab/>
        </w:r>
        <w:r w:rsidR="00E77D8B">
          <w:rPr>
            <w:webHidden/>
          </w:rPr>
          <w:fldChar w:fldCharType="begin"/>
        </w:r>
        <w:r w:rsidR="00E77D8B">
          <w:rPr>
            <w:webHidden/>
          </w:rPr>
          <w:instrText xml:space="preserve"> PAGEREF _Toc452469890 \h </w:instrText>
        </w:r>
        <w:r w:rsidR="00E77D8B">
          <w:rPr>
            <w:webHidden/>
          </w:rPr>
        </w:r>
        <w:r w:rsidR="00E77D8B">
          <w:rPr>
            <w:webHidden/>
          </w:rPr>
          <w:fldChar w:fldCharType="separate"/>
        </w:r>
        <w:r w:rsidR="007D6A0E">
          <w:rPr>
            <w:webHidden/>
          </w:rPr>
          <w:t>82</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1" w:history="1">
        <w:r w:rsidR="00E77D8B" w:rsidRPr="00880ACA">
          <w:rPr>
            <w:rStyle w:val="Hypertextovprepojenie"/>
          </w:rPr>
          <w:t>3.4.3</w:t>
        </w:r>
        <w:r w:rsidR="00E77D8B">
          <w:rPr>
            <w:rFonts w:asciiTheme="minorHAnsi" w:eastAsiaTheme="minorEastAsia" w:hAnsiTheme="minorHAnsi" w:cstheme="minorBidi"/>
            <w:szCs w:val="22"/>
          </w:rPr>
          <w:tab/>
        </w:r>
        <w:r w:rsidR="00E77D8B" w:rsidRPr="00880ACA">
          <w:rPr>
            <w:rStyle w:val="Hypertextovprepojenie"/>
          </w:rPr>
          <w:t>Náhradné výživné</w:t>
        </w:r>
        <w:r w:rsidR="00E77D8B">
          <w:rPr>
            <w:webHidden/>
          </w:rPr>
          <w:tab/>
        </w:r>
        <w:r w:rsidR="00E77D8B">
          <w:rPr>
            <w:webHidden/>
          </w:rPr>
          <w:fldChar w:fldCharType="begin"/>
        </w:r>
        <w:r w:rsidR="00E77D8B">
          <w:rPr>
            <w:webHidden/>
          </w:rPr>
          <w:instrText xml:space="preserve"> PAGEREF _Toc452469891 \h </w:instrText>
        </w:r>
        <w:r w:rsidR="00E77D8B">
          <w:rPr>
            <w:webHidden/>
          </w:rPr>
        </w:r>
        <w:r w:rsidR="00E77D8B">
          <w:rPr>
            <w:webHidden/>
          </w:rPr>
          <w:fldChar w:fldCharType="separate"/>
        </w:r>
        <w:r w:rsidR="007D6A0E">
          <w:rPr>
            <w:webHidden/>
          </w:rPr>
          <w:t>84</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2" w:history="1">
        <w:r w:rsidR="00E77D8B" w:rsidRPr="00880ACA">
          <w:rPr>
            <w:rStyle w:val="Hypertextovprepojenie"/>
          </w:rPr>
          <w:t>3.4.4</w:t>
        </w:r>
        <w:r w:rsidR="00E77D8B">
          <w:rPr>
            <w:rFonts w:asciiTheme="minorHAnsi" w:eastAsiaTheme="minorEastAsia" w:hAnsiTheme="minorHAnsi" w:cstheme="minorBidi"/>
            <w:szCs w:val="22"/>
          </w:rPr>
          <w:tab/>
        </w:r>
        <w:r w:rsidR="00E77D8B" w:rsidRPr="00880ACA">
          <w:rPr>
            <w:rStyle w:val="Hypertextovprepojenie"/>
          </w:rPr>
          <w:t>Sociálnoprávna ochrana detí a sociálna kuratela</w:t>
        </w:r>
        <w:r w:rsidR="00E77D8B">
          <w:rPr>
            <w:webHidden/>
          </w:rPr>
          <w:tab/>
        </w:r>
        <w:r w:rsidR="00E77D8B">
          <w:rPr>
            <w:webHidden/>
          </w:rPr>
          <w:fldChar w:fldCharType="begin"/>
        </w:r>
        <w:r w:rsidR="00E77D8B">
          <w:rPr>
            <w:webHidden/>
          </w:rPr>
          <w:instrText xml:space="preserve"> PAGEREF _Toc452469892 \h </w:instrText>
        </w:r>
        <w:r w:rsidR="00E77D8B">
          <w:rPr>
            <w:webHidden/>
          </w:rPr>
        </w:r>
        <w:r w:rsidR="00E77D8B">
          <w:rPr>
            <w:webHidden/>
          </w:rPr>
          <w:fldChar w:fldCharType="separate"/>
        </w:r>
        <w:r w:rsidR="007D6A0E">
          <w:rPr>
            <w:webHidden/>
          </w:rPr>
          <w:t>85</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3" w:history="1">
        <w:r w:rsidR="00E77D8B" w:rsidRPr="00880ACA">
          <w:rPr>
            <w:rStyle w:val="Hypertextovprepojenie"/>
          </w:rPr>
          <w:t>3.4.5</w:t>
        </w:r>
        <w:r w:rsidR="00E77D8B">
          <w:rPr>
            <w:rFonts w:asciiTheme="minorHAnsi" w:eastAsiaTheme="minorEastAsia" w:hAnsiTheme="minorHAnsi" w:cstheme="minorBidi"/>
            <w:szCs w:val="22"/>
          </w:rPr>
          <w:tab/>
        </w:r>
        <w:r w:rsidR="00E77D8B" w:rsidRPr="00880ACA">
          <w:rPr>
            <w:rStyle w:val="Hypertextovprepojenie"/>
          </w:rPr>
          <w:t>Príspevky na podporu náhradnej starostlivosti</w:t>
        </w:r>
        <w:r w:rsidR="00E77D8B">
          <w:rPr>
            <w:webHidden/>
          </w:rPr>
          <w:tab/>
        </w:r>
        <w:r w:rsidR="00E77D8B">
          <w:rPr>
            <w:webHidden/>
          </w:rPr>
          <w:fldChar w:fldCharType="begin"/>
        </w:r>
        <w:r w:rsidR="00E77D8B">
          <w:rPr>
            <w:webHidden/>
          </w:rPr>
          <w:instrText xml:space="preserve"> PAGEREF _Toc452469893 \h </w:instrText>
        </w:r>
        <w:r w:rsidR="00E77D8B">
          <w:rPr>
            <w:webHidden/>
          </w:rPr>
        </w:r>
        <w:r w:rsidR="00E77D8B">
          <w:rPr>
            <w:webHidden/>
          </w:rPr>
          <w:fldChar w:fldCharType="separate"/>
        </w:r>
        <w:r w:rsidR="007D6A0E">
          <w:rPr>
            <w:webHidden/>
          </w:rPr>
          <w:t>88</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4" w:history="1">
        <w:r w:rsidR="00E77D8B" w:rsidRPr="00880ACA">
          <w:rPr>
            <w:rStyle w:val="Hypertextovprepojenie"/>
          </w:rPr>
          <w:t>3.4.6</w:t>
        </w:r>
        <w:r w:rsidR="00E77D8B">
          <w:rPr>
            <w:rFonts w:asciiTheme="minorHAnsi" w:eastAsiaTheme="minorEastAsia" w:hAnsiTheme="minorHAnsi" w:cstheme="minorBidi"/>
            <w:szCs w:val="22"/>
          </w:rPr>
          <w:tab/>
        </w:r>
        <w:r w:rsidR="00E77D8B" w:rsidRPr="00880ACA">
          <w:rPr>
            <w:rStyle w:val="Hypertextovprepojenie"/>
          </w:rPr>
          <w:t>Kompenzácia sociálnych dôsledkov ťažkého zdravotného postihnutia</w:t>
        </w:r>
        <w:r w:rsidR="00E77D8B">
          <w:rPr>
            <w:webHidden/>
          </w:rPr>
          <w:tab/>
        </w:r>
        <w:r w:rsidR="00E77D8B">
          <w:rPr>
            <w:webHidden/>
          </w:rPr>
          <w:fldChar w:fldCharType="begin"/>
        </w:r>
        <w:r w:rsidR="00E77D8B">
          <w:rPr>
            <w:webHidden/>
          </w:rPr>
          <w:instrText xml:space="preserve"> PAGEREF _Toc452469894 \h </w:instrText>
        </w:r>
        <w:r w:rsidR="00E77D8B">
          <w:rPr>
            <w:webHidden/>
          </w:rPr>
        </w:r>
        <w:r w:rsidR="00E77D8B">
          <w:rPr>
            <w:webHidden/>
          </w:rPr>
          <w:fldChar w:fldCharType="separate"/>
        </w:r>
        <w:r w:rsidR="007D6A0E">
          <w:rPr>
            <w:webHidden/>
          </w:rPr>
          <w:t>90</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5" w:history="1">
        <w:r w:rsidR="00E77D8B" w:rsidRPr="00880ACA">
          <w:rPr>
            <w:rStyle w:val="Hypertextovprepojenie"/>
          </w:rPr>
          <w:t>3.4.7</w:t>
        </w:r>
        <w:r w:rsidR="00E77D8B">
          <w:rPr>
            <w:rFonts w:asciiTheme="minorHAnsi" w:eastAsiaTheme="minorEastAsia" w:hAnsiTheme="minorHAnsi" w:cstheme="minorBidi"/>
            <w:szCs w:val="22"/>
          </w:rPr>
          <w:tab/>
        </w:r>
        <w:r w:rsidR="00E77D8B" w:rsidRPr="00880ACA">
          <w:rPr>
            <w:rStyle w:val="Hypertextovprepojenie"/>
          </w:rPr>
          <w:t>Sociálne služby</w:t>
        </w:r>
        <w:r w:rsidR="00E77D8B">
          <w:rPr>
            <w:webHidden/>
          </w:rPr>
          <w:tab/>
        </w:r>
        <w:r w:rsidR="00E77D8B">
          <w:rPr>
            <w:webHidden/>
          </w:rPr>
          <w:fldChar w:fldCharType="begin"/>
        </w:r>
        <w:r w:rsidR="00E77D8B">
          <w:rPr>
            <w:webHidden/>
          </w:rPr>
          <w:instrText xml:space="preserve"> PAGEREF _Toc452469895 \h </w:instrText>
        </w:r>
        <w:r w:rsidR="00E77D8B">
          <w:rPr>
            <w:webHidden/>
          </w:rPr>
        </w:r>
        <w:r w:rsidR="00E77D8B">
          <w:rPr>
            <w:webHidden/>
          </w:rPr>
          <w:fldChar w:fldCharType="separate"/>
        </w:r>
        <w:r w:rsidR="007D6A0E">
          <w:rPr>
            <w:webHidden/>
          </w:rPr>
          <w:t>98</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6" w:history="1">
        <w:r w:rsidR="00E77D8B" w:rsidRPr="00880ACA">
          <w:rPr>
            <w:rStyle w:val="Hypertextovprepojenie"/>
          </w:rPr>
          <w:t>3.4.8</w:t>
        </w:r>
        <w:r w:rsidR="00E77D8B">
          <w:rPr>
            <w:rFonts w:asciiTheme="minorHAnsi" w:eastAsiaTheme="minorEastAsia" w:hAnsiTheme="minorHAnsi" w:cstheme="minorBidi"/>
            <w:szCs w:val="22"/>
          </w:rPr>
          <w:tab/>
        </w:r>
        <w:r w:rsidR="00E77D8B" w:rsidRPr="00880ACA">
          <w:rPr>
            <w:rStyle w:val="Hypertextovprepojenie"/>
          </w:rPr>
          <w:t>Dotácie na podporu rozvoja sociálnej oblasti v pôsobnosti MPSVR</w:t>
        </w:r>
        <w:r w:rsidR="00D5029C">
          <w:rPr>
            <w:rStyle w:val="Hypertextovprepojenie"/>
          </w:rPr>
          <w:t> </w:t>
        </w:r>
        <w:r w:rsidR="00E77D8B" w:rsidRPr="00880ACA">
          <w:rPr>
            <w:rStyle w:val="Hypertextovprepojenie"/>
          </w:rPr>
          <w:t>SR</w:t>
        </w:r>
        <w:r w:rsidR="00E77D8B">
          <w:rPr>
            <w:webHidden/>
          </w:rPr>
          <w:tab/>
        </w:r>
        <w:r w:rsidR="00E77D8B">
          <w:rPr>
            <w:webHidden/>
          </w:rPr>
          <w:fldChar w:fldCharType="begin"/>
        </w:r>
        <w:r w:rsidR="00E77D8B">
          <w:rPr>
            <w:webHidden/>
          </w:rPr>
          <w:instrText xml:space="preserve"> PAGEREF _Toc452469896 \h </w:instrText>
        </w:r>
        <w:r w:rsidR="00E77D8B">
          <w:rPr>
            <w:webHidden/>
          </w:rPr>
        </w:r>
        <w:r w:rsidR="00E77D8B">
          <w:rPr>
            <w:webHidden/>
          </w:rPr>
          <w:fldChar w:fldCharType="separate"/>
        </w:r>
        <w:r w:rsidR="007D6A0E">
          <w:rPr>
            <w:webHidden/>
          </w:rPr>
          <w:t>109</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7" w:history="1">
        <w:r w:rsidR="00E77D8B" w:rsidRPr="00880ACA">
          <w:rPr>
            <w:rStyle w:val="Hypertextovprepojenie"/>
          </w:rPr>
          <w:t>3.4.9</w:t>
        </w:r>
        <w:r w:rsidR="00E77D8B">
          <w:rPr>
            <w:rFonts w:asciiTheme="minorHAnsi" w:eastAsiaTheme="minorEastAsia" w:hAnsiTheme="minorHAnsi" w:cstheme="minorBidi"/>
            <w:szCs w:val="22"/>
          </w:rPr>
          <w:tab/>
        </w:r>
        <w:r w:rsidR="00E77D8B" w:rsidRPr="00880ACA">
          <w:rPr>
            <w:rStyle w:val="Hypertextovprepojenie"/>
          </w:rPr>
          <w:t>Európsky integrovaný systém štatistiky sociálnej ochrany (Metodika</w:t>
        </w:r>
        <w:r w:rsidR="00D5029C">
          <w:rPr>
            <w:rStyle w:val="Hypertextovprepojenie"/>
          </w:rPr>
          <w:t> </w:t>
        </w:r>
        <w:r w:rsidR="00E77D8B" w:rsidRPr="00880ACA">
          <w:rPr>
            <w:rStyle w:val="Hypertextovprepojenie"/>
          </w:rPr>
          <w:t>ESSPROS)</w:t>
        </w:r>
        <w:r w:rsidR="00E77D8B">
          <w:rPr>
            <w:webHidden/>
          </w:rPr>
          <w:tab/>
        </w:r>
        <w:r w:rsidR="00E77D8B">
          <w:rPr>
            <w:webHidden/>
          </w:rPr>
          <w:fldChar w:fldCharType="begin"/>
        </w:r>
        <w:r w:rsidR="00E77D8B">
          <w:rPr>
            <w:webHidden/>
          </w:rPr>
          <w:instrText xml:space="preserve"> PAGEREF _Toc452469897 \h </w:instrText>
        </w:r>
        <w:r w:rsidR="00E77D8B">
          <w:rPr>
            <w:webHidden/>
          </w:rPr>
        </w:r>
        <w:r w:rsidR="00E77D8B">
          <w:rPr>
            <w:webHidden/>
          </w:rPr>
          <w:fldChar w:fldCharType="separate"/>
        </w:r>
        <w:r w:rsidR="007D6A0E">
          <w:rPr>
            <w:webHidden/>
          </w:rPr>
          <w:t>110</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898" w:history="1">
        <w:r w:rsidR="00E77D8B" w:rsidRPr="00880ACA">
          <w:rPr>
            <w:rStyle w:val="Hypertextovprepojenie"/>
          </w:rPr>
          <w:t>3.5</w:t>
        </w:r>
        <w:r w:rsidR="00E77D8B">
          <w:rPr>
            <w:rFonts w:asciiTheme="minorHAnsi" w:eastAsiaTheme="minorEastAsia" w:hAnsiTheme="minorHAnsi" w:cstheme="minorBidi"/>
            <w:szCs w:val="22"/>
          </w:rPr>
          <w:tab/>
        </w:r>
        <w:r w:rsidR="00E77D8B" w:rsidRPr="00880ACA">
          <w:rPr>
            <w:rStyle w:val="Hypertextovprepojenie"/>
          </w:rPr>
          <w:t>Európsky sociálny fond</w:t>
        </w:r>
        <w:r w:rsidR="00E77D8B">
          <w:rPr>
            <w:webHidden/>
          </w:rPr>
          <w:tab/>
        </w:r>
        <w:r w:rsidR="00E77D8B">
          <w:rPr>
            <w:webHidden/>
          </w:rPr>
          <w:fldChar w:fldCharType="begin"/>
        </w:r>
        <w:r w:rsidR="00E77D8B">
          <w:rPr>
            <w:webHidden/>
          </w:rPr>
          <w:instrText xml:space="preserve"> PAGEREF _Toc452469898 \h </w:instrText>
        </w:r>
        <w:r w:rsidR="00E77D8B">
          <w:rPr>
            <w:webHidden/>
          </w:rPr>
        </w:r>
        <w:r w:rsidR="00E77D8B">
          <w:rPr>
            <w:webHidden/>
          </w:rPr>
          <w:fldChar w:fldCharType="separate"/>
        </w:r>
        <w:r w:rsidR="007D6A0E">
          <w:rPr>
            <w:webHidden/>
          </w:rPr>
          <w:t>114</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899" w:history="1">
        <w:r w:rsidR="00E77D8B" w:rsidRPr="00880ACA">
          <w:rPr>
            <w:rStyle w:val="Hypertextovprepojenie"/>
          </w:rPr>
          <w:t>3.5.1</w:t>
        </w:r>
        <w:r w:rsidR="00E77D8B">
          <w:rPr>
            <w:rFonts w:asciiTheme="minorHAnsi" w:eastAsiaTheme="minorEastAsia" w:hAnsiTheme="minorHAnsi" w:cstheme="minorBidi"/>
            <w:szCs w:val="22"/>
          </w:rPr>
          <w:tab/>
        </w:r>
        <w:r w:rsidR="00E77D8B" w:rsidRPr="00880ACA">
          <w:rPr>
            <w:rStyle w:val="Hypertextovprepojenie"/>
          </w:rPr>
          <w:t>Operačný program Zamestnanosť a sociálna inklúzia</w:t>
        </w:r>
        <w:r w:rsidR="00E77D8B">
          <w:rPr>
            <w:webHidden/>
          </w:rPr>
          <w:tab/>
        </w:r>
        <w:r w:rsidR="00E77D8B">
          <w:rPr>
            <w:webHidden/>
          </w:rPr>
          <w:fldChar w:fldCharType="begin"/>
        </w:r>
        <w:r w:rsidR="00E77D8B">
          <w:rPr>
            <w:webHidden/>
          </w:rPr>
          <w:instrText xml:space="preserve"> PAGEREF _Toc452469899 \h </w:instrText>
        </w:r>
        <w:r w:rsidR="00E77D8B">
          <w:rPr>
            <w:webHidden/>
          </w:rPr>
        </w:r>
        <w:r w:rsidR="00E77D8B">
          <w:rPr>
            <w:webHidden/>
          </w:rPr>
          <w:fldChar w:fldCharType="separate"/>
        </w:r>
        <w:r w:rsidR="007D6A0E">
          <w:rPr>
            <w:webHidden/>
          </w:rPr>
          <w:t>114</w:t>
        </w:r>
        <w:r w:rsidR="00E77D8B">
          <w:rPr>
            <w:webHidden/>
          </w:rPr>
          <w:fldChar w:fldCharType="end"/>
        </w:r>
      </w:hyperlink>
    </w:p>
    <w:p w:rsidR="00E77D8B" w:rsidRDefault="00DC777B">
      <w:pPr>
        <w:pStyle w:val="Obsah6"/>
        <w:rPr>
          <w:rFonts w:asciiTheme="minorHAnsi" w:eastAsiaTheme="minorEastAsia" w:hAnsiTheme="minorHAnsi" w:cstheme="minorBidi"/>
          <w:szCs w:val="22"/>
        </w:rPr>
      </w:pPr>
      <w:hyperlink w:anchor="_Toc452469900" w:history="1">
        <w:r w:rsidR="00E77D8B" w:rsidRPr="00880ACA">
          <w:rPr>
            <w:rStyle w:val="Hypertextovprepojenie"/>
          </w:rPr>
          <w:t>3.5.2</w:t>
        </w:r>
        <w:r w:rsidR="00E77D8B">
          <w:rPr>
            <w:rFonts w:asciiTheme="minorHAnsi" w:eastAsiaTheme="minorEastAsia" w:hAnsiTheme="minorHAnsi" w:cstheme="minorBidi"/>
            <w:szCs w:val="22"/>
          </w:rPr>
          <w:tab/>
        </w:r>
        <w:r w:rsidR="00E77D8B" w:rsidRPr="00880ACA">
          <w:rPr>
            <w:rStyle w:val="Hypertextovprepojenie"/>
          </w:rPr>
          <w:t>Operačný program Ľudské zdroje</w:t>
        </w:r>
        <w:r w:rsidR="00E77D8B">
          <w:rPr>
            <w:webHidden/>
          </w:rPr>
          <w:tab/>
        </w:r>
        <w:r w:rsidR="00E77D8B">
          <w:rPr>
            <w:webHidden/>
          </w:rPr>
          <w:fldChar w:fldCharType="begin"/>
        </w:r>
        <w:r w:rsidR="00E77D8B">
          <w:rPr>
            <w:webHidden/>
          </w:rPr>
          <w:instrText xml:space="preserve"> PAGEREF _Toc452469900 \h </w:instrText>
        </w:r>
        <w:r w:rsidR="00E77D8B">
          <w:rPr>
            <w:webHidden/>
          </w:rPr>
        </w:r>
        <w:r w:rsidR="00E77D8B">
          <w:rPr>
            <w:webHidden/>
          </w:rPr>
          <w:fldChar w:fldCharType="separate"/>
        </w:r>
        <w:r w:rsidR="007D6A0E">
          <w:rPr>
            <w:webHidden/>
          </w:rPr>
          <w:t>118</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901" w:history="1">
        <w:r w:rsidR="00E77D8B" w:rsidRPr="00880ACA">
          <w:rPr>
            <w:rStyle w:val="Hypertextovprepojenie"/>
          </w:rPr>
          <w:t>4</w:t>
        </w:r>
        <w:r w:rsidR="00E77D8B">
          <w:rPr>
            <w:rFonts w:asciiTheme="minorHAnsi" w:eastAsiaTheme="minorEastAsia" w:hAnsiTheme="minorHAnsi" w:cstheme="minorBidi"/>
            <w:b w:val="0"/>
            <w:color w:val="auto"/>
            <w:szCs w:val="22"/>
          </w:rPr>
          <w:tab/>
        </w:r>
        <w:r w:rsidR="00E77D8B" w:rsidRPr="00880ACA">
          <w:rPr>
            <w:rStyle w:val="Hypertextovprepojenie"/>
          </w:rPr>
          <w:t>ŽIVOTNÁ ÚROVEŇ A SOCIÁLNA KOHÉZIA</w:t>
        </w:r>
        <w:r w:rsidR="00E77D8B">
          <w:rPr>
            <w:webHidden/>
          </w:rPr>
          <w:tab/>
        </w:r>
        <w:r w:rsidR="00E77D8B">
          <w:rPr>
            <w:webHidden/>
          </w:rPr>
          <w:fldChar w:fldCharType="begin"/>
        </w:r>
        <w:r w:rsidR="00E77D8B">
          <w:rPr>
            <w:webHidden/>
          </w:rPr>
          <w:instrText xml:space="preserve"> PAGEREF _Toc452469901 \h </w:instrText>
        </w:r>
        <w:r w:rsidR="00E77D8B">
          <w:rPr>
            <w:webHidden/>
          </w:rPr>
        </w:r>
        <w:r w:rsidR="00E77D8B">
          <w:rPr>
            <w:webHidden/>
          </w:rPr>
          <w:fldChar w:fldCharType="separate"/>
        </w:r>
        <w:r w:rsidR="007D6A0E">
          <w:rPr>
            <w:webHidden/>
          </w:rPr>
          <w:t>121</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902" w:history="1">
        <w:r w:rsidR="00E77D8B" w:rsidRPr="00880ACA">
          <w:rPr>
            <w:rStyle w:val="Hypertextovprepojenie"/>
          </w:rPr>
          <w:t>4.1</w:t>
        </w:r>
        <w:r w:rsidR="00E77D8B">
          <w:rPr>
            <w:rFonts w:asciiTheme="minorHAnsi" w:eastAsiaTheme="minorEastAsia" w:hAnsiTheme="minorHAnsi" w:cstheme="minorBidi"/>
            <w:szCs w:val="22"/>
          </w:rPr>
          <w:tab/>
        </w:r>
        <w:r w:rsidR="00E77D8B" w:rsidRPr="00880ACA">
          <w:rPr>
            <w:rStyle w:val="Hypertextovprepojenie"/>
          </w:rPr>
          <w:t>Chudoba a sociálne vylúčenie</w:t>
        </w:r>
        <w:r w:rsidR="00E77D8B">
          <w:rPr>
            <w:webHidden/>
          </w:rPr>
          <w:tab/>
        </w:r>
        <w:r w:rsidR="00E77D8B">
          <w:rPr>
            <w:webHidden/>
          </w:rPr>
          <w:fldChar w:fldCharType="begin"/>
        </w:r>
        <w:r w:rsidR="00E77D8B">
          <w:rPr>
            <w:webHidden/>
          </w:rPr>
          <w:instrText xml:space="preserve"> PAGEREF _Toc452469902 \h </w:instrText>
        </w:r>
        <w:r w:rsidR="00E77D8B">
          <w:rPr>
            <w:webHidden/>
          </w:rPr>
        </w:r>
        <w:r w:rsidR="00E77D8B">
          <w:rPr>
            <w:webHidden/>
          </w:rPr>
          <w:fldChar w:fldCharType="separate"/>
        </w:r>
        <w:r w:rsidR="007D6A0E">
          <w:rPr>
            <w:webHidden/>
          </w:rPr>
          <w:t>121</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903" w:history="1">
        <w:r w:rsidR="00E77D8B" w:rsidRPr="00880ACA">
          <w:rPr>
            <w:rStyle w:val="Hypertextovprepojenie"/>
          </w:rPr>
          <w:t>4.2</w:t>
        </w:r>
        <w:r w:rsidR="00E77D8B">
          <w:rPr>
            <w:rFonts w:asciiTheme="minorHAnsi" w:eastAsiaTheme="minorEastAsia" w:hAnsiTheme="minorHAnsi" w:cstheme="minorBidi"/>
            <w:szCs w:val="22"/>
          </w:rPr>
          <w:tab/>
        </w:r>
        <w:r w:rsidR="00E77D8B" w:rsidRPr="00880ACA">
          <w:rPr>
            <w:rStyle w:val="Hypertextovprepojenie"/>
          </w:rPr>
          <w:t>Rodová rovnosť a rovnosť príležitostí</w:t>
        </w:r>
        <w:r w:rsidR="00E77D8B">
          <w:rPr>
            <w:webHidden/>
          </w:rPr>
          <w:tab/>
        </w:r>
        <w:r w:rsidR="00E77D8B">
          <w:rPr>
            <w:webHidden/>
          </w:rPr>
          <w:fldChar w:fldCharType="begin"/>
        </w:r>
        <w:r w:rsidR="00E77D8B">
          <w:rPr>
            <w:webHidden/>
          </w:rPr>
          <w:instrText xml:space="preserve"> PAGEREF _Toc452469903 \h </w:instrText>
        </w:r>
        <w:r w:rsidR="00E77D8B">
          <w:rPr>
            <w:webHidden/>
          </w:rPr>
        </w:r>
        <w:r w:rsidR="00E77D8B">
          <w:rPr>
            <w:webHidden/>
          </w:rPr>
          <w:fldChar w:fldCharType="separate"/>
        </w:r>
        <w:r w:rsidR="007D6A0E">
          <w:rPr>
            <w:webHidden/>
          </w:rPr>
          <w:t>128</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904" w:history="1">
        <w:r w:rsidR="00E77D8B" w:rsidRPr="00880ACA">
          <w:rPr>
            <w:rStyle w:val="Hypertextovprepojenie"/>
          </w:rPr>
          <w:t>5</w:t>
        </w:r>
        <w:r w:rsidR="00E77D8B">
          <w:rPr>
            <w:rFonts w:asciiTheme="minorHAnsi" w:eastAsiaTheme="minorEastAsia" w:hAnsiTheme="minorHAnsi" w:cstheme="minorBidi"/>
            <w:b w:val="0"/>
            <w:color w:val="auto"/>
            <w:szCs w:val="22"/>
          </w:rPr>
          <w:tab/>
        </w:r>
        <w:r w:rsidR="00E77D8B" w:rsidRPr="00880ACA">
          <w:rPr>
            <w:rStyle w:val="Hypertextovprepojenie"/>
          </w:rPr>
          <w:t>POROVNANIE VYBRANÝCH UKAZOVATEĽOV MEDZI KRAJINAMI EÚ V KONTEXTE STRATÉGIE EURÓPA 2020</w:t>
        </w:r>
        <w:r w:rsidR="00E77D8B">
          <w:rPr>
            <w:webHidden/>
          </w:rPr>
          <w:tab/>
        </w:r>
        <w:r w:rsidR="00E77D8B">
          <w:rPr>
            <w:webHidden/>
          </w:rPr>
          <w:fldChar w:fldCharType="begin"/>
        </w:r>
        <w:r w:rsidR="00E77D8B">
          <w:rPr>
            <w:webHidden/>
          </w:rPr>
          <w:instrText xml:space="preserve"> PAGEREF _Toc452469904 \h </w:instrText>
        </w:r>
        <w:r w:rsidR="00E77D8B">
          <w:rPr>
            <w:webHidden/>
          </w:rPr>
        </w:r>
        <w:r w:rsidR="00E77D8B">
          <w:rPr>
            <w:webHidden/>
          </w:rPr>
          <w:fldChar w:fldCharType="separate"/>
        </w:r>
        <w:r w:rsidR="007D6A0E">
          <w:rPr>
            <w:webHidden/>
          </w:rPr>
          <w:t>133</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905" w:history="1">
        <w:r w:rsidR="00E77D8B" w:rsidRPr="00880ACA">
          <w:rPr>
            <w:rStyle w:val="Hypertextovprepojenie"/>
          </w:rPr>
          <w:t>Makroekonomické prostredie</w:t>
        </w:r>
        <w:r w:rsidR="00E77D8B">
          <w:rPr>
            <w:webHidden/>
          </w:rPr>
          <w:tab/>
        </w:r>
        <w:r w:rsidR="00E77D8B">
          <w:rPr>
            <w:webHidden/>
          </w:rPr>
          <w:fldChar w:fldCharType="begin"/>
        </w:r>
        <w:r w:rsidR="00E77D8B">
          <w:rPr>
            <w:webHidden/>
          </w:rPr>
          <w:instrText xml:space="preserve"> PAGEREF _Toc452469905 \h </w:instrText>
        </w:r>
        <w:r w:rsidR="00E77D8B">
          <w:rPr>
            <w:webHidden/>
          </w:rPr>
        </w:r>
        <w:r w:rsidR="00E77D8B">
          <w:rPr>
            <w:webHidden/>
          </w:rPr>
          <w:fldChar w:fldCharType="separate"/>
        </w:r>
        <w:r w:rsidR="007D6A0E">
          <w:rPr>
            <w:webHidden/>
          </w:rPr>
          <w:t>133</w:t>
        </w:r>
        <w:r w:rsidR="00E77D8B">
          <w:rPr>
            <w:webHidden/>
          </w:rPr>
          <w:fldChar w:fldCharType="end"/>
        </w:r>
      </w:hyperlink>
    </w:p>
    <w:p w:rsidR="00E77D8B" w:rsidRDefault="00DC777B">
      <w:pPr>
        <w:pStyle w:val="Obsah5"/>
        <w:rPr>
          <w:rFonts w:asciiTheme="minorHAnsi" w:eastAsiaTheme="minorEastAsia" w:hAnsiTheme="minorHAnsi" w:cstheme="minorBidi"/>
          <w:szCs w:val="22"/>
        </w:rPr>
      </w:pPr>
      <w:hyperlink w:anchor="_Toc452469906" w:history="1">
        <w:r w:rsidR="00E77D8B" w:rsidRPr="00880ACA">
          <w:rPr>
            <w:rStyle w:val="Hypertextovprepojenie"/>
          </w:rPr>
          <w:t>Inteligentný a inkluzívny rast</w:t>
        </w:r>
        <w:r w:rsidR="00E77D8B">
          <w:rPr>
            <w:webHidden/>
          </w:rPr>
          <w:tab/>
        </w:r>
        <w:r w:rsidR="00E77D8B">
          <w:rPr>
            <w:webHidden/>
          </w:rPr>
          <w:fldChar w:fldCharType="begin"/>
        </w:r>
        <w:r w:rsidR="00E77D8B">
          <w:rPr>
            <w:webHidden/>
          </w:rPr>
          <w:instrText xml:space="preserve"> PAGEREF _Toc452469906 \h </w:instrText>
        </w:r>
        <w:r w:rsidR="00E77D8B">
          <w:rPr>
            <w:webHidden/>
          </w:rPr>
        </w:r>
        <w:r w:rsidR="00E77D8B">
          <w:rPr>
            <w:webHidden/>
          </w:rPr>
          <w:fldChar w:fldCharType="separate"/>
        </w:r>
        <w:r w:rsidR="007D6A0E">
          <w:rPr>
            <w:webHidden/>
          </w:rPr>
          <w:t>134</w:t>
        </w:r>
        <w:r w:rsidR="00E77D8B">
          <w:rPr>
            <w:webHidden/>
          </w:rPr>
          <w:fldChar w:fldCharType="end"/>
        </w:r>
      </w:hyperlink>
    </w:p>
    <w:p w:rsidR="00E77D8B" w:rsidRDefault="00DC777B">
      <w:pPr>
        <w:pStyle w:val="Obsah1"/>
        <w:rPr>
          <w:rFonts w:asciiTheme="minorHAnsi" w:eastAsiaTheme="minorEastAsia" w:hAnsiTheme="minorHAnsi" w:cstheme="minorBidi"/>
          <w:b w:val="0"/>
          <w:color w:val="auto"/>
          <w:szCs w:val="22"/>
        </w:rPr>
      </w:pPr>
      <w:hyperlink w:anchor="_Toc452469907" w:history="1">
        <w:r w:rsidR="00E77D8B" w:rsidRPr="00880ACA">
          <w:rPr>
            <w:rStyle w:val="Hypertextovprepojenie"/>
          </w:rPr>
          <w:t>Zoznam príloh</w:t>
        </w:r>
        <w:r w:rsidR="00E77D8B">
          <w:rPr>
            <w:webHidden/>
          </w:rPr>
          <w:tab/>
        </w:r>
        <w:r w:rsidR="00E77D8B">
          <w:rPr>
            <w:webHidden/>
          </w:rPr>
          <w:fldChar w:fldCharType="begin"/>
        </w:r>
        <w:r w:rsidR="00E77D8B">
          <w:rPr>
            <w:webHidden/>
          </w:rPr>
          <w:instrText xml:space="preserve"> PAGEREF _Toc452469907 \h </w:instrText>
        </w:r>
        <w:r w:rsidR="00E77D8B">
          <w:rPr>
            <w:webHidden/>
          </w:rPr>
        </w:r>
        <w:r w:rsidR="00E77D8B">
          <w:rPr>
            <w:webHidden/>
          </w:rPr>
          <w:fldChar w:fldCharType="separate"/>
        </w:r>
        <w:r w:rsidR="007D6A0E">
          <w:rPr>
            <w:webHidden/>
          </w:rPr>
          <w:t>141</w:t>
        </w:r>
        <w:r w:rsidR="00E77D8B">
          <w:rPr>
            <w:webHidden/>
          </w:rPr>
          <w:fldChar w:fldCharType="end"/>
        </w:r>
      </w:hyperlink>
    </w:p>
    <w:p w:rsidR="002625B2" w:rsidRPr="00AE6EDB" w:rsidRDefault="00FD7905" w:rsidP="00237087">
      <w:pPr>
        <w:rPr>
          <w:highlight w:val="cyan"/>
        </w:rPr>
      </w:pPr>
      <w:r w:rsidRPr="00AE6EDB">
        <w:rPr>
          <w:highlight w:val="cyan"/>
        </w:rPr>
        <w:fldChar w:fldCharType="end"/>
      </w:r>
    </w:p>
    <w:p w:rsidR="002625B2" w:rsidRPr="00AE6EDB" w:rsidRDefault="002625B2" w:rsidP="002625B2">
      <w:pPr>
        <w:jc w:val="left"/>
        <w:rPr>
          <w:highlight w:val="cyan"/>
        </w:rPr>
      </w:pPr>
      <w:r w:rsidRPr="00AE6EDB">
        <w:rPr>
          <w:b/>
          <w:bCs/>
          <w:caps/>
          <w:highlight w:val="cyan"/>
        </w:rPr>
        <w:br w:type="page"/>
      </w:r>
    </w:p>
    <w:p w:rsidR="002625B2" w:rsidRPr="003E5368" w:rsidRDefault="002625B2" w:rsidP="002625B2">
      <w:pPr>
        <w:pStyle w:val="Nadpis1"/>
        <w:numPr>
          <w:ilvl w:val="0"/>
          <w:numId w:val="0"/>
        </w:numPr>
      </w:pPr>
      <w:bookmarkStart w:id="59" w:name="_Toc452469854"/>
      <w:bookmarkEnd w:id="49"/>
      <w:bookmarkEnd w:id="50"/>
      <w:bookmarkEnd w:id="51"/>
      <w:bookmarkEnd w:id="52"/>
      <w:bookmarkEnd w:id="53"/>
      <w:bookmarkEnd w:id="54"/>
      <w:bookmarkEnd w:id="55"/>
      <w:bookmarkEnd w:id="56"/>
      <w:bookmarkEnd w:id="57"/>
      <w:bookmarkEnd w:id="58"/>
      <w:r w:rsidRPr="003E5368">
        <w:lastRenderedPageBreak/>
        <w:t>Zoznam skratiek</w:t>
      </w:r>
      <w:bookmarkEnd w:id="59"/>
    </w:p>
    <w:p w:rsidR="00AB44F0" w:rsidRPr="00AE6EDB" w:rsidRDefault="00AB44F0" w:rsidP="002625B2">
      <w:pPr>
        <w:jc w:val="left"/>
        <w:rPr>
          <w:color w:val="000000" w:themeColor="text1"/>
        </w:rPr>
      </w:pPr>
      <w:r w:rsidRPr="00AE6EDB">
        <w:rPr>
          <w:b/>
          <w:color w:val="000000" w:themeColor="text1"/>
        </w:rPr>
        <w:t xml:space="preserve">a.s. </w:t>
      </w:r>
      <w:r w:rsidRPr="00AE6EDB">
        <w:rPr>
          <w:color w:val="000000" w:themeColor="text1"/>
        </w:rPr>
        <w:t>– akciová spoločnosť</w:t>
      </w:r>
    </w:p>
    <w:p w:rsidR="00AB44F0" w:rsidRPr="00AE6EDB" w:rsidRDefault="00AB44F0" w:rsidP="002625B2">
      <w:pPr>
        <w:rPr>
          <w:color w:val="000000" w:themeColor="text1"/>
        </w:rPr>
      </w:pPr>
      <w:r w:rsidRPr="00AE6EDB">
        <w:rPr>
          <w:b/>
          <w:bCs/>
          <w:color w:val="000000" w:themeColor="text1"/>
        </w:rPr>
        <w:t>AOTP</w:t>
      </w:r>
      <w:r w:rsidRPr="00AE6EDB">
        <w:rPr>
          <w:color w:val="000000" w:themeColor="text1"/>
        </w:rPr>
        <w:t xml:space="preserve"> – aktívne opatrenia trhu práce</w:t>
      </w:r>
    </w:p>
    <w:p w:rsidR="00AB44F0" w:rsidRPr="00AE6EDB" w:rsidRDefault="00AB44F0" w:rsidP="002625B2">
      <w:pPr>
        <w:rPr>
          <w:color w:val="000000" w:themeColor="text1"/>
        </w:rPr>
      </w:pPr>
      <w:r w:rsidRPr="00AE6EDB">
        <w:rPr>
          <w:b/>
          <w:bCs/>
          <w:color w:val="000000" w:themeColor="text1"/>
        </w:rPr>
        <w:t>APTP</w:t>
      </w:r>
      <w:r w:rsidRPr="00AE6EDB">
        <w:rPr>
          <w:color w:val="000000" w:themeColor="text1"/>
        </w:rPr>
        <w:t xml:space="preserve"> – aktívna politika trhu práce</w:t>
      </w:r>
    </w:p>
    <w:p w:rsidR="00AB44F0" w:rsidRPr="00AE6EDB" w:rsidRDefault="00AB44F0" w:rsidP="002625B2">
      <w:pPr>
        <w:jc w:val="left"/>
        <w:rPr>
          <w:color w:val="000000" w:themeColor="text1"/>
        </w:rPr>
      </w:pPr>
      <w:r w:rsidRPr="00AE6EDB">
        <w:rPr>
          <w:b/>
          <w:color w:val="000000" w:themeColor="text1"/>
        </w:rPr>
        <w:t>b. c.</w:t>
      </w:r>
      <w:r w:rsidRPr="00AE6EDB">
        <w:rPr>
          <w:color w:val="000000" w:themeColor="text1"/>
        </w:rPr>
        <w:t xml:space="preserve"> – bežné ceny</w:t>
      </w:r>
    </w:p>
    <w:p w:rsidR="00AB44F0" w:rsidRPr="00AE6EDB" w:rsidRDefault="00AB44F0" w:rsidP="002625B2">
      <w:pPr>
        <w:rPr>
          <w:b/>
          <w:bCs/>
          <w:color w:val="000000" w:themeColor="text1"/>
        </w:rPr>
      </w:pPr>
      <w:r w:rsidRPr="00AE6EDB">
        <w:rPr>
          <w:b/>
          <w:bCs/>
          <w:color w:val="000000" w:themeColor="text1"/>
        </w:rPr>
        <w:t xml:space="preserve">BA – </w:t>
      </w:r>
      <w:r w:rsidRPr="00AE6EDB">
        <w:rPr>
          <w:bCs/>
          <w:color w:val="000000" w:themeColor="text1"/>
        </w:rPr>
        <w:t>Bratislavský kraj</w:t>
      </w:r>
    </w:p>
    <w:p w:rsidR="00AB44F0" w:rsidRPr="00AE6EDB" w:rsidRDefault="00AB44F0" w:rsidP="002625B2">
      <w:pPr>
        <w:rPr>
          <w:bCs/>
          <w:color w:val="000000" w:themeColor="text1"/>
        </w:rPr>
      </w:pPr>
      <w:r w:rsidRPr="00AE6EDB">
        <w:rPr>
          <w:b/>
          <w:bCs/>
          <w:color w:val="000000" w:themeColor="text1"/>
        </w:rPr>
        <w:t xml:space="preserve">BB – </w:t>
      </w:r>
      <w:r w:rsidRPr="00AE6EDB">
        <w:rPr>
          <w:bCs/>
          <w:color w:val="000000" w:themeColor="text1"/>
        </w:rPr>
        <w:t>Banskobystrický kraj</w:t>
      </w:r>
    </w:p>
    <w:p w:rsidR="00AB44F0" w:rsidRPr="00AE6EDB" w:rsidRDefault="00AB44F0" w:rsidP="002625B2">
      <w:pPr>
        <w:rPr>
          <w:color w:val="000000" w:themeColor="text1"/>
        </w:rPr>
      </w:pPr>
      <w:r w:rsidRPr="00AE6EDB">
        <w:rPr>
          <w:b/>
          <w:bCs/>
          <w:color w:val="000000" w:themeColor="text1"/>
        </w:rPr>
        <w:t>BSK</w:t>
      </w:r>
      <w:r w:rsidRPr="00AE6EDB">
        <w:rPr>
          <w:color w:val="000000" w:themeColor="text1"/>
        </w:rPr>
        <w:t xml:space="preserve"> – Bratislavský samosprávny kraj</w:t>
      </w:r>
    </w:p>
    <w:p w:rsidR="00AB44F0" w:rsidRPr="00AE6EDB" w:rsidRDefault="00AB44F0" w:rsidP="002625B2">
      <w:pPr>
        <w:jc w:val="left"/>
        <w:rPr>
          <w:color w:val="000000" w:themeColor="text1"/>
        </w:rPr>
      </w:pPr>
      <w:r w:rsidRPr="00AE6EDB">
        <w:rPr>
          <w:b/>
          <w:color w:val="000000" w:themeColor="text1"/>
        </w:rPr>
        <w:t>CIPS</w:t>
      </w:r>
      <w:r w:rsidRPr="00AE6EDB">
        <w:rPr>
          <w:color w:val="000000" w:themeColor="text1"/>
        </w:rPr>
        <w:t xml:space="preserve"> – centrálny informačný ponukový systém</w:t>
      </w:r>
    </w:p>
    <w:p w:rsidR="00AB44F0" w:rsidRPr="00AE6EDB" w:rsidRDefault="00AB44F0" w:rsidP="002625B2">
      <w:pPr>
        <w:rPr>
          <w:color w:val="000000" w:themeColor="text1"/>
        </w:rPr>
      </w:pPr>
      <w:r w:rsidRPr="00AE6EDB">
        <w:rPr>
          <w:b/>
          <w:bCs/>
          <w:color w:val="000000" w:themeColor="text1"/>
        </w:rPr>
        <w:t>COICOP</w:t>
      </w:r>
      <w:r w:rsidRPr="00AE6EDB">
        <w:rPr>
          <w:color w:val="000000" w:themeColor="text1"/>
        </w:rPr>
        <w:t xml:space="preserve"> – klasifikácia individuálnej spotreby podľa spôsobu použitia</w:t>
      </w:r>
    </w:p>
    <w:p w:rsidR="00AB44F0" w:rsidRPr="00AE6EDB" w:rsidRDefault="00AB44F0" w:rsidP="002625B2">
      <w:pPr>
        <w:rPr>
          <w:bCs/>
          <w:color w:val="000000" w:themeColor="text1"/>
        </w:rPr>
      </w:pPr>
      <w:r w:rsidRPr="00AE6EDB">
        <w:rPr>
          <w:b/>
          <w:bCs/>
          <w:color w:val="000000" w:themeColor="text1"/>
        </w:rPr>
        <w:t xml:space="preserve">d. f. – </w:t>
      </w:r>
      <w:r w:rsidRPr="00AE6EDB">
        <w:rPr>
          <w:bCs/>
          <w:color w:val="000000" w:themeColor="text1"/>
        </w:rPr>
        <w:t>dôchodkový fond</w:t>
      </w:r>
    </w:p>
    <w:p w:rsidR="00AB44F0" w:rsidRPr="00AE6EDB" w:rsidRDefault="00AB44F0" w:rsidP="002625B2">
      <w:pPr>
        <w:jc w:val="left"/>
        <w:rPr>
          <w:color w:val="000000" w:themeColor="text1"/>
        </w:rPr>
      </w:pPr>
      <w:r w:rsidRPr="00AE6EDB">
        <w:rPr>
          <w:b/>
          <w:color w:val="000000" w:themeColor="text1"/>
        </w:rPr>
        <w:t>DDS,</w:t>
      </w:r>
      <w:r w:rsidRPr="00AE6EDB">
        <w:rPr>
          <w:color w:val="000000" w:themeColor="text1"/>
        </w:rPr>
        <w:t xml:space="preserve"> </w:t>
      </w:r>
      <w:r w:rsidRPr="00AE6EDB">
        <w:rPr>
          <w:b/>
          <w:color w:val="000000" w:themeColor="text1"/>
        </w:rPr>
        <w:t xml:space="preserve">d. d. s. </w:t>
      </w:r>
      <w:r w:rsidRPr="00AE6EDB">
        <w:rPr>
          <w:color w:val="000000" w:themeColor="text1"/>
        </w:rPr>
        <w:t>– doplnková dôchodková spoločnosť</w:t>
      </w:r>
    </w:p>
    <w:p w:rsidR="00AB44F0" w:rsidRPr="00EF6199" w:rsidRDefault="00AB44F0" w:rsidP="002625B2">
      <w:pPr>
        <w:jc w:val="left"/>
        <w:rPr>
          <w:color w:val="000000" w:themeColor="text1"/>
        </w:rPr>
      </w:pPr>
      <w:r w:rsidRPr="00EF6199">
        <w:rPr>
          <w:b/>
          <w:color w:val="000000" w:themeColor="text1"/>
        </w:rPr>
        <w:t>DI</w:t>
      </w:r>
      <w:r w:rsidRPr="00EF6199">
        <w:rPr>
          <w:color w:val="000000" w:themeColor="text1"/>
        </w:rPr>
        <w:t xml:space="preserve"> – deinštitucionalizácia</w:t>
      </w:r>
    </w:p>
    <w:p w:rsidR="00AB44F0" w:rsidRPr="00AE6EDB" w:rsidRDefault="00AB44F0" w:rsidP="002625B2">
      <w:pPr>
        <w:jc w:val="left"/>
        <w:rPr>
          <w:color w:val="000000" w:themeColor="text1"/>
        </w:rPr>
      </w:pPr>
      <w:r w:rsidRPr="00AE6EDB">
        <w:rPr>
          <w:b/>
          <w:color w:val="000000" w:themeColor="text1"/>
        </w:rPr>
        <w:t>DOP</w:t>
      </w:r>
      <w:r w:rsidRPr="00AE6EDB">
        <w:rPr>
          <w:color w:val="000000" w:themeColor="text1"/>
        </w:rPr>
        <w:t xml:space="preserve"> – </w:t>
      </w:r>
      <w:proofErr w:type="spellStart"/>
      <w:r w:rsidRPr="00AE6EDB">
        <w:rPr>
          <w:color w:val="000000" w:themeColor="text1"/>
        </w:rPr>
        <w:t>dopytovo-orientovaný</w:t>
      </w:r>
      <w:proofErr w:type="spellEnd"/>
      <w:r w:rsidRPr="00AE6EDB">
        <w:rPr>
          <w:color w:val="000000" w:themeColor="text1"/>
        </w:rPr>
        <w:t xml:space="preserve"> projekt</w:t>
      </w:r>
    </w:p>
    <w:p w:rsidR="00AB44F0" w:rsidRPr="00AE6EDB" w:rsidRDefault="00AB44F0" w:rsidP="002625B2">
      <w:pPr>
        <w:jc w:val="left"/>
        <w:rPr>
          <w:color w:val="000000" w:themeColor="text1"/>
        </w:rPr>
      </w:pPr>
      <w:r w:rsidRPr="00AE6EDB">
        <w:rPr>
          <w:b/>
          <w:color w:val="000000" w:themeColor="text1"/>
        </w:rPr>
        <w:t>DPN</w:t>
      </w:r>
      <w:r w:rsidRPr="00AE6EDB">
        <w:rPr>
          <w:color w:val="000000" w:themeColor="text1"/>
        </w:rPr>
        <w:t xml:space="preserve"> – dočasná pracovná neschopnosť</w:t>
      </w:r>
    </w:p>
    <w:p w:rsidR="00AB44F0" w:rsidRPr="00AE6EDB" w:rsidRDefault="00AB44F0" w:rsidP="002625B2">
      <w:pPr>
        <w:rPr>
          <w:color w:val="000000" w:themeColor="text1"/>
        </w:rPr>
      </w:pPr>
      <w:r w:rsidRPr="00AE6EDB">
        <w:rPr>
          <w:b/>
          <w:bCs/>
          <w:color w:val="000000" w:themeColor="text1"/>
        </w:rPr>
        <w:t xml:space="preserve">DSS, d. s. s. </w:t>
      </w:r>
      <w:r w:rsidRPr="00AE6EDB">
        <w:rPr>
          <w:color w:val="000000" w:themeColor="text1"/>
        </w:rPr>
        <w:t>– dôchodková správcovská spoločnosť</w:t>
      </w:r>
    </w:p>
    <w:p w:rsidR="00AB44F0" w:rsidRPr="003E5368" w:rsidRDefault="00AB44F0" w:rsidP="002625B2">
      <w:pPr>
        <w:rPr>
          <w:bCs/>
          <w:color w:val="000000" w:themeColor="text1"/>
        </w:rPr>
      </w:pPr>
      <w:r w:rsidRPr="003E5368">
        <w:rPr>
          <w:b/>
          <w:bCs/>
          <w:color w:val="000000" w:themeColor="text1"/>
        </w:rPr>
        <w:t xml:space="preserve">EA18 – </w:t>
      </w:r>
      <w:r w:rsidRPr="003E5368">
        <w:rPr>
          <w:bCs/>
          <w:color w:val="000000" w:themeColor="text1"/>
        </w:rPr>
        <w:t>krajiny Európskej únie platiace v roku 201</w:t>
      </w:r>
      <w:r w:rsidR="00EF6199" w:rsidRPr="003E5368">
        <w:rPr>
          <w:bCs/>
          <w:color w:val="000000" w:themeColor="text1"/>
        </w:rPr>
        <w:t>5</w:t>
      </w:r>
      <w:r w:rsidRPr="003E5368">
        <w:rPr>
          <w:bCs/>
          <w:color w:val="000000" w:themeColor="text1"/>
        </w:rPr>
        <w:t xml:space="preserve"> menou euro (</w:t>
      </w:r>
      <w:r w:rsidRPr="003E5368">
        <w:rPr>
          <w:bCs/>
          <w:i/>
          <w:color w:val="000000" w:themeColor="text1"/>
          <w:sz w:val="20"/>
        </w:rPr>
        <w:t>Belgicko, Nemecko, Estónsko, Grécko, Španielsko, Francúzsko, Írsko, Taliansko, Lotyšsko, Litva, Luxembursko, Holandsko, Rakúsko, Portugalsko, Fínsko, Cyprus, Malta, Slovinsko, Slovensko</w:t>
      </w:r>
      <w:r w:rsidRPr="003E5368">
        <w:rPr>
          <w:bCs/>
          <w:color w:val="000000" w:themeColor="text1"/>
        </w:rPr>
        <w:t>)</w:t>
      </w:r>
    </w:p>
    <w:p w:rsidR="00AB44F0" w:rsidRPr="003E5368" w:rsidRDefault="00AB44F0" w:rsidP="002625B2">
      <w:pPr>
        <w:rPr>
          <w:bCs/>
          <w:color w:val="000000" w:themeColor="text1"/>
        </w:rPr>
      </w:pPr>
      <w:r w:rsidRPr="003E5368">
        <w:rPr>
          <w:b/>
          <w:bCs/>
          <w:color w:val="000000" w:themeColor="text1"/>
        </w:rPr>
        <w:t xml:space="preserve">EK </w:t>
      </w:r>
      <w:r w:rsidRPr="003E5368">
        <w:rPr>
          <w:bCs/>
          <w:color w:val="000000" w:themeColor="text1"/>
        </w:rPr>
        <w:t>– Európska komisia</w:t>
      </w:r>
    </w:p>
    <w:p w:rsidR="00AB44F0" w:rsidRPr="00AE6EDB" w:rsidRDefault="00AB44F0" w:rsidP="002625B2">
      <w:pPr>
        <w:jc w:val="left"/>
        <w:rPr>
          <w:color w:val="000000" w:themeColor="text1"/>
        </w:rPr>
      </w:pPr>
      <w:r w:rsidRPr="00AE6EDB">
        <w:rPr>
          <w:b/>
          <w:color w:val="000000" w:themeColor="text1"/>
        </w:rPr>
        <w:t>ESF</w:t>
      </w:r>
      <w:r w:rsidRPr="00AE6EDB">
        <w:rPr>
          <w:color w:val="000000" w:themeColor="text1"/>
        </w:rPr>
        <w:t xml:space="preserve"> – Európsky sociálny fond</w:t>
      </w:r>
    </w:p>
    <w:p w:rsidR="00AB44F0" w:rsidRPr="00EF6199" w:rsidRDefault="00AB44F0" w:rsidP="002625B2">
      <w:pPr>
        <w:rPr>
          <w:color w:val="000000" w:themeColor="text1"/>
        </w:rPr>
      </w:pPr>
      <w:r w:rsidRPr="00EF6199">
        <w:rPr>
          <w:b/>
          <w:color w:val="000000" w:themeColor="text1"/>
        </w:rPr>
        <w:t>ESSPROS</w:t>
      </w:r>
      <w:r w:rsidRPr="00EF6199">
        <w:rPr>
          <w:color w:val="000000" w:themeColor="text1"/>
        </w:rPr>
        <w:t xml:space="preserve"> – Európsky systém jednotných štatistík sociálnej ochrany</w:t>
      </w:r>
    </w:p>
    <w:p w:rsidR="00AB44F0" w:rsidRPr="00AE6EDB" w:rsidRDefault="00AB44F0" w:rsidP="002625B2">
      <w:pPr>
        <w:jc w:val="left"/>
        <w:rPr>
          <w:color w:val="000000" w:themeColor="text1"/>
        </w:rPr>
      </w:pPr>
      <w:r w:rsidRPr="00AE6EDB">
        <w:rPr>
          <w:b/>
          <w:color w:val="000000" w:themeColor="text1"/>
        </w:rPr>
        <w:t>EŠIF</w:t>
      </w:r>
      <w:r w:rsidRPr="00AE6EDB">
        <w:rPr>
          <w:color w:val="000000" w:themeColor="text1"/>
        </w:rPr>
        <w:t xml:space="preserve"> – Európske štrukturálne a investičné fondy</w:t>
      </w:r>
    </w:p>
    <w:p w:rsidR="00AB44F0" w:rsidRPr="00AE6EDB" w:rsidRDefault="00AB44F0" w:rsidP="002625B2">
      <w:pPr>
        <w:rPr>
          <w:color w:val="000000" w:themeColor="text1"/>
        </w:rPr>
      </w:pPr>
      <w:r w:rsidRPr="00AE6EDB">
        <w:rPr>
          <w:b/>
          <w:bCs/>
          <w:color w:val="000000" w:themeColor="text1"/>
        </w:rPr>
        <w:t xml:space="preserve">EÚ </w:t>
      </w:r>
      <w:r w:rsidRPr="00AE6EDB">
        <w:rPr>
          <w:color w:val="000000" w:themeColor="text1"/>
        </w:rPr>
        <w:t>– Európska únia</w:t>
      </w:r>
    </w:p>
    <w:p w:rsidR="00AB44F0" w:rsidRPr="00EF6199" w:rsidRDefault="00AB44F0" w:rsidP="002625B2">
      <w:pPr>
        <w:rPr>
          <w:bCs/>
          <w:color w:val="000000" w:themeColor="text1"/>
        </w:rPr>
      </w:pPr>
      <w:r w:rsidRPr="00EF6199">
        <w:rPr>
          <w:b/>
          <w:bCs/>
          <w:color w:val="000000" w:themeColor="text1"/>
        </w:rPr>
        <w:t xml:space="preserve">EU SILC </w:t>
      </w:r>
      <w:r w:rsidRPr="00EF6199">
        <w:rPr>
          <w:bCs/>
          <w:color w:val="000000" w:themeColor="text1"/>
        </w:rPr>
        <w:t xml:space="preserve">– </w:t>
      </w:r>
      <w:proofErr w:type="spellStart"/>
      <w:r w:rsidRPr="00EF6199">
        <w:rPr>
          <w:bCs/>
          <w:color w:val="000000" w:themeColor="text1"/>
        </w:rPr>
        <w:t>European</w:t>
      </w:r>
      <w:proofErr w:type="spellEnd"/>
      <w:r w:rsidRPr="00EF6199">
        <w:rPr>
          <w:bCs/>
          <w:color w:val="000000" w:themeColor="text1"/>
        </w:rPr>
        <w:t xml:space="preserve"> </w:t>
      </w:r>
      <w:proofErr w:type="spellStart"/>
      <w:r w:rsidRPr="00EF6199">
        <w:rPr>
          <w:bCs/>
          <w:color w:val="000000" w:themeColor="text1"/>
        </w:rPr>
        <w:t>Union</w:t>
      </w:r>
      <w:proofErr w:type="spellEnd"/>
      <w:r w:rsidRPr="00EF6199">
        <w:rPr>
          <w:bCs/>
          <w:color w:val="000000" w:themeColor="text1"/>
        </w:rPr>
        <w:t xml:space="preserve"> </w:t>
      </w:r>
      <w:proofErr w:type="spellStart"/>
      <w:r w:rsidRPr="00EF6199">
        <w:rPr>
          <w:bCs/>
          <w:color w:val="000000" w:themeColor="text1"/>
        </w:rPr>
        <w:t>Statistics</w:t>
      </w:r>
      <w:proofErr w:type="spellEnd"/>
      <w:r w:rsidRPr="00EF6199">
        <w:rPr>
          <w:bCs/>
          <w:color w:val="000000" w:themeColor="text1"/>
        </w:rPr>
        <w:t xml:space="preserve"> on </w:t>
      </w:r>
      <w:proofErr w:type="spellStart"/>
      <w:r w:rsidRPr="00EF6199">
        <w:rPr>
          <w:bCs/>
          <w:color w:val="000000" w:themeColor="text1"/>
        </w:rPr>
        <w:t>Income</w:t>
      </w:r>
      <w:proofErr w:type="spellEnd"/>
      <w:r w:rsidRPr="00EF6199">
        <w:rPr>
          <w:bCs/>
          <w:color w:val="000000" w:themeColor="text1"/>
        </w:rPr>
        <w:t xml:space="preserve"> and </w:t>
      </w:r>
      <w:proofErr w:type="spellStart"/>
      <w:r w:rsidRPr="00EF6199">
        <w:rPr>
          <w:bCs/>
          <w:color w:val="000000" w:themeColor="text1"/>
        </w:rPr>
        <w:t>Living</w:t>
      </w:r>
      <w:proofErr w:type="spellEnd"/>
      <w:r w:rsidRPr="00EF6199">
        <w:rPr>
          <w:bCs/>
          <w:color w:val="000000" w:themeColor="text1"/>
        </w:rPr>
        <w:t xml:space="preserve"> </w:t>
      </w:r>
      <w:proofErr w:type="spellStart"/>
      <w:r w:rsidRPr="00EF6199">
        <w:rPr>
          <w:bCs/>
          <w:color w:val="000000" w:themeColor="text1"/>
        </w:rPr>
        <w:t>Conditions</w:t>
      </w:r>
      <w:proofErr w:type="spellEnd"/>
    </w:p>
    <w:p w:rsidR="00AB44F0" w:rsidRPr="003E5368" w:rsidRDefault="00AB44F0" w:rsidP="002625B2">
      <w:pPr>
        <w:rPr>
          <w:bCs/>
          <w:color w:val="000000" w:themeColor="text1"/>
        </w:rPr>
      </w:pPr>
      <w:r w:rsidRPr="003E5368">
        <w:rPr>
          <w:b/>
          <w:bCs/>
          <w:color w:val="000000" w:themeColor="text1"/>
        </w:rPr>
        <w:t xml:space="preserve">EU15 – </w:t>
      </w:r>
      <w:r w:rsidRPr="003E5368">
        <w:rPr>
          <w:bCs/>
          <w:color w:val="000000" w:themeColor="text1"/>
        </w:rPr>
        <w:t>prvých 15 členských štátov Európskej únie (</w:t>
      </w:r>
      <w:r w:rsidRPr="003E5368">
        <w:rPr>
          <w:i/>
          <w:sz w:val="20"/>
          <w:szCs w:val="20"/>
        </w:rPr>
        <w:t>Belgicko, Dánsko, Nemecko, Írsko, Grécko, Španielsko, Francúzsko, Taliansko, Luxembursko, Holandsko, Rakúsko, Portugalsko, Fínsko, Švédsko, Veľká Británia</w:t>
      </w:r>
      <w:r w:rsidRPr="003E5368">
        <w:rPr>
          <w:bCs/>
          <w:color w:val="000000" w:themeColor="text1"/>
        </w:rPr>
        <w:t>)</w:t>
      </w:r>
    </w:p>
    <w:p w:rsidR="00AB44F0" w:rsidRPr="00EF6199" w:rsidRDefault="00AB44F0" w:rsidP="002625B2">
      <w:pPr>
        <w:rPr>
          <w:bCs/>
          <w:color w:val="000000" w:themeColor="text1"/>
        </w:rPr>
      </w:pPr>
      <w:r w:rsidRPr="00EF6199">
        <w:rPr>
          <w:b/>
          <w:bCs/>
          <w:color w:val="000000" w:themeColor="text1"/>
        </w:rPr>
        <w:t>EU28</w:t>
      </w:r>
      <w:r w:rsidRPr="00EF6199">
        <w:rPr>
          <w:bCs/>
          <w:color w:val="000000" w:themeColor="text1"/>
        </w:rPr>
        <w:t xml:space="preserve"> – 28 členských krajín Európskej únie (</w:t>
      </w:r>
      <w:r w:rsidRPr="00EF6199">
        <w:rPr>
          <w:i/>
          <w:sz w:val="20"/>
          <w:szCs w:val="20"/>
        </w:rPr>
        <w:t>Belgicko (BE), Bulharsko (BG), Česká republika (CZ), Dánsko (DK), Nemecko (DE), Estónsko (EE), Írsko (IE), Grécko (GR), Španielsko (ES), Francúzsko (FR), Chorvátsko (HR), Taliansko (IT), Cyprus (CY), Lotyšsko (LV), Litva (LT), Luxembursko (LU), Maďarsko (HU), Malta (MT), Holandsko (NL), Rakúsko (AT), Poľsko (PL), Portugalsko (PT), Rumunsko (RO), Slovinsko (SI), Slovensko (SK), Fínsko (FI), Švédsko (SE), Veľká Británia (GB)</w:t>
      </w:r>
      <w:r w:rsidRPr="00EF6199">
        <w:rPr>
          <w:bCs/>
          <w:color w:val="000000" w:themeColor="text1"/>
        </w:rPr>
        <w:t>)</w:t>
      </w:r>
    </w:p>
    <w:p w:rsidR="00AB44F0" w:rsidRPr="00AE6EDB" w:rsidRDefault="00AB44F0" w:rsidP="002625B2">
      <w:pPr>
        <w:rPr>
          <w:bCs/>
          <w:color w:val="000000" w:themeColor="text1"/>
        </w:rPr>
      </w:pPr>
      <w:r w:rsidRPr="00AE6EDB">
        <w:rPr>
          <w:b/>
          <w:bCs/>
          <w:color w:val="000000" w:themeColor="text1"/>
        </w:rPr>
        <w:t>FO</w:t>
      </w:r>
      <w:r w:rsidRPr="00AE6EDB">
        <w:rPr>
          <w:bCs/>
          <w:color w:val="000000" w:themeColor="text1"/>
        </w:rPr>
        <w:t xml:space="preserve"> </w:t>
      </w:r>
      <w:r w:rsidRPr="00AE6EDB">
        <w:rPr>
          <w:color w:val="000000" w:themeColor="text1"/>
        </w:rPr>
        <w:t>–</w:t>
      </w:r>
      <w:r w:rsidRPr="00AE6EDB">
        <w:rPr>
          <w:bCs/>
          <w:color w:val="000000" w:themeColor="text1"/>
        </w:rPr>
        <w:t xml:space="preserve"> fyzická osoba</w:t>
      </w:r>
    </w:p>
    <w:p w:rsidR="00AB44F0" w:rsidRPr="00AE6EDB" w:rsidRDefault="00AB44F0" w:rsidP="002625B2">
      <w:pPr>
        <w:jc w:val="left"/>
        <w:rPr>
          <w:color w:val="000000" w:themeColor="text1"/>
        </w:rPr>
      </w:pPr>
      <w:r w:rsidRPr="00AE6EDB">
        <w:rPr>
          <w:b/>
          <w:color w:val="000000" w:themeColor="text1"/>
        </w:rPr>
        <w:t xml:space="preserve">HDP </w:t>
      </w:r>
      <w:r w:rsidRPr="00AE6EDB">
        <w:rPr>
          <w:color w:val="000000" w:themeColor="text1"/>
        </w:rPr>
        <w:t>– hrubý domáci produkt</w:t>
      </w:r>
    </w:p>
    <w:p w:rsidR="00AB44F0" w:rsidRPr="00AE6EDB" w:rsidRDefault="00AB44F0" w:rsidP="002625B2">
      <w:pPr>
        <w:rPr>
          <w:color w:val="000000" w:themeColor="text1"/>
        </w:rPr>
      </w:pPr>
      <w:r w:rsidRPr="00AE6EDB">
        <w:rPr>
          <w:b/>
          <w:color w:val="000000" w:themeColor="text1"/>
        </w:rPr>
        <w:t>CHD</w:t>
      </w:r>
      <w:r w:rsidRPr="00AE6EDB">
        <w:rPr>
          <w:color w:val="000000" w:themeColor="text1"/>
        </w:rPr>
        <w:t xml:space="preserve"> – chránená dielňa</w:t>
      </w:r>
    </w:p>
    <w:p w:rsidR="00AB44F0" w:rsidRPr="00AE6EDB" w:rsidRDefault="00AB44F0" w:rsidP="002625B2">
      <w:pPr>
        <w:rPr>
          <w:color w:val="000000" w:themeColor="text1"/>
        </w:rPr>
      </w:pPr>
      <w:r w:rsidRPr="00AE6EDB">
        <w:rPr>
          <w:b/>
          <w:color w:val="000000" w:themeColor="text1"/>
        </w:rPr>
        <w:t>CHP</w:t>
      </w:r>
      <w:r w:rsidRPr="00AE6EDB">
        <w:rPr>
          <w:color w:val="000000" w:themeColor="text1"/>
        </w:rPr>
        <w:t xml:space="preserve"> – chránené pracovisko</w:t>
      </w:r>
    </w:p>
    <w:p w:rsidR="00AB44F0" w:rsidRPr="00AE6EDB" w:rsidRDefault="00AB44F0" w:rsidP="002625B2">
      <w:pPr>
        <w:jc w:val="left"/>
        <w:rPr>
          <w:color w:val="000000" w:themeColor="text1"/>
        </w:rPr>
      </w:pPr>
      <w:r w:rsidRPr="00AE6EDB">
        <w:rPr>
          <w:b/>
          <w:color w:val="000000" w:themeColor="text1"/>
        </w:rPr>
        <w:t>IA</w:t>
      </w:r>
      <w:r w:rsidRPr="00AE6EDB">
        <w:rPr>
          <w:color w:val="000000" w:themeColor="text1"/>
        </w:rPr>
        <w:t xml:space="preserve"> – Implementačná agentúra MPSVR SR</w:t>
      </w:r>
    </w:p>
    <w:p w:rsidR="00AB44F0" w:rsidRPr="00AE6EDB" w:rsidRDefault="00AB44F0" w:rsidP="002625B2">
      <w:pPr>
        <w:jc w:val="left"/>
        <w:rPr>
          <w:color w:val="000000" w:themeColor="text1"/>
        </w:rPr>
      </w:pPr>
      <w:r w:rsidRPr="00AE6EDB">
        <w:rPr>
          <w:b/>
          <w:color w:val="000000" w:themeColor="text1"/>
        </w:rPr>
        <w:t xml:space="preserve">ISCP </w:t>
      </w:r>
      <w:r w:rsidRPr="00AE6EDB">
        <w:rPr>
          <w:color w:val="000000" w:themeColor="text1"/>
        </w:rPr>
        <w:t>– Informačný systém o cene práce</w:t>
      </w:r>
    </w:p>
    <w:p w:rsidR="00AB44F0" w:rsidRPr="00AE6EDB" w:rsidRDefault="00AB44F0" w:rsidP="002625B2">
      <w:pPr>
        <w:jc w:val="left"/>
        <w:rPr>
          <w:color w:val="000000" w:themeColor="text1"/>
        </w:rPr>
      </w:pPr>
      <w:r w:rsidRPr="00AE6EDB">
        <w:rPr>
          <w:b/>
          <w:color w:val="000000" w:themeColor="text1"/>
        </w:rPr>
        <w:t>ITMS</w:t>
      </w:r>
      <w:r w:rsidRPr="00AE6EDB">
        <w:rPr>
          <w:color w:val="000000" w:themeColor="text1"/>
        </w:rPr>
        <w:t xml:space="preserve"> – IT monitorovací systém pre štrukturálne fondy a Kohézny fond</w:t>
      </w:r>
    </w:p>
    <w:p w:rsidR="00AB44F0" w:rsidRPr="00AE6EDB" w:rsidRDefault="00AB44F0" w:rsidP="002625B2">
      <w:pPr>
        <w:rPr>
          <w:bCs/>
          <w:color w:val="000000" w:themeColor="text1"/>
        </w:rPr>
      </w:pPr>
      <w:r w:rsidRPr="00AE6EDB">
        <w:rPr>
          <w:b/>
          <w:bCs/>
          <w:color w:val="000000" w:themeColor="text1"/>
        </w:rPr>
        <w:t xml:space="preserve">KE – </w:t>
      </w:r>
      <w:r w:rsidRPr="00AE6EDB">
        <w:rPr>
          <w:bCs/>
          <w:color w:val="000000" w:themeColor="text1"/>
        </w:rPr>
        <w:t>Košický kraj</w:t>
      </w:r>
    </w:p>
    <w:p w:rsidR="00AB44F0" w:rsidRPr="00AE6EDB" w:rsidRDefault="00AB44F0" w:rsidP="002625B2">
      <w:pPr>
        <w:jc w:val="left"/>
        <w:rPr>
          <w:color w:val="000000" w:themeColor="text1"/>
        </w:rPr>
      </w:pPr>
      <w:r w:rsidRPr="00AE6EDB">
        <w:rPr>
          <w:b/>
          <w:color w:val="000000" w:themeColor="text1"/>
        </w:rPr>
        <w:t>KMC</w:t>
      </w:r>
      <w:r w:rsidRPr="00AE6EDB">
        <w:rPr>
          <w:color w:val="000000" w:themeColor="text1"/>
        </w:rPr>
        <w:t xml:space="preserve"> – Koordinačno-metodické centrum pre násilie na ženách a domáce násilie</w:t>
      </w:r>
    </w:p>
    <w:p w:rsidR="00AB44F0" w:rsidRPr="00AE6EDB" w:rsidRDefault="00AB44F0" w:rsidP="002625B2">
      <w:pPr>
        <w:jc w:val="left"/>
        <w:rPr>
          <w:color w:val="000000" w:themeColor="text1"/>
        </w:rPr>
      </w:pPr>
      <w:r w:rsidRPr="00AE6EDB">
        <w:rPr>
          <w:b/>
          <w:color w:val="000000" w:themeColor="text1"/>
        </w:rPr>
        <w:t xml:space="preserve">KZVS </w:t>
      </w:r>
      <w:r w:rsidRPr="00AE6EDB">
        <w:rPr>
          <w:color w:val="000000" w:themeColor="text1"/>
        </w:rPr>
        <w:t>– kolektívna zmluva vyššieho stupňa</w:t>
      </w:r>
    </w:p>
    <w:p w:rsidR="00AB44F0" w:rsidRPr="00AE6EDB" w:rsidRDefault="00AB44F0" w:rsidP="002625B2">
      <w:pPr>
        <w:jc w:val="left"/>
        <w:rPr>
          <w:color w:val="000000" w:themeColor="text1"/>
        </w:rPr>
      </w:pPr>
      <w:r w:rsidRPr="00AE6EDB">
        <w:rPr>
          <w:b/>
          <w:color w:val="000000" w:themeColor="text1"/>
        </w:rPr>
        <w:t>MEN</w:t>
      </w:r>
      <w:r w:rsidRPr="00AE6EDB">
        <w:rPr>
          <w:color w:val="000000" w:themeColor="text1"/>
        </w:rPr>
        <w:t xml:space="preserve"> – miera evidovanej nezamestnanosti</w:t>
      </w:r>
    </w:p>
    <w:p w:rsidR="00AB44F0" w:rsidRPr="00AE6EDB" w:rsidRDefault="00AB44F0" w:rsidP="002625B2">
      <w:pPr>
        <w:jc w:val="left"/>
        <w:rPr>
          <w:color w:val="000000" w:themeColor="text1"/>
        </w:rPr>
      </w:pPr>
      <w:r w:rsidRPr="00AE6EDB">
        <w:rPr>
          <w:b/>
          <w:color w:val="000000" w:themeColor="text1"/>
        </w:rPr>
        <w:t xml:space="preserve">MF SR – </w:t>
      </w:r>
      <w:r w:rsidRPr="00AE6EDB">
        <w:rPr>
          <w:color w:val="000000" w:themeColor="text1"/>
        </w:rPr>
        <w:t>Ministerstvo financií Slovenskej republiky</w:t>
      </w:r>
    </w:p>
    <w:p w:rsidR="00AB44F0" w:rsidRPr="00AE6EDB" w:rsidRDefault="00AB44F0" w:rsidP="002625B2">
      <w:pPr>
        <w:jc w:val="left"/>
        <w:rPr>
          <w:color w:val="000000" w:themeColor="text1"/>
        </w:rPr>
      </w:pPr>
      <w:r w:rsidRPr="00AE6EDB">
        <w:rPr>
          <w:b/>
          <w:color w:val="000000" w:themeColor="text1"/>
        </w:rPr>
        <w:t xml:space="preserve">MH SR – </w:t>
      </w:r>
      <w:r w:rsidRPr="00AE6EDB">
        <w:rPr>
          <w:color w:val="000000" w:themeColor="text1"/>
        </w:rPr>
        <w:t>Ministerstvo hospodárstva Slovenskej republiky</w:t>
      </w:r>
    </w:p>
    <w:p w:rsidR="00AB44F0" w:rsidRPr="00AE6EDB" w:rsidRDefault="00AB44F0" w:rsidP="002625B2">
      <w:pPr>
        <w:jc w:val="left"/>
        <w:rPr>
          <w:color w:val="000000" w:themeColor="text1"/>
        </w:rPr>
      </w:pPr>
      <w:r w:rsidRPr="00AE6EDB">
        <w:rPr>
          <w:b/>
          <w:color w:val="000000" w:themeColor="text1"/>
        </w:rPr>
        <w:t>mil. –</w:t>
      </w:r>
      <w:r w:rsidRPr="00AE6EDB">
        <w:rPr>
          <w:color w:val="000000" w:themeColor="text1"/>
        </w:rPr>
        <w:t xml:space="preserve"> milión</w:t>
      </w:r>
    </w:p>
    <w:p w:rsidR="00AB44F0" w:rsidRPr="00AE6EDB" w:rsidRDefault="00AB44F0" w:rsidP="002625B2">
      <w:pPr>
        <w:jc w:val="left"/>
        <w:rPr>
          <w:color w:val="000000" w:themeColor="text1"/>
        </w:rPr>
      </w:pPr>
      <w:r w:rsidRPr="00AE6EDB">
        <w:rPr>
          <w:b/>
          <w:color w:val="000000" w:themeColor="text1"/>
        </w:rPr>
        <w:t xml:space="preserve">mld. </w:t>
      </w:r>
      <w:r w:rsidRPr="00AE6EDB">
        <w:rPr>
          <w:color w:val="000000" w:themeColor="text1"/>
        </w:rPr>
        <w:t>– miliarda</w:t>
      </w:r>
    </w:p>
    <w:p w:rsidR="00AB44F0" w:rsidRPr="00AE6EDB" w:rsidRDefault="00AB44F0" w:rsidP="002625B2">
      <w:pPr>
        <w:rPr>
          <w:color w:val="000000" w:themeColor="text1"/>
        </w:rPr>
      </w:pPr>
      <w:r w:rsidRPr="00AE6EDB">
        <w:rPr>
          <w:b/>
          <w:bCs/>
          <w:color w:val="000000" w:themeColor="text1"/>
        </w:rPr>
        <w:t>MPSVR SR</w:t>
      </w:r>
      <w:r w:rsidRPr="00AE6EDB">
        <w:rPr>
          <w:color w:val="000000" w:themeColor="text1"/>
        </w:rPr>
        <w:t xml:space="preserve"> – Ministerstvo práce, sociálnych vecí a rodiny SR ; ministerstvo</w:t>
      </w:r>
    </w:p>
    <w:p w:rsidR="00AB44F0" w:rsidRPr="00AE6EDB" w:rsidRDefault="00AB44F0" w:rsidP="002625B2">
      <w:pPr>
        <w:jc w:val="left"/>
        <w:rPr>
          <w:color w:val="000000" w:themeColor="text1"/>
        </w:rPr>
      </w:pPr>
      <w:r w:rsidRPr="00AE6EDB">
        <w:rPr>
          <w:b/>
          <w:color w:val="000000" w:themeColor="text1"/>
        </w:rPr>
        <w:t>MRK</w:t>
      </w:r>
      <w:r w:rsidRPr="00AE6EDB">
        <w:rPr>
          <w:color w:val="000000" w:themeColor="text1"/>
        </w:rPr>
        <w:t xml:space="preserve"> – marginalizované rómske komunity</w:t>
      </w:r>
    </w:p>
    <w:p w:rsidR="00AB44F0" w:rsidRPr="00AE6EDB" w:rsidRDefault="00AB44F0" w:rsidP="002625B2">
      <w:pPr>
        <w:jc w:val="left"/>
        <w:rPr>
          <w:bCs/>
          <w:color w:val="000000" w:themeColor="text1"/>
        </w:rPr>
      </w:pPr>
      <w:r w:rsidRPr="00AE6EDB">
        <w:rPr>
          <w:b/>
          <w:bCs/>
          <w:color w:val="000000" w:themeColor="text1"/>
        </w:rPr>
        <w:t xml:space="preserve">NACE, SK NACE Rev. 2 – </w:t>
      </w:r>
      <w:r w:rsidRPr="00AE6EDB">
        <w:rPr>
          <w:bCs/>
          <w:color w:val="000000" w:themeColor="text1"/>
        </w:rPr>
        <w:t>štatistická klasifikácia ekonomických činností</w:t>
      </w:r>
    </w:p>
    <w:p w:rsidR="00AB44F0" w:rsidRPr="00AE6EDB" w:rsidRDefault="00AB44F0" w:rsidP="002625B2">
      <w:pPr>
        <w:jc w:val="left"/>
        <w:rPr>
          <w:color w:val="000000" w:themeColor="text1"/>
        </w:rPr>
      </w:pPr>
      <w:r w:rsidRPr="00AE6EDB">
        <w:rPr>
          <w:b/>
          <w:color w:val="000000" w:themeColor="text1"/>
        </w:rPr>
        <w:t>NFK</w:t>
      </w:r>
      <w:r w:rsidRPr="00AE6EDB">
        <w:rPr>
          <w:color w:val="000000" w:themeColor="text1"/>
        </w:rPr>
        <w:t xml:space="preserve"> – následná finančná kontrola</w:t>
      </w:r>
    </w:p>
    <w:p w:rsidR="00AB44F0" w:rsidRPr="00AE6EDB" w:rsidRDefault="00AB44F0" w:rsidP="002625B2">
      <w:pPr>
        <w:jc w:val="left"/>
        <w:rPr>
          <w:color w:val="000000" w:themeColor="text1"/>
        </w:rPr>
      </w:pPr>
      <w:r w:rsidRPr="00AE6EDB">
        <w:rPr>
          <w:b/>
          <w:color w:val="000000" w:themeColor="text1"/>
        </w:rPr>
        <w:t xml:space="preserve">NP </w:t>
      </w:r>
      <w:r w:rsidRPr="00AE6EDB">
        <w:rPr>
          <w:color w:val="000000" w:themeColor="text1"/>
        </w:rPr>
        <w:t>– národný projekt</w:t>
      </w:r>
    </w:p>
    <w:p w:rsidR="00AB44F0" w:rsidRPr="00AE6EDB" w:rsidRDefault="00AB44F0" w:rsidP="002625B2">
      <w:pPr>
        <w:jc w:val="left"/>
        <w:rPr>
          <w:color w:val="000000" w:themeColor="text1"/>
        </w:rPr>
      </w:pPr>
      <w:r w:rsidRPr="00AE6EDB">
        <w:rPr>
          <w:b/>
          <w:color w:val="000000" w:themeColor="text1"/>
        </w:rPr>
        <w:t xml:space="preserve">NR – </w:t>
      </w:r>
      <w:r w:rsidRPr="00AE6EDB">
        <w:rPr>
          <w:color w:val="000000" w:themeColor="text1"/>
        </w:rPr>
        <w:t>Nitriansky kraj</w:t>
      </w:r>
    </w:p>
    <w:p w:rsidR="00AB44F0" w:rsidRPr="00AE6EDB" w:rsidRDefault="00AB44F0" w:rsidP="00560B46">
      <w:pPr>
        <w:rPr>
          <w:bCs/>
          <w:color w:val="000000" w:themeColor="text1"/>
        </w:rPr>
      </w:pPr>
      <w:r w:rsidRPr="00AE6EDB">
        <w:rPr>
          <w:b/>
          <w:bCs/>
          <w:color w:val="000000" w:themeColor="text1"/>
        </w:rPr>
        <w:lastRenderedPageBreak/>
        <w:t xml:space="preserve">OP ĽZ – </w:t>
      </w:r>
      <w:r w:rsidRPr="00AE6EDB">
        <w:rPr>
          <w:bCs/>
          <w:color w:val="000000" w:themeColor="text1"/>
        </w:rPr>
        <w:t>Operačný program Ľudské zdroje</w:t>
      </w:r>
    </w:p>
    <w:p w:rsidR="00AB44F0" w:rsidRPr="00AE6EDB" w:rsidRDefault="00AB44F0" w:rsidP="002625B2">
      <w:pPr>
        <w:rPr>
          <w:color w:val="000000" w:themeColor="text1"/>
        </w:rPr>
      </w:pPr>
      <w:r w:rsidRPr="00AE6EDB">
        <w:rPr>
          <w:b/>
          <w:bCs/>
          <w:color w:val="000000" w:themeColor="text1"/>
        </w:rPr>
        <w:t xml:space="preserve">OP </w:t>
      </w:r>
      <w:proofErr w:type="spellStart"/>
      <w:r w:rsidRPr="00AE6EDB">
        <w:rPr>
          <w:b/>
          <w:bCs/>
          <w:color w:val="000000" w:themeColor="text1"/>
        </w:rPr>
        <w:t>ZaSI</w:t>
      </w:r>
      <w:proofErr w:type="spellEnd"/>
      <w:r w:rsidRPr="00AE6EDB">
        <w:rPr>
          <w:color w:val="000000" w:themeColor="text1"/>
        </w:rPr>
        <w:t xml:space="preserve"> – Operačný program Zamestnanosť a sociálna inklúzia</w:t>
      </w:r>
    </w:p>
    <w:p w:rsidR="00AB44F0" w:rsidRPr="00EF6199" w:rsidRDefault="00AB44F0" w:rsidP="002625B2">
      <w:pPr>
        <w:rPr>
          <w:bCs/>
          <w:color w:val="000000" w:themeColor="text1"/>
        </w:rPr>
      </w:pPr>
      <w:r w:rsidRPr="00EF6199">
        <w:rPr>
          <w:b/>
          <w:bCs/>
          <w:color w:val="000000" w:themeColor="text1"/>
        </w:rPr>
        <w:t xml:space="preserve">OSN – </w:t>
      </w:r>
      <w:r w:rsidRPr="00EF6199">
        <w:rPr>
          <w:bCs/>
          <w:color w:val="000000" w:themeColor="text1"/>
        </w:rPr>
        <w:t>Organizácia spojených národov</w:t>
      </w:r>
    </w:p>
    <w:p w:rsidR="00AB44F0" w:rsidRPr="00AE6EDB" w:rsidRDefault="00AB44F0" w:rsidP="002625B2">
      <w:pPr>
        <w:rPr>
          <w:bCs/>
          <w:color w:val="000000" w:themeColor="text1"/>
        </w:rPr>
      </w:pPr>
      <w:r w:rsidRPr="00AE6EDB">
        <w:rPr>
          <w:b/>
          <w:bCs/>
          <w:color w:val="000000" w:themeColor="text1"/>
        </w:rPr>
        <w:t>OZP</w:t>
      </w:r>
      <w:r w:rsidRPr="00AE6EDB">
        <w:rPr>
          <w:bCs/>
          <w:color w:val="000000" w:themeColor="text1"/>
        </w:rPr>
        <w:t xml:space="preserve"> – občan so zdravotným postihnutím</w:t>
      </w:r>
    </w:p>
    <w:p w:rsidR="00AB44F0" w:rsidRPr="00AE6EDB" w:rsidRDefault="00AB44F0" w:rsidP="002625B2">
      <w:pPr>
        <w:rPr>
          <w:color w:val="000000" w:themeColor="text1"/>
        </w:rPr>
      </w:pPr>
      <w:r w:rsidRPr="00AE6EDB">
        <w:rPr>
          <w:b/>
          <w:bCs/>
          <w:color w:val="000000" w:themeColor="text1"/>
        </w:rPr>
        <w:t xml:space="preserve">p. b. </w:t>
      </w:r>
      <w:r w:rsidRPr="00AE6EDB">
        <w:rPr>
          <w:color w:val="000000" w:themeColor="text1"/>
        </w:rPr>
        <w:t>– percentuálny bod</w:t>
      </w:r>
    </w:p>
    <w:p w:rsidR="00AB44F0" w:rsidRPr="00AE6EDB" w:rsidRDefault="00AB44F0" w:rsidP="002625B2">
      <w:pPr>
        <w:jc w:val="left"/>
        <w:rPr>
          <w:color w:val="000000" w:themeColor="text1"/>
        </w:rPr>
      </w:pPr>
      <w:r w:rsidRPr="00AE6EDB">
        <w:rPr>
          <w:b/>
          <w:color w:val="000000" w:themeColor="text1"/>
        </w:rPr>
        <w:t xml:space="preserve">PM – </w:t>
      </w:r>
      <w:r w:rsidRPr="00AE6EDB">
        <w:rPr>
          <w:color w:val="000000" w:themeColor="text1"/>
        </w:rPr>
        <w:t>pracovné miesto</w:t>
      </w:r>
    </w:p>
    <w:p w:rsidR="00AB44F0" w:rsidRPr="00AE6EDB" w:rsidRDefault="00AB44F0" w:rsidP="002625B2">
      <w:pPr>
        <w:jc w:val="left"/>
        <w:rPr>
          <w:color w:val="000000" w:themeColor="text1"/>
        </w:rPr>
      </w:pPr>
      <w:r w:rsidRPr="00AE6EDB">
        <w:rPr>
          <w:b/>
          <w:color w:val="000000" w:themeColor="text1"/>
        </w:rPr>
        <w:t xml:space="preserve">PO – </w:t>
      </w:r>
      <w:r w:rsidRPr="00AE6EDB">
        <w:rPr>
          <w:color w:val="000000" w:themeColor="text1"/>
        </w:rPr>
        <w:t>Prešovský kraj</w:t>
      </w:r>
    </w:p>
    <w:p w:rsidR="00AB44F0" w:rsidRPr="00AE6EDB" w:rsidRDefault="00AB44F0" w:rsidP="002625B2">
      <w:pPr>
        <w:jc w:val="left"/>
        <w:rPr>
          <w:color w:val="000000" w:themeColor="text1"/>
        </w:rPr>
      </w:pPr>
      <w:r w:rsidRPr="00AE6EDB">
        <w:rPr>
          <w:b/>
          <w:color w:val="000000" w:themeColor="text1"/>
        </w:rPr>
        <w:t xml:space="preserve">PP </w:t>
      </w:r>
      <w:r w:rsidRPr="00AE6EDB">
        <w:rPr>
          <w:color w:val="000000" w:themeColor="text1"/>
        </w:rPr>
        <w:t>– peňažný príspevok</w:t>
      </w:r>
    </w:p>
    <w:p w:rsidR="00AB44F0" w:rsidRPr="00EF6199" w:rsidRDefault="00AB44F0" w:rsidP="002625B2">
      <w:pPr>
        <w:jc w:val="left"/>
        <w:rPr>
          <w:color w:val="000000" w:themeColor="text1"/>
        </w:rPr>
      </w:pPr>
      <w:r w:rsidRPr="00EF6199">
        <w:rPr>
          <w:b/>
          <w:color w:val="000000" w:themeColor="text1"/>
        </w:rPr>
        <w:t>PPS</w:t>
      </w:r>
      <w:r w:rsidRPr="00EF6199">
        <w:rPr>
          <w:color w:val="000000" w:themeColor="text1"/>
        </w:rPr>
        <w:t xml:space="preserve"> – </w:t>
      </w:r>
      <w:proofErr w:type="spellStart"/>
      <w:r w:rsidRPr="00EF6199">
        <w:rPr>
          <w:color w:val="000000" w:themeColor="text1"/>
        </w:rPr>
        <w:t>purchasing</w:t>
      </w:r>
      <w:proofErr w:type="spellEnd"/>
      <w:r w:rsidRPr="00EF6199">
        <w:rPr>
          <w:color w:val="000000" w:themeColor="text1"/>
        </w:rPr>
        <w:t xml:space="preserve"> </w:t>
      </w:r>
      <w:proofErr w:type="spellStart"/>
      <w:r w:rsidRPr="00EF6199">
        <w:rPr>
          <w:color w:val="000000" w:themeColor="text1"/>
        </w:rPr>
        <w:t>power</w:t>
      </w:r>
      <w:proofErr w:type="spellEnd"/>
      <w:r w:rsidRPr="00EF6199">
        <w:rPr>
          <w:color w:val="000000" w:themeColor="text1"/>
        </w:rPr>
        <w:t xml:space="preserve"> </w:t>
      </w:r>
      <w:proofErr w:type="spellStart"/>
      <w:r w:rsidRPr="00EF6199">
        <w:rPr>
          <w:color w:val="000000" w:themeColor="text1"/>
        </w:rPr>
        <w:t>standard</w:t>
      </w:r>
      <w:proofErr w:type="spellEnd"/>
      <w:r w:rsidRPr="00EF6199">
        <w:rPr>
          <w:color w:val="000000" w:themeColor="text1"/>
        </w:rPr>
        <w:t>, parita (štandard) kúpnej sily</w:t>
      </w:r>
    </w:p>
    <w:p w:rsidR="00AB44F0" w:rsidRPr="00AE6EDB" w:rsidRDefault="00AB44F0" w:rsidP="002625B2">
      <w:pPr>
        <w:rPr>
          <w:b/>
          <w:bCs/>
          <w:color w:val="000000" w:themeColor="text1"/>
        </w:rPr>
      </w:pPr>
      <w:r w:rsidRPr="00AE6EDB">
        <w:rPr>
          <w:b/>
          <w:color w:val="000000" w:themeColor="text1"/>
        </w:rPr>
        <w:t>RO</w:t>
      </w:r>
      <w:r w:rsidRPr="00AE6EDB">
        <w:rPr>
          <w:color w:val="000000" w:themeColor="text1"/>
        </w:rPr>
        <w:t xml:space="preserve"> – riadiaci orgán</w:t>
      </w:r>
      <w:r w:rsidRPr="00AE6EDB">
        <w:rPr>
          <w:b/>
          <w:bCs/>
          <w:color w:val="000000" w:themeColor="text1"/>
        </w:rPr>
        <w:t xml:space="preserve"> </w:t>
      </w:r>
    </w:p>
    <w:p w:rsidR="00AB44F0" w:rsidRPr="00AE6EDB" w:rsidRDefault="00AB44F0" w:rsidP="002625B2">
      <w:pPr>
        <w:rPr>
          <w:color w:val="000000" w:themeColor="text1"/>
        </w:rPr>
      </w:pPr>
      <w:r w:rsidRPr="00AE6EDB">
        <w:rPr>
          <w:b/>
          <w:bCs/>
          <w:color w:val="000000" w:themeColor="text1"/>
        </w:rPr>
        <w:t xml:space="preserve">RPPS </w:t>
      </w:r>
      <w:r w:rsidRPr="00AE6EDB">
        <w:rPr>
          <w:color w:val="000000" w:themeColor="text1"/>
        </w:rPr>
        <w:t>– referát poradensko-psychologických služieb</w:t>
      </w:r>
    </w:p>
    <w:p w:rsidR="00AB44F0" w:rsidRPr="00AE6EDB" w:rsidRDefault="00AB44F0" w:rsidP="002625B2">
      <w:pPr>
        <w:jc w:val="left"/>
        <w:rPr>
          <w:color w:val="000000" w:themeColor="text1"/>
        </w:rPr>
      </w:pPr>
      <w:r w:rsidRPr="00AE6EDB">
        <w:rPr>
          <w:b/>
          <w:color w:val="000000" w:themeColor="text1"/>
        </w:rPr>
        <w:t xml:space="preserve">RPÚ – </w:t>
      </w:r>
      <w:r w:rsidRPr="00AE6EDB">
        <w:rPr>
          <w:color w:val="000000" w:themeColor="text1"/>
        </w:rPr>
        <w:t>registrovaný pracovný úraz</w:t>
      </w:r>
    </w:p>
    <w:p w:rsidR="00AB44F0" w:rsidRPr="00AE6EDB" w:rsidRDefault="00AB44F0" w:rsidP="002625B2">
      <w:pPr>
        <w:rPr>
          <w:color w:val="000000" w:themeColor="text1"/>
        </w:rPr>
      </w:pPr>
      <w:r w:rsidRPr="00AE6EDB">
        <w:rPr>
          <w:b/>
          <w:color w:val="000000" w:themeColor="text1"/>
        </w:rPr>
        <w:t>RSD MIS</w:t>
      </w:r>
      <w:r w:rsidRPr="00AE6EDB">
        <w:rPr>
          <w:color w:val="000000" w:themeColor="text1"/>
        </w:rPr>
        <w:t xml:space="preserve"> – riadenie sociálnych dávok – manažérsky informačný systém </w:t>
      </w:r>
    </w:p>
    <w:p w:rsidR="00AB44F0" w:rsidRPr="00AE6EDB" w:rsidRDefault="00AB44F0" w:rsidP="002625B2">
      <w:pPr>
        <w:jc w:val="left"/>
        <w:rPr>
          <w:color w:val="000000" w:themeColor="text1"/>
        </w:rPr>
      </w:pPr>
      <w:r w:rsidRPr="00AE6EDB">
        <w:rPr>
          <w:b/>
          <w:color w:val="000000" w:themeColor="text1"/>
        </w:rPr>
        <w:t xml:space="preserve">s. c. </w:t>
      </w:r>
      <w:r w:rsidRPr="00AE6EDB">
        <w:rPr>
          <w:color w:val="000000" w:themeColor="text1"/>
        </w:rPr>
        <w:t>– stále ceny</w:t>
      </w:r>
    </w:p>
    <w:p w:rsidR="00AB44F0" w:rsidRPr="00AE6EDB" w:rsidRDefault="00AB44F0" w:rsidP="002625B2">
      <w:pPr>
        <w:jc w:val="left"/>
        <w:rPr>
          <w:color w:val="000000" w:themeColor="text1"/>
        </w:rPr>
      </w:pPr>
      <w:r w:rsidRPr="00AE6EDB">
        <w:rPr>
          <w:b/>
        </w:rPr>
        <w:t>SK ISCO-08</w:t>
      </w:r>
      <w:r w:rsidRPr="00AE6EDB">
        <w:rPr>
          <w:b/>
          <w:color w:val="000000" w:themeColor="text1"/>
        </w:rPr>
        <w:t xml:space="preserve"> – </w:t>
      </w:r>
      <w:r w:rsidRPr="00AE6EDB">
        <w:rPr>
          <w:color w:val="000000" w:themeColor="text1"/>
        </w:rPr>
        <w:t>štatistická klasifikácia zamestnaní, verzia 2012</w:t>
      </w:r>
    </w:p>
    <w:p w:rsidR="00AB44F0" w:rsidRPr="00AE6EDB" w:rsidRDefault="00AB44F0" w:rsidP="002625B2">
      <w:pPr>
        <w:rPr>
          <w:color w:val="000000" w:themeColor="text1"/>
        </w:rPr>
      </w:pPr>
      <w:r w:rsidRPr="00AE6EDB">
        <w:rPr>
          <w:b/>
          <w:color w:val="000000" w:themeColor="text1"/>
        </w:rPr>
        <w:t>SOŠ</w:t>
      </w:r>
      <w:r w:rsidRPr="00AE6EDB">
        <w:rPr>
          <w:color w:val="000000" w:themeColor="text1"/>
        </w:rPr>
        <w:t xml:space="preserve"> – stredná odborná škola</w:t>
      </w:r>
    </w:p>
    <w:p w:rsidR="00AB44F0" w:rsidRPr="00AE6EDB" w:rsidRDefault="00AB44F0" w:rsidP="002625B2">
      <w:pPr>
        <w:rPr>
          <w:color w:val="000000" w:themeColor="text1"/>
        </w:rPr>
      </w:pPr>
      <w:proofErr w:type="spellStart"/>
      <w:r w:rsidRPr="00AE6EDB">
        <w:rPr>
          <w:b/>
          <w:bCs/>
          <w:color w:val="000000" w:themeColor="text1"/>
        </w:rPr>
        <w:t>SPODaSK</w:t>
      </w:r>
      <w:proofErr w:type="spellEnd"/>
      <w:r w:rsidRPr="00AE6EDB">
        <w:rPr>
          <w:b/>
          <w:bCs/>
          <w:color w:val="000000" w:themeColor="text1"/>
        </w:rPr>
        <w:t xml:space="preserve"> </w:t>
      </w:r>
      <w:r w:rsidRPr="00AE6EDB">
        <w:rPr>
          <w:color w:val="000000" w:themeColor="text1"/>
        </w:rPr>
        <w:t>– sociálnoprávna ochrana detí a sociálna kuratela</w:t>
      </w:r>
    </w:p>
    <w:p w:rsidR="00AB44F0" w:rsidRPr="00EF6199" w:rsidRDefault="00AB44F0" w:rsidP="002625B2">
      <w:pPr>
        <w:rPr>
          <w:color w:val="000000" w:themeColor="text1"/>
        </w:rPr>
      </w:pPr>
      <w:r w:rsidRPr="00EF6199">
        <w:rPr>
          <w:b/>
          <w:bCs/>
          <w:color w:val="000000" w:themeColor="text1"/>
        </w:rPr>
        <w:t>Správa</w:t>
      </w:r>
      <w:r w:rsidRPr="00EF6199">
        <w:rPr>
          <w:color w:val="000000" w:themeColor="text1"/>
        </w:rPr>
        <w:t xml:space="preserve"> – Správa o sociálnej situácii obyvateľstva Slovenskej republiky </w:t>
      </w:r>
    </w:p>
    <w:p w:rsidR="00AB44F0" w:rsidRPr="00AE6EDB" w:rsidRDefault="00AB44F0" w:rsidP="002625B2">
      <w:pPr>
        <w:rPr>
          <w:color w:val="000000" w:themeColor="text1"/>
        </w:rPr>
      </w:pPr>
      <w:r w:rsidRPr="00AE6EDB">
        <w:rPr>
          <w:b/>
          <w:color w:val="000000" w:themeColor="text1"/>
        </w:rPr>
        <w:t>SPÚ</w:t>
      </w:r>
      <w:r w:rsidRPr="00AE6EDB">
        <w:rPr>
          <w:color w:val="000000" w:themeColor="text1"/>
        </w:rPr>
        <w:t xml:space="preserve"> – závažný pracovný úraz s následkom smrti</w:t>
      </w:r>
    </w:p>
    <w:p w:rsidR="00AB44F0" w:rsidRPr="00AE6EDB" w:rsidRDefault="00AB44F0" w:rsidP="002625B2">
      <w:pPr>
        <w:rPr>
          <w:color w:val="000000" w:themeColor="text1"/>
        </w:rPr>
      </w:pPr>
      <w:r w:rsidRPr="00AE6EDB">
        <w:rPr>
          <w:b/>
          <w:color w:val="000000" w:themeColor="text1"/>
        </w:rPr>
        <w:t xml:space="preserve">SR </w:t>
      </w:r>
      <w:r w:rsidRPr="00AE6EDB">
        <w:rPr>
          <w:color w:val="000000" w:themeColor="text1"/>
        </w:rPr>
        <w:t>–</w:t>
      </w:r>
      <w:r w:rsidRPr="00AE6EDB">
        <w:rPr>
          <w:b/>
          <w:color w:val="000000" w:themeColor="text1"/>
        </w:rPr>
        <w:t xml:space="preserve"> </w:t>
      </w:r>
      <w:r w:rsidRPr="00AE6EDB">
        <w:rPr>
          <w:color w:val="000000" w:themeColor="text1"/>
        </w:rPr>
        <w:t>Slovenská republika</w:t>
      </w:r>
    </w:p>
    <w:p w:rsidR="00AB44F0" w:rsidRPr="00AE6EDB" w:rsidRDefault="00AB44F0" w:rsidP="002625B2">
      <w:pPr>
        <w:rPr>
          <w:color w:val="000000" w:themeColor="text1"/>
        </w:rPr>
      </w:pPr>
      <w:r w:rsidRPr="00AE6EDB">
        <w:rPr>
          <w:b/>
          <w:color w:val="000000" w:themeColor="text1"/>
        </w:rPr>
        <w:t xml:space="preserve">SŠ – </w:t>
      </w:r>
      <w:r w:rsidRPr="00AE6EDB">
        <w:rPr>
          <w:color w:val="000000" w:themeColor="text1"/>
        </w:rPr>
        <w:t>stredná škola</w:t>
      </w:r>
    </w:p>
    <w:p w:rsidR="00AB44F0" w:rsidRPr="00AE6EDB" w:rsidRDefault="00AB44F0" w:rsidP="002625B2">
      <w:pPr>
        <w:rPr>
          <w:color w:val="000000" w:themeColor="text1"/>
        </w:rPr>
      </w:pPr>
      <w:r w:rsidRPr="00AE6EDB">
        <w:rPr>
          <w:b/>
          <w:color w:val="000000" w:themeColor="text1"/>
        </w:rPr>
        <w:t xml:space="preserve">SZČO </w:t>
      </w:r>
      <w:r w:rsidRPr="00AE6EDB">
        <w:rPr>
          <w:color w:val="000000" w:themeColor="text1"/>
        </w:rPr>
        <w:t>– samostatne zárobkovo činná osoba</w:t>
      </w:r>
    </w:p>
    <w:p w:rsidR="00AB44F0" w:rsidRPr="00EF6199" w:rsidRDefault="00AB44F0" w:rsidP="002625B2">
      <w:pPr>
        <w:rPr>
          <w:bCs/>
          <w:color w:val="000000" w:themeColor="text1"/>
        </w:rPr>
      </w:pPr>
      <w:r w:rsidRPr="00EF6199">
        <w:rPr>
          <w:b/>
          <w:bCs/>
          <w:color w:val="000000" w:themeColor="text1"/>
        </w:rPr>
        <w:t xml:space="preserve">ŠR </w:t>
      </w:r>
      <w:r w:rsidRPr="00EF6199">
        <w:rPr>
          <w:bCs/>
          <w:color w:val="000000" w:themeColor="text1"/>
        </w:rPr>
        <w:t>– štátny rozpočet</w:t>
      </w:r>
    </w:p>
    <w:p w:rsidR="00AB44F0" w:rsidRPr="00AE6EDB" w:rsidRDefault="00AB44F0" w:rsidP="002625B2">
      <w:pPr>
        <w:rPr>
          <w:color w:val="000000" w:themeColor="text1"/>
        </w:rPr>
      </w:pPr>
      <w:r w:rsidRPr="00AE6EDB">
        <w:rPr>
          <w:b/>
          <w:bCs/>
          <w:color w:val="000000" w:themeColor="text1"/>
        </w:rPr>
        <w:t>ŠÚ SR</w:t>
      </w:r>
      <w:r w:rsidRPr="00AE6EDB">
        <w:rPr>
          <w:color w:val="000000" w:themeColor="text1"/>
        </w:rPr>
        <w:t xml:space="preserve"> – Štatistický úrad Slovenskej republiky</w:t>
      </w:r>
    </w:p>
    <w:p w:rsidR="00AB44F0" w:rsidRPr="00AE6EDB" w:rsidRDefault="00AB44F0" w:rsidP="002625B2">
      <w:pPr>
        <w:jc w:val="left"/>
        <w:rPr>
          <w:color w:val="000000" w:themeColor="text1"/>
        </w:rPr>
      </w:pPr>
      <w:r w:rsidRPr="00AE6EDB">
        <w:rPr>
          <w:b/>
          <w:color w:val="000000" w:themeColor="text1"/>
        </w:rPr>
        <w:t>TA</w:t>
      </w:r>
      <w:r w:rsidRPr="00AE6EDB">
        <w:rPr>
          <w:color w:val="000000" w:themeColor="text1"/>
        </w:rPr>
        <w:t xml:space="preserve"> – technická asistencia</w:t>
      </w:r>
    </w:p>
    <w:p w:rsidR="00AB44F0" w:rsidRPr="00AE6EDB" w:rsidRDefault="00AB44F0" w:rsidP="002625B2">
      <w:pPr>
        <w:jc w:val="left"/>
        <w:rPr>
          <w:color w:val="000000" w:themeColor="text1"/>
        </w:rPr>
      </w:pPr>
      <w:r w:rsidRPr="00AE6EDB">
        <w:rPr>
          <w:b/>
          <w:color w:val="000000" w:themeColor="text1"/>
        </w:rPr>
        <w:t xml:space="preserve">tis. – </w:t>
      </w:r>
      <w:r w:rsidRPr="00AE6EDB">
        <w:rPr>
          <w:color w:val="000000" w:themeColor="text1"/>
        </w:rPr>
        <w:t>tisíc</w:t>
      </w:r>
    </w:p>
    <w:p w:rsidR="00AB44F0" w:rsidRPr="00AE6EDB" w:rsidRDefault="00AB44F0" w:rsidP="002625B2">
      <w:pPr>
        <w:rPr>
          <w:bCs/>
          <w:color w:val="000000" w:themeColor="text1"/>
        </w:rPr>
      </w:pPr>
      <w:r w:rsidRPr="00AE6EDB">
        <w:rPr>
          <w:b/>
          <w:bCs/>
          <w:color w:val="000000" w:themeColor="text1"/>
        </w:rPr>
        <w:t xml:space="preserve">TN – </w:t>
      </w:r>
      <w:r w:rsidRPr="00AE6EDB">
        <w:rPr>
          <w:bCs/>
          <w:color w:val="000000" w:themeColor="text1"/>
        </w:rPr>
        <w:t>Trenčiansky kraj</w:t>
      </w:r>
    </w:p>
    <w:p w:rsidR="00AB44F0" w:rsidRPr="00AE6EDB" w:rsidRDefault="00AB44F0" w:rsidP="002625B2">
      <w:pPr>
        <w:rPr>
          <w:bCs/>
          <w:color w:val="000000" w:themeColor="text1"/>
        </w:rPr>
      </w:pPr>
      <w:r w:rsidRPr="00AE6EDB">
        <w:rPr>
          <w:b/>
          <w:bCs/>
          <w:color w:val="000000" w:themeColor="text1"/>
        </w:rPr>
        <w:t xml:space="preserve">TT – </w:t>
      </w:r>
      <w:r w:rsidRPr="00AE6EDB">
        <w:rPr>
          <w:bCs/>
          <w:color w:val="000000" w:themeColor="text1"/>
        </w:rPr>
        <w:t>Trnavský kraj</w:t>
      </w:r>
    </w:p>
    <w:p w:rsidR="00AB44F0" w:rsidRPr="00AE6EDB" w:rsidRDefault="00AB44F0" w:rsidP="002625B2">
      <w:pPr>
        <w:tabs>
          <w:tab w:val="left" w:pos="5775"/>
        </w:tabs>
        <w:rPr>
          <w:bCs/>
          <w:color w:val="000000" w:themeColor="text1"/>
        </w:rPr>
      </w:pPr>
      <w:r w:rsidRPr="00AE6EDB">
        <w:rPr>
          <w:b/>
          <w:bCs/>
          <w:color w:val="000000" w:themeColor="text1"/>
        </w:rPr>
        <w:t xml:space="preserve">ŤUZ – </w:t>
      </w:r>
      <w:r w:rsidRPr="00AE6EDB">
        <w:rPr>
          <w:bCs/>
          <w:color w:val="000000" w:themeColor="text1"/>
        </w:rPr>
        <w:t>závažný pracovný úraz s ťažkou ujmou na zdraví</w:t>
      </w:r>
    </w:p>
    <w:p w:rsidR="00AB44F0" w:rsidRPr="00AE6EDB" w:rsidRDefault="00AB44F0" w:rsidP="002625B2">
      <w:pPr>
        <w:rPr>
          <w:color w:val="000000" w:themeColor="text1"/>
        </w:rPr>
      </w:pPr>
      <w:r w:rsidRPr="00AE6EDB">
        <w:rPr>
          <w:b/>
          <w:bCs/>
          <w:color w:val="000000" w:themeColor="text1"/>
        </w:rPr>
        <w:t xml:space="preserve">ŤZP </w:t>
      </w:r>
      <w:r w:rsidRPr="00AE6EDB">
        <w:rPr>
          <w:color w:val="000000" w:themeColor="text1"/>
        </w:rPr>
        <w:t>– ťažko zdravotne postihnutý(í)/ ťažké zdravotné postihnutie</w:t>
      </w:r>
    </w:p>
    <w:p w:rsidR="00AB44F0" w:rsidRPr="00AE6EDB" w:rsidRDefault="00AB44F0" w:rsidP="002625B2">
      <w:pPr>
        <w:rPr>
          <w:b/>
          <w:bCs/>
          <w:color w:val="000000" w:themeColor="text1"/>
        </w:rPr>
      </w:pPr>
      <w:proofErr w:type="spellStart"/>
      <w:r w:rsidRPr="00AE6EDB">
        <w:rPr>
          <w:b/>
          <w:bCs/>
          <w:color w:val="000000" w:themeColor="text1"/>
        </w:rPr>
        <w:t>UoZ</w:t>
      </w:r>
      <w:proofErr w:type="spellEnd"/>
      <w:r w:rsidRPr="00AE6EDB">
        <w:rPr>
          <w:b/>
          <w:bCs/>
          <w:color w:val="000000" w:themeColor="text1"/>
        </w:rPr>
        <w:t xml:space="preserve"> </w:t>
      </w:r>
      <w:r w:rsidRPr="00AE6EDB">
        <w:rPr>
          <w:color w:val="000000" w:themeColor="text1"/>
        </w:rPr>
        <w:t>– uchádzač o zamestnanie</w:t>
      </w:r>
    </w:p>
    <w:p w:rsidR="00AB44F0" w:rsidRPr="00AE6EDB" w:rsidRDefault="00AB44F0" w:rsidP="002625B2">
      <w:pPr>
        <w:rPr>
          <w:color w:val="000000" w:themeColor="text1"/>
        </w:rPr>
      </w:pPr>
      <w:r w:rsidRPr="00AE6EDB">
        <w:rPr>
          <w:b/>
          <w:bCs/>
          <w:color w:val="000000" w:themeColor="text1"/>
        </w:rPr>
        <w:t>ÚPSVR, Ústredie –</w:t>
      </w:r>
      <w:r w:rsidRPr="00AE6EDB">
        <w:rPr>
          <w:color w:val="000000" w:themeColor="text1"/>
        </w:rPr>
        <w:t xml:space="preserve"> Ústredie práce, sociálnych vecí a rodiny</w:t>
      </w:r>
    </w:p>
    <w:p w:rsidR="00AB44F0" w:rsidRPr="00AE6EDB" w:rsidRDefault="00AB44F0" w:rsidP="002625B2">
      <w:pPr>
        <w:rPr>
          <w:color w:val="000000" w:themeColor="text1"/>
        </w:rPr>
      </w:pPr>
      <w:r w:rsidRPr="00AE6EDB">
        <w:rPr>
          <w:b/>
          <w:color w:val="000000" w:themeColor="text1"/>
        </w:rPr>
        <w:t xml:space="preserve">úrad PSVR </w:t>
      </w:r>
      <w:r w:rsidRPr="00AE6EDB">
        <w:rPr>
          <w:color w:val="000000" w:themeColor="text1"/>
        </w:rPr>
        <w:t>–</w:t>
      </w:r>
      <w:r w:rsidRPr="00AE6EDB">
        <w:rPr>
          <w:b/>
          <w:color w:val="000000" w:themeColor="text1"/>
        </w:rPr>
        <w:t xml:space="preserve"> </w:t>
      </w:r>
      <w:r w:rsidRPr="00AE6EDB">
        <w:rPr>
          <w:color w:val="000000" w:themeColor="text1"/>
        </w:rPr>
        <w:t xml:space="preserve">úrad práce, sociálnych vecí a rodiny </w:t>
      </w:r>
    </w:p>
    <w:p w:rsidR="00AB44F0" w:rsidRPr="00AE6EDB" w:rsidRDefault="00AB44F0" w:rsidP="002625B2">
      <w:pPr>
        <w:jc w:val="left"/>
        <w:rPr>
          <w:color w:val="000000" w:themeColor="text1"/>
        </w:rPr>
      </w:pPr>
      <w:r w:rsidRPr="00AE6EDB">
        <w:rPr>
          <w:b/>
          <w:color w:val="000000" w:themeColor="text1"/>
        </w:rPr>
        <w:t>VPM</w:t>
      </w:r>
      <w:r w:rsidRPr="00AE6EDB">
        <w:rPr>
          <w:color w:val="000000" w:themeColor="text1"/>
        </w:rPr>
        <w:t xml:space="preserve"> – voľné pracovné miesto</w:t>
      </w:r>
    </w:p>
    <w:p w:rsidR="00AB44F0" w:rsidRPr="00AE6EDB" w:rsidRDefault="00AB44F0" w:rsidP="002625B2">
      <w:pPr>
        <w:rPr>
          <w:bCs/>
          <w:color w:val="000000" w:themeColor="text1"/>
        </w:rPr>
      </w:pPr>
      <w:r w:rsidRPr="00AE6EDB">
        <w:rPr>
          <w:b/>
          <w:bCs/>
          <w:color w:val="000000" w:themeColor="text1"/>
        </w:rPr>
        <w:t xml:space="preserve">VŠ – </w:t>
      </w:r>
      <w:r w:rsidRPr="00AE6EDB">
        <w:rPr>
          <w:bCs/>
          <w:color w:val="000000" w:themeColor="text1"/>
        </w:rPr>
        <w:t>vysoká škola</w:t>
      </w:r>
    </w:p>
    <w:p w:rsidR="00AB44F0" w:rsidRPr="00AE6EDB" w:rsidRDefault="00AB44F0" w:rsidP="002625B2">
      <w:pPr>
        <w:rPr>
          <w:color w:val="000000" w:themeColor="text1"/>
        </w:rPr>
      </w:pPr>
      <w:r w:rsidRPr="00AE6EDB">
        <w:rPr>
          <w:b/>
          <w:bCs/>
          <w:color w:val="000000" w:themeColor="text1"/>
        </w:rPr>
        <w:t xml:space="preserve">VZPS </w:t>
      </w:r>
      <w:r w:rsidRPr="00AE6EDB">
        <w:rPr>
          <w:color w:val="000000" w:themeColor="text1"/>
        </w:rPr>
        <w:t xml:space="preserve">– výberové zisťovanie pracovných síl </w:t>
      </w:r>
    </w:p>
    <w:p w:rsidR="00AB44F0" w:rsidRPr="00EF6199" w:rsidRDefault="00AB44F0" w:rsidP="002625B2">
      <w:pPr>
        <w:rPr>
          <w:color w:val="000000" w:themeColor="text1"/>
        </w:rPr>
      </w:pPr>
      <w:r w:rsidRPr="00EF6199">
        <w:rPr>
          <w:b/>
          <w:color w:val="000000" w:themeColor="text1"/>
        </w:rPr>
        <w:t xml:space="preserve">WI </w:t>
      </w:r>
      <w:r w:rsidRPr="00EF6199">
        <w:rPr>
          <w:color w:val="000000" w:themeColor="text1"/>
        </w:rPr>
        <w:t>– intenzita práce (</w:t>
      </w:r>
      <w:proofErr w:type="spellStart"/>
      <w:r w:rsidRPr="00EF6199">
        <w:rPr>
          <w:color w:val="000000" w:themeColor="text1"/>
        </w:rPr>
        <w:t>work</w:t>
      </w:r>
      <w:proofErr w:type="spellEnd"/>
      <w:r w:rsidRPr="00EF6199">
        <w:rPr>
          <w:color w:val="000000" w:themeColor="text1"/>
        </w:rPr>
        <w:t xml:space="preserve"> </w:t>
      </w:r>
      <w:proofErr w:type="spellStart"/>
      <w:r w:rsidRPr="00EF6199">
        <w:rPr>
          <w:color w:val="000000" w:themeColor="text1"/>
        </w:rPr>
        <w:t>intensity</w:t>
      </w:r>
      <w:proofErr w:type="spellEnd"/>
      <w:r w:rsidRPr="00EF6199">
        <w:rPr>
          <w:color w:val="000000" w:themeColor="text1"/>
        </w:rPr>
        <w:t>)</w:t>
      </w:r>
    </w:p>
    <w:p w:rsidR="00AB44F0" w:rsidRPr="00AE6EDB" w:rsidRDefault="00AB44F0" w:rsidP="002625B2">
      <w:pPr>
        <w:rPr>
          <w:color w:val="000000" w:themeColor="text1"/>
        </w:rPr>
      </w:pPr>
      <w:r w:rsidRPr="00AE6EDB">
        <w:rPr>
          <w:b/>
          <w:color w:val="000000" w:themeColor="text1"/>
        </w:rPr>
        <w:t xml:space="preserve">Z. z. </w:t>
      </w:r>
      <w:r w:rsidRPr="00AE6EDB">
        <w:rPr>
          <w:color w:val="000000" w:themeColor="text1"/>
        </w:rPr>
        <w:t>– Zbierka zákonov</w:t>
      </w:r>
    </w:p>
    <w:p w:rsidR="00AB44F0" w:rsidRPr="00AE6EDB" w:rsidRDefault="00AB44F0" w:rsidP="002625B2">
      <w:pPr>
        <w:rPr>
          <w:color w:val="000000" w:themeColor="text1"/>
        </w:rPr>
      </w:pPr>
      <w:r w:rsidRPr="00AE6EDB">
        <w:rPr>
          <w:b/>
          <w:color w:val="000000" w:themeColor="text1"/>
        </w:rPr>
        <w:t xml:space="preserve">ZA – </w:t>
      </w:r>
      <w:r w:rsidRPr="00AE6EDB">
        <w:rPr>
          <w:color w:val="000000" w:themeColor="text1"/>
        </w:rPr>
        <w:t>Žilinský kraj</w:t>
      </w:r>
    </w:p>
    <w:p w:rsidR="00AB44F0" w:rsidRPr="00AE6EDB" w:rsidRDefault="00AB44F0" w:rsidP="002625B2">
      <w:pPr>
        <w:rPr>
          <w:color w:val="000000" w:themeColor="text1"/>
        </w:rPr>
      </w:pPr>
      <w:proofErr w:type="spellStart"/>
      <w:r w:rsidRPr="00AE6EDB">
        <w:rPr>
          <w:b/>
          <w:color w:val="000000" w:themeColor="text1"/>
        </w:rPr>
        <w:t>ZoZ</w:t>
      </w:r>
      <w:proofErr w:type="spellEnd"/>
      <w:r w:rsidRPr="00AE6EDB">
        <w:rPr>
          <w:color w:val="000000" w:themeColor="text1"/>
        </w:rPr>
        <w:t xml:space="preserve"> – záujemca o zamestnanie</w:t>
      </w:r>
    </w:p>
    <w:p w:rsidR="00AB44F0" w:rsidRPr="00AE6EDB" w:rsidRDefault="00AB44F0" w:rsidP="002625B2">
      <w:pPr>
        <w:jc w:val="left"/>
        <w:rPr>
          <w:color w:val="000000" w:themeColor="text1"/>
        </w:rPr>
      </w:pPr>
      <w:r w:rsidRPr="00AE6EDB">
        <w:rPr>
          <w:b/>
          <w:color w:val="000000" w:themeColor="text1"/>
        </w:rPr>
        <w:t>ZŠ</w:t>
      </w:r>
      <w:r w:rsidRPr="00AE6EDB">
        <w:rPr>
          <w:color w:val="000000" w:themeColor="text1"/>
        </w:rPr>
        <w:t xml:space="preserve"> – základná škola</w:t>
      </w:r>
    </w:p>
    <w:p w:rsidR="00560B46" w:rsidRPr="00AE6EDB" w:rsidRDefault="00560B46" w:rsidP="002625B2">
      <w:pPr>
        <w:jc w:val="left"/>
        <w:rPr>
          <w:color w:val="000000" w:themeColor="text1"/>
        </w:rPr>
        <w:sectPr w:rsidR="00560B46" w:rsidRPr="00AE6EDB" w:rsidSect="00E0328F">
          <w:headerReference w:type="even" r:id="rId9"/>
          <w:headerReference w:type="default" r:id="rId10"/>
          <w:footerReference w:type="even" r:id="rId11"/>
          <w:footerReference w:type="default" r:id="rId12"/>
          <w:pgSz w:w="11906" w:h="16838" w:code="9"/>
          <w:pgMar w:top="1417" w:right="1417" w:bottom="1417" w:left="1417" w:header="709" w:footer="709" w:gutter="0"/>
          <w:pgNumType w:start="1"/>
          <w:cols w:space="708" w:equalWidth="0">
            <w:col w:w="8475"/>
          </w:cols>
          <w:noEndnote/>
          <w:docGrid w:linePitch="299"/>
        </w:sectPr>
      </w:pPr>
    </w:p>
    <w:p w:rsidR="002625B2" w:rsidRPr="00AE6EDB" w:rsidRDefault="002625B2" w:rsidP="002625B2">
      <w:pPr>
        <w:pStyle w:val="Nadpis1"/>
        <w:numPr>
          <w:ilvl w:val="0"/>
          <w:numId w:val="0"/>
        </w:numPr>
        <w:ind w:left="432" w:hanging="432"/>
      </w:pPr>
      <w:bookmarkStart w:id="60" w:name="_Toc356482612"/>
      <w:bookmarkStart w:id="61" w:name="_Toc356482797"/>
      <w:bookmarkStart w:id="62" w:name="_Toc356482805"/>
      <w:bookmarkStart w:id="63" w:name="_Toc452469855"/>
      <w:r w:rsidRPr="00AE6EDB">
        <w:lastRenderedPageBreak/>
        <w:t>ÚVOD</w:t>
      </w:r>
      <w:bookmarkEnd w:id="60"/>
      <w:bookmarkEnd w:id="61"/>
      <w:bookmarkEnd w:id="62"/>
      <w:bookmarkEnd w:id="63"/>
    </w:p>
    <w:p w:rsidR="002625B2" w:rsidRPr="00AE6EDB" w:rsidRDefault="002625B2" w:rsidP="002625B2">
      <w:pPr>
        <w:rPr>
          <w:color w:val="000000" w:themeColor="text1"/>
        </w:rPr>
      </w:pPr>
    </w:p>
    <w:p w:rsidR="002625B2" w:rsidRPr="00AE6EDB" w:rsidRDefault="002625B2" w:rsidP="002625B2">
      <w:pPr>
        <w:ind w:firstLine="431"/>
        <w:rPr>
          <w:color w:val="000000" w:themeColor="text1"/>
        </w:rPr>
      </w:pPr>
      <w:bookmarkStart w:id="64" w:name="_Toc294016300"/>
      <w:bookmarkStart w:id="65" w:name="_Toc195695049"/>
      <w:bookmarkStart w:id="66" w:name="_Toc195695104"/>
      <w:bookmarkStart w:id="67" w:name="_Toc195695142"/>
      <w:bookmarkStart w:id="68" w:name="_Toc195695212"/>
      <w:bookmarkStart w:id="69" w:name="_Toc195695276"/>
      <w:bookmarkStart w:id="70" w:name="_Toc195695051"/>
      <w:bookmarkStart w:id="71" w:name="_Toc195695106"/>
      <w:bookmarkStart w:id="72" w:name="_Toc195695144"/>
      <w:bookmarkStart w:id="73" w:name="_Toc195695214"/>
      <w:bookmarkStart w:id="74" w:name="_Toc195695278"/>
      <w:r w:rsidRPr="00AE6EDB">
        <w:rPr>
          <w:color w:val="000000" w:themeColor="text1"/>
        </w:rPr>
        <w:t>Ministerstvo práce, sociálnych vecí a rodiny Slovenskej republiky (ďalej len „MPSVR SR“) každoročne pripravuje a predkladá na rokovanie vlády Slovenskej republiky (ďalej len „vláda SR“), Hospodárskej a sociálnej rady Slovenskej republiky a Výboru Národnej rady Slovenskej republiky pre sociálne veci Správu o sociálnej situácii obyvateľstva Slovenskej republiky (ďalej len „správa“) za predchádzajúci kalendárny rok. Jej cieľom je informovať o stave a vývoji sociálnej situácie obyvateľstva na Slovensku na základe sociálno-ekonomických ukazovateľov, získaných zo štátnych štatistických zisťovaní, administratívnych zdrojov údajov Ústredia práce, sociálnych vecí a rodiny a Sociálnej poisťovne.</w:t>
      </w:r>
    </w:p>
    <w:p w:rsidR="002625B2" w:rsidRPr="00AE6EDB" w:rsidRDefault="002625B2" w:rsidP="002625B2">
      <w:pPr>
        <w:ind w:firstLine="431"/>
        <w:rPr>
          <w:color w:val="000000" w:themeColor="text1"/>
        </w:rPr>
      </w:pPr>
      <w:r w:rsidRPr="00AE6EDB">
        <w:rPr>
          <w:color w:val="000000" w:themeColor="text1"/>
        </w:rPr>
        <w:t>Prvá kapitola správy poskytuje stručný prehľad o základných ukazovateľoch makroekonomického prostredia a demografického vývoja v Slovenskej republike za rok 201</w:t>
      </w:r>
      <w:r w:rsidR="00144CBA" w:rsidRPr="00AE6EDB">
        <w:rPr>
          <w:color w:val="000000" w:themeColor="text1"/>
        </w:rPr>
        <w:t>5</w:t>
      </w:r>
      <w:r w:rsidRPr="00AE6EDB">
        <w:rPr>
          <w:color w:val="000000" w:themeColor="text1"/>
        </w:rPr>
        <w:t>.</w:t>
      </w:r>
    </w:p>
    <w:p w:rsidR="002625B2" w:rsidRPr="00AE6EDB" w:rsidRDefault="002625B2" w:rsidP="002625B2">
      <w:pPr>
        <w:ind w:firstLine="431"/>
        <w:rPr>
          <w:color w:val="000000" w:themeColor="text1"/>
        </w:rPr>
      </w:pPr>
      <w:r w:rsidRPr="00AE6EDB">
        <w:rPr>
          <w:color w:val="000000" w:themeColor="text1"/>
        </w:rPr>
        <w:t>Druhá kapitola popisuje legislatívne zmeny v roku 201</w:t>
      </w:r>
      <w:r w:rsidR="00144CBA" w:rsidRPr="00AE6EDB">
        <w:rPr>
          <w:color w:val="000000" w:themeColor="text1"/>
        </w:rPr>
        <w:t>5</w:t>
      </w:r>
      <w:r w:rsidRPr="00AE6EDB">
        <w:rPr>
          <w:color w:val="000000" w:themeColor="text1"/>
        </w:rPr>
        <w:t xml:space="preserve"> v oblasti služieb zamestnanosti, pracovnoprávnych vzťahov, výkonu práce vo verejnom záujme a sociálneho dialógu, zameriava sa na vývoj na trhu práce z agregovaného a zo štrukturálneho hľadiska, monitoruje jednotlivé nástroje aktívnej politiky trhu práce, mzdový vývoj a pracovné podmienky v rámci kolektívneho vyjednávania a bezpečnosti a ochrany zdravia pri práci. Súčasťou tejto časti správy je aj analýza úplných nákladov práce. </w:t>
      </w:r>
    </w:p>
    <w:p w:rsidR="002625B2" w:rsidRPr="008621AA" w:rsidRDefault="002625B2" w:rsidP="002625B2">
      <w:pPr>
        <w:ind w:firstLine="431"/>
        <w:rPr>
          <w:color w:val="000000" w:themeColor="text1"/>
        </w:rPr>
      </w:pPr>
      <w:r w:rsidRPr="00AE6EDB">
        <w:rPr>
          <w:color w:val="000000" w:themeColor="text1"/>
        </w:rPr>
        <w:t>Tretia kapitola zahŕňa hlavné formy, stav a zmeny v systéme sociálnej ochrany v roku 201</w:t>
      </w:r>
      <w:r w:rsidR="00144CBA" w:rsidRPr="00AE6EDB">
        <w:rPr>
          <w:color w:val="000000" w:themeColor="text1"/>
        </w:rPr>
        <w:t>5</w:t>
      </w:r>
      <w:r w:rsidRPr="00AE6EDB">
        <w:rPr>
          <w:color w:val="000000" w:themeColor="text1"/>
        </w:rPr>
        <w:t>. Zaoberá sa medziročným porovnaním a analýzou jednotlivých prvkov sociálneho poistenia, dôchodkového sporenia, systému štátnej sociálnej podpory a sociálnej pomoci. Podáva informáciu o dotáciách, poskytovaných v pôsobnosti MPSVR SR a tiež informácie o Operačnom programe Zamestnanosť a sociálna inklúzia</w:t>
      </w:r>
      <w:r w:rsidR="00BC0D6C">
        <w:rPr>
          <w:color w:val="000000" w:themeColor="text1"/>
        </w:rPr>
        <w:t xml:space="preserve"> a</w:t>
      </w:r>
      <w:r w:rsidR="00D81B71" w:rsidRPr="00AE6EDB">
        <w:rPr>
          <w:color w:val="000000" w:themeColor="text1"/>
        </w:rPr>
        <w:t> Operačnom programe Ľudské zdroje</w:t>
      </w:r>
      <w:r w:rsidRPr="00AE6EDB">
        <w:rPr>
          <w:color w:val="000000" w:themeColor="text1"/>
        </w:rPr>
        <w:t xml:space="preserve">, podporovaných z Európskeho sociálneho fondu. Kapitola obsahuje aj výstupy Európskeho integrovaného systému jednotných štatistík sociálnej </w:t>
      </w:r>
      <w:r w:rsidRPr="008621AA">
        <w:rPr>
          <w:color w:val="000000" w:themeColor="text1"/>
        </w:rPr>
        <w:t>ochrany (ESSPROS), jedného zo základných nástrojov štatistického sledovania o systémoch, súčasnom stave a rozvoji sociálnej ochrany v členských štátoch Európskej únie (ďalej aj EÚ).</w:t>
      </w:r>
    </w:p>
    <w:p w:rsidR="002625B2" w:rsidRPr="00AE6EDB" w:rsidRDefault="002625B2" w:rsidP="002625B2">
      <w:pPr>
        <w:ind w:firstLine="431"/>
        <w:rPr>
          <w:color w:val="000000" w:themeColor="text1"/>
        </w:rPr>
      </w:pPr>
      <w:r w:rsidRPr="00AE6EDB">
        <w:rPr>
          <w:color w:val="000000" w:themeColor="text1"/>
        </w:rPr>
        <w:t>Náplň štvrtej kapitoly tvoria dostupné údaje z vyhodnotenia národných indikátorov chudoby a sociálneho vylúčenia. Kapitola zahŕňa aj informácie o stave rodovej rovnosti a rovnosti príležitostí na Slovensku za rok 201</w:t>
      </w:r>
      <w:r w:rsidR="00D81B71" w:rsidRPr="00AE6EDB">
        <w:rPr>
          <w:color w:val="000000" w:themeColor="text1"/>
        </w:rPr>
        <w:t>5</w:t>
      </w:r>
      <w:r w:rsidRPr="00AE6EDB">
        <w:rPr>
          <w:color w:val="000000" w:themeColor="text1"/>
        </w:rPr>
        <w:t>.</w:t>
      </w:r>
    </w:p>
    <w:p w:rsidR="002625B2" w:rsidRPr="00AE6EDB" w:rsidRDefault="002625B2" w:rsidP="002625B2">
      <w:pPr>
        <w:ind w:firstLine="431"/>
        <w:rPr>
          <w:color w:val="000000" w:themeColor="text1"/>
        </w:rPr>
      </w:pPr>
      <w:r w:rsidRPr="00AE6EDB">
        <w:rPr>
          <w:color w:val="000000" w:themeColor="text1"/>
        </w:rPr>
        <w:t xml:space="preserve">Obsahom piatej kapitoly je porovnanie vybraných ukazovateľov medzi krajinami EÚ v kontexte stratégie Európa 2020, ktorá stanovuje hlavné ciele EÚ v nadväznosti na Lisabonskú stratégiu. </w:t>
      </w:r>
    </w:p>
    <w:p w:rsidR="002625B2" w:rsidRPr="00AE6EDB" w:rsidRDefault="002625B2" w:rsidP="002625B2">
      <w:pPr>
        <w:ind w:firstLine="431"/>
        <w:rPr>
          <w:color w:val="000000" w:themeColor="text1"/>
        </w:rPr>
      </w:pPr>
    </w:p>
    <w:p w:rsidR="00352824" w:rsidRDefault="00352824" w:rsidP="002625B2">
      <w:pPr>
        <w:pStyle w:val="Nadpis1"/>
        <w:numPr>
          <w:ilvl w:val="0"/>
          <w:numId w:val="0"/>
        </w:numPr>
        <w:rPr>
          <w:highlight w:val="cyan"/>
        </w:rPr>
        <w:sectPr w:rsidR="00352824" w:rsidSect="001C751A">
          <w:headerReference w:type="default" r:id="rId13"/>
          <w:headerReference w:type="first" r:id="rId14"/>
          <w:footerReference w:type="first" r:id="rId15"/>
          <w:pgSz w:w="11906" w:h="16838"/>
          <w:pgMar w:top="1417" w:right="1417" w:bottom="1417" w:left="1417" w:header="709" w:footer="709" w:gutter="0"/>
          <w:cols w:space="708"/>
          <w:titlePg/>
          <w:docGrid w:linePitch="360"/>
        </w:sectPr>
      </w:pPr>
    </w:p>
    <w:p w:rsidR="00B253E7" w:rsidRDefault="00B253E7" w:rsidP="002625B2">
      <w:pPr>
        <w:pStyle w:val="Nadpis1"/>
        <w:numPr>
          <w:ilvl w:val="0"/>
          <w:numId w:val="0"/>
        </w:numPr>
        <w:rPr>
          <w:highlight w:val="cyan"/>
        </w:rPr>
        <w:sectPr w:rsidR="00B253E7" w:rsidSect="00352824">
          <w:headerReference w:type="first" r:id="rId16"/>
          <w:type w:val="evenPage"/>
          <w:pgSz w:w="11906" w:h="16838"/>
          <w:pgMar w:top="1417" w:right="1417" w:bottom="1417" w:left="1417" w:header="709" w:footer="709" w:gutter="0"/>
          <w:cols w:space="708"/>
          <w:titlePg/>
          <w:docGrid w:linePitch="360"/>
        </w:sectPr>
      </w:pPr>
    </w:p>
    <w:bookmarkEnd w:id="64"/>
    <w:bookmarkEnd w:id="65"/>
    <w:bookmarkEnd w:id="66"/>
    <w:bookmarkEnd w:id="67"/>
    <w:bookmarkEnd w:id="68"/>
    <w:bookmarkEnd w:id="69"/>
    <w:bookmarkEnd w:id="70"/>
    <w:bookmarkEnd w:id="71"/>
    <w:bookmarkEnd w:id="72"/>
    <w:bookmarkEnd w:id="73"/>
    <w:bookmarkEnd w:id="74"/>
    <w:p w:rsidR="002625B2" w:rsidRPr="00AE6EDB" w:rsidRDefault="00FD7905" w:rsidP="002625B2">
      <w:pPr>
        <w:pStyle w:val="Nadpis1"/>
        <w:rPr>
          <w:rStyle w:val="Hypertextovprepojenie"/>
          <w:color w:val="6D1D14" w:themeColor="accent2" w:themeShade="80"/>
          <w:u w:val="none"/>
        </w:rPr>
      </w:pPr>
      <w:r w:rsidRPr="00AE6EDB">
        <w:lastRenderedPageBreak/>
        <w:fldChar w:fldCharType="begin"/>
      </w:r>
      <w:r w:rsidR="002625B2" w:rsidRPr="00AE6EDB">
        <w:instrText xml:space="preserve"> HYPERLINK \l "_Toc168135213" </w:instrText>
      </w:r>
      <w:r w:rsidRPr="00AE6EDB">
        <w:fldChar w:fldCharType="separate"/>
      </w:r>
      <w:bookmarkStart w:id="75" w:name="_Toc356482613"/>
      <w:bookmarkStart w:id="76" w:name="_Toc356482798"/>
      <w:bookmarkStart w:id="77" w:name="_Toc356482806"/>
      <w:bookmarkStart w:id="78" w:name="_Toc422233399"/>
      <w:bookmarkStart w:id="79" w:name="_Toc452469856"/>
      <w:r w:rsidR="002625B2" w:rsidRPr="00AE6EDB">
        <w:rPr>
          <w:rStyle w:val="Hypertextovprepojenie"/>
          <w:color w:val="6D1D14" w:themeColor="accent2" w:themeShade="80"/>
          <w:u w:val="none"/>
        </w:rPr>
        <w:t>HLAVNÉ MAKROEKONOMICKO-DEMOGRAFICKÉ</w:t>
      </w:r>
      <w:r w:rsidR="002625B2" w:rsidRPr="00AE6EDB">
        <w:rPr>
          <w:rStyle w:val="Hypertextovprepojenie"/>
          <w:color w:val="6D1D14" w:themeColor="accent2" w:themeShade="80"/>
          <w:u w:val="none"/>
        </w:rPr>
        <w:br/>
        <w:t xml:space="preserve">UKAZOVATELE </w:t>
      </w:r>
      <w:r w:rsidRPr="00AE6EDB">
        <w:rPr>
          <w:rStyle w:val="Hypertextovprepojenie"/>
          <w:color w:val="6D1D14" w:themeColor="accent2" w:themeShade="80"/>
          <w:u w:val="none"/>
        </w:rPr>
        <w:fldChar w:fldCharType="end"/>
      </w:r>
      <w:r w:rsidR="002625B2" w:rsidRPr="00AE6EDB">
        <w:t>V </w:t>
      </w:r>
      <w:r w:rsidR="002625B2" w:rsidRPr="00AE6EDB">
        <w:rPr>
          <w:rStyle w:val="Hypertextovprepojenie"/>
          <w:color w:val="6D1D14" w:themeColor="accent2" w:themeShade="80"/>
          <w:u w:val="none"/>
        </w:rPr>
        <w:t>PODMIENKACH SLOVENSKEJ REPUBLIKY</w:t>
      </w:r>
      <w:bookmarkEnd w:id="75"/>
      <w:bookmarkEnd w:id="76"/>
      <w:bookmarkEnd w:id="77"/>
      <w:bookmarkEnd w:id="78"/>
      <w:bookmarkEnd w:id="79"/>
      <w:r w:rsidR="002625B2" w:rsidRPr="00AE6EDB">
        <w:rPr>
          <w:rStyle w:val="Hypertextovprepojenie"/>
          <w:color w:val="6D1D14" w:themeColor="accent2" w:themeShade="80"/>
          <w:u w:val="none"/>
        </w:rPr>
        <w:tab/>
      </w:r>
    </w:p>
    <w:p w:rsidR="002625B2" w:rsidRPr="00AE6EDB" w:rsidRDefault="002625B2" w:rsidP="002625B2">
      <w:pPr>
        <w:pStyle w:val="nadpis2"/>
      </w:pPr>
      <w:bookmarkStart w:id="80" w:name="_Toc356482614"/>
      <w:bookmarkStart w:id="81" w:name="_Toc356482807"/>
      <w:bookmarkStart w:id="82" w:name="_Toc422233400"/>
      <w:bookmarkStart w:id="83" w:name="_Toc452469857"/>
      <w:r w:rsidRPr="00AE6EDB">
        <w:t>Základné makroekonomické charakteristiky</w:t>
      </w:r>
      <w:r w:rsidRPr="00AE6EDB">
        <w:rPr>
          <w:rStyle w:val="Odkaznapoznmkupodiarou"/>
        </w:rPr>
        <w:footnoteReference w:id="1"/>
      </w:r>
      <w:bookmarkEnd w:id="80"/>
      <w:bookmarkEnd w:id="81"/>
      <w:bookmarkEnd w:id="82"/>
      <w:bookmarkEnd w:id="83"/>
    </w:p>
    <w:p w:rsidR="002625B2" w:rsidRPr="00AE6EDB" w:rsidRDefault="002625B2" w:rsidP="002625B2">
      <w:pPr>
        <w:pStyle w:val="Normlnysozarkami12"/>
        <w:ind w:firstLine="431"/>
        <w:rPr>
          <w:color w:val="000000" w:themeColor="text1"/>
        </w:rPr>
      </w:pPr>
      <w:r w:rsidRPr="00AE6EDB">
        <w:rPr>
          <w:color w:val="000000" w:themeColor="text1"/>
        </w:rPr>
        <w:t>Zrýchľovanie medziročného rastu výkonnosti ekonomiky v roku 2015 malo pozitívny vplyv aj na</w:t>
      </w:r>
      <w:r w:rsidR="00DE0EEC" w:rsidRPr="00AE6EDB">
        <w:rPr>
          <w:color w:val="000000" w:themeColor="text1"/>
        </w:rPr>
        <w:t> </w:t>
      </w:r>
      <w:r w:rsidRPr="00AE6EDB">
        <w:rPr>
          <w:color w:val="000000" w:themeColor="text1"/>
        </w:rPr>
        <w:t>trh práce. Situácia na trhu práce sa zlepšovala ešte výraznejšie ako v roku 2014, a to aj z hľadiska rastu celkovej zamestnanosti v hospodárstve aj poklesu nezamestnanosti. O zlepšovaní podmienok na</w:t>
      </w:r>
      <w:r w:rsidR="00DE0EEC" w:rsidRPr="00AE6EDB">
        <w:rPr>
          <w:color w:val="000000" w:themeColor="text1"/>
        </w:rPr>
        <w:t> </w:t>
      </w:r>
      <w:r w:rsidRPr="00AE6EDB">
        <w:rPr>
          <w:color w:val="000000" w:themeColor="text1"/>
        </w:rPr>
        <w:t xml:space="preserve">trhu práce v minulom roku svedčí aj vývoj počtu voľných pracovných miest v hospodárstve a rast priemernej mesačnej mzdy v nominálnom i reálnom vyjadrení. </w:t>
      </w:r>
    </w:p>
    <w:p w:rsidR="002625B2" w:rsidRPr="00AE6EDB" w:rsidRDefault="002625B2" w:rsidP="002625B2">
      <w:pPr>
        <w:pStyle w:val="Normlnysozarkami12"/>
        <w:ind w:firstLine="431"/>
        <w:rPr>
          <w:color w:val="000000" w:themeColor="text1"/>
        </w:rPr>
      </w:pPr>
      <w:r w:rsidRPr="00AE6EDB">
        <w:rPr>
          <w:color w:val="000000" w:themeColor="text1"/>
        </w:rPr>
        <w:t>Hrubý domáci produkt (HDP) zrýchlil svoj medziročný rast o 1,1 p. b., keď sa oproti roku 2014 zvýšil v stálych cenách na základe metodiky národných účtov (ESA 2010) o 3,6</w:t>
      </w:r>
      <w:r w:rsidR="005676EF">
        <w:rPr>
          <w:color w:val="000000" w:themeColor="text1"/>
        </w:rPr>
        <w:t> %</w:t>
      </w:r>
      <w:r w:rsidRPr="00AE6EDB">
        <w:rPr>
          <w:color w:val="000000" w:themeColor="text1"/>
        </w:rPr>
        <w:t>. V bežných cenách vzrástlo HDP na 78,1 mld.</w:t>
      </w:r>
      <w:r w:rsidR="0054295F">
        <w:rPr>
          <w:color w:val="000000" w:themeColor="text1"/>
        </w:rPr>
        <w:t> eur</w:t>
      </w:r>
      <w:r w:rsidRPr="00AE6EDB">
        <w:rPr>
          <w:color w:val="000000" w:themeColor="text1"/>
        </w:rPr>
        <w:t>, čo bolo o 3,3</w:t>
      </w:r>
      <w:r w:rsidR="005676EF">
        <w:rPr>
          <w:color w:val="000000" w:themeColor="text1"/>
        </w:rPr>
        <w:t> %</w:t>
      </w:r>
      <w:r w:rsidRPr="00AE6EDB">
        <w:rPr>
          <w:color w:val="000000" w:themeColor="text1"/>
        </w:rPr>
        <w:t xml:space="preserve"> viac ako v roku 2014.</w:t>
      </w:r>
    </w:p>
    <w:p w:rsidR="002625B2" w:rsidRPr="00AE6EDB" w:rsidRDefault="002625B2" w:rsidP="002625B2">
      <w:pPr>
        <w:pStyle w:val="Nadpis7"/>
        <w:spacing w:before="120" w:after="0"/>
        <w:ind w:firstLine="431"/>
        <w:rPr>
          <w:color w:val="000000" w:themeColor="text1"/>
        </w:rPr>
      </w:pPr>
      <w:r w:rsidRPr="00AE6EDB">
        <w:rPr>
          <w:color w:val="000000" w:themeColor="text1"/>
        </w:rPr>
        <w:t>Graf 1.1 Vývoj hrubého domáceho produktu v bežných a stálych cenách</w:t>
      </w:r>
    </w:p>
    <w:p w:rsidR="002625B2" w:rsidRPr="00AE6EDB" w:rsidRDefault="002625B2" w:rsidP="002625B2">
      <w:pPr>
        <w:jc w:val="center"/>
      </w:pPr>
      <w:r w:rsidRPr="00AE6EDB">
        <w:rPr>
          <w:noProof/>
        </w:rPr>
        <w:drawing>
          <wp:inline distT="0" distB="0" distL="0" distR="0" wp14:anchorId="38C28718" wp14:editId="19C57D09">
            <wp:extent cx="4655127" cy="2398815"/>
            <wp:effectExtent l="0" t="0" r="0" b="190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25B2" w:rsidRPr="00AE6EDB" w:rsidRDefault="002625B2" w:rsidP="002625B2">
      <w:pPr>
        <w:pStyle w:val="zdroj"/>
        <w:ind w:firstLine="431"/>
      </w:pPr>
      <w:r w:rsidRPr="00AE6EDB">
        <w:t>Zdroj: ŠÚ SR</w:t>
      </w:r>
    </w:p>
    <w:p w:rsidR="002625B2" w:rsidRPr="00AE6EDB" w:rsidRDefault="002625B2" w:rsidP="002625B2">
      <w:pPr>
        <w:ind w:firstLine="431"/>
      </w:pPr>
      <w:r w:rsidRPr="00AE6EDB">
        <w:t xml:space="preserve">Objem zahraničného dopytu vzrástol </w:t>
      </w:r>
      <w:r w:rsidR="004B6751" w:rsidRPr="00AE6EDB">
        <w:t xml:space="preserve">medziročne </w:t>
      </w:r>
      <w:r w:rsidRPr="00AE6EDB">
        <w:t>o 7,0</w:t>
      </w:r>
      <w:r w:rsidR="005676EF">
        <w:t> %</w:t>
      </w:r>
      <w:r w:rsidRPr="00AE6EDB">
        <w:t xml:space="preserve"> a domáceho dopytu o 4,9</w:t>
      </w:r>
      <w:r w:rsidR="005676EF">
        <w:t> %</w:t>
      </w:r>
      <w:r w:rsidRPr="00AE6EDB">
        <w:t xml:space="preserve">. Zvýšenie domáceho dopytu </w:t>
      </w:r>
      <w:r w:rsidR="004B6751" w:rsidRPr="00AE6EDB">
        <w:t>podporili všetky jeho výdavkové zložky,</w:t>
      </w:r>
      <w:r w:rsidRPr="00AE6EDB">
        <w:t xml:space="preserve"> najmä </w:t>
      </w:r>
      <w:r w:rsidR="004B6751" w:rsidRPr="00AE6EDB">
        <w:t xml:space="preserve">však </w:t>
      </w:r>
      <w:r w:rsidRPr="00AE6EDB">
        <w:t>vysoký investičný dopyt, nakoľko tvorba hrubého kapitálu vzrástla o 13,1</w:t>
      </w:r>
      <w:r w:rsidR="005676EF">
        <w:t> %</w:t>
      </w:r>
      <w:r w:rsidRPr="00AE6EDB">
        <w:t xml:space="preserve"> a tvorba hrubého fixného kapitálu o 14,0</w:t>
      </w:r>
      <w:r w:rsidR="005676EF">
        <w:t> %</w:t>
      </w:r>
      <w:r w:rsidRPr="00AE6EDB">
        <w:t xml:space="preserve">, čo súviselo s </w:t>
      </w:r>
      <w:r w:rsidRPr="00AE6EDB">
        <w:rPr>
          <w:szCs w:val="22"/>
        </w:rPr>
        <w:t xml:space="preserve">čerpaním EÚ fondov na rôzne infraštruktúrne projekty. Rast konečnej spotreby sa oproti roku 2014 spomalil vplyvom spomalenia rastu spotreby verejnej správy. </w:t>
      </w:r>
      <w:r w:rsidRPr="00AE6EDB">
        <w:t>Konečná spotreba verejnej správy sa zvýšila o 3,4</w:t>
      </w:r>
      <w:r w:rsidR="005676EF">
        <w:t> %</w:t>
      </w:r>
      <w:r w:rsidRPr="00AE6EDB">
        <w:t xml:space="preserve"> (čo bolo o 2,5 p. b. menej ako v roku 2014), konečná spotreba domácností o</w:t>
      </w:r>
      <w:r w:rsidR="00EF6199">
        <w:t> </w:t>
      </w:r>
      <w:r w:rsidRPr="00AE6EDB">
        <w:t>2,4</w:t>
      </w:r>
      <w:r w:rsidR="005676EF">
        <w:t> %</w:t>
      </w:r>
      <w:r w:rsidRPr="00AE6EDB">
        <w:t xml:space="preserve"> (rovnako ako v roku 2014) a konečná spotreba neziskových inštitúcií, slúžiacich domácnostiam o 3,1</w:t>
      </w:r>
      <w:r w:rsidR="005676EF">
        <w:t> %</w:t>
      </w:r>
      <w:r w:rsidRPr="00AE6EDB">
        <w:t xml:space="preserve"> (v roku 2014 zaznamenala pokles o 0,6</w:t>
      </w:r>
      <w:r w:rsidR="005676EF">
        <w:t> %</w:t>
      </w:r>
      <w:r w:rsidRPr="00AE6EDB">
        <w:t xml:space="preserve">). </w:t>
      </w:r>
    </w:p>
    <w:p w:rsidR="002625B2" w:rsidRPr="00AE6EDB" w:rsidRDefault="002625B2" w:rsidP="002625B2">
      <w:pPr>
        <w:ind w:firstLine="431"/>
        <w:rPr>
          <w:color w:val="000000" w:themeColor="text1"/>
        </w:rPr>
      </w:pPr>
      <w:r w:rsidRPr="00AE6EDB">
        <w:rPr>
          <w:color w:val="000000" w:themeColor="text1"/>
        </w:rPr>
        <w:t xml:space="preserve">Medziročná </w:t>
      </w:r>
      <w:r w:rsidRPr="00AE6EDB">
        <w:rPr>
          <w:b/>
          <w:color w:val="000000" w:themeColor="text1"/>
        </w:rPr>
        <w:t>miera inflácie</w:t>
      </w:r>
      <w:r w:rsidRPr="00AE6EDB">
        <w:rPr>
          <w:color w:val="000000" w:themeColor="text1"/>
        </w:rPr>
        <w:t xml:space="preserve"> meraná indexom spotrebiteľských cien dosiahla za rok 2015 hodnotu v priemere -0,3</w:t>
      </w:r>
      <w:r w:rsidR="005676EF">
        <w:rPr>
          <w:color w:val="000000" w:themeColor="text1"/>
        </w:rPr>
        <w:t> %</w:t>
      </w:r>
      <w:r w:rsidRPr="00AE6EDB">
        <w:rPr>
          <w:color w:val="000000" w:themeColor="text1"/>
        </w:rPr>
        <w:t>, čo znamená, že deflácia, ktorá je sprievodným javom slovenskej ekonomiky od</w:t>
      </w:r>
      <w:r w:rsidR="00EF6199">
        <w:rPr>
          <w:color w:val="000000" w:themeColor="text1"/>
        </w:rPr>
        <w:t> </w:t>
      </w:r>
      <w:r w:rsidRPr="00AE6EDB">
        <w:rPr>
          <w:color w:val="000000" w:themeColor="text1"/>
        </w:rPr>
        <w:t>roku 2014, sa minulý rok ešte viac prehĺbila</w:t>
      </w:r>
      <w:r w:rsidR="004B6751" w:rsidRPr="00AE6EDB">
        <w:rPr>
          <w:color w:val="000000" w:themeColor="text1"/>
        </w:rPr>
        <w:t>.</w:t>
      </w:r>
      <w:r w:rsidRPr="00AE6EDB">
        <w:rPr>
          <w:color w:val="000000" w:themeColor="text1"/>
        </w:rPr>
        <w:t xml:space="preserve"> </w:t>
      </w:r>
      <w:r w:rsidR="004B6751" w:rsidRPr="00AE6EDB">
        <w:rPr>
          <w:color w:val="000000" w:themeColor="text1"/>
        </w:rPr>
        <w:t>P</w:t>
      </w:r>
      <w:r w:rsidRPr="00AE6EDB">
        <w:rPr>
          <w:color w:val="000000" w:themeColor="text1"/>
        </w:rPr>
        <w:t xml:space="preserve">okles cien bol </w:t>
      </w:r>
      <w:r w:rsidR="004B6751" w:rsidRPr="00AE6EDB">
        <w:rPr>
          <w:color w:val="000000" w:themeColor="text1"/>
        </w:rPr>
        <w:t xml:space="preserve">hlbší </w:t>
      </w:r>
      <w:r w:rsidRPr="00AE6EDB">
        <w:rPr>
          <w:color w:val="000000" w:themeColor="text1"/>
        </w:rPr>
        <w:t>o 0,2 p. b. ako v roku 2014.</w:t>
      </w:r>
    </w:p>
    <w:p w:rsidR="002625B2" w:rsidRPr="00AE6EDB" w:rsidRDefault="002625B2" w:rsidP="002625B2">
      <w:pPr>
        <w:ind w:firstLine="431"/>
      </w:pPr>
      <w:r w:rsidRPr="00AE6EDB">
        <w:rPr>
          <w:b/>
        </w:rPr>
        <w:t>Spotrebiteľské ceny</w:t>
      </w:r>
      <w:r w:rsidRPr="00AE6EDB">
        <w:t xml:space="preserve"> medziročne klesali vo všetkých mesiacoch minulého roka, a to najmä vďaka poklesu regulovaných cien (-1,6</w:t>
      </w:r>
      <w:r w:rsidR="005676EF">
        <w:t> %</w:t>
      </w:r>
      <w:r w:rsidRPr="00AE6EDB">
        <w:t xml:space="preserve">). </w:t>
      </w:r>
      <w:r w:rsidRPr="00AE6EDB">
        <w:rPr>
          <w:color w:val="000000" w:themeColor="text1"/>
        </w:rPr>
        <w:t>Jadrová inflácia v roku 2015 v priemere medziročne klesla na nulu, čo predstavuje jej historické minimum (v roku 2014 dosiahla 0,2</w:t>
      </w:r>
      <w:r w:rsidR="005676EF">
        <w:rPr>
          <w:color w:val="000000" w:themeColor="text1"/>
        </w:rPr>
        <w:t> %</w:t>
      </w:r>
      <w:r w:rsidRPr="00AE6EDB">
        <w:rPr>
          <w:color w:val="000000" w:themeColor="text1"/>
        </w:rPr>
        <w:t>). Čistá inflácia (bez</w:t>
      </w:r>
      <w:r w:rsidR="00EF6199">
        <w:rPr>
          <w:color w:val="000000" w:themeColor="text1"/>
        </w:rPr>
        <w:t> </w:t>
      </w:r>
      <w:r w:rsidRPr="00AE6EDB">
        <w:rPr>
          <w:color w:val="000000" w:themeColor="text1"/>
        </w:rPr>
        <w:t>zmien priamych daní) znížila medziročne dynamiku svojho rastu o 0,3 p. b. na 0,1</w:t>
      </w:r>
      <w:r w:rsidR="005676EF">
        <w:rPr>
          <w:color w:val="000000" w:themeColor="text1"/>
        </w:rPr>
        <w:t> %</w:t>
      </w:r>
      <w:r w:rsidRPr="00AE6EDB">
        <w:rPr>
          <w:color w:val="000000" w:themeColor="text1"/>
        </w:rPr>
        <w:t>. Celkovú úroveň cien podľa klasifikácie individuálnej spotreby podľa účelu (COICOP) najviac ovplyvnili medziročný pokles cien za bývanie, vodu, elektrinu a iné palivá (o 1,0</w:t>
      </w:r>
      <w:r w:rsidR="005676EF">
        <w:rPr>
          <w:color w:val="000000" w:themeColor="text1"/>
        </w:rPr>
        <w:t> %</w:t>
      </w:r>
      <w:r w:rsidRPr="00AE6EDB">
        <w:rPr>
          <w:color w:val="000000" w:themeColor="text1"/>
        </w:rPr>
        <w:t>), za potraviny a nealkoholické nápoje (o 0,3</w:t>
      </w:r>
      <w:r w:rsidR="005676EF">
        <w:rPr>
          <w:color w:val="000000" w:themeColor="text1"/>
        </w:rPr>
        <w:t> %</w:t>
      </w:r>
      <w:r w:rsidRPr="00AE6EDB">
        <w:rPr>
          <w:color w:val="000000" w:themeColor="text1"/>
        </w:rPr>
        <w:t>) a cien v doprave (o 6,2</w:t>
      </w:r>
      <w:r w:rsidR="005676EF">
        <w:rPr>
          <w:color w:val="000000" w:themeColor="text1"/>
        </w:rPr>
        <w:t> %</w:t>
      </w:r>
      <w:r w:rsidRPr="00AE6EDB">
        <w:rPr>
          <w:color w:val="000000" w:themeColor="text1"/>
        </w:rPr>
        <w:t>). Okrem týchto kategórií ceny klesli ešte v oblasti pošty a telekomunikácií (o 0,2</w:t>
      </w:r>
      <w:r w:rsidR="005676EF">
        <w:rPr>
          <w:color w:val="000000" w:themeColor="text1"/>
        </w:rPr>
        <w:t> %</w:t>
      </w:r>
      <w:r w:rsidRPr="00AE6EDB">
        <w:rPr>
          <w:color w:val="000000" w:themeColor="text1"/>
        </w:rPr>
        <w:t xml:space="preserve">). V priemere za rok 2015 vzrástli ceny najmä v oblasti </w:t>
      </w:r>
      <w:r w:rsidRPr="00AE6EDB">
        <w:rPr>
          <w:color w:val="000000" w:themeColor="text1"/>
        </w:rPr>
        <w:lastRenderedPageBreak/>
        <w:t>vzdelávania (o 2,3</w:t>
      </w:r>
      <w:r w:rsidR="005676EF">
        <w:rPr>
          <w:color w:val="000000" w:themeColor="text1"/>
        </w:rPr>
        <w:t> %</w:t>
      </w:r>
      <w:r w:rsidRPr="00AE6EDB">
        <w:rPr>
          <w:color w:val="000000" w:themeColor="text1"/>
        </w:rPr>
        <w:t>), za nábytok, bytové zariadenie a bežnú údržbu domu (o 1,8</w:t>
      </w:r>
      <w:r w:rsidR="005676EF">
        <w:rPr>
          <w:color w:val="000000" w:themeColor="text1"/>
        </w:rPr>
        <w:t> %</w:t>
      </w:r>
      <w:r w:rsidRPr="00AE6EDB">
        <w:rPr>
          <w:color w:val="000000" w:themeColor="text1"/>
        </w:rPr>
        <w:t>) a za hotely, kaviarne a reštaurácie (o 1,7</w:t>
      </w:r>
      <w:r w:rsidR="005676EF">
        <w:rPr>
          <w:color w:val="000000" w:themeColor="text1"/>
        </w:rPr>
        <w:t> %</w:t>
      </w:r>
      <w:r w:rsidRPr="00AE6EDB">
        <w:rPr>
          <w:color w:val="000000" w:themeColor="text1"/>
        </w:rPr>
        <w:t xml:space="preserve">). </w:t>
      </w:r>
    </w:p>
    <w:p w:rsidR="002625B2" w:rsidRPr="00AE6EDB" w:rsidRDefault="002625B2" w:rsidP="002625B2">
      <w:pPr>
        <w:pStyle w:val="Normlnysozarkami12"/>
        <w:ind w:firstLine="431"/>
        <w:rPr>
          <w:color w:val="000000" w:themeColor="text1"/>
        </w:rPr>
      </w:pPr>
      <w:r w:rsidRPr="00AE6EDB">
        <w:rPr>
          <w:color w:val="000000" w:themeColor="text1"/>
        </w:rPr>
        <w:t>Vplyvom zrýchlenia rastu hospodárstva dochádzalo počas celého roka 2015 k ďalšiemu zlepšovaniu situácie na trhu práce, ktoré bolo ešte výraznejšie ako v roku 2014. Týka sa to rastu celkovej zamestnanosti zisťovanej podľa oboch metodík Štatistického úradu SR (podľa výberového zisťovania pracovných síl i podľa štatistického výkazníctva), ako aj poklesu miery evidovanej nezamestnanosti</w:t>
      </w:r>
      <w:r w:rsidRPr="00AE6EDB">
        <w:rPr>
          <w:b/>
          <w:color w:val="000000" w:themeColor="text1"/>
        </w:rPr>
        <w:t xml:space="preserve"> </w:t>
      </w:r>
      <w:r w:rsidRPr="00AE6EDB">
        <w:rPr>
          <w:color w:val="000000" w:themeColor="text1"/>
        </w:rPr>
        <w:t>i nezamestnanosti zisťovanej Štatistickým úradom SR</w:t>
      </w:r>
      <w:r w:rsidR="00DE0EEC" w:rsidRPr="00AE6EDB">
        <w:rPr>
          <w:color w:val="000000" w:themeColor="text1"/>
        </w:rPr>
        <w:t xml:space="preserve"> (ďalej aj „ŠÚ SR“)</w:t>
      </w:r>
      <w:r w:rsidRPr="00AE6EDB">
        <w:rPr>
          <w:color w:val="000000" w:themeColor="text1"/>
        </w:rPr>
        <w:t xml:space="preserve">. </w:t>
      </w:r>
    </w:p>
    <w:p w:rsidR="002625B2" w:rsidRPr="00AE6EDB" w:rsidRDefault="002625B2" w:rsidP="002625B2">
      <w:pPr>
        <w:pStyle w:val="Normlnysozarkami12"/>
        <w:ind w:firstLine="431"/>
        <w:rPr>
          <w:color w:val="000000" w:themeColor="text1"/>
        </w:rPr>
      </w:pPr>
      <w:r w:rsidRPr="00AE6EDB">
        <w:rPr>
          <w:color w:val="000000" w:themeColor="text1"/>
        </w:rPr>
        <w:t xml:space="preserve">Podľa výberového zisťovania pracovných síl, ktoré ŠÚ SR realizuje v domácnostiach SR, </w:t>
      </w:r>
      <w:r w:rsidRPr="00AE6EDB">
        <w:rPr>
          <w:b/>
          <w:color w:val="000000" w:themeColor="text1"/>
        </w:rPr>
        <w:t>celková zamestnanosť</w:t>
      </w:r>
      <w:r w:rsidRPr="00AE6EDB">
        <w:rPr>
          <w:rStyle w:val="Odkaznapoznmkupodiarou"/>
          <w:color w:val="000000" w:themeColor="text1"/>
          <w:szCs w:val="22"/>
        </w:rPr>
        <w:t xml:space="preserve"> </w:t>
      </w:r>
      <w:r w:rsidRPr="00AE6EDB">
        <w:rPr>
          <w:color w:val="000000" w:themeColor="text1"/>
        </w:rPr>
        <w:t>v roku 2015 narástla o 2,6</w:t>
      </w:r>
      <w:r w:rsidR="005676EF">
        <w:rPr>
          <w:color w:val="000000" w:themeColor="text1"/>
        </w:rPr>
        <w:t> %</w:t>
      </w:r>
      <w:r w:rsidRPr="00AE6EDB">
        <w:rPr>
          <w:color w:val="000000" w:themeColor="text1"/>
        </w:rPr>
        <w:t xml:space="preserve"> (61 tis. osôb) a v priemere za rok predstavovala </w:t>
      </w:r>
      <w:r w:rsidR="0054295F">
        <w:rPr>
          <w:color w:val="000000" w:themeColor="text1"/>
        </w:rPr>
        <w:t>2 4</w:t>
      </w:r>
      <w:r w:rsidRPr="00AE6EDB">
        <w:rPr>
          <w:color w:val="000000" w:themeColor="text1"/>
        </w:rPr>
        <w:t>24 tis. pracujúcich osôb (národný koncept zamestnanosti</w:t>
      </w:r>
      <w:r w:rsidRPr="00AE6EDB">
        <w:rPr>
          <w:rStyle w:val="Odkaznapoznmkupodiarou"/>
          <w:color w:val="000000" w:themeColor="text1"/>
        </w:rPr>
        <w:footnoteReference w:id="2"/>
      </w:r>
      <w:r w:rsidRPr="00AE6EDB">
        <w:rPr>
          <w:color w:val="000000" w:themeColor="text1"/>
        </w:rPr>
        <w:t>), pričom sa zvýšil aj počet zamestnancov (o 2,9</w:t>
      </w:r>
      <w:r w:rsidR="005676EF">
        <w:rPr>
          <w:color w:val="000000" w:themeColor="text1"/>
        </w:rPr>
        <w:t> %</w:t>
      </w:r>
      <w:r w:rsidRPr="00AE6EDB">
        <w:rPr>
          <w:color w:val="000000" w:themeColor="text1"/>
        </w:rPr>
        <w:t xml:space="preserve"> na </w:t>
      </w:r>
      <w:r w:rsidR="0054295F">
        <w:rPr>
          <w:color w:val="000000" w:themeColor="text1"/>
        </w:rPr>
        <w:t>2 0</w:t>
      </w:r>
      <w:r w:rsidRPr="00AE6EDB">
        <w:rPr>
          <w:color w:val="000000" w:themeColor="text1"/>
        </w:rPr>
        <w:t>56,6 tis.), aj počet podnikateľov (o 0,4</w:t>
      </w:r>
      <w:r w:rsidR="005676EF">
        <w:rPr>
          <w:color w:val="000000" w:themeColor="text1"/>
        </w:rPr>
        <w:t> %</w:t>
      </w:r>
      <w:r w:rsidRPr="00AE6EDB">
        <w:rPr>
          <w:color w:val="000000" w:themeColor="text1"/>
        </w:rPr>
        <w:t xml:space="preserve"> na 363,6 tis.). Podľa štatistického výkazníctva ŠÚ SR, ktoré je realizované v podnikoch v SR, priemerný počet zamestnaných v hospodárstve SR v roku 2015 vzrástol o 2,1</w:t>
      </w:r>
      <w:r w:rsidR="005676EF">
        <w:rPr>
          <w:color w:val="000000" w:themeColor="text1"/>
        </w:rPr>
        <w:t> %</w:t>
      </w:r>
      <w:r w:rsidRPr="00AE6EDB">
        <w:rPr>
          <w:color w:val="000000" w:themeColor="text1"/>
        </w:rPr>
        <w:t xml:space="preserve"> (47 tis. osôb) na </w:t>
      </w:r>
      <w:r w:rsidR="0054295F">
        <w:rPr>
          <w:color w:val="000000" w:themeColor="text1"/>
        </w:rPr>
        <w:t>2 2</w:t>
      </w:r>
      <w:r w:rsidRPr="00AE6EDB">
        <w:rPr>
          <w:color w:val="000000" w:themeColor="text1"/>
        </w:rPr>
        <w:t xml:space="preserve">51,6 osôb. </w:t>
      </w:r>
      <w:r w:rsidRPr="00AE6EDB">
        <w:rPr>
          <w:rFonts w:cstheme="minorBidi"/>
          <w:szCs w:val="22"/>
        </w:rPr>
        <w:t>Vyššia dynamika rastu celkovej zamestnanosti podľa výberového zisťovania pracovných síl súvisela s rastom počtu krátkodobo migrujúcich za prácou do zahraničia (s pobytom do 1 roka alebo pravidelne dochádzajúcich za prácou cez hranice). Počet krátkodobo migrujúcich medziročne vzrástol o 10,</w:t>
      </w:r>
      <w:r w:rsidR="00CD5B34">
        <w:rPr>
          <w:rFonts w:cstheme="minorBidi"/>
          <w:szCs w:val="22"/>
        </w:rPr>
        <w:t>4</w:t>
      </w:r>
      <w:r w:rsidR="005676EF">
        <w:rPr>
          <w:rFonts w:cstheme="minorBidi"/>
          <w:szCs w:val="22"/>
        </w:rPr>
        <w:t> %</w:t>
      </w:r>
      <w:r w:rsidRPr="00AE6EDB">
        <w:rPr>
          <w:rFonts w:cstheme="minorBidi"/>
          <w:szCs w:val="22"/>
        </w:rPr>
        <w:t xml:space="preserve"> (o 14 tisíc osôb) a v priemere dosiahol 148</w:t>
      </w:r>
      <w:r w:rsidR="00EC06F7" w:rsidRPr="00AE6EDB">
        <w:rPr>
          <w:rFonts w:cstheme="minorBidi"/>
          <w:szCs w:val="22"/>
        </w:rPr>
        <w:t>,0</w:t>
      </w:r>
      <w:r w:rsidRPr="00AE6EDB">
        <w:rPr>
          <w:rFonts w:cstheme="minorBidi"/>
          <w:szCs w:val="22"/>
        </w:rPr>
        <w:t> tis.</w:t>
      </w:r>
      <w:r w:rsidRPr="00AE6EDB">
        <w:rPr>
          <w:color w:val="000000" w:themeColor="text1"/>
        </w:rPr>
        <w:t xml:space="preserve"> </w:t>
      </w:r>
      <w:r w:rsidRPr="00AE6EDB">
        <w:rPr>
          <w:rFonts w:cstheme="minorBidi"/>
          <w:szCs w:val="22"/>
        </w:rPr>
        <w:t>Po odrátaní krátkodobo migrujúcich za prácou do zahraničia (domáci koncept zamestnanosti</w:t>
      </w:r>
      <w:r w:rsidRPr="00AE6EDB">
        <w:rPr>
          <w:rStyle w:val="Odkaznapoznmkupodiarou"/>
          <w:rFonts w:cstheme="minorBidi"/>
          <w:szCs w:val="22"/>
        </w:rPr>
        <w:footnoteReference w:id="3"/>
      </w:r>
      <w:r w:rsidRPr="00AE6EDB">
        <w:rPr>
          <w:rFonts w:cstheme="minorBidi"/>
          <w:szCs w:val="22"/>
        </w:rPr>
        <w:t>) bol prírastok počtu pracujúcich v SR podľa tejto metodiky rovnaký ako podľa štatistického výkazníctva (o 2,1</w:t>
      </w:r>
      <w:r w:rsidR="005676EF">
        <w:rPr>
          <w:rFonts w:cstheme="minorBidi"/>
          <w:szCs w:val="22"/>
        </w:rPr>
        <w:t> %</w:t>
      </w:r>
      <w:r w:rsidRPr="00AE6EDB">
        <w:rPr>
          <w:rFonts w:cstheme="minorBidi"/>
          <w:szCs w:val="22"/>
        </w:rPr>
        <w:t xml:space="preserve">). </w:t>
      </w:r>
      <w:r w:rsidRPr="00AE6EDB">
        <w:rPr>
          <w:color w:val="000000" w:themeColor="text1"/>
        </w:rPr>
        <w:t>Z odvetvového hľadiska podľa štatistického výkazníctva k rastu zamestnanosti v domácej ekonomike najviac prispel rast priemerného počtu zamestnaných osôb v oblasti administratívnych a podporných služieb (o 11,7</w:t>
      </w:r>
      <w:r w:rsidR="005676EF">
        <w:rPr>
          <w:color w:val="000000" w:themeColor="text1"/>
        </w:rPr>
        <w:t> %</w:t>
      </w:r>
      <w:r w:rsidRPr="00AE6EDB">
        <w:rPr>
          <w:color w:val="000000" w:themeColor="text1"/>
        </w:rPr>
        <w:t>), odborných, vedeckých a technických činností (o 9,8</w:t>
      </w:r>
      <w:r w:rsidR="005676EF">
        <w:rPr>
          <w:color w:val="000000" w:themeColor="text1"/>
        </w:rPr>
        <w:t> %</w:t>
      </w:r>
      <w:r w:rsidRPr="00AE6EDB">
        <w:rPr>
          <w:color w:val="000000" w:themeColor="text1"/>
        </w:rPr>
        <w:t>) a v oblasti priemyselnej výroby (o 2,2</w:t>
      </w:r>
      <w:r w:rsidR="005676EF">
        <w:rPr>
          <w:color w:val="000000" w:themeColor="text1"/>
        </w:rPr>
        <w:t> %</w:t>
      </w:r>
      <w:r w:rsidRPr="00AE6EDB">
        <w:rPr>
          <w:color w:val="000000" w:themeColor="text1"/>
        </w:rPr>
        <w:t>).</w:t>
      </w:r>
      <w:r w:rsidRPr="00AE6EDB">
        <w:rPr>
          <w:rFonts w:cstheme="minorBidi"/>
          <w:szCs w:val="22"/>
        </w:rPr>
        <w:t xml:space="preserve"> </w:t>
      </w:r>
      <w:r w:rsidRPr="00AE6EDB">
        <w:rPr>
          <w:color w:val="000000" w:themeColor="text1"/>
        </w:rPr>
        <w:t xml:space="preserve">Tempo rastu miery zamestnanosti v roku 2015 bolo dvojnásobné oproti roku 2014, keď </w:t>
      </w:r>
      <w:r w:rsidRPr="00AE6EDB">
        <w:rPr>
          <w:b/>
          <w:color w:val="000000" w:themeColor="text1"/>
        </w:rPr>
        <w:t>miera zamestnanosti</w:t>
      </w:r>
      <w:r w:rsidRPr="00AE6EDB">
        <w:rPr>
          <w:color w:val="000000" w:themeColor="text1"/>
          <w:vertAlign w:val="superscript"/>
        </w:rPr>
        <w:footnoteReference w:id="4"/>
      </w:r>
      <w:r w:rsidRPr="00AE6EDB">
        <w:rPr>
          <w:color w:val="000000" w:themeColor="text1"/>
        </w:rPr>
        <w:t xml:space="preserve"> vzrástla o 1,8 p. b. na úroveň 67,7</w:t>
      </w:r>
      <w:r w:rsidR="005676EF">
        <w:rPr>
          <w:color w:val="000000" w:themeColor="text1"/>
        </w:rPr>
        <w:t> %</w:t>
      </w:r>
      <w:r w:rsidRPr="00AE6EDB">
        <w:rPr>
          <w:color w:val="000000" w:themeColor="text1"/>
        </w:rPr>
        <w:t xml:space="preserve">. </w:t>
      </w:r>
    </w:p>
    <w:p w:rsidR="002625B2" w:rsidRPr="00AE6EDB" w:rsidRDefault="002625B2" w:rsidP="002625B2">
      <w:pPr>
        <w:pStyle w:val="Normlnysozarkami12"/>
        <w:ind w:firstLine="431"/>
        <w:rPr>
          <w:color w:val="000000" w:themeColor="text1"/>
        </w:rPr>
      </w:pPr>
      <w:r w:rsidRPr="00AE6EDB">
        <w:rPr>
          <w:b/>
          <w:color w:val="000000" w:themeColor="text1"/>
        </w:rPr>
        <w:t>Nezamestnanosť</w:t>
      </w:r>
      <w:r w:rsidRPr="00AE6EDB">
        <w:rPr>
          <w:color w:val="000000" w:themeColor="text1"/>
        </w:rPr>
        <w:t xml:space="preserve"> podľa evidencie Ústredia práce, sociálnych vecí a rodiny i nezamestnanosť podľa Štatistického úradu SR</w:t>
      </w:r>
      <w:r w:rsidRPr="00AE6EDB">
        <w:rPr>
          <w:rStyle w:val="Odkaznapoznmkupodiarou"/>
          <w:color w:val="000000" w:themeColor="text1"/>
          <w:szCs w:val="22"/>
        </w:rPr>
        <w:footnoteReference w:id="5"/>
      </w:r>
      <w:r w:rsidRPr="00AE6EDB">
        <w:rPr>
          <w:b/>
          <w:color w:val="000000" w:themeColor="text1"/>
        </w:rPr>
        <w:t xml:space="preserve"> </w:t>
      </w:r>
      <w:r w:rsidRPr="00AE6EDB">
        <w:rPr>
          <w:color w:val="000000" w:themeColor="text1"/>
        </w:rPr>
        <w:t>v priemere za rok 2015 klesla, pričom celkový priemerný počet evidovaných nezamestnaných sa medziročne znížil o 8,06</w:t>
      </w:r>
      <w:r w:rsidR="005676EF">
        <w:rPr>
          <w:color w:val="000000" w:themeColor="text1"/>
        </w:rPr>
        <w:t> %</w:t>
      </w:r>
      <w:r w:rsidRPr="00AE6EDB">
        <w:rPr>
          <w:color w:val="000000" w:themeColor="text1"/>
        </w:rPr>
        <w:t xml:space="preserve"> na 35</w:t>
      </w:r>
      <w:r w:rsidR="0054295F">
        <w:rPr>
          <w:color w:val="000000" w:themeColor="text1"/>
        </w:rPr>
        <w:t>4 5</w:t>
      </w:r>
      <w:r w:rsidRPr="00AE6EDB">
        <w:rPr>
          <w:color w:val="000000" w:themeColor="text1"/>
        </w:rPr>
        <w:t>82 osôb</w:t>
      </w:r>
      <w:r w:rsidRPr="00AE6EDB">
        <w:rPr>
          <w:rStyle w:val="Odkaznapoznmkupodiarou"/>
          <w:color w:val="000000" w:themeColor="text1"/>
        </w:rPr>
        <w:footnoteReference w:id="6"/>
      </w:r>
      <w:r w:rsidRPr="00AE6EDB">
        <w:rPr>
          <w:color w:val="000000" w:themeColor="text1"/>
        </w:rPr>
        <w:t>, z toho počet disponibilných uchádzačov o zamestnanie o 10,12</w:t>
      </w:r>
      <w:r w:rsidR="005676EF">
        <w:rPr>
          <w:color w:val="000000" w:themeColor="text1"/>
        </w:rPr>
        <w:t> %</w:t>
      </w:r>
      <w:r w:rsidRPr="00AE6EDB">
        <w:rPr>
          <w:color w:val="000000" w:themeColor="text1"/>
        </w:rPr>
        <w:t xml:space="preserve"> na 31</w:t>
      </w:r>
      <w:r w:rsidR="0054295F">
        <w:rPr>
          <w:color w:val="000000" w:themeColor="text1"/>
        </w:rPr>
        <w:t>0 2</w:t>
      </w:r>
      <w:r w:rsidRPr="00AE6EDB">
        <w:rPr>
          <w:color w:val="000000" w:themeColor="text1"/>
        </w:rPr>
        <w:t>20 osôb</w:t>
      </w:r>
      <w:r w:rsidRPr="00AE6EDB">
        <w:rPr>
          <w:rStyle w:val="Odkaznapoznmkupodiarou"/>
          <w:color w:val="000000" w:themeColor="text1"/>
        </w:rPr>
        <w:footnoteReference w:id="7"/>
      </w:r>
      <w:r w:rsidRPr="00AE6EDB">
        <w:rPr>
          <w:color w:val="000000" w:themeColor="text1"/>
        </w:rPr>
        <w:t xml:space="preserve"> a počet nezamestnaných podľa výberového zisťovania pracovných síl o</w:t>
      </w:r>
      <w:r w:rsidR="00CD5B34">
        <w:rPr>
          <w:color w:val="000000" w:themeColor="text1"/>
        </w:rPr>
        <w:t> 12,4</w:t>
      </w:r>
      <w:r w:rsidR="005676EF">
        <w:rPr>
          <w:color w:val="000000" w:themeColor="text1"/>
        </w:rPr>
        <w:t> %</w:t>
      </w:r>
      <w:r w:rsidRPr="00AE6EDB">
        <w:rPr>
          <w:color w:val="000000" w:themeColor="text1"/>
        </w:rPr>
        <w:t xml:space="preserve"> na 3</w:t>
      </w:r>
      <w:r w:rsidR="00CD5B34">
        <w:rPr>
          <w:color w:val="000000" w:themeColor="text1"/>
        </w:rPr>
        <w:t>14,3</w:t>
      </w:r>
      <w:r w:rsidRPr="00AE6EDB">
        <w:rPr>
          <w:color w:val="000000" w:themeColor="text1"/>
        </w:rPr>
        <w:t xml:space="preserve"> tis. osôb. Priemerná </w:t>
      </w:r>
      <w:r w:rsidRPr="00AE6EDB">
        <w:rPr>
          <w:b/>
          <w:color w:val="000000" w:themeColor="text1"/>
        </w:rPr>
        <w:t>miera evidovanej nezamestnanosti</w:t>
      </w:r>
      <w:r w:rsidRPr="00AE6EDB">
        <w:rPr>
          <w:color w:val="000000" w:themeColor="text1"/>
        </w:rPr>
        <w:t xml:space="preserve"> klesla celoročne na 11,5</w:t>
      </w:r>
      <w:r w:rsidR="005676EF">
        <w:rPr>
          <w:color w:val="000000" w:themeColor="text1"/>
        </w:rPr>
        <w:t> %</w:t>
      </w:r>
      <w:r w:rsidRPr="00AE6EDB">
        <w:rPr>
          <w:color w:val="000000" w:themeColor="text1"/>
        </w:rPr>
        <w:t xml:space="preserve"> (o 1,29 p. b.)</w:t>
      </w:r>
      <w:r w:rsidRPr="00AE6EDB">
        <w:rPr>
          <w:rStyle w:val="Odkaznapoznmkupodiarou"/>
          <w:color w:val="000000" w:themeColor="text1"/>
        </w:rPr>
        <w:footnoteReference w:id="8"/>
      </w:r>
      <w:r w:rsidRPr="00AE6EDB">
        <w:rPr>
          <w:color w:val="000000" w:themeColor="text1"/>
        </w:rPr>
        <w:t xml:space="preserve"> a </w:t>
      </w:r>
      <w:r w:rsidRPr="00AE6EDB">
        <w:rPr>
          <w:b/>
          <w:color w:val="000000" w:themeColor="text1"/>
        </w:rPr>
        <w:t>miera nezamestnanosti podľa VZPS</w:t>
      </w:r>
      <w:r w:rsidRPr="00AE6EDB">
        <w:rPr>
          <w:color w:val="000000" w:themeColor="text1"/>
        </w:rPr>
        <w:t xml:space="preserve"> klesla v priemere za rok na 11,5</w:t>
      </w:r>
      <w:r w:rsidR="005676EF">
        <w:rPr>
          <w:color w:val="000000" w:themeColor="text1"/>
        </w:rPr>
        <w:t> %</w:t>
      </w:r>
      <w:r w:rsidRPr="00AE6EDB">
        <w:rPr>
          <w:color w:val="000000" w:themeColor="text1"/>
        </w:rPr>
        <w:t>, čo bolo o 1,7 p. b. menej ako v roku 2014. Podľa údajov ŠÚ SR zo</w:t>
      </w:r>
      <w:r w:rsidR="00B811E2" w:rsidRPr="00AE6EDB">
        <w:rPr>
          <w:color w:val="000000" w:themeColor="text1"/>
        </w:rPr>
        <w:t> </w:t>
      </w:r>
      <w:r w:rsidRPr="00AE6EDB">
        <w:rPr>
          <w:color w:val="000000" w:themeColor="text1"/>
        </w:rPr>
        <w:t xml:space="preserve">štvrťročného štatistického výkazníctva sa priemerný </w:t>
      </w:r>
      <w:r w:rsidRPr="00AE6EDB">
        <w:rPr>
          <w:b/>
          <w:color w:val="000000" w:themeColor="text1"/>
        </w:rPr>
        <w:t>počet voľných pracovných miest</w:t>
      </w:r>
      <w:r w:rsidRPr="00AE6EDB">
        <w:rPr>
          <w:color w:val="000000" w:themeColor="text1"/>
        </w:rPr>
        <w:t xml:space="preserve"> v roku 2015 v porovnaní s rokom 2014 zvýšil o </w:t>
      </w:r>
      <w:r w:rsidR="0054295F">
        <w:rPr>
          <w:color w:val="000000" w:themeColor="text1"/>
        </w:rPr>
        <w:t>1 1</w:t>
      </w:r>
      <w:r w:rsidRPr="00AE6EDB">
        <w:rPr>
          <w:color w:val="000000" w:themeColor="text1"/>
        </w:rPr>
        <w:t>52 (o 7,2</w:t>
      </w:r>
      <w:r w:rsidR="005676EF">
        <w:rPr>
          <w:color w:val="000000" w:themeColor="text1"/>
        </w:rPr>
        <w:t> %</w:t>
      </w:r>
      <w:r w:rsidRPr="00AE6EDB">
        <w:rPr>
          <w:color w:val="000000" w:themeColor="text1"/>
        </w:rPr>
        <w:t>) na 1</w:t>
      </w:r>
      <w:r w:rsidR="00AC44CB">
        <w:rPr>
          <w:color w:val="000000" w:themeColor="text1"/>
        </w:rPr>
        <w:t>7 1</w:t>
      </w:r>
      <w:r w:rsidRPr="00AE6EDB">
        <w:rPr>
          <w:color w:val="000000" w:themeColor="text1"/>
        </w:rPr>
        <w:t>98 miest.</w:t>
      </w:r>
    </w:p>
    <w:p w:rsidR="002625B2" w:rsidRPr="00AE6EDB" w:rsidRDefault="002625B2" w:rsidP="002625B2">
      <w:pPr>
        <w:pStyle w:val="Normlnysozarkami12"/>
        <w:ind w:firstLine="431"/>
        <w:rPr>
          <w:color w:val="000000" w:themeColor="text1"/>
        </w:rPr>
      </w:pPr>
      <w:r w:rsidRPr="00AE6EDB">
        <w:rPr>
          <w:b/>
          <w:color w:val="000000" w:themeColor="text1"/>
        </w:rPr>
        <w:t>Priemerná mesačná nominálna mzda</w:t>
      </w:r>
      <w:r w:rsidRPr="00AE6EDB">
        <w:rPr>
          <w:color w:val="000000" w:themeColor="text1"/>
          <w:vertAlign w:val="superscript"/>
        </w:rPr>
        <w:footnoteReference w:id="9"/>
      </w:r>
      <w:r w:rsidRPr="00AE6EDB">
        <w:rPr>
          <w:color w:val="000000" w:themeColor="text1"/>
        </w:rPr>
        <w:t xml:space="preserve"> zamestnanca v hospodárstve sa v priemere za rok 2015 medziročne zvýšila o 2,9</w:t>
      </w:r>
      <w:r w:rsidR="005676EF">
        <w:rPr>
          <w:color w:val="000000" w:themeColor="text1"/>
        </w:rPr>
        <w:t> %</w:t>
      </w:r>
      <w:r w:rsidRPr="00AE6EDB">
        <w:rPr>
          <w:color w:val="000000" w:themeColor="text1"/>
        </w:rPr>
        <w:t xml:space="preserve"> na hodnotu 883</w:t>
      </w:r>
      <w:r w:rsidR="0054295F">
        <w:rPr>
          <w:color w:val="000000" w:themeColor="text1"/>
        </w:rPr>
        <w:t> eur</w:t>
      </w:r>
      <w:r w:rsidRPr="00AE6EDB">
        <w:rPr>
          <w:color w:val="000000" w:themeColor="text1"/>
        </w:rPr>
        <w:t>. Reálna mzda po zohľadnení vývoja spotre</w:t>
      </w:r>
      <w:r w:rsidRPr="00AE6EDB">
        <w:rPr>
          <w:color w:val="000000" w:themeColor="text1"/>
        </w:rPr>
        <w:softHyphen/>
        <w:t>biteľských cien vzrástla viac, a to o 3,2</w:t>
      </w:r>
      <w:r w:rsidR="005676EF">
        <w:rPr>
          <w:color w:val="000000" w:themeColor="text1"/>
        </w:rPr>
        <w:t> %</w:t>
      </w:r>
      <w:r w:rsidRPr="00AE6EDB">
        <w:rPr>
          <w:color w:val="000000" w:themeColor="text1"/>
        </w:rPr>
        <w:t>. Štrukturálne hlbšie porovnanie makroekonomických ukazo</w:t>
      </w:r>
      <w:r w:rsidRPr="00AE6EDB">
        <w:rPr>
          <w:color w:val="000000" w:themeColor="text1"/>
        </w:rPr>
        <w:softHyphen/>
        <w:t>vateľov, ako aj porovnanie v medzinárodnom meradle je uvedené v nasledujúcich kapitolách správy.</w:t>
      </w:r>
    </w:p>
    <w:p w:rsidR="002625B2" w:rsidRPr="00AE6EDB" w:rsidRDefault="002625B2" w:rsidP="002625B2">
      <w:pPr>
        <w:pStyle w:val="Normlnysozarkami12"/>
        <w:ind w:firstLine="431"/>
        <w:rPr>
          <w:color w:val="000000" w:themeColor="text1"/>
        </w:rPr>
      </w:pPr>
      <w:r w:rsidRPr="00AE6EDB">
        <w:rPr>
          <w:b/>
          <w:color w:val="000000" w:themeColor="text1"/>
        </w:rPr>
        <w:t>Bežné príjmy domácností</w:t>
      </w:r>
      <w:r w:rsidRPr="00AE6EDB">
        <w:rPr>
          <w:b/>
          <w:color w:val="000000" w:themeColor="text1"/>
          <w:vertAlign w:val="superscript"/>
        </w:rPr>
        <w:footnoteReference w:id="10"/>
      </w:r>
      <w:r w:rsidRPr="00AE6EDB">
        <w:rPr>
          <w:color w:val="000000" w:themeColor="text1"/>
        </w:rPr>
        <w:t xml:space="preserve"> medziročne nominálne vzrástli o 4,0</w:t>
      </w:r>
      <w:r w:rsidR="005676EF">
        <w:rPr>
          <w:color w:val="000000" w:themeColor="text1"/>
        </w:rPr>
        <w:t> %</w:t>
      </w:r>
      <w:r w:rsidRPr="00AE6EDB">
        <w:rPr>
          <w:color w:val="000000" w:themeColor="text1"/>
        </w:rPr>
        <w:t>. Z celkového objemu 6</w:t>
      </w:r>
      <w:r w:rsidR="00AC44CB">
        <w:rPr>
          <w:color w:val="000000" w:themeColor="text1"/>
        </w:rPr>
        <w:t>5 4</w:t>
      </w:r>
      <w:r w:rsidRPr="00AE6EDB">
        <w:rPr>
          <w:color w:val="000000" w:themeColor="text1"/>
        </w:rPr>
        <w:t>62,46 mil.</w:t>
      </w:r>
      <w:r w:rsidR="0054295F">
        <w:rPr>
          <w:color w:val="000000" w:themeColor="text1"/>
        </w:rPr>
        <w:t> eur</w:t>
      </w:r>
      <w:r w:rsidRPr="00AE6EDB">
        <w:rPr>
          <w:color w:val="000000" w:themeColor="text1"/>
        </w:rPr>
        <w:t xml:space="preserve"> najväčšiu časť tvorili od</w:t>
      </w:r>
      <w:r w:rsidRPr="00AE6EDB">
        <w:rPr>
          <w:color w:val="000000" w:themeColor="text1"/>
        </w:rPr>
        <w:softHyphen/>
        <w:t>me</w:t>
      </w:r>
      <w:r w:rsidRPr="00AE6EDB">
        <w:rPr>
          <w:color w:val="000000" w:themeColor="text1"/>
        </w:rPr>
        <w:softHyphen/>
        <w:t>ny zamestnancov (3</w:t>
      </w:r>
      <w:r w:rsidR="0054295F">
        <w:rPr>
          <w:color w:val="000000" w:themeColor="text1"/>
        </w:rPr>
        <w:t>1 4</w:t>
      </w:r>
      <w:r w:rsidRPr="00AE6EDB">
        <w:rPr>
          <w:color w:val="000000" w:themeColor="text1"/>
        </w:rPr>
        <w:t>09,73 mil.</w:t>
      </w:r>
      <w:r w:rsidR="0054295F">
        <w:rPr>
          <w:color w:val="000000" w:themeColor="text1"/>
        </w:rPr>
        <w:t> eur</w:t>
      </w:r>
      <w:r w:rsidRPr="00AE6EDB">
        <w:rPr>
          <w:color w:val="000000" w:themeColor="text1"/>
        </w:rPr>
        <w:t>). Hrubý prevádzkový prebytok a hrubé zmie</w:t>
      </w:r>
      <w:r w:rsidRPr="00AE6EDB">
        <w:rPr>
          <w:color w:val="000000" w:themeColor="text1"/>
        </w:rPr>
        <w:softHyphen/>
        <w:t>šané dôchodky dosiahli 1</w:t>
      </w:r>
      <w:r w:rsidR="00AC44CB">
        <w:rPr>
          <w:color w:val="000000" w:themeColor="text1"/>
        </w:rPr>
        <w:t>8 0</w:t>
      </w:r>
      <w:r w:rsidRPr="00AE6EDB">
        <w:rPr>
          <w:color w:val="000000" w:themeColor="text1"/>
        </w:rPr>
        <w:t>41,66 mil.</w:t>
      </w:r>
      <w:r w:rsidR="0054295F">
        <w:rPr>
          <w:color w:val="000000" w:themeColor="text1"/>
        </w:rPr>
        <w:t> eur</w:t>
      </w:r>
      <w:r w:rsidRPr="00AE6EDB">
        <w:rPr>
          <w:color w:val="000000" w:themeColor="text1"/>
        </w:rPr>
        <w:t>, sociálne dávky</w:t>
      </w:r>
      <w:r w:rsidRPr="00AE6EDB">
        <w:rPr>
          <w:color w:val="000000" w:themeColor="text1"/>
          <w:vertAlign w:val="superscript"/>
        </w:rPr>
        <w:footnoteReference w:id="11"/>
      </w:r>
      <w:r w:rsidRPr="00AE6EDB">
        <w:rPr>
          <w:color w:val="000000" w:themeColor="text1"/>
        </w:rPr>
        <w:t xml:space="preserve"> 1</w:t>
      </w:r>
      <w:r w:rsidR="0054295F">
        <w:rPr>
          <w:color w:val="000000" w:themeColor="text1"/>
        </w:rPr>
        <w:t>1 3</w:t>
      </w:r>
      <w:r w:rsidRPr="00AE6EDB">
        <w:rPr>
          <w:color w:val="000000" w:themeColor="text1"/>
        </w:rPr>
        <w:t>83,69 mil.</w:t>
      </w:r>
      <w:r w:rsidR="0054295F">
        <w:rPr>
          <w:color w:val="000000" w:themeColor="text1"/>
        </w:rPr>
        <w:t> eur</w:t>
      </w:r>
      <w:r w:rsidRPr="00AE6EDB">
        <w:rPr>
          <w:color w:val="000000" w:themeColor="text1"/>
        </w:rPr>
        <w:t xml:space="preserve">, ostatné bežné transfery </w:t>
      </w:r>
      <w:r w:rsidR="0054295F">
        <w:rPr>
          <w:color w:val="000000" w:themeColor="text1"/>
        </w:rPr>
        <w:t>2 3</w:t>
      </w:r>
      <w:r w:rsidRPr="00AE6EDB">
        <w:rPr>
          <w:color w:val="000000" w:themeColor="text1"/>
        </w:rPr>
        <w:t>21,52 mil.</w:t>
      </w:r>
      <w:r w:rsidR="0054295F">
        <w:rPr>
          <w:color w:val="000000" w:themeColor="text1"/>
        </w:rPr>
        <w:t> eur</w:t>
      </w:r>
      <w:r w:rsidRPr="00AE6EDB">
        <w:rPr>
          <w:color w:val="000000" w:themeColor="text1"/>
        </w:rPr>
        <w:t xml:space="preserve"> a dôchodky z majetku (príjmové) </w:t>
      </w:r>
      <w:r w:rsidR="0054295F">
        <w:rPr>
          <w:color w:val="000000" w:themeColor="text1"/>
        </w:rPr>
        <w:t>2 3</w:t>
      </w:r>
      <w:r w:rsidRPr="00AE6EDB">
        <w:rPr>
          <w:color w:val="000000" w:themeColor="text1"/>
        </w:rPr>
        <w:t>05,77 mil.</w:t>
      </w:r>
      <w:r w:rsidR="0054295F">
        <w:rPr>
          <w:color w:val="000000" w:themeColor="text1"/>
        </w:rPr>
        <w:t> eur</w:t>
      </w:r>
      <w:r w:rsidRPr="00AE6EDB">
        <w:rPr>
          <w:color w:val="000000" w:themeColor="text1"/>
        </w:rPr>
        <w:t xml:space="preserve">. Nominálny nárast bežných príjmov domácností najviac ovplyvnili odmeny </w:t>
      </w:r>
      <w:r w:rsidRPr="00AE6EDB">
        <w:rPr>
          <w:color w:val="000000" w:themeColor="text1"/>
        </w:rPr>
        <w:lastRenderedPageBreak/>
        <w:t>zamestnancov, ktoré sa medziročne zvýšili o 5,2</w:t>
      </w:r>
      <w:r w:rsidR="005676EF">
        <w:rPr>
          <w:color w:val="000000" w:themeColor="text1"/>
        </w:rPr>
        <w:t> %</w:t>
      </w:r>
      <w:r w:rsidRPr="00AE6EDB">
        <w:rPr>
          <w:color w:val="000000" w:themeColor="text1"/>
        </w:rPr>
        <w:t>, z toho hrubé mzdy a platy o 5,5</w:t>
      </w:r>
      <w:r w:rsidR="005676EF">
        <w:rPr>
          <w:color w:val="000000" w:themeColor="text1"/>
        </w:rPr>
        <w:t> %</w:t>
      </w:r>
      <w:r w:rsidRPr="00AE6EDB">
        <w:rPr>
          <w:color w:val="000000" w:themeColor="text1"/>
        </w:rPr>
        <w:t>. K rastu prispeli aj sociálne dávky, ktoré medziročne vzrástli o 4,6</w:t>
      </w:r>
      <w:r w:rsidR="005676EF">
        <w:rPr>
          <w:color w:val="000000" w:themeColor="text1"/>
        </w:rPr>
        <w:t> %</w:t>
      </w:r>
      <w:r w:rsidRPr="00AE6EDB">
        <w:rPr>
          <w:color w:val="000000" w:themeColor="text1"/>
        </w:rPr>
        <w:t xml:space="preserve"> a hrubý prevádzkový prebytok a hrubé zmiešané dôchodky, ktoré medziročne vzrástli o 0,9</w:t>
      </w:r>
      <w:r w:rsidR="005676EF">
        <w:rPr>
          <w:color w:val="000000" w:themeColor="text1"/>
        </w:rPr>
        <w:t> %</w:t>
      </w:r>
      <w:r w:rsidRPr="00AE6EDB">
        <w:rPr>
          <w:color w:val="000000" w:themeColor="text1"/>
        </w:rPr>
        <w:t xml:space="preserve">. Žiadna zo zložiek príjmov domácností medziročne nezaznamenala nominálny pokles. </w:t>
      </w:r>
    </w:p>
    <w:p w:rsidR="002625B2" w:rsidRPr="00AE6EDB" w:rsidRDefault="002625B2" w:rsidP="002625B2">
      <w:pPr>
        <w:pStyle w:val="Normlnysozarkami12"/>
        <w:ind w:firstLine="431"/>
        <w:rPr>
          <w:color w:val="000000" w:themeColor="text1"/>
        </w:rPr>
      </w:pPr>
      <w:r w:rsidRPr="00AE6EDB">
        <w:rPr>
          <w:b/>
          <w:color w:val="000000" w:themeColor="text1"/>
        </w:rPr>
        <w:t>Bežné výdavky do</w:t>
      </w:r>
      <w:r w:rsidRPr="00AE6EDB">
        <w:rPr>
          <w:b/>
          <w:color w:val="000000" w:themeColor="text1"/>
        </w:rPr>
        <w:softHyphen/>
        <w:t>mác</w:t>
      </w:r>
      <w:r w:rsidRPr="00AE6EDB">
        <w:rPr>
          <w:b/>
          <w:color w:val="000000" w:themeColor="text1"/>
        </w:rPr>
        <w:softHyphen/>
        <w:t>ností</w:t>
      </w:r>
      <w:r w:rsidRPr="00AE6EDB">
        <w:rPr>
          <w:b/>
          <w:color w:val="000000" w:themeColor="text1"/>
          <w:vertAlign w:val="superscript"/>
        </w:rPr>
        <w:footnoteReference w:id="12"/>
      </w:r>
      <w:r w:rsidRPr="00AE6EDB">
        <w:rPr>
          <w:color w:val="000000" w:themeColor="text1"/>
        </w:rPr>
        <w:t xml:space="preserve"> dosiahli 1</w:t>
      </w:r>
      <w:r w:rsidR="00AC44CB">
        <w:rPr>
          <w:color w:val="000000" w:themeColor="text1"/>
        </w:rPr>
        <w:t>8 2</w:t>
      </w:r>
      <w:r w:rsidRPr="00AE6EDB">
        <w:rPr>
          <w:color w:val="000000" w:themeColor="text1"/>
        </w:rPr>
        <w:t>55,88 mil.</w:t>
      </w:r>
      <w:r w:rsidR="0054295F">
        <w:rPr>
          <w:color w:val="000000" w:themeColor="text1"/>
        </w:rPr>
        <w:t> eur</w:t>
      </w:r>
      <w:r w:rsidRPr="00AE6EDB">
        <w:rPr>
          <w:color w:val="000000" w:themeColor="text1"/>
        </w:rPr>
        <w:t xml:space="preserve"> a v porovnaní s rokom 2014 no</w:t>
      </w:r>
      <w:r w:rsidRPr="00AE6EDB">
        <w:rPr>
          <w:color w:val="000000" w:themeColor="text1"/>
        </w:rPr>
        <w:softHyphen/>
        <w:t>minálne vzrástli o 7,14</w:t>
      </w:r>
      <w:r w:rsidR="005676EF">
        <w:rPr>
          <w:color w:val="000000" w:themeColor="text1"/>
        </w:rPr>
        <w:t> %</w:t>
      </w:r>
      <w:r w:rsidRPr="00AE6EDB">
        <w:rPr>
          <w:color w:val="000000" w:themeColor="text1"/>
        </w:rPr>
        <w:t>. Rast bežných výdavkov súvisel najmä so zvýšením čistých sociálnych príspevkov (o 6,7</w:t>
      </w:r>
      <w:r w:rsidR="005676EF">
        <w:rPr>
          <w:color w:val="000000" w:themeColor="text1"/>
        </w:rPr>
        <w:t> %</w:t>
      </w:r>
      <w:r w:rsidRPr="00AE6EDB">
        <w:rPr>
          <w:color w:val="000000" w:themeColor="text1"/>
        </w:rPr>
        <w:t>) a bežných daní z dôchodkov, majetku (o 14,5</w:t>
      </w:r>
      <w:r w:rsidR="005676EF">
        <w:rPr>
          <w:color w:val="000000" w:themeColor="text1"/>
        </w:rPr>
        <w:t> %</w:t>
      </w:r>
      <w:r w:rsidRPr="00AE6EDB">
        <w:rPr>
          <w:color w:val="000000" w:themeColor="text1"/>
        </w:rPr>
        <w:t>). Ostatné bežné výdavkové transfery vzrástli o 2,7</w:t>
      </w:r>
      <w:r w:rsidR="005676EF">
        <w:rPr>
          <w:color w:val="000000" w:themeColor="text1"/>
        </w:rPr>
        <w:t> %</w:t>
      </w:r>
      <w:r w:rsidRPr="00AE6EDB">
        <w:rPr>
          <w:color w:val="000000" w:themeColor="text1"/>
        </w:rPr>
        <w:t>, výdavkové dôchodky z majetku medziročne stúpli o 4,9</w:t>
      </w:r>
      <w:r w:rsidR="005676EF">
        <w:rPr>
          <w:color w:val="000000" w:themeColor="text1"/>
        </w:rPr>
        <w:t> %</w:t>
      </w:r>
      <w:r w:rsidRPr="00AE6EDB">
        <w:rPr>
          <w:color w:val="000000" w:themeColor="text1"/>
        </w:rPr>
        <w:t>. Po uhradení bež</w:t>
      </w:r>
      <w:r w:rsidRPr="00AE6EDB">
        <w:rPr>
          <w:color w:val="000000" w:themeColor="text1"/>
        </w:rPr>
        <w:softHyphen/>
        <w:t>ných výdavkov ostal domácnostiam na ďalšie po</w:t>
      </w:r>
      <w:r w:rsidRPr="00AE6EDB">
        <w:rPr>
          <w:color w:val="000000" w:themeColor="text1"/>
        </w:rPr>
        <w:softHyphen/>
        <w:t>užitie hrubý disponibilný dôchodok vo výške 4</w:t>
      </w:r>
      <w:r w:rsidR="00AC44CB">
        <w:rPr>
          <w:color w:val="000000" w:themeColor="text1"/>
        </w:rPr>
        <w:t>7 2</w:t>
      </w:r>
      <w:r w:rsidRPr="00AE6EDB">
        <w:rPr>
          <w:color w:val="000000" w:themeColor="text1"/>
        </w:rPr>
        <w:t>06,58</w:t>
      </w:r>
      <w:r w:rsidR="00B811E2" w:rsidRPr="00AE6EDB">
        <w:rPr>
          <w:color w:val="000000" w:themeColor="text1"/>
        </w:rPr>
        <w:t> </w:t>
      </w:r>
      <w:r w:rsidRPr="00AE6EDB">
        <w:rPr>
          <w:color w:val="000000" w:themeColor="text1"/>
        </w:rPr>
        <w:t>mil.</w:t>
      </w:r>
      <w:r w:rsidR="0054295F">
        <w:rPr>
          <w:color w:val="000000" w:themeColor="text1"/>
        </w:rPr>
        <w:t> eur</w:t>
      </w:r>
      <w:r w:rsidRPr="00AE6EDB">
        <w:rPr>
          <w:color w:val="000000" w:themeColor="text1"/>
        </w:rPr>
        <w:t>, ktorý sa medziročne zvýšil o 2,9</w:t>
      </w:r>
      <w:r w:rsidR="005676EF">
        <w:rPr>
          <w:color w:val="000000" w:themeColor="text1"/>
        </w:rPr>
        <w:t> %</w:t>
      </w:r>
      <w:r w:rsidRPr="00AE6EDB">
        <w:rPr>
          <w:color w:val="000000" w:themeColor="text1"/>
        </w:rPr>
        <w:t>.</w:t>
      </w:r>
    </w:p>
    <w:p w:rsidR="002625B2" w:rsidRPr="00AE6EDB" w:rsidRDefault="002625B2" w:rsidP="002625B2">
      <w:pPr>
        <w:pStyle w:val="Normlnysozarkami12"/>
        <w:ind w:firstLine="431"/>
        <w:rPr>
          <w:color w:val="000000" w:themeColor="text1"/>
        </w:rPr>
      </w:pPr>
      <w:r w:rsidRPr="00AE6EDB">
        <w:rPr>
          <w:color w:val="000000" w:themeColor="text1"/>
        </w:rPr>
        <w:t>Z hrubého disponibilného dôchodku použili domácnosti na konečnú spotrebu 4</w:t>
      </w:r>
      <w:r w:rsidR="0054295F">
        <w:rPr>
          <w:color w:val="000000" w:themeColor="text1"/>
        </w:rPr>
        <w:t>2 9</w:t>
      </w:r>
      <w:r w:rsidRPr="00AE6EDB">
        <w:rPr>
          <w:color w:val="000000" w:themeColor="text1"/>
        </w:rPr>
        <w:t>45,03 mil.</w:t>
      </w:r>
      <w:r w:rsidR="0054295F">
        <w:rPr>
          <w:color w:val="000000" w:themeColor="text1"/>
        </w:rPr>
        <w:t> eur</w:t>
      </w:r>
      <w:r w:rsidRPr="00AE6EDB">
        <w:rPr>
          <w:color w:val="000000" w:themeColor="text1"/>
        </w:rPr>
        <w:t>, zvyšok smeroval do hrubých úspo</w:t>
      </w:r>
      <w:r w:rsidRPr="00AE6EDB">
        <w:rPr>
          <w:color w:val="000000" w:themeColor="text1"/>
        </w:rPr>
        <w:softHyphen/>
        <w:t xml:space="preserve">r, ktoré tvorili </w:t>
      </w:r>
      <w:r w:rsidR="00AC44CB">
        <w:rPr>
          <w:color w:val="000000" w:themeColor="text1"/>
        </w:rPr>
        <w:t>4 9</w:t>
      </w:r>
      <w:r w:rsidRPr="00AE6EDB">
        <w:rPr>
          <w:color w:val="000000" w:themeColor="text1"/>
        </w:rPr>
        <w:t>75,58 mil.</w:t>
      </w:r>
      <w:r w:rsidR="0054295F">
        <w:rPr>
          <w:color w:val="000000" w:themeColor="text1"/>
        </w:rPr>
        <w:t> eur</w:t>
      </w:r>
      <w:r w:rsidRPr="00AE6EDB">
        <w:rPr>
          <w:color w:val="000000" w:themeColor="text1"/>
        </w:rPr>
        <w:t>. Konečná spotreba domácností v roku 2015 vzrástla nominálne o 2,2</w:t>
      </w:r>
      <w:r w:rsidR="005676EF">
        <w:rPr>
          <w:color w:val="000000" w:themeColor="text1"/>
        </w:rPr>
        <w:t> %</w:t>
      </w:r>
      <w:r w:rsidRPr="00AE6EDB">
        <w:rPr>
          <w:color w:val="000000" w:themeColor="text1"/>
        </w:rPr>
        <w:t xml:space="preserve"> a hrubé úspory o 12,0</w:t>
      </w:r>
      <w:r w:rsidR="005676EF">
        <w:rPr>
          <w:color w:val="000000" w:themeColor="text1"/>
        </w:rPr>
        <w:t> %</w:t>
      </w:r>
      <w:r w:rsidRPr="00AE6EDB">
        <w:rPr>
          <w:color w:val="000000" w:themeColor="text1"/>
        </w:rPr>
        <w:t>. Miera hrubých úspor (podiel hrubých úspor na hru</w:t>
      </w:r>
      <w:r w:rsidRPr="00AE6EDB">
        <w:rPr>
          <w:color w:val="000000" w:themeColor="text1"/>
        </w:rPr>
        <w:softHyphen/>
        <w:t>bom dis</w:t>
      </w:r>
      <w:r w:rsidRPr="00AE6EDB">
        <w:rPr>
          <w:color w:val="000000" w:themeColor="text1"/>
        </w:rPr>
        <w:softHyphen/>
        <w:t>ponibilnom dôchodku) stúpla o 0,9 p. b. na 10,5</w:t>
      </w:r>
      <w:r w:rsidR="005676EF">
        <w:rPr>
          <w:color w:val="000000" w:themeColor="text1"/>
        </w:rPr>
        <w:t> %</w:t>
      </w:r>
      <w:r w:rsidRPr="00AE6EDB">
        <w:rPr>
          <w:color w:val="000000" w:themeColor="text1"/>
        </w:rPr>
        <w:t>. Domácnosti v roku 2015 vynaložili viac finančných prostriedkov najmä na rekreáciu a kultúru (o 5,3</w:t>
      </w:r>
      <w:r w:rsidR="005676EF">
        <w:rPr>
          <w:color w:val="000000" w:themeColor="text1"/>
        </w:rPr>
        <w:t> %</w:t>
      </w:r>
      <w:r w:rsidRPr="00AE6EDB">
        <w:rPr>
          <w:color w:val="000000" w:themeColor="text1"/>
        </w:rPr>
        <w:t>), na hotely, kaviarne a reštaurácie (o 4,7</w:t>
      </w:r>
      <w:r w:rsidR="005676EF">
        <w:rPr>
          <w:color w:val="000000" w:themeColor="text1"/>
        </w:rPr>
        <w:t> %</w:t>
      </w:r>
      <w:r w:rsidRPr="00AE6EDB">
        <w:rPr>
          <w:color w:val="000000" w:themeColor="text1"/>
        </w:rPr>
        <w:t>), na rozličné tovary a služby (o 3,5</w:t>
      </w:r>
      <w:r w:rsidR="005676EF">
        <w:rPr>
          <w:color w:val="000000" w:themeColor="text1"/>
        </w:rPr>
        <w:t> %</w:t>
      </w:r>
      <w:r w:rsidRPr="00AE6EDB">
        <w:rPr>
          <w:color w:val="000000" w:themeColor="text1"/>
        </w:rPr>
        <w:t>) a na poštu a telekomunikácie (o</w:t>
      </w:r>
      <w:r w:rsidR="00B811E2" w:rsidRPr="00AE6EDB">
        <w:rPr>
          <w:color w:val="000000" w:themeColor="text1"/>
        </w:rPr>
        <w:t> </w:t>
      </w:r>
      <w:r w:rsidRPr="00AE6EDB">
        <w:rPr>
          <w:color w:val="000000" w:themeColor="text1"/>
        </w:rPr>
        <w:t>3,1</w:t>
      </w:r>
      <w:r w:rsidR="005676EF">
        <w:rPr>
          <w:color w:val="000000" w:themeColor="text1"/>
        </w:rPr>
        <w:t> %</w:t>
      </w:r>
      <w:r w:rsidRPr="00AE6EDB">
        <w:rPr>
          <w:color w:val="000000" w:themeColor="text1"/>
        </w:rPr>
        <w:t>). Výdavky na potraviny a nealkoholické nápoje vzrástli o 2,9</w:t>
      </w:r>
      <w:r w:rsidR="005676EF">
        <w:rPr>
          <w:color w:val="000000" w:themeColor="text1"/>
        </w:rPr>
        <w:t> %</w:t>
      </w:r>
      <w:r w:rsidRPr="00AE6EDB">
        <w:rPr>
          <w:color w:val="000000" w:themeColor="text1"/>
        </w:rPr>
        <w:t>, na odevy a obuv o 2,8</w:t>
      </w:r>
      <w:r w:rsidR="005676EF">
        <w:rPr>
          <w:color w:val="000000" w:themeColor="text1"/>
        </w:rPr>
        <w:t> %</w:t>
      </w:r>
      <w:r w:rsidRPr="00AE6EDB">
        <w:rPr>
          <w:color w:val="000000" w:themeColor="text1"/>
        </w:rPr>
        <w:t xml:space="preserve"> a na nábytok, bytové zariadene a bežnú údržbu bytu o 2,7</w:t>
      </w:r>
      <w:r w:rsidR="005676EF">
        <w:rPr>
          <w:color w:val="000000" w:themeColor="text1"/>
        </w:rPr>
        <w:t> %</w:t>
      </w:r>
      <w:r w:rsidRPr="00AE6EDB">
        <w:rPr>
          <w:color w:val="000000" w:themeColor="text1"/>
        </w:rPr>
        <w:t>. Mierne vzrástli výdavky aj v ostatných oblastiach spotreby okrem dopravy, kde klesli o 2,3</w:t>
      </w:r>
      <w:r w:rsidR="005676EF">
        <w:rPr>
          <w:color w:val="000000" w:themeColor="text1"/>
        </w:rPr>
        <w:t> %</w:t>
      </w:r>
      <w:r w:rsidRPr="00AE6EDB">
        <w:rPr>
          <w:color w:val="000000" w:themeColor="text1"/>
        </w:rPr>
        <w:t>. Z hľadiska podielu tvorili podobne ako v roku 2014 najväčšiu časť súkromnej spotreby výdavky na bývanie, vodu, elektrinu, plyn a iné palivá, a to 25,1</w:t>
      </w:r>
      <w:r w:rsidR="005676EF">
        <w:rPr>
          <w:color w:val="000000" w:themeColor="text1"/>
        </w:rPr>
        <w:t> %</w:t>
      </w:r>
      <w:r w:rsidRPr="00AE6EDB">
        <w:rPr>
          <w:color w:val="000000" w:themeColor="text1"/>
        </w:rPr>
        <w:t xml:space="preserve"> (medziročný pokles podielu na celkovej súkromnej spotrebe o 0,3 p. b.) a výdavky na nákup potravín a nealkoholických nápojov, a to 18,4</w:t>
      </w:r>
      <w:r w:rsidR="005676EF">
        <w:rPr>
          <w:color w:val="000000" w:themeColor="text1"/>
        </w:rPr>
        <w:t> %</w:t>
      </w:r>
      <w:r w:rsidRPr="00AE6EDB">
        <w:rPr>
          <w:color w:val="000000" w:themeColor="text1"/>
        </w:rPr>
        <w:t xml:space="preserve"> (nárast o 0,1 p. b.). </w:t>
      </w:r>
    </w:p>
    <w:p w:rsidR="002625B2" w:rsidRPr="00AE6EDB" w:rsidRDefault="002625B2" w:rsidP="002625B2">
      <w:pPr>
        <w:pStyle w:val="Normlnysozarkami12"/>
        <w:ind w:firstLine="431"/>
        <w:rPr>
          <w:color w:val="000000" w:themeColor="text1"/>
        </w:rPr>
      </w:pPr>
      <w:r w:rsidRPr="00AE6EDB">
        <w:rPr>
          <w:color w:val="000000" w:themeColor="text1"/>
        </w:rPr>
        <w:t>V priebehu roka 2015 sa začala výstavba 1</w:t>
      </w:r>
      <w:r w:rsidR="00AC44CB">
        <w:rPr>
          <w:color w:val="000000" w:themeColor="text1"/>
        </w:rPr>
        <w:t>9 6</w:t>
      </w:r>
      <w:r w:rsidRPr="00AE6EDB">
        <w:rPr>
          <w:color w:val="000000" w:themeColor="text1"/>
        </w:rPr>
        <w:t>40 bytov, dokončilo sa 1</w:t>
      </w:r>
      <w:r w:rsidR="00AC44CB">
        <w:rPr>
          <w:color w:val="000000" w:themeColor="text1"/>
        </w:rPr>
        <w:t>5 4</w:t>
      </w:r>
      <w:r w:rsidRPr="00AE6EDB">
        <w:rPr>
          <w:color w:val="000000" w:themeColor="text1"/>
        </w:rPr>
        <w:t>71 a ku kon</w:t>
      </w:r>
      <w:r w:rsidRPr="00AE6EDB">
        <w:rPr>
          <w:color w:val="000000" w:themeColor="text1"/>
        </w:rPr>
        <w:softHyphen/>
        <w:t>cu decembra bolo rozostavaných 6</w:t>
      </w:r>
      <w:r w:rsidR="00AC44CB">
        <w:rPr>
          <w:color w:val="000000" w:themeColor="text1"/>
        </w:rPr>
        <w:t>6 2</w:t>
      </w:r>
      <w:r w:rsidRPr="00AE6EDB">
        <w:rPr>
          <w:color w:val="000000" w:themeColor="text1"/>
        </w:rPr>
        <w:t>68 by</w:t>
      </w:r>
      <w:r w:rsidRPr="00AE6EDB">
        <w:rPr>
          <w:color w:val="000000" w:themeColor="text1"/>
        </w:rPr>
        <w:softHyphen/>
        <w:t xml:space="preserve">tov. Ubudlo spolu </w:t>
      </w:r>
      <w:r w:rsidR="0054295F">
        <w:rPr>
          <w:color w:val="000000" w:themeColor="text1"/>
        </w:rPr>
        <w:t>1 2</w:t>
      </w:r>
      <w:r w:rsidRPr="00AE6EDB">
        <w:rPr>
          <w:color w:val="000000" w:themeColor="text1"/>
        </w:rPr>
        <w:t xml:space="preserve">92 bytov, z toho asanáciou </w:t>
      </w:r>
      <w:r w:rsidR="0054295F">
        <w:rPr>
          <w:color w:val="000000" w:themeColor="text1"/>
        </w:rPr>
        <w:t>1 1</w:t>
      </w:r>
      <w:r w:rsidRPr="00AE6EDB">
        <w:rPr>
          <w:color w:val="000000" w:themeColor="text1"/>
        </w:rPr>
        <w:t>58 bytov. V porovnaní s rokom 2014 sa počet rozostavaných bytov zvýšil o 6,8</w:t>
      </w:r>
      <w:r w:rsidR="005676EF">
        <w:rPr>
          <w:color w:val="000000" w:themeColor="text1"/>
        </w:rPr>
        <w:t> %</w:t>
      </w:r>
      <w:r w:rsidRPr="00AE6EDB">
        <w:rPr>
          <w:color w:val="000000" w:themeColor="text1"/>
        </w:rPr>
        <w:t xml:space="preserve"> a počet dokon</w:t>
      </w:r>
      <w:r w:rsidRPr="00AE6EDB">
        <w:rPr>
          <w:color w:val="000000" w:themeColor="text1"/>
        </w:rPr>
        <w:softHyphen/>
        <w:t>čených bytov o 3,2</w:t>
      </w:r>
      <w:r w:rsidR="005676EF">
        <w:rPr>
          <w:color w:val="000000" w:themeColor="text1"/>
        </w:rPr>
        <w:t> %</w:t>
      </w:r>
      <w:r w:rsidRPr="00AE6EDB">
        <w:rPr>
          <w:color w:val="000000" w:themeColor="text1"/>
        </w:rPr>
        <w:t>. Počet začatých bytov sa medziročne zvýšil o 24,0</w:t>
      </w:r>
      <w:r w:rsidR="005676EF">
        <w:rPr>
          <w:color w:val="000000" w:themeColor="text1"/>
        </w:rPr>
        <w:t> %</w:t>
      </w:r>
      <w:r w:rsidRPr="00AE6EDB">
        <w:rPr>
          <w:color w:val="000000" w:themeColor="text1"/>
        </w:rPr>
        <w:t xml:space="preserve">. </w:t>
      </w:r>
    </w:p>
    <w:p w:rsidR="002625B2" w:rsidRPr="00AE6EDB" w:rsidRDefault="002625B2" w:rsidP="002625B2">
      <w:pPr>
        <w:pStyle w:val="Normlnysozarkami12"/>
        <w:ind w:firstLine="431"/>
        <w:rPr>
          <w:color w:val="000000" w:themeColor="text1"/>
          <w:highlight w:val="cyan"/>
        </w:rPr>
      </w:pPr>
      <w:r w:rsidRPr="00AE6EDB">
        <w:rPr>
          <w:color w:val="000000" w:themeColor="text1"/>
        </w:rPr>
        <w:t>Makroekonomické ukazovatele sú zhrnuté v prílohe ku kapitole 1</w:t>
      </w:r>
    </w:p>
    <w:p w:rsidR="002625B2" w:rsidRPr="00AE6EDB" w:rsidRDefault="002625B2" w:rsidP="002625B2">
      <w:pPr>
        <w:ind w:firstLine="142"/>
        <w:rPr>
          <w:color w:val="000000" w:themeColor="text1"/>
          <w:highlight w:val="cyan"/>
        </w:rPr>
      </w:pPr>
    </w:p>
    <w:p w:rsidR="002625B2" w:rsidRPr="00AE6EDB" w:rsidRDefault="002625B2" w:rsidP="002625B2">
      <w:pPr>
        <w:pStyle w:val="nadpis2"/>
      </w:pPr>
      <w:bookmarkStart w:id="84" w:name="_Toc356482616"/>
      <w:bookmarkStart w:id="85" w:name="_Toc356482808"/>
      <w:bookmarkStart w:id="86" w:name="_Toc422233401"/>
      <w:bookmarkStart w:id="87" w:name="_Toc452469858"/>
      <w:r w:rsidRPr="00AE6EDB">
        <w:t>Vybrané demografické ukazovatele</w:t>
      </w:r>
      <w:bookmarkEnd w:id="84"/>
      <w:bookmarkEnd w:id="85"/>
      <w:bookmarkEnd w:id="86"/>
      <w:bookmarkEnd w:id="87"/>
    </w:p>
    <w:p w:rsidR="002625B2" w:rsidRPr="00AE6EDB" w:rsidRDefault="002625B2" w:rsidP="002625B2">
      <w:pPr>
        <w:ind w:firstLine="431"/>
        <w:rPr>
          <w:color w:val="000000" w:themeColor="text1"/>
        </w:rPr>
      </w:pPr>
      <w:bookmarkStart w:id="88" w:name="_Toc325438104"/>
      <w:bookmarkStart w:id="89" w:name="_Toc325440878"/>
      <w:bookmarkStart w:id="90" w:name="_Toc325626691"/>
      <w:bookmarkStart w:id="91" w:name="_Toc326216952"/>
      <w:bookmarkStart w:id="92" w:name="_Toc294023472"/>
      <w:bookmarkStart w:id="93" w:name="_Toc294025711"/>
      <w:bookmarkStart w:id="94" w:name="_Toc294027950"/>
      <w:bookmarkEnd w:id="88"/>
      <w:bookmarkEnd w:id="89"/>
      <w:bookmarkEnd w:id="90"/>
      <w:bookmarkEnd w:id="91"/>
      <w:bookmarkEnd w:id="92"/>
      <w:bookmarkEnd w:id="93"/>
      <w:bookmarkEnd w:id="94"/>
      <w:r w:rsidRPr="00AE6EDB">
        <w:rPr>
          <w:color w:val="000000" w:themeColor="text1"/>
        </w:rPr>
        <w:t>V roku 2015 sa podľa údajov Štatistického úradu SR narodilo na Slovensku 5</w:t>
      </w:r>
      <w:r w:rsidR="00AC44CB">
        <w:rPr>
          <w:color w:val="000000" w:themeColor="text1"/>
        </w:rPr>
        <w:t>5 6</w:t>
      </w:r>
      <w:r w:rsidRPr="00AE6EDB">
        <w:rPr>
          <w:color w:val="000000" w:themeColor="text1"/>
        </w:rPr>
        <w:t>02 živých detí, čo je o 569 viac ako v roku 2014. Počet zomrelých sa zvýšil na hodnotu 5</w:t>
      </w:r>
      <w:r w:rsidR="0054295F">
        <w:rPr>
          <w:color w:val="000000" w:themeColor="text1"/>
        </w:rPr>
        <w:t>3 8</w:t>
      </w:r>
      <w:r w:rsidRPr="00AE6EDB">
        <w:rPr>
          <w:color w:val="000000" w:themeColor="text1"/>
        </w:rPr>
        <w:t>26 osôb, čo je v porovnaní s predchádzajúcim rokom zvýšenie o </w:t>
      </w:r>
      <w:r w:rsidR="0054295F">
        <w:rPr>
          <w:color w:val="000000" w:themeColor="text1"/>
        </w:rPr>
        <w:t>2 4</w:t>
      </w:r>
      <w:r w:rsidRPr="00AE6EDB">
        <w:rPr>
          <w:color w:val="000000" w:themeColor="text1"/>
        </w:rPr>
        <w:t>80 osôb.</w:t>
      </w:r>
    </w:p>
    <w:p w:rsidR="002625B2" w:rsidRPr="00AE6EDB" w:rsidRDefault="002625B2" w:rsidP="002625B2">
      <w:pPr>
        <w:pStyle w:val="Normlnysozarkami12"/>
        <w:ind w:firstLine="431"/>
        <w:rPr>
          <w:color w:val="000000" w:themeColor="text1"/>
        </w:rPr>
      </w:pPr>
      <w:r w:rsidRPr="00AE6EDB">
        <w:rPr>
          <w:color w:val="000000" w:themeColor="text1"/>
        </w:rPr>
        <w:t>Uzavretých bolo 2</w:t>
      </w:r>
      <w:r w:rsidR="00AC44CB">
        <w:rPr>
          <w:color w:val="000000" w:themeColor="text1"/>
        </w:rPr>
        <w:t>8 7</w:t>
      </w:r>
      <w:r w:rsidRPr="00AE6EDB">
        <w:rPr>
          <w:color w:val="000000" w:themeColor="text1"/>
        </w:rPr>
        <w:t xml:space="preserve">75 manželstiev a rozviedlo sa </w:t>
      </w:r>
      <w:r w:rsidR="00AC44CB">
        <w:rPr>
          <w:color w:val="000000" w:themeColor="text1"/>
        </w:rPr>
        <w:t>9 7</w:t>
      </w:r>
      <w:r w:rsidRPr="00AE6EDB">
        <w:rPr>
          <w:color w:val="000000" w:themeColor="text1"/>
        </w:rPr>
        <w:t>86 manželských dvojíc. V porovnaní s rokom 2014 bol počet sobášov vyšší o </w:t>
      </w:r>
      <w:r w:rsidR="0054295F">
        <w:rPr>
          <w:color w:val="000000" w:themeColor="text1"/>
        </w:rPr>
        <w:t>2 0</w:t>
      </w:r>
      <w:r w:rsidRPr="00AE6EDB">
        <w:rPr>
          <w:color w:val="000000" w:themeColor="text1"/>
        </w:rPr>
        <w:t>38 a počet rozvodov nižší o 728. Tento vývoj sa podpísal na poklese indexu rozvodovosti, keď na 100 uzavretých manželstiev pripadlo len 34,0 roz</w:t>
      </w:r>
      <w:r w:rsidRPr="00AE6EDB">
        <w:rPr>
          <w:color w:val="000000" w:themeColor="text1"/>
        </w:rPr>
        <w:softHyphen/>
        <w:t>vodov. Sobášnosť pokračuje v raste z predchádzajúceho roka, rovnako aj rozvodovosť pokračuje v poklese z roku 2014.</w:t>
      </w:r>
    </w:p>
    <w:p w:rsidR="002625B2" w:rsidRPr="00AE6EDB" w:rsidRDefault="002625B2" w:rsidP="002625B2">
      <w:pPr>
        <w:pStyle w:val="Normlnysozarkami12"/>
        <w:ind w:firstLine="431"/>
        <w:rPr>
          <w:color w:val="000000" w:themeColor="text1"/>
        </w:rPr>
      </w:pPr>
      <w:r w:rsidRPr="00AE6EDB">
        <w:rPr>
          <w:color w:val="000000" w:themeColor="text1"/>
        </w:rPr>
        <w:t xml:space="preserve">V dôsledku zvýšenia úmrtnosti aj napriek zvýšeniu pôrodnosti sa v roku 2015 znížil prirodzený prírastok obyvateľstva na hodnotu </w:t>
      </w:r>
      <w:r w:rsidR="0054295F">
        <w:rPr>
          <w:color w:val="000000" w:themeColor="text1"/>
        </w:rPr>
        <w:t>1 7</w:t>
      </w:r>
      <w:r w:rsidRPr="00AE6EDB">
        <w:rPr>
          <w:color w:val="000000" w:themeColor="text1"/>
        </w:rPr>
        <w:t>76, čo v porovnaní s rokom 2014 znamená pokles o </w:t>
      </w:r>
      <w:r w:rsidR="0054295F">
        <w:rPr>
          <w:color w:val="000000" w:themeColor="text1"/>
        </w:rPr>
        <w:t>1 9</w:t>
      </w:r>
      <w:r w:rsidRPr="00AE6EDB">
        <w:rPr>
          <w:color w:val="000000" w:themeColor="text1"/>
        </w:rPr>
        <w:t>11 osôb. Zahraničnou migráciou získa</w:t>
      </w:r>
      <w:r w:rsidRPr="00AE6EDB">
        <w:rPr>
          <w:color w:val="000000" w:themeColor="text1"/>
        </w:rPr>
        <w:softHyphen/>
        <w:t xml:space="preserve">la Slovenská republika </w:t>
      </w:r>
      <w:r w:rsidR="0054295F">
        <w:rPr>
          <w:color w:val="000000" w:themeColor="text1"/>
        </w:rPr>
        <w:t>3 1</w:t>
      </w:r>
      <w:r w:rsidRPr="00AE6EDB">
        <w:rPr>
          <w:color w:val="000000" w:themeColor="text1"/>
        </w:rPr>
        <w:t>27 osôb, pričom sa prisťa</w:t>
      </w:r>
      <w:r w:rsidRPr="00AE6EDB">
        <w:rPr>
          <w:color w:val="000000" w:themeColor="text1"/>
        </w:rPr>
        <w:softHyphen/>
        <w:t xml:space="preserve">hovalo </w:t>
      </w:r>
      <w:r w:rsidR="00AC44CB">
        <w:rPr>
          <w:color w:val="000000" w:themeColor="text1"/>
        </w:rPr>
        <w:t>6 9</w:t>
      </w:r>
      <w:r w:rsidRPr="00AE6EDB">
        <w:rPr>
          <w:color w:val="000000" w:themeColor="text1"/>
        </w:rPr>
        <w:t xml:space="preserve">97 osôb a vysťahovalo </w:t>
      </w:r>
      <w:r w:rsidR="0054295F">
        <w:rPr>
          <w:color w:val="000000" w:themeColor="text1"/>
        </w:rPr>
        <w:t>3 8</w:t>
      </w:r>
      <w:r w:rsidRPr="00AE6EDB">
        <w:rPr>
          <w:color w:val="000000" w:themeColor="text1"/>
        </w:rPr>
        <w:t>70 osôb. Migračný prírastok sa medziročne zvýšil o </w:t>
      </w:r>
      <w:r w:rsidR="0054295F">
        <w:rPr>
          <w:color w:val="000000" w:themeColor="text1"/>
        </w:rPr>
        <w:t>1 4</w:t>
      </w:r>
      <w:r w:rsidRPr="00AE6EDB">
        <w:rPr>
          <w:color w:val="000000" w:themeColor="text1"/>
        </w:rPr>
        <w:t xml:space="preserve">14 osôb. Celkový prírastok obyvateľstva sa tak oproti roku 2014 znížil o 497 osôb na hodnotu </w:t>
      </w:r>
      <w:r w:rsidR="00AC44CB">
        <w:rPr>
          <w:color w:val="000000" w:themeColor="text1"/>
        </w:rPr>
        <w:t>4 9</w:t>
      </w:r>
      <w:r w:rsidRPr="00AE6EDB">
        <w:rPr>
          <w:color w:val="000000" w:themeColor="text1"/>
        </w:rPr>
        <w:t>03 osôb.</w:t>
      </w:r>
    </w:p>
    <w:p w:rsidR="002625B2" w:rsidRPr="00AE6EDB" w:rsidRDefault="002625B2" w:rsidP="002625B2">
      <w:pPr>
        <w:pStyle w:val="Normlnysozarkami12"/>
        <w:ind w:firstLine="431"/>
        <w:rPr>
          <w:color w:val="000000" w:themeColor="text1"/>
        </w:rPr>
      </w:pPr>
      <w:r w:rsidRPr="00AE6EDB">
        <w:rPr>
          <w:color w:val="000000" w:themeColor="text1"/>
        </w:rPr>
        <w:t xml:space="preserve">K 31. decembru 2015 mala Slovenská republika </w:t>
      </w:r>
      <w:r w:rsidR="00AC44CB">
        <w:rPr>
          <w:b/>
          <w:color w:val="000000" w:themeColor="text1"/>
        </w:rPr>
        <w:t>5 4</w:t>
      </w:r>
      <w:r w:rsidRPr="00AE6EDB">
        <w:rPr>
          <w:b/>
          <w:color w:val="000000" w:themeColor="text1"/>
        </w:rPr>
        <w:t>2</w:t>
      </w:r>
      <w:r w:rsidR="00AC44CB">
        <w:rPr>
          <w:b/>
          <w:color w:val="000000" w:themeColor="text1"/>
        </w:rPr>
        <w:t>6 2</w:t>
      </w:r>
      <w:r w:rsidRPr="00AE6EDB">
        <w:rPr>
          <w:b/>
          <w:color w:val="000000" w:themeColor="text1"/>
        </w:rPr>
        <w:t>52 obyvateľov</w:t>
      </w:r>
      <w:r w:rsidRPr="00AE6EDB">
        <w:rPr>
          <w:color w:val="000000" w:themeColor="text1"/>
        </w:rPr>
        <w:t xml:space="preserve">. </w:t>
      </w:r>
      <w:r w:rsidRPr="00AE6EDB">
        <w:rPr>
          <w:b/>
          <w:color w:val="000000" w:themeColor="text1"/>
        </w:rPr>
        <w:t>Podiel žien</w:t>
      </w:r>
      <w:r w:rsidRPr="00AE6EDB">
        <w:rPr>
          <w:color w:val="000000" w:themeColor="text1"/>
        </w:rPr>
        <w:t xml:space="preserve"> na celkovom počte obyvateľstva tvoril (tak ako od roku 2012) </w:t>
      </w:r>
      <w:r w:rsidRPr="00AE6EDB">
        <w:rPr>
          <w:b/>
          <w:color w:val="000000" w:themeColor="text1"/>
        </w:rPr>
        <w:t>51,3</w:t>
      </w:r>
      <w:r w:rsidR="005676EF">
        <w:rPr>
          <w:b/>
          <w:color w:val="000000" w:themeColor="text1"/>
        </w:rPr>
        <w:t> %</w:t>
      </w:r>
      <w:r w:rsidRPr="00AE6EDB">
        <w:rPr>
          <w:b/>
          <w:color w:val="000000" w:themeColor="text1"/>
        </w:rPr>
        <w:t>.</w:t>
      </w:r>
    </w:p>
    <w:p w:rsidR="002625B2" w:rsidRPr="00AE6EDB" w:rsidRDefault="002625B2" w:rsidP="002625B2">
      <w:pPr>
        <w:pStyle w:val="Nadpis7"/>
        <w:rPr>
          <w:color w:val="000000" w:themeColor="text1"/>
        </w:rPr>
      </w:pPr>
      <w:r w:rsidRPr="00AE6EDB">
        <w:rPr>
          <w:color w:val="000000" w:themeColor="text1"/>
        </w:rPr>
        <w:t>Tabuľka 1.1 Prírastky obyvateľstva SR v rokoch 2014 a 2015</w:t>
      </w:r>
    </w:p>
    <w:tbl>
      <w:tblPr>
        <w:tblW w:w="891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2625B2" w:rsidRPr="00AE6EDB" w:rsidTr="002625B2">
        <w:trPr>
          <w:trHeight w:val="502"/>
          <w:jc w:val="center"/>
        </w:trPr>
        <w:tc>
          <w:tcPr>
            <w:tcW w:w="887"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Rok</w:t>
            </w:r>
          </w:p>
        </w:tc>
        <w:tc>
          <w:tcPr>
            <w:tcW w:w="1488"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Živonarodení</w:t>
            </w:r>
          </w:p>
        </w:tc>
        <w:tc>
          <w:tcPr>
            <w:tcW w:w="1555"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Zomretí</w:t>
            </w:r>
          </w:p>
        </w:tc>
        <w:tc>
          <w:tcPr>
            <w:tcW w:w="1487"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Prirodzený prírastok</w:t>
            </w:r>
          </w:p>
        </w:tc>
        <w:tc>
          <w:tcPr>
            <w:tcW w:w="1658"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Migračné saldo</w:t>
            </w:r>
          </w:p>
        </w:tc>
        <w:tc>
          <w:tcPr>
            <w:tcW w:w="1839" w:type="dxa"/>
            <w:shd w:val="clear" w:color="auto" w:fill="BF0000" w:themeFill="accent3" w:themeFillShade="BF"/>
            <w:tcMar>
              <w:top w:w="0" w:type="dxa"/>
              <w:left w:w="108" w:type="dxa"/>
              <w:bottom w:w="0" w:type="dxa"/>
              <w:right w:w="108" w:type="dxa"/>
            </w:tcMar>
            <w:vAlign w:val="center"/>
            <w:hideMark/>
          </w:tcPr>
          <w:p w:rsidR="002625B2" w:rsidRPr="00AE6EDB" w:rsidRDefault="002625B2" w:rsidP="002625B2">
            <w:pPr>
              <w:jc w:val="center"/>
              <w:rPr>
                <w:b/>
                <w:color w:val="FFFFFF" w:themeColor="background1"/>
              </w:rPr>
            </w:pPr>
            <w:r w:rsidRPr="00AE6EDB">
              <w:rPr>
                <w:b/>
                <w:color w:val="FFFFFF" w:themeColor="background1"/>
              </w:rPr>
              <w:t>Celkový prírastok</w:t>
            </w:r>
          </w:p>
        </w:tc>
      </w:tr>
      <w:tr w:rsidR="002625B2" w:rsidRPr="00AE6EDB" w:rsidTr="002625B2">
        <w:trPr>
          <w:trHeight w:val="243"/>
          <w:jc w:val="center"/>
        </w:trPr>
        <w:tc>
          <w:tcPr>
            <w:tcW w:w="887" w:type="dxa"/>
            <w:tcMar>
              <w:top w:w="0" w:type="dxa"/>
              <w:left w:w="108" w:type="dxa"/>
              <w:bottom w:w="0" w:type="dxa"/>
              <w:right w:w="108" w:type="dxa"/>
            </w:tcMar>
            <w:vAlign w:val="center"/>
          </w:tcPr>
          <w:p w:rsidR="002625B2" w:rsidRPr="00AE6EDB" w:rsidRDefault="002625B2" w:rsidP="002625B2">
            <w:pPr>
              <w:jc w:val="right"/>
            </w:pPr>
            <w:r w:rsidRPr="00AE6EDB">
              <w:t>2014</w:t>
            </w:r>
          </w:p>
        </w:tc>
        <w:tc>
          <w:tcPr>
            <w:tcW w:w="1488" w:type="dxa"/>
            <w:tcMar>
              <w:top w:w="0" w:type="dxa"/>
              <w:left w:w="108" w:type="dxa"/>
              <w:bottom w:w="0" w:type="dxa"/>
              <w:right w:w="108" w:type="dxa"/>
            </w:tcMar>
            <w:vAlign w:val="center"/>
          </w:tcPr>
          <w:p w:rsidR="002625B2" w:rsidRPr="00AE6EDB" w:rsidRDefault="002625B2" w:rsidP="002625B2">
            <w:pPr>
              <w:ind w:right="218"/>
              <w:jc w:val="right"/>
            </w:pPr>
            <w:r w:rsidRPr="00AE6EDB">
              <w:t>5</w:t>
            </w:r>
            <w:r w:rsidR="00AC44CB">
              <w:t>5 0</w:t>
            </w:r>
            <w:r w:rsidRPr="00AE6EDB">
              <w:t>33</w:t>
            </w:r>
          </w:p>
        </w:tc>
        <w:tc>
          <w:tcPr>
            <w:tcW w:w="1555" w:type="dxa"/>
            <w:tcMar>
              <w:top w:w="0" w:type="dxa"/>
              <w:left w:w="108" w:type="dxa"/>
              <w:bottom w:w="0" w:type="dxa"/>
              <w:right w:w="108" w:type="dxa"/>
            </w:tcMar>
            <w:vAlign w:val="center"/>
          </w:tcPr>
          <w:p w:rsidR="002625B2" w:rsidRPr="00AE6EDB" w:rsidRDefault="002625B2" w:rsidP="002625B2">
            <w:pPr>
              <w:ind w:right="214"/>
              <w:jc w:val="right"/>
            </w:pPr>
            <w:r w:rsidRPr="00AE6EDB">
              <w:t>5</w:t>
            </w:r>
            <w:r w:rsidR="0054295F">
              <w:t>1 3</w:t>
            </w:r>
            <w:r w:rsidRPr="00AE6EDB">
              <w:t>46</w:t>
            </w:r>
          </w:p>
        </w:tc>
        <w:tc>
          <w:tcPr>
            <w:tcW w:w="1487" w:type="dxa"/>
            <w:tcMar>
              <w:top w:w="0" w:type="dxa"/>
              <w:left w:w="108" w:type="dxa"/>
              <w:bottom w:w="0" w:type="dxa"/>
              <w:right w:w="108" w:type="dxa"/>
            </w:tcMar>
            <w:vAlign w:val="center"/>
          </w:tcPr>
          <w:p w:rsidR="002625B2" w:rsidRPr="00AE6EDB" w:rsidRDefault="0054295F" w:rsidP="002625B2">
            <w:pPr>
              <w:ind w:right="214"/>
              <w:jc w:val="right"/>
            </w:pPr>
            <w:r>
              <w:t>3 6</w:t>
            </w:r>
            <w:r w:rsidR="002625B2" w:rsidRPr="00AE6EDB">
              <w:t>87</w:t>
            </w:r>
          </w:p>
        </w:tc>
        <w:tc>
          <w:tcPr>
            <w:tcW w:w="1658" w:type="dxa"/>
            <w:tcMar>
              <w:top w:w="0" w:type="dxa"/>
              <w:left w:w="108" w:type="dxa"/>
              <w:bottom w:w="0" w:type="dxa"/>
              <w:right w:w="108" w:type="dxa"/>
            </w:tcMar>
            <w:vAlign w:val="center"/>
          </w:tcPr>
          <w:p w:rsidR="002625B2" w:rsidRPr="00AE6EDB" w:rsidRDefault="0054295F" w:rsidP="002625B2">
            <w:pPr>
              <w:ind w:right="214"/>
              <w:jc w:val="right"/>
            </w:pPr>
            <w:r>
              <w:t>1 7</w:t>
            </w:r>
            <w:r w:rsidR="002625B2" w:rsidRPr="00AE6EDB">
              <w:t>13</w:t>
            </w:r>
          </w:p>
        </w:tc>
        <w:tc>
          <w:tcPr>
            <w:tcW w:w="1839" w:type="dxa"/>
            <w:tcMar>
              <w:top w:w="0" w:type="dxa"/>
              <w:left w:w="108" w:type="dxa"/>
              <w:bottom w:w="0" w:type="dxa"/>
              <w:right w:w="108" w:type="dxa"/>
            </w:tcMar>
            <w:vAlign w:val="center"/>
          </w:tcPr>
          <w:p w:rsidR="002625B2" w:rsidRPr="00AE6EDB" w:rsidRDefault="00AC44CB" w:rsidP="002625B2">
            <w:pPr>
              <w:ind w:right="214"/>
              <w:jc w:val="right"/>
            </w:pPr>
            <w:r>
              <w:t>5 4</w:t>
            </w:r>
            <w:r w:rsidR="002625B2" w:rsidRPr="00AE6EDB">
              <w:t>00</w:t>
            </w:r>
          </w:p>
        </w:tc>
      </w:tr>
      <w:tr w:rsidR="002625B2" w:rsidRPr="00AE6EDB" w:rsidTr="002625B2">
        <w:trPr>
          <w:trHeight w:val="243"/>
          <w:jc w:val="center"/>
        </w:trPr>
        <w:tc>
          <w:tcPr>
            <w:tcW w:w="887" w:type="dxa"/>
            <w:tcMar>
              <w:top w:w="0" w:type="dxa"/>
              <w:left w:w="108" w:type="dxa"/>
              <w:bottom w:w="0" w:type="dxa"/>
              <w:right w:w="108" w:type="dxa"/>
            </w:tcMar>
            <w:vAlign w:val="center"/>
          </w:tcPr>
          <w:p w:rsidR="002625B2" w:rsidRPr="00AE6EDB" w:rsidRDefault="002625B2" w:rsidP="002625B2">
            <w:pPr>
              <w:jc w:val="right"/>
            </w:pPr>
            <w:r w:rsidRPr="00AE6EDB">
              <w:t>2015</w:t>
            </w:r>
          </w:p>
        </w:tc>
        <w:tc>
          <w:tcPr>
            <w:tcW w:w="1488" w:type="dxa"/>
            <w:tcMar>
              <w:top w:w="0" w:type="dxa"/>
              <w:left w:w="108" w:type="dxa"/>
              <w:bottom w:w="0" w:type="dxa"/>
              <w:right w:w="108" w:type="dxa"/>
            </w:tcMar>
            <w:vAlign w:val="center"/>
          </w:tcPr>
          <w:p w:rsidR="002625B2" w:rsidRPr="00AE6EDB" w:rsidRDefault="002625B2" w:rsidP="002625B2">
            <w:pPr>
              <w:ind w:right="218"/>
              <w:jc w:val="right"/>
            </w:pPr>
            <w:r w:rsidRPr="00AE6EDB">
              <w:t>5</w:t>
            </w:r>
            <w:r w:rsidR="00AC44CB">
              <w:t>5 6</w:t>
            </w:r>
            <w:r w:rsidRPr="00AE6EDB">
              <w:t>02</w:t>
            </w:r>
          </w:p>
        </w:tc>
        <w:tc>
          <w:tcPr>
            <w:tcW w:w="1555" w:type="dxa"/>
            <w:tcMar>
              <w:top w:w="0" w:type="dxa"/>
              <w:left w:w="108" w:type="dxa"/>
              <w:bottom w:w="0" w:type="dxa"/>
              <w:right w:w="108" w:type="dxa"/>
            </w:tcMar>
            <w:vAlign w:val="center"/>
          </w:tcPr>
          <w:p w:rsidR="002625B2" w:rsidRPr="00AE6EDB" w:rsidRDefault="002625B2" w:rsidP="002625B2">
            <w:pPr>
              <w:ind w:right="214"/>
              <w:jc w:val="right"/>
            </w:pPr>
            <w:r w:rsidRPr="00AE6EDB">
              <w:t>5</w:t>
            </w:r>
            <w:r w:rsidR="0054295F">
              <w:t>3 8</w:t>
            </w:r>
            <w:r w:rsidRPr="00AE6EDB">
              <w:t>26</w:t>
            </w:r>
          </w:p>
        </w:tc>
        <w:tc>
          <w:tcPr>
            <w:tcW w:w="1487" w:type="dxa"/>
            <w:tcMar>
              <w:top w:w="0" w:type="dxa"/>
              <w:left w:w="108" w:type="dxa"/>
              <w:bottom w:w="0" w:type="dxa"/>
              <w:right w:w="108" w:type="dxa"/>
            </w:tcMar>
            <w:vAlign w:val="center"/>
          </w:tcPr>
          <w:p w:rsidR="002625B2" w:rsidRPr="00AE6EDB" w:rsidRDefault="0054295F" w:rsidP="002625B2">
            <w:pPr>
              <w:ind w:right="214"/>
              <w:jc w:val="right"/>
            </w:pPr>
            <w:r>
              <w:t>1 7</w:t>
            </w:r>
            <w:r w:rsidR="002625B2" w:rsidRPr="00AE6EDB">
              <w:t>76</w:t>
            </w:r>
          </w:p>
        </w:tc>
        <w:tc>
          <w:tcPr>
            <w:tcW w:w="1658" w:type="dxa"/>
            <w:tcMar>
              <w:top w:w="0" w:type="dxa"/>
              <w:left w:w="108" w:type="dxa"/>
              <w:bottom w:w="0" w:type="dxa"/>
              <w:right w:w="108" w:type="dxa"/>
            </w:tcMar>
            <w:vAlign w:val="center"/>
          </w:tcPr>
          <w:p w:rsidR="002625B2" w:rsidRPr="00AE6EDB" w:rsidRDefault="0054295F" w:rsidP="002625B2">
            <w:pPr>
              <w:ind w:right="214"/>
              <w:jc w:val="right"/>
            </w:pPr>
            <w:r>
              <w:t>3 1</w:t>
            </w:r>
            <w:r w:rsidR="002625B2" w:rsidRPr="00AE6EDB">
              <w:t>27</w:t>
            </w:r>
          </w:p>
        </w:tc>
        <w:tc>
          <w:tcPr>
            <w:tcW w:w="1839" w:type="dxa"/>
            <w:tcMar>
              <w:top w:w="0" w:type="dxa"/>
              <w:left w:w="108" w:type="dxa"/>
              <w:bottom w:w="0" w:type="dxa"/>
              <w:right w:w="108" w:type="dxa"/>
            </w:tcMar>
            <w:vAlign w:val="center"/>
          </w:tcPr>
          <w:p w:rsidR="002625B2" w:rsidRPr="00AE6EDB" w:rsidRDefault="00AC44CB" w:rsidP="002625B2">
            <w:pPr>
              <w:ind w:right="214"/>
              <w:jc w:val="right"/>
            </w:pPr>
            <w:r>
              <w:t>4 9</w:t>
            </w:r>
            <w:r w:rsidR="002625B2" w:rsidRPr="00AE6EDB">
              <w:t>03</w:t>
            </w:r>
          </w:p>
        </w:tc>
      </w:tr>
    </w:tbl>
    <w:p w:rsidR="00B253E7" w:rsidRDefault="002625B2" w:rsidP="002625B2">
      <w:pPr>
        <w:pStyle w:val="zdroj"/>
        <w:spacing w:before="40"/>
      </w:pPr>
      <w:r w:rsidRPr="00AE6EDB">
        <w:t>Zdroj: ŠÚ SR</w:t>
      </w:r>
      <w:bookmarkStart w:id="95" w:name="_Toc356482618"/>
      <w:bookmarkStart w:id="96" w:name="_Toc356482809"/>
    </w:p>
    <w:p w:rsidR="00352824" w:rsidRDefault="00352824" w:rsidP="002625B2">
      <w:pPr>
        <w:pStyle w:val="zdroj"/>
        <w:spacing w:before="40"/>
        <w:sectPr w:rsidR="00352824" w:rsidSect="002625B2">
          <w:headerReference w:type="even" r:id="rId18"/>
          <w:headerReference w:type="default" r:id="rId19"/>
          <w:pgSz w:w="11906" w:h="16838"/>
          <w:pgMar w:top="1417" w:right="1417" w:bottom="1417" w:left="1417" w:header="709" w:footer="709" w:gutter="0"/>
          <w:cols w:space="708"/>
          <w:docGrid w:linePitch="360"/>
        </w:sectPr>
      </w:pPr>
    </w:p>
    <w:p w:rsidR="00352824" w:rsidRDefault="00352824" w:rsidP="002625B2">
      <w:pPr>
        <w:pStyle w:val="zdroj"/>
        <w:spacing w:before="40"/>
        <w:sectPr w:rsidR="00352824" w:rsidSect="00352824">
          <w:headerReference w:type="even" r:id="rId20"/>
          <w:type w:val="evenPage"/>
          <w:pgSz w:w="11906" w:h="16838"/>
          <w:pgMar w:top="1417" w:right="1417" w:bottom="1417" w:left="1417" w:header="709" w:footer="709" w:gutter="0"/>
          <w:cols w:space="708"/>
          <w:docGrid w:linePitch="360"/>
        </w:sectPr>
      </w:pPr>
    </w:p>
    <w:p w:rsidR="002625B2" w:rsidRPr="00AE6EDB" w:rsidRDefault="002625B2" w:rsidP="002625B2">
      <w:pPr>
        <w:pStyle w:val="Nadpis1"/>
      </w:pPr>
      <w:bookmarkStart w:id="97" w:name="_Toc422233402"/>
      <w:bookmarkStart w:id="98" w:name="_Toc452469859"/>
      <w:bookmarkEnd w:id="95"/>
      <w:bookmarkEnd w:id="96"/>
      <w:r w:rsidRPr="00AE6EDB">
        <w:lastRenderedPageBreak/>
        <w:t>TRH PRÁCE, MZDY A PRACOVNÉ PODMIENKY</w:t>
      </w:r>
      <w:bookmarkEnd w:id="97"/>
      <w:bookmarkEnd w:id="98"/>
    </w:p>
    <w:p w:rsidR="002625B2" w:rsidRPr="00AE6EDB" w:rsidRDefault="002625B2" w:rsidP="002625B2">
      <w:pPr>
        <w:pStyle w:val="nadpis2"/>
      </w:pPr>
      <w:bookmarkStart w:id="99" w:name="_Toc422233403"/>
      <w:bookmarkStart w:id="100" w:name="_Toc452469860"/>
      <w:r w:rsidRPr="00AE6EDB">
        <w:t>Trh práce</w:t>
      </w:r>
      <w:bookmarkEnd w:id="99"/>
      <w:bookmarkEnd w:id="100"/>
    </w:p>
    <w:p w:rsidR="002625B2" w:rsidRPr="00AE6EDB" w:rsidRDefault="002625B2" w:rsidP="002625B2">
      <w:pPr>
        <w:pStyle w:val="Nadpis6"/>
      </w:pPr>
      <w:bookmarkStart w:id="101" w:name="_Toc422233404"/>
      <w:bookmarkStart w:id="102" w:name="_Toc452469861"/>
      <w:r w:rsidRPr="00AE6EDB">
        <w:t>Vývoj ekonomickej aktivity obyvateľstva</w:t>
      </w:r>
      <w:bookmarkEnd w:id="101"/>
      <w:bookmarkEnd w:id="102"/>
    </w:p>
    <w:p w:rsidR="002625B2" w:rsidRPr="00AE6EDB" w:rsidRDefault="002625B2" w:rsidP="002625B2">
      <w:pPr>
        <w:pStyle w:val="Normlnysozarkami2"/>
        <w:ind w:firstLine="431"/>
      </w:pPr>
      <w:r w:rsidRPr="00AE6EDB">
        <w:t xml:space="preserve">Podľa údajov Štatistického úradu SR priemerný počet </w:t>
      </w:r>
      <w:r w:rsidRPr="00AE6EDB">
        <w:rPr>
          <w:b/>
        </w:rPr>
        <w:t xml:space="preserve">ekonomicky aktívnych obyvateľov </w:t>
      </w:r>
      <w:r w:rsidRPr="00AE6EDB">
        <w:t>SR</w:t>
      </w:r>
      <w:r w:rsidRPr="00AE6EDB">
        <w:rPr>
          <w:b/>
        </w:rPr>
        <w:t xml:space="preserve"> </w:t>
      </w:r>
      <w:r w:rsidRPr="00AE6EDB">
        <w:t xml:space="preserve">v roku 2015 podľa výberového zisťovania pracovných síl (VZPS) medziročne vzrástol o 16,5 tis. osôb na </w:t>
      </w:r>
      <w:r w:rsidR="0054295F">
        <w:t>2 7</w:t>
      </w:r>
      <w:r w:rsidRPr="00AE6EDB">
        <w:t>38,3 tis. osôb, resp. o 0,6</w:t>
      </w:r>
      <w:r w:rsidR="005676EF">
        <w:t> %</w:t>
      </w:r>
      <w:r w:rsidRPr="00AE6EDB">
        <w:t>. Zvýšil sa však len počet ekonomicky aktívnych žien (o 1,8</w:t>
      </w:r>
      <w:r w:rsidR="005676EF">
        <w:t> %</w:t>
      </w:r>
      <w:r w:rsidRPr="00AE6EDB">
        <w:t>, resp.</w:t>
      </w:r>
      <w:r w:rsidR="00BC0D6C">
        <w:t> </w:t>
      </w:r>
      <w:r w:rsidRPr="00AE6EDB">
        <w:t>o 21,8 tis. osôb), počet ekonomicky aktívnych mužov naopak klesol (o 0,4</w:t>
      </w:r>
      <w:r w:rsidR="005676EF">
        <w:t> %</w:t>
      </w:r>
      <w:r w:rsidRPr="00AE6EDB">
        <w:t>, resp. o 5,4 tis. osôb). V dôsledku tohto vývoja sa podiel ekonomicky aktívnych žien na celkovom počte ekonomicky aktívnych obyvateľov v roku 2015 v porovnaní s rokom 2014 zvýšil o 0,9 p. b. (zo 44,5</w:t>
      </w:r>
      <w:r w:rsidR="005676EF">
        <w:t> %</w:t>
      </w:r>
      <w:r w:rsidRPr="00AE6EDB">
        <w:t xml:space="preserve"> na 45,4</w:t>
      </w:r>
      <w:r w:rsidR="005676EF">
        <w:t> %</w:t>
      </w:r>
      <w:r w:rsidRPr="00AE6EDB">
        <w:t xml:space="preserve">). </w:t>
      </w:r>
    </w:p>
    <w:p w:rsidR="002625B2" w:rsidRPr="00AE6EDB" w:rsidRDefault="002625B2" w:rsidP="002625B2">
      <w:pPr>
        <w:pStyle w:val="Normlnysozarkami2"/>
        <w:ind w:firstLine="431"/>
      </w:pPr>
      <w:r w:rsidRPr="00AE6EDB">
        <w:t>Rast počtu ekonomicky aktívnych obyvateľov bol ovplyvnený predovšetkým rastom počtu pracujúcich (o 61 tis. osôb), zatiaľ čo počet neza</w:t>
      </w:r>
      <w:r w:rsidR="00B811E2" w:rsidRPr="00AE6EDB">
        <w:t>mestnaných sa medziročne znížil</w:t>
      </w:r>
      <w:r w:rsidRPr="00AE6EDB">
        <w:t xml:space="preserve"> o 44,4 tis. osôb. Z celkového priemerného počtu ekonomicky aktívnych obyvateľov bolo 88,5</w:t>
      </w:r>
      <w:r w:rsidR="005676EF">
        <w:t> %</w:t>
      </w:r>
      <w:r w:rsidRPr="00AE6EDB">
        <w:t xml:space="preserve"> pracujúcich (86,8</w:t>
      </w:r>
      <w:r w:rsidR="005676EF">
        <w:t> %</w:t>
      </w:r>
      <w:r w:rsidRPr="00AE6EDB">
        <w:t xml:space="preserve"> v roku 2014) a 11,5</w:t>
      </w:r>
      <w:r w:rsidR="005676EF">
        <w:t> %</w:t>
      </w:r>
      <w:r w:rsidRPr="00AE6EDB">
        <w:t xml:space="preserve"> nezamestnaných (13,2</w:t>
      </w:r>
      <w:r w:rsidR="005676EF">
        <w:t> %</w:t>
      </w:r>
      <w:r w:rsidRPr="00AE6EDB">
        <w:t xml:space="preserve"> v roku 2014).</w:t>
      </w:r>
    </w:p>
    <w:p w:rsidR="002625B2" w:rsidRPr="00AE6EDB" w:rsidRDefault="002625B2" w:rsidP="002625B2">
      <w:pPr>
        <w:pStyle w:val="Normlnysozarkami2"/>
        <w:ind w:firstLine="431"/>
      </w:pPr>
      <w:r w:rsidRPr="00AE6EDB">
        <w:t>Z celkového počtu obyvateľov vo veku 15 a viac rokov bolo 40,</w:t>
      </w:r>
      <w:r w:rsidR="00CD5B34">
        <w:t>4</w:t>
      </w:r>
      <w:r w:rsidR="005676EF">
        <w:t> %</w:t>
      </w:r>
      <w:r w:rsidRPr="00AE6EDB">
        <w:t xml:space="preserve"> </w:t>
      </w:r>
      <w:r w:rsidRPr="00AE6EDB">
        <w:rPr>
          <w:b/>
        </w:rPr>
        <w:t>ekonomicky neaktívnych</w:t>
      </w:r>
      <w:r w:rsidRPr="00AE6EDB">
        <w:t xml:space="preserve"> (v roku 2014 ich bolo 40,</w:t>
      </w:r>
      <w:r w:rsidR="00CD5B34">
        <w:t>7</w:t>
      </w:r>
      <w:r w:rsidR="005676EF">
        <w:t> %</w:t>
      </w:r>
      <w:r w:rsidRPr="00AE6EDB">
        <w:t>). V porovnaní s predchádzajúcim rokom sa počet ekonomicky neaktívnych osôb znížil o 11,</w:t>
      </w:r>
      <w:r w:rsidR="00CD5B34">
        <w:t>4</w:t>
      </w:r>
      <w:r w:rsidRPr="00AE6EDB">
        <w:t xml:space="preserve"> tis. osôb) a dosiahol </w:t>
      </w:r>
      <w:r w:rsidR="0054295F">
        <w:t>1 8</w:t>
      </w:r>
      <w:r w:rsidRPr="00AE6EDB">
        <w:t>52,9 tis. osôb.</w:t>
      </w:r>
    </w:p>
    <w:p w:rsidR="002625B2" w:rsidRPr="00AE6EDB" w:rsidRDefault="002625B2" w:rsidP="002625B2">
      <w:pPr>
        <w:pStyle w:val="Normlnysozarkami2"/>
        <w:ind w:firstLine="567"/>
      </w:pPr>
      <w:r w:rsidRPr="00AE6EDB">
        <w:t>Štruktúra ekonomicky neaktívnych obyvateľov vo veku 15 a viac rokov sa medziročne podstatnejšie nezmenila. Najvyšší podiel mali dôchodcovia poberajúci starobný alebo invalidný dôchodok, pričom v porovnaní s rokom 2014 sa ich podiel zvýšil z 59,9</w:t>
      </w:r>
      <w:r w:rsidR="005676EF">
        <w:t> %</w:t>
      </w:r>
      <w:r w:rsidRPr="00AE6EDB">
        <w:t>. na 60,9</w:t>
      </w:r>
      <w:r w:rsidR="005676EF">
        <w:t> %</w:t>
      </w:r>
      <w:r w:rsidRPr="00AE6EDB">
        <w:t>. Druhou najpočetnejšou skupinou boli študenti a učni (23,2</w:t>
      </w:r>
      <w:r w:rsidR="005676EF">
        <w:t> %</w:t>
      </w:r>
      <w:r w:rsidRPr="00AE6EDB">
        <w:t>), pričom ich podiel medziročne poklesol o 1,</w:t>
      </w:r>
      <w:r w:rsidR="00CD5B34">
        <w:t>4</w:t>
      </w:r>
      <w:r w:rsidRPr="00AE6EDB">
        <w:t> p. b.</w:t>
      </w:r>
    </w:p>
    <w:p w:rsidR="002625B2" w:rsidRPr="00AE6EDB" w:rsidRDefault="002625B2" w:rsidP="002625B2">
      <w:pPr>
        <w:pStyle w:val="Normlnysozarkami2"/>
        <w:ind w:firstLine="567"/>
      </w:pPr>
      <w:r w:rsidRPr="00AE6EDB">
        <w:t xml:space="preserve">Celková </w:t>
      </w:r>
      <w:r w:rsidRPr="00AE6EDB">
        <w:rPr>
          <w:b/>
        </w:rPr>
        <w:t>miera ekonomickej aktivity</w:t>
      </w:r>
      <w:r w:rsidRPr="00AE6EDB">
        <w:t xml:space="preserve"> obyvateľov vo veku 15 a viac rokov dosiahla úroveň 59,7</w:t>
      </w:r>
      <w:r w:rsidR="005676EF">
        <w:t> %</w:t>
      </w:r>
      <w:r w:rsidRPr="00AE6EDB">
        <w:t xml:space="preserve"> a v porovnaní s rokom 2014 vzrástla o 0,3 p. b. Z hľadiska pohlavia sa miera ekonomickej aktivity zvýšila len u žien (o 0,9 p. b</w:t>
      </w:r>
      <w:r w:rsidR="001C72AB" w:rsidRPr="00AE6EDB">
        <w:t>.</w:t>
      </w:r>
      <w:r w:rsidRPr="00AE6EDB">
        <w:t xml:space="preserve">). Naopak, miera ekonomickej aktivity u mužov sa medziročne znížila o 0,3 p. b. </w:t>
      </w:r>
    </w:p>
    <w:p w:rsidR="00C67541" w:rsidRPr="00AE6EDB" w:rsidRDefault="00C67541" w:rsidP="00C67541">
      <w:pPr>
        <w:pStyle w:val="Normlnysozarkami2"/>
        <w:ind w:firstLine="567"/>
      </w:pPr>
      <w:r w:rsidRPr="00AE6EDB">
        <w:t>Medziročný rast miery ekonomickej aktivity dosiahli najmä 5-ročné vekové skupiny 55 a viac rokov a 5-ročné vekové skupiny 20 – 29 rokov. V ostatných 5-ročných vekových skupinách bol zaznamenaný medziročný pokles miery ekonomickej aktivity. Kým u mužov bol zaznamen</w:t>
      </w:r>
      <w:r w:rsidR="00AE6EDB" w:rsidRPr="00AE6EDB">
        <w:t>an</w:t>
      </w:r>
      <w:r w:rsidRPr="00AE6EDB">
        <w:t xml:space="preserve">ý nárast ekonomickej aktivity len vo vekových skupinách 20 – 29 rokov a 60 a viac rokov, u žien došlo k nárastu </w:t>
      </w:r>
      <w:r w:rsidR="00325688" w:rsidRPr="00AE6EDB">
        <w:t>v</w:t>
      </w:r>
      <w:r w:rsidRPr="00AE6EDB">
        <w:t> skupinách 15 – 34 rokov</w:t>
      </w:r>
      <w:r w:rsidR="00325688" w:rsidRPr="00AE6EDB">
        <w:t xml:space="preserve"> a </w:t>
      </w:r>
      <w:r w:rsidRPr="00AE6EDB">
        <w:t>5</w:t>
      </w:r>
      <w:r w:rsidR="00325688" w:rsidRPr="00AE6EDB">
        <w:t>5 a viac rokov</w:t>
      </w:r>
      <w:r w:rsidRPr="00AE6EDB">
        <w:t>.</w:t>
      </w:r>
    </w:p>
    <w:p w:rsidR="002625B2" w:rsidRPr="00AE6EDB" w:rsidRDefault="002625B2" w:rsidP="002625B2">
      <w:pPr>
        <w:pStyle w:val="Nadpis7"/>
        <w:rPr>
          <w:vertAlign w:val="superscript"/>
        </w:rPr>
      </w:pPr>
      <w:r w:rsidRPr="00AE6EDB">
        <w:t xml:space="preserve">Tabuľka 2.1 Miera ekonomickej aktivity obyvateľov 15+ podľa veku a pohlavia </w:t>
      </w:r>
      <w:r w:rsidRPr="00AE6EDB">
        <w:br/>
        <w:t>(priemer za rok v</w:t>
      </w:r>
      <w:r w:rsidR="005676EF">
        <w:t> %</w:t>
      </w:r>
      <w:r w:rsidRPr="00AE6EDB">
        <w:t>)</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025"/>
        <w:gridCol w:w="1016"/>
        <w:gridCol w:w="981"/>
        <w:gridCol w:w="978"/>
        <w:gridCol w:w="980"/>
        <w:gridCol w:w="980"/>
        <w:gridCol w:w="978"/>
      </w:tblGrid>
      <w:tr w:rsidR="002625B2" w:rsidRPr="00AE6EDB" w:rsidTr="002625B2">
        <w:trPr>
          <w:trHeight w:val="255"/>
          <w:jc w:val="center"/>
        </w:trPr>
        <w:tc>
          <w:tcPr>
            <w:tcW w:w="1276" w:type="pct"/>
            <w:vMerge w:val="restart"/>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rPr>
                <w:b/>
                <w:color w:val="FFFFFF" w:themeColor="background1"/>
              </w:rPr>
            </w:pPr>
            <w:r w:rsidRPr="00AE6EDB">
              <w:rPr>
                <w:b/>
                <w:color w:val="FFFFFF" w:themeColor="background1"/>
              </w:rPr>
              <w:t>Veková skupina</w:t>
            </w:r>
          </w:p>
        </w:tc>
        <w:tc>
          <w:tcPr>
            <w:tcW w:w="1258"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Spolu</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Muži</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Ženy</w:t>
            </w:r>
          </w:p>
        </w:tc>
      </w:tr>
      <w:tr w:rsidR="002625B2" w:rsidRPr="00AE6EDB" w:rsidTr="002625B2">
        <w:trPr>
          <w:trHeight w:val="255"/>
          <w:jc w:val="center"/>
        </w:trPr>
        <w:tc>
          <w:tcPr>
            <w:tcW w:w="1276" w:type="pct"/>
            <w:vMerge/>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pStyle w:val="Nadpis21"/>
              <w:rPr>
                <w:color w:val="FFFFFF" w:themeColor="background1"/>
              </w:rPr>
            </w:pPr>
          </w:p>
        </w:tc>
        <w:tc>
          <w:tcPr>
            <w:tcW w:w="640"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2014</w:t>
            </w:r>
          </w:p>
        </w:tc>
        <w:tc>
          <w:tcPr>
            <w:tcW w:w="618"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2015</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2014</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2015</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2014</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2015</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b/>
                <w:sz w:val="20"/>
                <w:szCs w:val="20"/>
              </w:rPr>
            </w:pPr>
            <w:r w:rsidRPr="00AE6EDB">
              <w:rPr>
                <w:b/>
                <w:sz w:val="20"/>
                <w:szCs w:val="20"/>
              </w:rPr>
              <w:t>Spolu</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59,4</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59,7</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68,2</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67,9</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51,1</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b/>
                <w:bCs/>
                <w:sz w:val="20"/>
                <w:szCs w:val="20"/>
              </w:rPr>
            </w:pPr>
            <w:r w:rsidRPr="00AE6EDB">
              <w:rPr>
                <w:b/>
                <w:bCs/>
                <w:sz w:val="20"/>
                <w:szCs w:val="20"/>
              </w:rPr>
              <w:t>52,0</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15 – 19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6,4</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6,3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8,0</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7,3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4,6</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5,3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20 – 24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50,6</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51,9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62,0</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63,0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38,6</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40,4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25 – 29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81,0</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82,8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93,1</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93,9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68,5</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71,2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30 – 34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83,0</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82,8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96,4</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95,4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68,7</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69,4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35 – 39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89,1</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87,8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96,4</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95,7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81,5</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79,5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40 – 44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93,3</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92,9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95,6</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94,3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90,8</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91,3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45 – 49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91,7</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91,5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93,0</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92,7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90,5</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90,3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50 – 54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87,0</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87,0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88,5</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88,4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85,6</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85,6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55 – 59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74,9</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77,5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82,1</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81,5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68,2</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73,7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60 – 64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22,4</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24,5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32,0</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32,8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14,1</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17,2 </w:t>
            </w:r>
          </w:p>
        </w:tc>
      </w:tr>
      <w:tr w:rsidR="002625B2" w:rsidRPr="00AE6EDB" w:rsidTr="002625B2">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rPr>
                <w:sz w:val="20"/>
                <w:szCs w:val="20"/>
              </w:rPr>
            </w:pPr>
            <w:r w:rsidRPr="00AE6EDB">
              <w:rPr>
                <w:sz w:val="20"/>
                <w:szCs w:val="20"/>
              </w:rPr>
              <w:t>65 a viac rokov</w:t>
            </w:r>
          </w:p>
        </w:tc>
        <w:tc>
          <w:tcPr>
            <w:tcW w:w="640"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2,0</w:t>
            </w:r>
          </w:p>
        </w:tc>
        <w:tc>
          <w:tcPr>
            <w:tcW w:w="61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2,6 </w:t>
            </w:r>
          </w:p>
        </w:tc>
        <w:tc>
          <w:tcPr>
            <w:tcW w:w="61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3,3</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4,2 </w:t>
            </w:r>
          </w:p>
        </w:tc>
        <w:tc>
          <w:tcPr>
            <w:tcW w:w="617"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1,3</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jc w:val="right"/>
              <w:rPr>
                <w:sz w:val="20"/>
                <w:szCs w:val="20"/>
              </w:rPr>
            </w:pPr>
            <w:r w:rsidRPr="00AE6EDB">
              <w:rPr>
                <w:sz w:val="20"/>
                <w:szCs w:val="20"/>
              </w:rPr>
              <w:t xml:space="preserve">1,6 </w:t>
            </w:r>
          </w:p>
        </w:tc>
      </w:tr>
    </w:tbl>
    <w:p w:rsidR="002625B2" w:rsidRPr="00AE6EDB" w:rsidRDefault="002625B2" w:rsidP="002625B2">
      <w:pPr>
        <w:pStyle w:val="zdroj"/>
      </w:pPr>
      <w:r w:rsidRPr="00AE6EDB">
        <w:t>Zdroj: ŠÚ SR, VZPS</w:t>
      </w:r>
      <w:r w:rsidRPr="00AE6EDB">
        <w:tab/>
      </w:r>
    </w:p>
    <w:p w:rsidR="002625B2" w:rsidRPr="00AE6EDB" w:rsidRDefault="002625B2" w:rsidP="002625B2">
      <w:pPr>
        <w:pStyle w:val="zdroj"/>
        <w:rPr>
          <w:i w:val="0"/>
          <w:sz w:val="22"/>
          <w:szCs w:val="22"/>
        </w:rPr>
      </w:pPr>
      <w:r w:rsidRPr="00AE6EDB">
        <w:rPr>
          <w:i w:val="0"/>
          <w:sz w:val="22"/>
          <w:szCs w:val="22"/>
        </w:rPr>
        <w:lastRenderedPageBreak/>
        <w:t>Vývoj štruktúry ekonomicky aktívnych obyvateľov podľa jednotlivých 5-ročných vekových skupín poukazuje na pokračovanie starnutia pracovnej sily v SR. Medziročne vzrástol najmä počet ekonomicky aktívnych vo veku 50 a viac rokov a ich podiel na celkovom počte ekonomicky aktívnych sa medziročne zvýšil o 0,6 p. b. (z 25,8</w:t>
      </w:r>
      <w:r w:rsidR="005676EF">
        <w:rPr>
          <w:i w:val="0"/>
          <w:sz w:val="22"/>
          <w:szCs w:val="22"/>
        </w:rPr>
        <w:t> %</w:t>
      </w:r>
      <w:r w:rsidRPr="00AE6EDB">
        <w:rPr>
          <w:i w:val="0"/>
          <w:sz w:val="22"/>
          <w:szCs w:val="22"/>
        </w:rPr>
        <w:t xml:space="preserve"> na 26,4</w:t>
      </w:r>
      <w:r w:rsidR="005676EF">
        <w:rPr>
          <w:i w:val="0"/>
          <w:sz w:val="22"/>
          <w:szCs w:val="22"/>
        </w:rPr>
        <w:t> %</w:t>
      </w:r>
      <w:r w:rsidRPr="00AE6EDB">
        <w:rPr>
          <w:i w:val="0"/>
          <w:sz w:val="22"/>
          <w:szCs w:val="22"/>
        </w:rPr>
        <w:t>). V porovnaní s rokom 2014 vzrástol aj počet ekonomicky aktívnych vo vekovej skupine 40</w:t>
      </w:r>
      <w:r w:rsidR="00325688" w:rsidRPr="00AE6EDB">
        <w:rPr>
          <w:i w:val="0"/>
          <w:sz w:val="22"/>
          <w:szCs w:val="22"/>
        </w:rPr>
        <w:t xml:space="preserve"> – </w:t>
      </w:r>
      <w:r w:rsidRPr="00AE6EDB">
        <w:rPr>
          <w:i w:val="0"/>
          <w:sz w:val="22"/>
          <w:szCs w:val="22"/>
        </w:rPr>
        <w:t>44 rokov. V ostatných 5-ročných vekových skupinách bol zaznamenaný medziročný pokles počtu ekonomicky aktívnych obyvateľov.</w:t>
      </w:r>
    </w:p>
    <w:p w:rsidR="002625B2" w:rsidRPr="00AE6EDB" w:rsidRDefault="002625B2" w:rsidP="002625B2">
      <w:pPr>
        <w:pStyle w:val="Nadpis7"/>
        <w:rPr>
          <w:vertAlign w:val="superscript"/>
        </w:rPr>
      </w:pPr>
      <w:r w:rsidRPr="00AE6EDB">
        <w:t xml:space="preserve">Tabuľka 2.2 Ekonomicky aktívne obyvateľstvo podľa veku v roku 2015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383"/>
        <w:gridCol w:w="1469"/>
        <w:gridCol w:w="1013"/>
        <w:gridCol w:w="1470"/>
        <w:gridCol w:w="1603"/>
      </w:tblGrid>
      <w:tr w:rsidR="002625B2" w:rsidRPr="00AE6EDB" w:rsidTr="002625B2">
        <w:trPr>
          <w:trHeight w:val="255"/>
          <w:jc w:val="center"/>
        </w:trPr>
        <w:tc>
          <w:tcPr>
            <w:tcW w:w="1501" w:type="pct"/>
            <w:vMerge w:val="restart"/>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Veková skupina</w:t>
            </w:r>
          </w:p>
        </w:tc>
        <w:tc>
          <w:tcPr>
            <w:tcW w:w="1563"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Spolu</w:t>
            </w:r>
          </w:p>
        </w:tc>
        <w:tc>
          <w:tcPr>
            <w:tcW w:w="1936"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Zmena oproti roku 2014</w:t>
            </w:r>
          </w:p>
        </w:tc>
      </w:tr>
      <w:tr w:rsidR="002625B2" w:rsidRPr="00AE6EDB" w:rsidTr="002625B2">
        <w:trPr>
          <w:trHeight w:val="255"/>
          <w:jc w:val="center"/>
        </w:trPr>
        <w:tc>
          <w:tcPr>
            <w:tcW w:w="1501" w:type="pct"/>
            <w:vMerge/>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p>
        </w:tc>
        <w:tc>
          <w:tcPr>
            <w:tcW w:w="925"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v tis. osobách</w:t>
            </w:r>
          </w:p>
        </w:tc>
        <w:tc>
          <w:tcPr>
            <w:tcW w:w="638"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p>
        </w:tc>
        <w:tc>
          <w:tcPr>
            <w:tcW w:w="926"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 tis. osobách</w:t>
            </w:r>
          </w:p>
        </w:tc>
        <w:tc>
          <w:tcPr>
            <w:tcW w:w="1010" w:type="pct"/>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 p. b.</w:t>
            </w:r>
          </w:p>
        </w:tc>
      </w:tr>
      <w:tr w:rsidR="002625B2" w:rsidRPr="00AE6EDB" w:rsidTr="002625B2">
        <w:trPr>
          <w:trHeight w:val="255"/>
          <w:jc w:val="center"/>
        </w:trPr>
        <w:tc>
          <w:tcPr>
            <w:tcW w:w="1501"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rPr>
                <w:b/>
              </w:rPr>
            </w:pPr>
            <w:r w:rsidRPr="00AE6EDB">
              <w:rPr>
                <w:b/>
              </w:rPr>
              <w:t>Spolu</w:t>
            </w:r>
          </w:p>
        </w:tc>
        <w:tc>
          <w:tcPr>
            <w:tcW w:w="925" w:type="pct"/>
            <w:tcBorders>
              <w:top w:val="single" w:sz="4" w:space="0" w:color="BF0000" w:themeColor="accent3" w:themeShade="BF"/>
              <w:bottom w:val="single" w:sz="8" w:space="0" w:color="BF0000" w:themeColor="accent3" w:themeShade="BF"/>
            </w:tcBorders>
            <w:noWrap/>
            <w:vAlign w:val="center"/>
          </w:tcPr>
          <w:p w:rsidR="002625B2" w:rsidRPr="00AE6EDB" w:rsidRDefault="0054295F" w:rsidP="002625B2">
            <w:pPr>
              <w:pStyle w:val="tabulka"/>
              <w:ind w:right="219"/>
              <w:jc w:val="right"/>
              <w:rPr>
                <w:b/>
              </w:rPr>
            </w:pPr>
            <w:r>
              <w:rPr>
                <w:b/>
              </w:rPr>
              <w:t>2 7</w:t>
            </w:r>
            <w:r w:rsidR="002625B2" w:rsidRPr="00AE6EDB">
              <w:rPr>
                <w:b/>
              </w:rPr>
              <w:t>38,3</w:t>
            </w:r>
          </w:p>
        </w:tc>
        <w:tc>
          <w:tcPr>
            <w:tcW w:w="638" w:type="pct"/>
            <w:tcBorders>
              <w:top w:val="single" w:sz="4"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rPr>
                <w:b/>
              </w:rPr>
            </w:pPr>
            <w:r w:rsidRPr="00AE6EDB">
              <w:rPr>
                <w:b/>
              </w:rPr>
              <w:t>100,0</w:t>
            </w:r>
          </w:p>
        </w:tc>
        <w:tc>
          <w:tcPr>
            <w:tcW w:w="926" w:type="pct"/>
            <w:tcBorders>
              <w:top w:val="single" w:sz="4" w:space="0" w:color="BF0000" w:themeColor="accent3" w:themeShade="BF"/>
              <w:bottom w:val="single" w:sz="8" w:space="0" w:color="BF0000" w:themeColor="accent3" w:themeShade="BF"/>
            </w:tcBorders>
            <w:noWrap/>
            <w:vAlign w:val="center"/>
          </w:tcPr>
          <w:p w:rsidR="002625B2" w:rsidRPr="00AE6EDB" w:rsidRDefault="002625B2" w:rsidP="00CD5B34">
            <w:pPr>
              <w:pStyle w:val="tabulka"/>
              <w:ind w:right="219"/>
              <w:jc w:val="right"/>
              <w:rPr>
                <w:b/>
              </w:rPr>
            </w:pPr>
            <w:r w:rsidRPr="00AE6EDB">
              <w:rPr>
                <w:b/>
              </w:rPr>
              <w:t>16,</w:t>
            </w:r>
            <w:r w:rsidR="00CD5B34">
              <w:rPr>
                <w:b/>
              </w:rPr>
              <w:t>5</w:t>
            </w:r>
          </w:p>
        </w:tc>
        <w:tc>
          <w:tcPr>
            <w:tcW w:w="1010" w:type="pct"/>
            <w:tcBorders>
              <w:top w:val="single" w:sz="4"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B811E2">
            <w:pPr>
              <w:pStyle w:val="tabulka"/>
              <w:ind w:right="219"/>
              <w:jc w:val="right"/>
              <w:rPr>
                <w:b/>
              </w:rPr>
            </w:pPr>
            <w:r w:rsidRPr="00AE6EDB">
              <w:rPr>
                <w:b/>
              </w:rPr>
              <w:t>x</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v tom veková skupina:</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p>
        </w:tc>
        <w:tc>
          <w:tcPr>
            <w:tcW w:w="638"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p>
        </w:tc>
        <w:tc>
          <w:tcPr>
            <w:tcW w:w="926"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625B2" w:rsidRPr="00AE6EDB" w:rsidRDefault="002625B2" w:rsidP="002625B2">
            <w:pPr>
              <w:pStyle w:val="tabulka"/>
              <w:ind w:right="219"/>
              <w:jc w:val="right"/>
            </w:pP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15 – 19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18,4</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0,7</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-0,8</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0,0</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20 – 24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190,7</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7,0</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-1,4</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-0,1</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25 – 29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341,1</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12,5</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0,0</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CD5B34">
            <w:pPr>
              <w:pStyle w:val="tabulka"/>
              <w:ind w:right="219"/>
              <w:jc w:val="right"/>
            </w:pPr>
            <w:r w:rsidRPr="00AE6EDB">
              <w:t>0,</w:t>
            </w:r>
            <w:r w:rsidR="00CD5B34">
              <w:t>0</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30 – 34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363,2</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13,3</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-6,7</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-0,3</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35 – 39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403,3</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14,7</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-3,7</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w:t>
            </w:r>
            <w:r w:rsidR="00CD5B34">
              <w:t>3</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40 – 44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374,3</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13,7</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14,2</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w:t>
            </w:r>
            <w:r w:rsidR="00CD5B34">
              <w:t>5</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45 – 49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324,0</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11,8</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CD5B34">
            <w:pPr>
              <w:pStyle w:val="tabulka"/>
              <w:ind w:right="219"/>
              <w:jc w:val="right"/>
            </w:pPr>
            <w:r w:rsidRPr="00AE6EDB">
              <w:t>-5,</w:t>
            </w:r>
            <w:r w:rsidR="00CD5B34">
              <w:t>6</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-0,3</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50 – 54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CD5B34">
            <w:pPr>
              <w:pStyle w:val="tabulka"/>
              <w:ind w:right="219"/>
              <w:jc w:val="right"/>
            </w:pPr>
            <w:r w:rsidRPr="00AE6EDB">
              <w:t>322,</w:t>
            </w:r>
            <w:r w:rsidR="00CD5B34">
              <w:t>1</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11,8</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1,1</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0,0</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55 – 59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294,4</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10,8</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5,1</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w:t>
            </w:r>
            <w:r w:rsidR="00CD5B34">
              <w:t>2</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60 – 64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87,4</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3,2</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9,6</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0,3</w:t>
            </w:r>
          </w:p>
        </w:tc>
      </w:tr>
      <w:tr w:rsidR="002625B2" w:rsidRPr="00AE6EDB" w:rsidTr="002625B2">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625B2" w:rsidRPr="00AE6EDB" w:rsidRDefault="002625B2" w:rsidP="002625B2">
            <w:pPr>
              <w:pStyle w:val="tabulka"/>
              <w:jc w:val="left"/>
            </w:pPr>
            <w:r w:rsidRPr="00AE6EDB">
              <w:t>65 a viac rokov</w:t>
            </w:r>
          </w:p>
        </w:tc>
        <w:tc>
          <w:tcPr>
            <w:tcW w:w="925" w:type="pct"/>
            <w:tcBorders>
              <w:top w:val="single" w:sz="8" w:space="0" w:color="BF0000" w:themeColor="accent3" w:themeShade="BF"/>
              <w:bottom w:val="single" w:sz="8" w:space="0" w:color="BF0000" w:themeColor="accent3" w:themeShade="BF"/>
            </w:tcBorders>
            <w:noWrap/>
            <w:vAlign w:val="center"/>
          </w:tcPr>
          <w:p w:rsidR="002625B2" w:rsidRPr="00AE6EDB" w:rsidRDefault="002625B2" w:rsidP="002625B2">
            <w:pPr>
              <w:pStyle w:val="tabulka"/>
              <w:ind w:right="219"/>
              <w:jc w:val="right"/>
            </w:pPr>
            <w:r w:rsidRPr="00AE6EDB">
              <w:t>19,5</w:t>
            </w:r>
          </w:p>
        </w:tc>
        <w:tc>
          <w:tcPr>
            <w:tcW w:w="638"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0,7</w:t>
            </w:r>
          </w:p>
        </w:tc>
        <w:tc>
          <w:tcPr>
            <w:tcW w:w="926" w:type="pct"/>
            <w:tcBorders>
              <w:top w:val="single" w:sz="8" w:space="0" w:color="BF0000" w:themeColor="accent3" w:themeShade="BF"/>
              <w:bottom w:val="single" w:sz="8" w:space="0" w:color="BF0000" w:themeColor="accent3" w:themeShade="BF"/>
            </w:tcBorders>
            <w:noWrap/>
            <w:vAlign w:val="bottom"/>
          </w:tcPr>
          <w:p w:rsidR="002625B2" w:rsidRPr="00AE6EDB" w:rsidRDefault="002625B2" w:rsidP="002625B2">
            <w:pPr>
              <w:pStyle w:val="tabulka"/>
              <w:ind w:right="219"/>
              <w:jc w:val="right"/>
            </w:pPr>
            <w:r w:rsidRPr="00AE6EDB">
              <w:t>4,7</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625B2" w:rsidRPr="00AE6EDB" w:rsidRDefault="002625B2" w:rsidP="002625B2">
            <w:pPr>
              <w:pStyle w:val="tabulka"/>
              <w:ind w:right="219"/>
              <w:jc w:val="right"/>
            </w:pPr>
            <w:r w:rsidRPr="00AE6EDB">
              <w:t>0,2</w:t>
            </w:r>
          </w:p>
        </w:tc>
      </w:tr>
    </w:tbl>
    <w:p w:rsidR="002625B2" w:rsidRPr="00AE6EDB" w:rsidRDefault="002625B2" w:rsidP="002625B2">
      <w:pPr>
        <w:pStyle w:val="zdroj"/>
      </w:pPr>
      <w:r w:rsidRPr="00AE6EDB">
        <w:t>Zdroj: ŠÚ SR, VZPS</w:t>
      </w:r>
      <w:r w:rsidRPr="00AE6EDB">
        <w:tab/>
      </w:r>
    </w:p>
    <w:p w:rsidR="002625B2" w:rsidRPr="00AE6EDB" w:rsidRDefault="002625B2" w:rsidP="002625B2">
      <w:pPr>
        <w:ind w:firstLine="567"/>
      </w:pPr>
      <w:r w:rsidRPr="00AE6EDB">
        <w:rPr>
          <w:b/>
          <w:i/>
        </w:rPr>
        <w:t xml:space="preserve">Mladí ľudia (vo veku 15 </w:t>
      </w:r>
      <w:r w:rsidRPr="00AE6EDB">
        <w:rPr>
          <w:color w:val="000000" w:themeColor="text1"/>
        </w:rPr>
        <w:t xml:space="preserve">– </w:t>
      </w:r>
      <w:r w:rsidRPr="00AE6EDB">
        <w:rPr>
          <w:b/>
          <w:i/>
        </w:rPr>
        <w:t>24 rokov</w:t>
      </w:r>
      <w:r w:rsidRPr="00AE6EDB">
        <w:rPr>
          <w:b/>
        </w:rPr>
        <w:t>)</w:t>
      </w:r>
      <w:r w:rsidRPr="00AE6EDB">
        <w:t xml:space="preserve"> sa na celkovom počte ekonomicky aktívnych v roku 2015 podieľali 7,</w:t>
      </w:r>
      <w:r w:rsidR="00CD5B34">
        <w:t>6</w:t>
      </w:r>
      <w:r w:rsidR="005676EF">
        <w:t> %</w:t>
      </w:r>
      <w:r w:rsidRPr="00AE6EDB">
        <w:t xml:space="preserve"> a v dôsledku ich absolútneho medziročného poklesu (o 2</w:t>
      </w:r>
      <w:r w:rsidR="00CD5B34">
        <w:t>,2</w:t>
      </w:r>
      <w:r w:rsidRPr="00AE6EDB">
        <w:t xml:space="preserve"> tis. osôb) sa ich podiel na celkovom počte ekonomicky aktívnych obyvateľov medziročne mierne znížil (o 0,</w:t>
      </w:r>
      <w:r w:rsidR="00CD5B34">
        <w:t>2</w:t>
      </w:r>
      <w:r w:rsidRPr="00AE6EDB">
        <w:t xml:space="preserve"> p. b.). Z hľadiska štruktúry ekonomicky aktívnych mladých ľudí bol v roku 2015 zaznamenaný medziročný rast počtu pracujúcich (o 5</w:t>
      </w:r>
      <w:r w:rsidR="00EC06F7" w:rsidRPr="00AE6EDB">
        <w:t>,4</w:t>
      </w:r>
      <w:r w:rsidRPr="00AE6EDB">
        <w:t xml:space="preserve"> tis. osôb, relatívne o 3,6</w:t>
      </w:r>
      <w:r w:rsidR="005676EF">
        <w:t> %</w:t>
      </w:r>
      <w:r w:rsidRPr="00AE6EDB">
        <w:t>, pričom priemer za SR bol 2,6</w:t>
      </w:r>
      <w:r w:rsidR="005676EF">
        <w:t> %</w:t>
      </w:r>
      <w:r w:rsidRPr="00AE6EDB">
        <w:t>) a naopak, počet nezamestnaných mladých ľudí medziročne poklesol (o 7,</w:t>
      </w:r>
      <w:r w:rsidR="00EC06F7" w:rsidRPr="00AE6EDB">
        <w:t>4</w:t>
      </w:r>
      <w:r w:rsidRPr="00AE6EDB">
        <w:t xml:space="preserve"> tis. osôb, relatívne o 11,8</w:t>
      </w:r>
      <w:r w:rsidR="005676EF">
        <w:t> %</w:t>
      </w:r>
      <w:r w:rsidRPr="00AE6EDB">
        <w:t xml:space="preserve">). </w:t>
      </w:r>
    </w:p>
    <w:p w:rsidR="002625B2" w:rsidRPr="00AE6EDB" w:rsidRDefault="002625B2" w:rsidP="002625B2">
      <w:pPr>
        <w:ind w:firstLine="567"/>
      </w:pPr>
      <w:r w:rsidRPr="00AE6EDB">
        <w:rPr>
          <w:b/>
          <w:i/>
        </w:rPr>
        <w:t xml:space="preserve">Staršie osoby (vo veku 55 </w:t>
      </w:r>
      <w:r w:rsidRPr="00AE6EDB">
        <w:rPr>
          <w:color w:val="000000" w:themeColor="text1"/>
        </w:rPr>
        <w:t xml:space="preserve">– </w:t>
      </w:r>
      <w:r w:rsidRPr="00AE6EDB">
        <w:rPr>
          <w:b/>
          <w:i/>
        </w:rPr>
        <w:t>64 rokov)</w:t>
      </w:r>
      <w:r w:rsidRPr="00AE6EDB">
        <w:rPr>
          <w:i/>
        </w:rPr>
        <w:t xml:space="preserve"> </w:t>
      </w:r>
      <w:r w:rsidRPr="00AE6EDB">
        <w:t>sa na celkovom počte ekonomicky aktívnych obyvateľov v roku 2015 podieľali 1</w:t>
      </w:r>
      <w:r w:rsidR="00CD5B34">
        <w:t>3,9</w:t>
      </w:r>
      <w:r w:rsidR="005676EF">
        <w:t> %</w:t>
      </w:r>
      <w:r w:rsidRPr="00AE6EDB">
        <w:t xml:space="preserve"> a v dôsledku ich absolútneho medziročného prírastku (o takmer 15 tis. osôb) sa ich podiel na celkovom počte ekonomicky aktívnych obyvateľov v roku 2015 medziročne zvýšil o 0,4 p. b. V rámci ekonomicky aktívnych v uvedenej vekovej skupine vzrástol počet pracujúcich (o </w:t>
      </w:r>
      <w:r w:rsidR="00CD5B34">
        <w:t>17,9</w:t>
      </w:r>
      <w:r w:rsidRPr="00AE6EDB">
        <w:t xml:space="preserve"> tis. osôb) a poklesol počet nezamestnaných (o 3</w:t>
      </w:r>
      <w:r w:rsidR="00CD5B34">
        <w:t>,2</w:t>
      </w:r>
      <w:r w:rsidRPr="00AE6EDB">
        <w:t xml:space="preserve"> tis. osôb).</w:t>
      </w:r>
    </w:p>
    <w:p w:rsidR="00FE2C58" w:rsidRPr="00AE6EDB" w:rsidRDefault="00FE2C58">
      <w:pPr>
        <w:jc w:val="left"/>
      </w:pPr>
      <w:r w:rsidRPr="00AE6EDB">
        <w:br w:type="page"/>
      </w:r>
    </w:p>
    <w:p w:rsidR="002625B2" w:rsidRPr="00AE6EDB" w:rsidRDefault="002625B2" w:rsidP="00FE2C58">
      <w:pPr>
        <w:ind w:firstLine="567"/>
        <w:rPr>
          <w:b/>
          <w:highlight w:val="cyan"/>
        </w:rPr>
      </w:pPr>
      <w:r w:rsidRPr="00AE6EDB">
        <w:lastRenderedPageBreak/>
        <w:t>V štruktúre ekonomicky aktívnych obyvateľov</w:t>
      </w:r>
      <w:r w:rsidRPr="00AE6EDB">
        <w:rPr>
          <w:b/>
          <w:i/>
        </w:rPr>
        <w:t xml:space="preserve"> podľa vzdelania</w:t>
      </w:r>
      <w:r w:rsidRPr="00AE6EDB">
        <w:t xml:space="preserve"> najväčší podiel mali osoby s úplným stredným odborným vzdelaním s maturitou (okolo 33</w:t>
      </w:r>
      <w:r w:rsidR="005676EF">
        <w:t> %</w:t>
      </w:r>
      <w:r w:rsidRPr="00AE6EDB">
        <w:t>) a úplným stredným odborným (učňovským) vzdelaním (okolo 28</w:t>
      </w:r>
      <w:r w:rsidR="005676EF">
        <w:t> %</w:t>
      </w:r>
      <w:r w:rsidRPr="00AE6EDB">
        <w:t>)</w:t>
      </w:r>
      <w:r w:rsidR="001E2078" w:rsidRPr="00AE6EDB">
        <w:t xml:space="preserve"> a s vysokoškolským vzdelaním (21,5</w:t>
      </w:r>
      <w:r w:rsidR="005676EF">
        <w:t> %</w:t>
      </w:r>
      <w:r w:rsidR="001E2078" w:rsidRPr="00AE6EDB">
        <w:t>)</w:t>
      </w:r>
      <w:r w:rsidRPr="00AE6EDB">
        <w:t xml:space="preserve">. </w:t>
      </w:r>
    </w:p>
    <w:p w:rsidR="002625B2" w:rsidRPr="00AE6EDB" w:rsidRDefault="002625B2" w:rsidP="002625B2">
      <w:pPr>
        <w:pStyle w:val="Nadpis7"/>
      </w:pPr>
      <w:r w:rsidRPr="00AE6EDB">
        <w:t xml:space="preserve">Tabuľka 2.3 </w:t>
      </w:r>
      <w:r w:rsidR="00FE2C58" w:rsidRPr="00AE6EDB">
        <w:t>E</w:t>
      </w:r>
      <w:r w:rsidRPr="00AE6EDB">
        <w:t>konomick</w:t>
      </w:r>
      <w:r w:rsidR="00FE2C58" w:rsidRPr="00AE6EDB">
        <w:t>y</w:t>
      </w:r>
      <w:r w:rsidRPr="00AE6EDB">
        <w:t xml:space="preserve"> akt</w:t>
      </w:r>
      <w:r w:rsidR="00FE2C58" w:rsidRPr="00AE6EDB">
        <w:t>ívne</w:t>
      </w:r>
      <w:r w:rsidRPr="00AE6EDB">
        <w:t xml:space="preserve"> obyvateľ</w:t>
      </w:r>
      <w:r w:rsidR="00FE2C58" w:rsidRPr="00AE6EDB">
        <w:t>stvo</w:t>
      </w:r>
      <w:r w:rsidRPr="00AE6EDB">
        <w:t xml:space="preserve"> podľa stupňa dosiahnutého vzdelania </w:t>
      </w:r>
      <w:r w:rsidR="00FE2C58" w:rsidRPr="00AE6EDB">
        <w:br/>
      </w:r>
      <w:r w:rsidRPr="00AE6EDB">
        <w:t>v roku 201</w:t>
      </w:r>
      <w:r w:rsidR="00FE2C58" w:rsidRPr="00AE6EDB">
        <w:t>5</w:t>
      </w:r>
    </w:p>
    <w:tbl>
      <w:tblPr>
        <w:tblW w:w="5155" w:type="pct"/>
        <w:tblInd w:w="-213" w:type="dxa"/>
        <w:tblLayout w:type="fixed"/>
        <w:tblCellMar>
          <w:left w:w="0" w:type="dxa"/>
          <w:right w:w="0" w:type="dxa"/>
        </w:tblCellMar>
        <w:tblLook w:val="04A0" w:firstRow="1" w:lastRow="0" w:firstColumn="1" w:lastColumn="0" w:noHBand="0" w:noVBand="1"/>
      </w:tblPr>
      <w:tblGrid>
        <w:gridCol w:w="3880"/>
        <w:gridCol w:w="1081"/>
        <w:gridCol w:w="993"/>
        <w:gridCol w:w="995"/>
        <w:gridCol w:w="849"/>
        <w:gridCol w:w="851"/>
        <w:gridCol w:w="849"/>
      </w:tblGrid>
      <w:tr w:rsidR="00776135" w:rsidRPr="00AE6EDB" w:rsidTr="00776135">
        <w:trPr>
          <w:trHeight w:val="300"/>
        </w:trPr>
        <w:tc>
          <w:tcPr>
            <w:tcW w:w="2042" w:type="pct"/>
            <w:vMerge w:val="restart"/>
            <w:tcBorders>
              <w:top w:val="single" w:sz="8" w:space="0" w:color="C00000"/>
              <w:left w:val="single" w:sz="8" w:space="0" w:color="C00000"/>
              <w:bottom w:val="single" w:sz="8" w:space="0" w:color="C00000"/>
              <w:right w:val="nil"/>
            </w:tcBorders>
            <w:shd w:val="clear" w:color="auto" w:fill="C00000"/>
            <w:noWrap/>
            <w:tcMar>
              <w:top w:w="0" w:type="dxa"/>
              <w:left w:w="70" w:type="dxa"/>
              <w:bottom w:w="0" w:type="dxa"/>
              <w:right w:w="70" w:type="dxa"/>
            </w:tcMar>
            <w:vAlign w:val="center"/>
            <w:hideMark/>
          </w:tcPr>
          <w:p w:rsidR="002625B2" w:rsidRPr="00AE6EDB" w:rsidRDefault="002625B2" w:rsidP="002625B2">
            <w:pPr>
              <w:jc w:val="center"/>
              <w:rPr>
                <w:rFonts w:eastAsiaTheme="minorHAnsi"/>
                <w:b/>
                <w:bCs/>
                <w:color w:val="FFFFFF"/>
                <w:szCs w:val="22"/>
              </w:rPr>
            </w:pPr>
            <w:r w:rsidRPr="00AE6EDB">
              <w:rPr>
                <w:b/>
                <w:bCs/>
                <w:color w:val="FFFFFF"/>
              </w:rPr>
              <w:t>Stupeň vzdelania</w:t>
            </w:r>
          </w:p>
        </w:tc>
        <w:tc>
          <w:tcPr>
            <w:tcW w:w="1616" w:type="pct"/>
            <w:gridSpan w:val="3"/>
            <w:tcBorders>
              <w:top w:val="single" w:sz="8" w:space="0" w:color="C00000"/>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FE2C58">
            <w:pPr>
              <w:jc w:val="center"/>
              <w:rPr>
                <w:rFonts w:eastAsiaTheme="minorHAnsi"/>
                <w:b/>
                <w:bCs/>
                <w:color w:val="FFFFFF"/>
                <w:szCs w:val="22"/>
              </w:rPr>
            </w:pPr>
            <w:r w:rsidRPr="00AE6EDB">
              <w:rPr>
                <w:b/>
                <w:bCs/>
                <w:color w:val="FFFFFF"/>
              </w:rPr>
              <w:t xml:space="preserve">v </w:t>
            </w:r>
            <w:r w:rsidR="00FE2C58" w:rsidRPr="00AE6EDB">
              <w:rPr>
                <w:b/>
                <w:bCs/>
                <w:color w:val="FFFFFF"/>
              </w:rPr>
              <w:t>tisícoch</w:t>
            </w:r>
          </w:p>
        </w:tc>
        <w:tc>
          <w:tcPr>
            <w:tcW w:w="1342" w:type="pct"/>
            <w:gridSpan w:val="3"/>
            <w:tcBorders>
              <w:top w:val="single" w:sz="8" w:space="0" w:color="C00000"/>
              <w:left w:val="nil"/>
              <w:bottom w:val="single" w:sz="8" w:space="0" w:color="C00000"/>
              <w:right w:val="single" w:sz="8" w:space="0" w:color="C00000"/>
            </w:tcBorders>
            <w:shd w:val="clear" w:color="auto" w:fill="C00000"/>
            <w:noWrap/>
            <w:tcMar>
              <w:top w:w="0" w:type="dxa"/>
              <w:left w:w="70" w:type="dxa"/>
              <w:bottom w:w="0" w:type="dxa"/>
              <w:right w:w="70" w:type="dxa"/>
            </w:tcMar>
            <w:vAlign w:val="bottom"/>
            <w:hideMark/>
          </w:tcPr>
          <w:p w:rsidR="002625B2" w:rsidRPr="00AE6EDB" w:rsidRDefault="007604F9" w:rsidP="007604F9">
            <w:pPr>
              <w:jc w:val="center"/>
              <w:rPr>
                <w:rFonts w:eastAsiaTheme="minorHAnsi"/>
                <w:b/>
                <w:bCs/>
                <w:color w:val="FFFFFF"/>
                <w:szCs w:val="22"/>
              </w:rPr>
            </w:pPr>
            <w:r w:rsidRPr="00AE6EDB">
              <w:rPr>
                <w:b/>
                <w:bCs/>
                <w:color w:val="FFFFFF"/>
              </w:rPr>
              <w:t>index 2015/2014</w:t>
            </w:r>
          </w:p>
        </w:tc>
      </w:tr>
      <w:tr w:rsidR="00776135" w:rsidRPr="00AE6EDB" w:rsidTr="00776135">
        <w:trPr>
          <w:trHeight w:val="300"/>
        </w:trPr>
        <w:tc>
          <w:tcPr>
            <w:tcW w:w="2042" w:type="pct"/>
            <w:vMerge/>
            <w:tcBorders>
              <w:top w:val="single" w:sz="8" w:space="0" w:color="C00000"/>
              <w:left w:val="single" w:sz="8" w:space="0" w:color="C00000"/>
              <w:bottom w:val="single" w:sz="8" w:space="0" w:color="C00000"/>
              <w:right w:val="nil"/>
            </w:tcBorders>
            <w:vAlign w:val="center"/>
            <w:hideMark/>
          </w:tcPr>
          <w:p w:rsidR="002625B2" w:rsidRPr="00AE6EDB" w:rsidRDefault="002625B2" w:rsidP="002625B2">
            <w:pPr>
              <w:rPr>
                <w:rFonts w:eastAsiaTheme="minorHAnsi"/>
                <w:b/>
                <w:bCs/>
                <w:color w:val="FFFFFF"/>
                <w:szCs w:val="22"/>
              </w:rPr>
            </w:pPr>
          </w:p>
        </w:tc>
        <w:tc>
          <w:tcPr>
            <w:tcW w:w="569"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Spolu</w:t>
            </w:r>
          </w:p>
        </w:tc>
        <w:tc>
          <w:tcPr>
            <w:tcW w:w="523"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Muži</w:t>
            </w:r>
          </w:p>
        </w:tc>
        <w:tc>
          <w:tcPr>
            <w:tcW w:w="524"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Ženy</w:t>
            </w:r>
          </w:p>
        </w:tc>
        <w:tc>
          <w:tcPr>
            <w:tcW w:w="447"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Spolu</w:t>
            </w:r>
          </w:p>
        </w:tc>
        <w:tc>
          <w:tcPr>
            <w:tcW w:w="448"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Muži</w:t>
            </w:r>
          </w:p>
        </w:tc>
        <w:tc>
          <w:tcPr>
            <w:tcW w:w="448" w:type="pct"/>
            <w:tcBorders>
              <w:top w:val="nil"/>
              <w:left w:val="nil"/>
              <w:bottom w:val="single" w:sz="8" w:space="0" w:color="C00000"/>
              <w:right w:val="single" w:sz="8" w:space="0" w:color="C00000"/>
            </w:tcBorders>
            <w:shd w:val="clear" w:color="auto" w:fill="C00000"/>
            <w:noWrap/>
            <w:tcMar>
              <w:top w:w="0" w:type="dxa"/>
              <w:left w:w="70" w:type="dxa"/>
              <w:bottom w:w="0" w:type="dxa"/>
              <w:right w:w="70" w:type="dxa"/>
            </w:tcMar>
            <w:vAlign w:val="bottom"/>
            <w:hideMark/>
          </w:tcPr>
          <w:p w:rsidR="002625B2" w:rsidRPr="00AE6EDB" w:rsidRDefault="002625B2" w:rsidP="002625B2">
            <w:pPr>
              <w:jc w:val="center"/>
              <w:rPr>
                <w:rFonts w:eastAsiaTheme="minorHAnsi"/>
                <w:b/>
                <w:bCs/>
                <w:color w:val="FFFFFF"/>
                <w:szCs w:val="22"/>
              </w:rPr>
            </w:pPr>
            <w:r w:rsidRPr="00AE6EDB">
              <w:rPr>
                <w:b/>
                <w:bCs/>
                <w:color w:val="FFFFFF"/>
              </w:rPr>
              <w:t>Ženy</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rPr>
                <w:rFonts w:eastAsiaTheme="minorHAnsi"/>
                <w:b/>
                <w:bCs/>
                <w:color w:val="000000"/>
                <w:szCs w:val="22"/>
              </w:rPr>
            </w:pPr>
            <w:r w:rsidRPr="00AE6EDB">
              <w:rPr>
                <w:b/>
                <w:bCs/>
                <w:color w:val="000000"/>
              </w:rPr>
              <w:t>Spolu</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54295F" w:rsidP="002625B2">
            <w:pPr>
              <w:ind w:right="113" w:firstLine="57"/>
              <w:jc w:val="right"/>
              <w:rPr>
                <w:rFonts w:eastAsiaTheme="minorHAnsi"/>
                <w:color w:val="000000"/>
                <w:szCs w:val="22"/>
              </w:rPr>
            </w:pPr>
            <w:r>
              <w:rPr>
                <w:rFonts w:eastAsiaTheme="minorHAnsi"/>
                <w:color w:val="000000"/>
                <w:szCs w:val="22"/>
              </w:rPr>
              <w:t>2 7</w:t>
            </w:r>
            <w:r w:rsidR="00FE2C58" w:rsidRPr="00AE6EDB">
              <w:rPr>
                <w:rFonts w:eastAsiaTheme="minorHAnsi"/>
                <w:color w:val="000000"/>
                <w:szCs w:val="22"/>
              </w:rPr>
              <w:t>38,3</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54295F" w:rsidP="002625B2">
            <w:pPr>
              <w:ind w:right="113" w:firstLine="57"/>
              <w:jc w:val="right"/>
              <w:rPr>
                <w:rFonts w:eastAsiaTheme="minorHAnsi"/>
                <w:color w:val="000000"/>
                <w:szCs w:val="22"/>
              </w:rPr>
            </w:pPr>
            <w:r>
              <w:rPr>
                <w:rFonts w:eastAsiaTheme="minorHAnsi"/>
                <w:color w:val="000000"/>
                <w:szCs w:val="22"/>
              </w:rPr>
              <w:t>1 5</w:t>
            </w:r>
            <w:r w:rsidR="00FE2C58" w:rsidRPr="00AE6EDB">
              <w:rPr>
                <w:rFonts w:eastAsiaTheme="minorHAnsi"/>
                <w:color w:val="000000"/>
                <w:szCs w:val="22"/>
              </w:rPr>
              <w:t>04,6</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54295F" w:rsidP="002625B2">
            <w:pPr>
              <w:ind w:right="113" w:firstLine="57"/>
              <w:jc w:val="right"/>
              <w:rPr>
                <w:rFonts w:eastAsiaTheme="minorHAnsi"/>
                <w:color w:val="000000"/>
                <w:szCs w:val="22"/>
              </w:rPr>
            </w:pPr>
            <w:r>
              <w:rPr>
                <w:rFonts w:eastAsiaTheme="minorHAnsi"/>
                <w:color w:val="000000"/>
                <w:szCs w:val="22"/>
              </w:rPr>
              <w:t>1 2</w:t>
            </w:r>
            <w:r w:rsidR="00FE2C58" w:rsidRPr="00AE6EDB">
              <w:rPr>
                <w:rFonts w:eastAsiaTheme="minorHAnsi"/>
                <w:color w:val="000000"/>
                <w:szCs w:val="22"/>
              </w:rPr>
              <w:t>33,6</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100,6</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99,6</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101,8</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rPr>
                <w:rFonts w:eastAsiaTheme="minorHAnsi"/>
                <w:color w:val="000000"/>
                <w:szCs w:val="22"/>
              </w:rPr>
            </w:pPr>
            <w:r w:rsidRPr="00AE6EDB">
              <w:rPr>
                <w:color w:val="000000"/>
              </w:rPr>
              <w:t>v tom vzdelanie</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2625B2" w:rsidP="002625B2">
            <w:pPr>
              <w:ind w:right="113" w:firstLine="57"/>
              <w:jc w:val="right"/>
              <w:rPr>
                <w:rFonts w:eastAsiaTheme="minorHAnsi"/>
                <w:color w:val="000000"/>
                <w:szCs w:val="22"/>
              </w:rPr>
            </w:pP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základné</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158,4</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80,1</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78,3</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102,6</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101,4</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104,0</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stredné odborné (učňovské) bez mat.</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778,0</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496,9</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281,2</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95,8</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95,1</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97,1</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stredné odborné (učňovské) s mat.</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175,3</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115,3</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60,1</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106,1</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108,8</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101,3</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úplné stredné všeobecné</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105,4</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45,9</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59,6</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97,6</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101,8</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94,8</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úplné stredné odborné</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910,1</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478,4</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431,7</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101,9</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100,6</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103,4</w:t>
            </w:r>
          </w:p>
        </w:tc>
      </w:tr>
      <w:tr w:rsidR="00776135" w:rsidRPr="00AE6EDB" w:rsidTr="00776135">
        <w:trPr>
          <w:trHeight w:val="300"/>
        </w:trPr>
        <w:tc>
          <w:tcPr>
            <w:tcW w:w="2042" w:type="pct"/>
            <w:tcBorders>
              <w:top w:val="nil"/>
              <w:left w:val="single" w:sz="8" w:space="0" w:color="C00000"/>
              <w:bottom w:val="nil"/>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vyššie odborné</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21,8</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8,7</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13,1</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82,6</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87,0</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79,9</w:t>
            </w:r>
          </w:p>
        </w:tc>
      </w:tr>
      <w:tr w:rsidR="00776135" w:rsidRPr="00AE6EDB" w:rsidTr="00776135">
        <w:trPr>
          <w:trHeight w:val="300"/>
        </w:trPr>
        <w:tc>
          <w:tcPr>
            <w:tcW w:w="2042"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vysokoškolské – 1. stupeň</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80,5</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33,3</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rFonts w:eastAsiaTheme="minorHAnsi"/>
                <w:color w:val="000000"/>
                <w:szCs w:val="22"/>
              </w:rPr>
            </w:pPr>
            <w:r w:rsidRPr="00AE6EDB">
              <w:rPr>
                <w:rFonts w:eastAsiaTheme="minorHAnsi"/>
                <w:color w:val="000000"/>
                <w:szCs w:val="22"/>
              </w:rPr>
              <w:t>47,2</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90,9</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97,1</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rFonts w:eastAsiaTheme="minorHAnsi"/>
                <w:color w:val="000000"/>
                <w:szCs w:val="22"/>
              </w:rPr>
            </w:pPr>
            <w:r w:rsidRPr="00AE6EDB">
              <w:rPr>
                <w:rFonts w:eastAsiaTheme="minorHAnsi"/>
                <w:color w:val="000000"/>
                <w:szCs w:val="22"/>
              </w:rPr>
              <w:t>86,8</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vysokoškolské – 2. stupeň</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489,2</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236,8</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252,4</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106,8</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104,0</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109,6</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vysokoškolské – 3. stupeň</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19,3</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9,3</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10,0</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120,6</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95,9</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161,3</w:t>
            </w:r>
          </w:p>
        </w:tc>
      </w:tr>
      <w:tr w:rsidR="00776135" w:rsidRPr="00AE6EDB" w:rsidTr="00776135">
        <w:trPr>
          <w:trHeight w:val="300"/>
        </w:trPr>
        <w:tc>
          <w:tcPr>
            <w:tcW w:w="2042"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625B2" w:rsidRPr="00AE6EDB" w:rsidRDefault="002625B2" w:rsidP="002625B2">
            <w:pPr>
              <w:ind w:left="284"/>
              <w:rPr>
                <w:rFonts w:eastAsiaTheme="minorHAnsi"/>
                <w:szCs w:val="22"/>
              </w:rPr>
            </w:pPr>
            <w:r w:rsidRPr="00AE6EDB">
              <w:t>bez školského vzdelania</w:t>
            </w:r>
          </w:p>
        </w:tc>
        <w:tc>
          <w:tcPr>
            <w:tcW w:w="569"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0,3</w:t>
            </w:r>
          </w:p>
        </w:tc>
        <w:tc>
          <w:tcPr>
            <w:tcW w:w="523"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0,3</w:t>
            </w:r>
          </w:p>
        </w:tc>
        <w:tc>
          <w:tcPr>
            <w:tcW w:w="524"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FE2C58" w:rsidP="002625B2">
            <w:pPr>
              <w:ind w:right="113" w:firstLine="57"/>
              <w:jc w:val="right"/>
              <w:rPr>
                <w:color w:val="000000"/>
              </w:rPr>
            </w:pPr>
            <w:r w:rsidRPr="00AE6EDB">
              <w:rPr>
                <w:color w:val="000000"/>
              </w:rPr>
              <w:t>-</w:t>
            </w:r>
          </w:p>
        </w:tc>
        <w:tc>
          <w:tcPr>
            <w:tcW w:w="447"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100,0</w:t>
            </w:r>
          </w:p>
        </w:tc>
        <w:tc>
          <w:tcPr>
            <w:tcW w:w="448" w:type="pct"/>
            <w:tcBorders>
              <w:top w:val="nil"/>
              <w:left w:val="nil"/>
              <w:bottom w:val="single" w:sz="8" w:space="0" w:color="C00000"/>
              <w:right w:val="nil"/>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300,0</w:t>
            </w:r>
          </w:p>
        </w:tc>
        <w:tc>
          <w:tcPr>
            <w:tcW w:w="448" w:type="pct"/>
            <w:tcBorders>
              <w:top w:val="nil"/>
              <w:left w:val="nil"/>
              <w:bottom w:val="single" w:sz="8" w:space="0" w:color="C00000"/>
              <w:right w:val="single" w:sz="8" w:space="0" w:color="C00000"/>
            </w:tcBorders>
            <w:noWrap/>
            <w:tcMar>
              <w:top w:w="0" w:type="dxa"/>
              <w:left w:w="70" w:type="dxa"/>
              <w:bottom w:w="0" w:type="dxa"/>
              <w:right w:w="70" w:type="dxa"/>
            </w:tcMar>
            <w:vAlign w:val="bottom"/>
          </w:tcPr>
          <w:p w:rsidR="002625B2" w:rsidRPr="00AE6EDB" w:rsidRDefault="007604F9" w:rsidP="002625B2">
            <w:pPr>
              <w:ind w:right="113" w:firstLine="57"/>
              <w:jc w:val="right"/>
              <w:rPr>
                <w:color w:val="000000"/>
              </w:rPr>
            </w:pPr>
            <w:r w:rsidRPr="00AE6EDB">
              <w:rPr>
                <w:color w:val="000000"/>
              </w:rPr>
              <w:t>-</w:t>
            </w:r>
          </w:p>
        </w:tc>
      </w:tr>
    </w:tbl>
    <w:p w:rsidR="002625B2" w:rsidRPr="00AE6EDB" w:rsidRDefault="002625B2" w:rsidP="002625B2">
      <w:pPr>
        <w:pStyle w:val="zdroj"/>
      </w:pPr>
      <w:r w:rsidRPr="00AE6EDB">
        <w:t>Zdroj: ŠÚ SR, VZPS</w:t>
      </w:r>
    </w:p>
    <w:p w:rsidR="00FE2C58" w:rsidRPr="00AE6EDB" w:rsidRDefault="00FE2C58" w:rsidP="00FE2C58">
      <w:pPr>
        <w:ind w:firstLine="431"/>
      </w:pPr>
      <w:r w:rsidRPr="00AE6EDB">
        <w:t>Proporčné zastúpenie jednotlivých krajov na celkovom počte ekonomicky aktívnych obyvateľov sa dlhodobo takmer nemení. Jednotlivé kraje sa na celkovom počte ekonomicky aktívnych obyvateľov v roku 2015 podieľali v rozpätí od 10,8</w:t>
      </w:r>
      <w:r w:rsidR="005676EF">
        <w:t> %</w:t>
      </w:r>
      <w:r w:rsidRPr="00AE6EDB">
        <w:t xml:space="preserve"> do 14,5</w:t>
      </w:r>
      <w:r w:rsidR="005676EF">
        <w:t> %</w:t>
      </w:r>
      <w:r w:rsidRPr="00AE6EDB">
        <w:t>. Najväčší počet ekonomicky aktívnych obyvateľov bol v Košickom a Prešovskom kraji (spolu 28,2</w:t>
      </w:r>
      <w:r w:rsidR="005676EF">
        <w:t> %</w:t>
      </w:r>
      <w:r w:rsidRPr="00AE6EDB">
        <w:t xml:space="preserve"> z celkového počtu ekonomicky aktívnych obyvateľov). Len mierne (o 0,1 p. b.) sa zvýšil podiel krajov Trnavského, Žilinského a Banskobystrického a naopak, nepatrne sa znížil podiel krajov Trenčianskeho a Nitrianskeho.</w:t>
      </w:r>
    </w:p>
    <w:p w:rsidR="002625B2" w:rsidRPr="00AE6EDB" w:rsidRDefault="002625B2" w:rsidP="002625B2">
      <w:pPr>
        <w:pStyle w:val="Nadpis6"/>
      </w:pPr>
      <w:bookmarkStart w:id="103" w:name="_Toc422233405"/>
      <w:bookmarkStart w:id="104" w:name="_Toc452469862"/>
      <w:r w:rsidRPr="00AE6EDB">
        <w:t>Vývoj zamestnanosti</w:t>
      </w:r>
      <w:bookmarkEnd w:id="103"/>
      <w:bookmarkEnd w:id="104"/>
    </w:p>
    <w:p w:rsidR="002625B2" w:rsidRPr="00AE6EDB" w:rsidRDefault="002625B2" w:rsidP="002625B2">
      <w:pPr>
        <w:ind w:firstLine="431"/>
      </w:pPr>
      <w:r w:rsidRPr="00AE6EDB">
        <w:rPr>
          <w:lang w:eastAsia="cs-CZ"/>
        </w:rPr>
        <w:t xml:space="preserve">Zamestnanosť možno sledovať na základe viacerých štatistických zisťovaní. Zisťovania sa odlišujú </w:t>
      </w:r>
      <w:r w:rsidRPr="00AE6EDB">
        <w:t>konceptom zamestnanosti, definíciami a metodikou zberu údajov.</w:t>
      </w:r>
    </w:p>
    <w:p w:rsidR="002625B2" w:rsidRPr="00AE6EDB" w:rsidRDefault="002625B2" w:rsidP="002625B2">
      <w:pPr>
        <w:ind w:firstLine="431"/>
      </w:pPr>
      <w:r w:rsidRPr="00AE6EDB">
        <w:t xml:space="preserve">Jednou z možností sledovania vývoja počtu pracujúcich resp. zamestnaných osôb sú </w:t>
      </w:r>
      <w:r w:rsidRPr="00AE6EDB">
        <w:rPr>
          <w:b/>
          <w:i/>
        </w:rPr>
        <w:t xml:space="preserve">štatistiky </w:t>
      </w:r>
      <w:r w:rsidRPr="00AE6EDB">
        <w:rPr>
          <w:b/>
        </w:rPr>
        <w:t>Sociálnej poisťovne.</w:t>
      </w:r>
      <w:r w:rsidRPr="00AE6EDB">
        <w:t xml:space="preserve"> Sociálna poisťovňa je verejnoprávna inštitúcia, ktorá vykonáva sociálne poistenie, t.j. nemocenské poistenie, dôchodkové poistenie (starobné a invalidné), úrazové poistenie, garančné poistenie</w:t>
      </w:r>
      <w:r w:rsidR="00467C16" w:rsidRPr="00AE6EDB">
        <w:t>,</w:t>
      </w:r>
      <w:r w:rsidRPr="00AE6EDB">
        <w:t> poistenie v nezamestnanosti a výber, registráciu a postúpenie povinných príspevkov na starobné dôchodkové sporenie. Vzhľadom na povinný charakter sociálneho poistenia a starobného dôchodkového sporenia, Sociálna poisťovňa disponuje údajmi o všetkých zamest</w:t>
      </w:r>
      <w:r w:rsidRPr="00AE6EDB">
        <w:softHyphen/>
        <w:t>ná</w:t>
      </w:r>
      <w:r w:rsidRPr="00AE6EDB">
        <w:softHyphen/>
        <w:t>va</w:t>
      </w:r>
      <w:r w:rsidRPr="00AE6EDB">
        <w:softHyphen/>
        <w:t xml:space="preserve">teľoch a zamestnancoch, za ktorých sa platí poistné na sociálne poistenie a povinné príspevky na starobné dôchodkové sporenie vrátane osôb pracujúcich na dohody o prácach mimo pracovného pomeru, ako aj o samostatne zárobkovo činných osobách. Definície zamestnávateľa, zamestnanca a samostatne zárobkovo činnej osoby vychádzajú zo zákona č. 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 základe ktorých nevzniká povinnosť platenia sociálneho poistenia (napr. samostatne zárobkovo činné osoby (SZČO), ktoré nedosahujú ustanovený </w:t>
      </w:r>
      <w:r w:rsidRPr="00AE6EDB">
        <w:lastRenderedPageBreak/>
        <w:t>príjem na vznik povinného sociálneho poistenia. Vývoj vykazovania pracujúcich v štatistikách Sociálnej poisťovne môže byť ovplyvnený legislatívnymi zmenami v oblasti sociálneho poistenia.</w:t>
      </w:r>
    </w:p>
    <w:p w:rsidR="002625B2" w:rsidRPr="00AE6EDB" w:rsidRDefault="002625B2" w:rsidP="002625B2">
      <w:pPr>
        <w:ind w:firstLine="431"/>
      </w:pPr>
      <w:r w:rsidRPr="00AE6EDB">
        <w:rPr>
          <w:b/>
        </w:rPr>
        <w:t>Štatistický úrad SR</w:t>
      </w:r>
      <w:r w:rsidRPr="00AE6EDB">
        <w:t xml:space="preserve"> realizuje dve ďalšie zisťovania, ktorými je možné sledovať vývoj zamestnanosti a navzájom sa líšia metodikou zberu údajov.</w:t>
      </w:r>
    </w:p>
    <w:p w:rsidR="002625B2" w:rsidRPr="00AE6EDB" w:rsidRDefault="002625B2" w:rsidP="002625B2">
      <w:pPr>
        <w:ind w:firstLine="431"/>
      </w:pPr>
      <w:r w:rsidRPr="00AE6EDB">
        <w:rPr>
          <w:i/>
        </w:rPr>
        <w:t>Výberové zisťovanie pracovných síl</w:t>
      </w:r>
      <w:r w:rsidRPr="00AE6EDB">
        <w:t xml:space="preserve"> realizované ŠÚ SR v domácnostiach poskytuje medzinárodne porovnateľné údaje o ekonomickej aktivite, zamestnanosti, nezamestnanosti a ďalších dôležitých charakteristikách pracovnej sily obyvateľstva SR. Za pracujúceho je považovaná osoba vo veku </w:t>
      </w:r>
      <w:r w:rsidRPr="00AE6EDB">
        <w:br/>
        <w:t>od 15 rokov, ktorá v sledovanom týždni vykonávala aspoň jednu hodinu prácu za mzdu alebo prácu za účelom dosiahnutia zisku (prácu na plný alebo kratší pracovný čas, dočasnú, príležitostnú alebo sezónnu prácu), vypomáhajúci členovia domácností podnikateľov</w:t>
      </w:r>
      <w:r w:rsidR="00467C16" w:rsidRPr="00AE6EDB">
        <w:t>;</w:t>
      </w:r>
      <w:r w:rsidRPr="00AE6EDB">
        <w:t xml:space="preserve"> vrátane osôb pracujúcich v zahraničí do jedného roka, dochádzajúcich za prácou </w:t>
      </w:r>
      <w:r w:rsidR="00416448">
        <w:t>do</w:t>
      </w:r>
      <w:r w:rsidRPr="00AE6EDB">
        <w:t> zahranič</w:t>
      </w:r>
      <w:r w:rsidR="00416448">
        <w:t>ia</w:t>
      </w:r>
      <w:r w:rsidRPr="00AE6EDB">
        <w:t>, osôb vykonávajúcich prácu na základe dohôd a na platených aktivačných prácach. Za pracujúcu je považovaná aj osoba, ktorá v sledovanom týždni nepracovala pre chorobu, dovolenku, materskú dovolenku, školenie, zlé počasie, v dôsledku štrajku a výluky, s výnimkou osôb na dlhodobom neplatenom voľne a osôb na rodičovskej dovolenke.</w:t>
      </w:r>
    </w:p>
    <w:p w:rsidR="002625B2" w:rsidRPr="00AE6EDB" w:rsidRDefault="002625B2" w:rsidP="002625B2">
      <w:pPr>
        <w:ind w:firstLine="431"/>
      </w:pPr>
      <w:r w:rsidRPr="00AE6EDB">
        <w:rPr>
          <w:i/>
        </w:rPr>
        <w:t>Podniková štatistika o zamestnancoch</w:t>
      </w:r>
      <w:r w:rsidRPr="00AE6EDB">
        <w:t xml:space="preserve"> realizovaná ŠÚ SR vychádza zo štatistických zisťovaní v podnikoch (podnikové výkazníctvo) a zachytáva všetky odvetvia ekonomickej činnosti. Za zamestnancov podľa podnikového výkazníctva sa považujú všetci zamestnanci, ktorí majú dohodnutý pracovný pomer na neurčitý čas alebo na určitú dobu (bez ohľadu na ich štátnu príslušnosť), ktorí sú v pracovnom, služobnom, štátnozamestnaneckom alebo členskom pomere k zamestnávateľskej organizácii. Do počtu zamestnancov sa nezahŕňajú žiaci stredných odborných škôl vykonávajúcich odbornú prax (učni), osoby na materskej a rodičovskej dovolenke a osoby pracujúce na základe dohôd o prácach vykonávaných mimo pracovného pomeru, súkromní podnikatelia (resp. ich spoločníci), ktorí nemajú uzavretú pracovnú zmluvu v danej organizácii. Zamestnané osoby sú zamestnanci a podnikatelia.</w:t>
      </w:r>
    </w:p>
    <w:p w:rsidR="002625B2" w:rsidRPr="00AE6EDB" w:rsidRDefault="002625B2" w:rsidP="002625B2">
      <w:pPr>
        <w:pStyle w:val="Nadpis41"/>
      </w:pPr>
      <w:r w:rsidRPr="00AE6EDB">
        <w:t xml:space="preserve">Zamestnanosť v štatistikách Sociálnej poisťovne </w:t>
      </w:r>
    </w:p>
    <w:p w:rsidR="002625B2" w:rsidRPr="00AE6EDB" w:rsidRDefault="002625B2" w:rsidP="002625B2">
      <w:pPr>
        <w:ind w:firstLine="431"/>
        <w:rPr>
          <w:color w:val="000000" w:themeColor="text1"/>
        </w:rPr>
      </w:pPr>
      <w:r w:rsidRPr="00AE6EDB">
        <w:rPr>
          <w:color w:val="000000" w:themeColor="text1"/>
        </w:rPr>
        <w:t>V roku 201</w:t>
      </w:r>
      <w:r w:rsidR="00970440" w:rsidRPr="00AE6EDB">
        <w:rPr>
          <w:color w:val="000000" w:themeColor="text1"/>
        </w:rPr>
        <w:t>5</w:t>
      </w:r>
      <w:r w:rsidRPr="00AE6EDB">
        <w:rPr>
          <w:color w:val="000000" w:themeColor="text1"/>
        </w:rPr>
        <w:t xml:space="preserve"> Sociálna poisťovňa evidovala priemerne mesačne 16</w:t>
      </w:r>
      <w:r w:rsidR="00AC44CB">
        <w:rPr>
          <w:color w:val="000000" w:themeColor="text1"/>
        </w:rPr>
        <w:t>6 8</w:t>
      </w:r>
      <w:r w:rsidR="00970440" w:rsidRPr="00AE6EDB">
        <w:rPr>
          <w:color w:val="000000" w:themeColor="text1"/>
        </w:rPr>
        <w:t>99</w:t>
      </w:r>
      <w:r w:rsidRPr="00AE6EDB">
        <w:rPr>
          <w:color w:val="000000" w:themeColor="text1"/>
        </w:rPr>
        <w:t xml:space="preserve"> zamestnávateľov, ktorí zamestnávali priemerne mesačne </w:t>
      </w:r>
      <w:r w:rsidR="0054295F">
        <w:rPr>
          <w:color w:val="000000" w:themeColor="text1"/>
        </w:rPr>
        <w:t>1 8</w:t>
      </w:r>
      <w:r w:rsidR="00970440" w:rsidRPr="00AE6EDB">
        <w:rPr>
          <w:color w:val="000000" w:themeColor="text1"/>
        </w:rPr>
        <w:t>0</w:t>
      </w:r>
      <w:r w:rsidR="0054295F">
        <w:rPr>
          <w:color w:val="000000" w:themeColor="text1"/>
        </w:rPr>
        <w:t>1 7</w:t>
      </w:r>
      <w:r w:rsidR="00970440" w:rsidRPr="00AE6EDB">
        <w:rPr>
          <w:color w:val="000000" w:themeColor="text1"/>
        </w:rPr>
        <w:t>34</w:t>
      </w:r>
      <w:r w:rsidRPr="00AE6EDB">
        <w:rPr>
          <w:color w:val="000000" w:themeColor="text1"/>
        </w:rPr>
        <w:t xml:space="preserve"> zamestnancov v</w:t>
      </w:r>
      <w:r w:rsidR="004112AC">
        <w:rPr>
          <w:color w:val="000000" w:themeColor="text1"/>
        </w:rPr>
        <w:t xml:space="preserve"> právnom vzťahu </w:t>
      </w:r>
      <w:r w:rsidRPr="00AE6EDB">
        <w:rPr>
          <w:color w:val="000000" w:themeColor="text1"/>
        </w:rPr>
        <w:t>s pravidel</w:t>
      </w:r>
      <w:r w:rsidR="00970440" w:rsidRPr="00AE6EDB">
        <w:rPr>
          <w:color w:val="000000" w:themeColor="text1"/>
        </w:rPr>
        <w:softHyphen/>
      </w:r>
      <w:r w:rsidRPr="00AE6EDB">
        <w:rPr>
          <w:color w:val="000000" w:themeColor="text1"/>
        </w:rPr>
        <w:t xml:space="preserve">ným </w:t>
      </w:r>
      <w:r w:rsidR="004112AC">
        <w:rPr>
          <w:color w:val="000000" w:themeColor="text1"/>
        </w:rPr>
        <w:t xml:space="preserve">mesačným </w:t>
      </w:r>
      <w:r w:rsidRPr="00AE6EDB">
        <w:rPr>
          <w:color w:val="000000" w:themeColor="text1"/>
        </w:rPr>
        <w:t>príjmom a</w:t>
      </w:r>
      <w:r w:rsidR="00970440" w:rsidRPr="00AE6EDB">
        <w:rPr>
          <w:color w:val="000000" w:themeColor="text1"/>
        </w:rPr>
        <w:t> </w:t>
      </w:r>
      <w:r w:rsidRPr="00AE6EDB">
        <w:rPr>
          <w:color w:val="000000" w:themeColor="text1"/>
        </w:rPr>
        <w:t>5</w:t>
      </w:r>
      <w:r w:rsidR="0054295F">
        <w:rPr>
          <w:color w:val="000000" w:themeColor="text1"/>
        </w:rPr>
        <w:t>3 0</w:t>
      </w:r>
      <w:r w:rsidR="00970440" w:rsidRPr="00AE6EDB">
        <w:rPr>
          <w:color w:val="000000" w:themeColor="text1"/>
        </w:rPr>
        <w:t>52</w:t>
      </w:r>
      <w:r w:rsidRPr="00AE6EDB">
        <w:rPr>
          <w:color w:val="000000" w:themeColor="text1"/>
        </w:rPr>
        <w:t xml:space="preserve"> zamestnancov v</w:t>
      </w:r>
      <w:r w:rsidR="004112AC">
        <w:rPr>
          <w:color w:val="000000" w:themeColor="text1"/>
        </w:rPr>
        <w:t xml:space="preserve"> právnom vzťahu </w:t>
      </w:r>
      <w:r w:rsidRPr="00AE6EDB">
        <w:rPr>
          <w:color w:val="000000" w:themeColor="text1"/>
        </w:rPr>
        <w:t xml:space="preserve">s nepravidelným príjmom. Okrem </w:t>
      </w:r>
      <w:r w:rsidR="004112AC">
        <w:rPr>
          <w:color w:val="000000" w:themeColor="text1"/>
        </w:rPr>
        <w:t>týchto právnych vzťahov s pravidelným mesačným príjmom a nepravidelným príjmom</w:t>
      </w:r>
      <w:r w:rsidRPr="00AE6EDB">
        <w:rPr>
          <w:color w:val="000000" w:themeColor="text1"/>
        </w:rPr>
        <w:t xml:space="preserve"> zamest</w:t>
      </w:r>
      <w:r w:rsidR="004112AC">
        <w:rPr>
          <w:color w:val="000000" w:themeColor="text1"/>
        </w:rPr>
        <w:softHyphen/>
      </w:r>
      <w:r w:rsidRPr="00AE6EDB">
        <w:rPr>
          <w:color w:val="000000" w:themeColor="text1"/>
        </w:rPr>
        <w:t>ná</w:t>
      </w:r>
      <w:r w:rsidR="004112AC">
        <w:rPr>
          <w:color w:val="000000" w:themeColor="text1"/>
        </w:rPr>
        <w:softHyphen/>
      </w:r>
      <w:r w:rsidRPr="00AE6EDB">
        <w:rPr>
          <w:color w:val="000000" w:themeColor="text1"/>
        </w:rPr>
        <w:t>va</w:t>
      </w:r>
      <w:r w:rsidR="004112AC">
        <w:rPr>
          <w:color w:val="000000" w:themeColor="text1"/>
        </w:rPr>
        <w:softHyphen/>
      </w:r>
      <w:r w:rsidRPr="00AE6EDB">
        <w:rPr>
          <w:color w:val="000000" w:themeColor="text1"/>
        </w:rPr>
        <w:t>telia</w:t>
      </w:r>
      <w:r w:rsidR="004112AC">
        <w:rPr>
          <w:color w:val="000000" w:themeColor="text1"/>
        </w:rPr>
        <w:t xml:space="preserve"> zamestnávali zamestnancov na </w:t>
      </w:r>
      <w:r w:rsidRPr="00AE6EDB">
        <w:rPr>
          <w:color w:val="000000" w:themeColor="text1"/>
        </w:rPr>
        <w:t>dohody o prác</w:t>
      </w:r>
      <w:r w:rsidR="004112AC">
        <w:rPr>
          <w:color w:val="000000" w:themeColor="text1"/>
        </w:rPr>
        <w:t>ach</w:t>
      </w:r>
      <w:r w:rsidRPr="00AE6EDB">
        <w:rPr>
          <w:color w:val="000000" w:themeColor="text1"/>
        </w:rPr>
        <w:t xml:space="preserve"> vykonávan</w:t>
      </w:r>
      <w:r w:rsidR="004112AC">
        <w:rPr>
          <w:color w:val="000000" w:themeColor="text1"/>
        </w:rPr>
        <w:t>ých</w:t>
      </w:r>
      <w:r w:rsidRPr="00AE6EDB">
        <w:rPr>
          <w:color w:val="000000" w:themeColor="text1"/>
        </w:rPr>
        <w:t xml:space="preserve"> mimo pracovného pomeru,</w:t>
      </w:r>
      <w:r w:rsidR="004112AC">
        <w:rPr>
          <w:color w:val="000000" w:themeColor="text1"/>
        </w:rPr>
        <w:t xml:space="preserve"> t. j. dohody o vykonaní práce, dohody o pracovnej činnosti</w:t>
      </w:r>
      <w:r w:rsidRPr="00AE6EDB">
        <w:rPr>
          <w:color w:val="000000" w:themeColor="text1"/>
        </w:rPr>
        <w:t xml:space="preserve"> </w:t>
      </w:r>
      <w:r w:rsidR="004112AC">
        <w:rPr>
          <w:color w:val="000000" w:themeColor="text1"/>
        </w:rPr>
        <w:t xml:space="preserve">a dohody o brigádnickej práci študentov, v členení na pravidelný mesačný príjem a nepravidelný príjem, </w:t>
      </w:r>
      <w:r w:rsidRPr="00AE6EDB">
        <w:rPr>
          <w:color w:val="000000" w:themeColor="text1"/>
        </w:rPr>
        <w:t>ktorých počet dosiahol v roku 201</w:t>
      </w:r>
      <w:r w:rsidR="00970440" w:rsidRPr="00AE6EDB">
        <w:rPr>
          <w:color w:val="000000" w:themeColor="text1"/>
        </w:rPr>
        <w:t>5</w:t>
      </w:r>
      <w:r w:rsidRPr="00AE6EDB">
        <w:rPr>
          <w:color w:val="000000" w:themeColor="text1"/>
        </w:rPr>
        <w:t xml:space="preserve"> v priemere mesačne 44</w:t>
      </w:r>
      <w:r w:rsidR="0054295F">
        <w:rPr>
          <w:color w:val="000000" w:themeColor="text1"/>
        </w:rPr>
        <w:t>4 3</w:t>
      </w:r>
      <w:r w:rsidR="00970440" w:rsidRPr="00AE6EDB">
        <w:rPr>
          <w:color w:val="000000" w:themeColor="text1"/>
        </w:rPr>
        <w:t>25</w:t>
      </w:r>
      <w:r w:rsidRPr="00AE6EDB">
        <w:rPr>
          <w:color w:val="000000" w:themeColor="text1"/>
        </w:rPr>
        <w:t xml:space="preserve">. </w:t>
      </w:r>
    </w:p>
    <w:p w:rsidR="002625B2" w:rsidRPr="00AE6EDB" w:rsidRDefault="002625B2" w:rsidP="002625B2">
      <w:pPr>
        <w:ind w:firstLine="431"/>
      </w:pPr>
      <w:r w:rsidRPr="00AE6EDB">
        <w:t>Sociálna poisťovňa v roku 201</w:t>
      </w:r>
      <w:r w:rsidR="00BD538A" w:rsidRPr="00AE6EDB">
        <w:t>5</w:t>
      </w:r>
      <w:r w:rsidRPr="00AE6EDB">
        <w:t xml:space="preserve"> evidovala priemerne mesačne 22</w:t>
      </w:r>
      <w:r w:rsidR="0054295F">
        <w:t>0 9</w:t>
      </w:r>
      <w:r w:rsidR="00BD538A" w:rsidRPr="00AE6EDB">
        <w:t>97</w:t>
      </w:r>
      <w:r w:rsidRPr="00AE6EDB">
        <w:t xml:space="preserve"> povinne sociálne poistených samostatne zárobkovo činných osôb.</w:t>
      </w:r>
    </w:p>
    <w:p w:rsidR="002625B2" w:rsidRPr="00AE6EDB" w:rsidRDefault="00BD538A" w:rsidP="002625B2">
      <w:pPr>
        <w:ind w:firstLine="431"/>
        <w:rPr>
          <w:color w:val="000000" w:themeColor="text1"/>
        </w:rPr>
      </w:pPr>
      <w:r w:rsidRPr="00AE6EDB">
        <w:rPr>
          <w:color w:val="000000" w:themeColor="text1"/>
        </w:rPr>
        <w:t>P</w:t>
      </w:r>
      <w:r w:rsidR="002625B2" w:rsidRPr="00AE6EDB">
        <w:rPr>
          <w:color w:val="000000" w:themeColor="text1"/>
        </w:rPr>
        <w:t xml:space="preserve">riemerný mesačný počet zamestnávateľov </w:t>
      </w:r>
      <w:r w:rsidRPr="00AE6EDB">
        <w:rPr>
          <w:color w:val="000000" w:themeColor="text1"/>
        </w:rPr>
        <w:t xml:space="preserve">v roku 2015 </w:t>
      </w:r>
      <w:r w:rsidR="002625B2" w:rsidRPr="00AE6EDB">
        <w:rPr>
          <w:color w:val="000000" w:themeColor="text1"/>
        </w:rPr>
        <w:t xml:space="preserve">medziročne </w:t>
      </w:r>
      <w:r w:rsidRPr="00AE6EDB">
        <w:rPr>
          <w:color w:val="000000" w:themeColor="text1"/>
        </w:rPr>
        <w:t>vz</w:t>
      </w:r>
      <w:r w:rsidR="002625B2" w:rsidRPr="00AE6EDB">
        <w:rPr>
          <w:color w:val="000000" w:themeColor="text1"/>
        </w:rPr>
        <w:t>rástol o</w:t>
      </w:r>
      <w:r w:rsidRPr="00AE6EDB">
        <w:rPr>
          <w:color w:val="000000" w:themeColor="text1"/>
        </w:rPr>
        <w:t> 2,74</w:t>
      </w:r>
      <w:r w:rsidR="005676EF">
        <w:rPr>
          <w:color w:val="000000" w:themeColor="text1"/>
        </w:rPr>
        <w:t> %</w:t>
      </w:r>
      <w:r w:rsidR="002625B2" w:rsidRPr="00AE6EDB">
        <w:rPr>
          <w:color w:val="000000" w:themeColor="text1"/>
        </w:rPr>
        <w:t xml:space="preserve"> (o </w:t>
      </w:r>
      <w:r w:rsidR="0054295F">
        <w:rPr>
          <w:color w:val="000000" w:themeColor="text1"/>
        </w:rPr>
        <w:t>4 4</w:t>
      </w:r>
      <w:r w:rsidRPr="00AE6EDB">
        <w:rPr>
          <w:color w:val="000000" w:themeColor="text1"/>
        </w:rPr>
        <w:t>43</w:t>
      </w:r>
      <w:r w:rsidR="002625B2" w:rsidRPr="00AE6EDB">
        <w:rPr>
          <w:color w:val="000000" w:themeColor="text1"/>
        </w:rPr>
        <w:t>)</w:t>
      </w:r>
      <w:r w:rsidRPr="00AE6EDB">
        <w:rPr>
          <w:color w:val="000000" w:themeColor="text1"/>
        </w:rPr>
        <w:t>,</w:t>
      </w:r>
      <w:r w:rsidR="002625B2" w:rsidRPr="00AE6EDB">
        <w:rPr>
          <w:color w:val="000000" w:themeColor="text1"/>
        </w:rPr>
        <w:t xml:space="preserve"> priemern</w:t>
      </w:r>
      <w:r w:rsidRPr="00AE6EDB">
        <w:rPr>
          <w:color w:val="000000" w:themeColor="text1"/>
        </w:rPr>
        <w:t>ý</w:t>
      </w:r>
      <w:r w:rsidR="002625B2" w:rsidRPr="00AE6EDB">
        <w:rPr>
          <w:color w:val="000000" w:themeColor="text1"/>
        </w:rPr>
        <w:t xml:space="preserve"> mesačn</w:t>
      </w:r>
      <w:r w:rsidRPr="00AE6EDB">
        <w:rPr>
          <w:color w:val="000000" w:themeColor="text1"/>
        </w:rPr>
        <w:t>ý</w:t>
      </w:r>
      <w:r w:rsidR="002625B2" w:rsidRPr="00AE6EDB">
        <w:rPr>
          <w:color w:val="000000" w:themeColor="text1"/>
        </w:rPr>
        <w:t xml:space="preserve"> poč</w:t>
      </w:r>
      <w:r w:rsidRPr="00AE6EDB">
        <w:rPr>
          <w:color w:val="000000" w:themeColor="text1"/>
        </w:rPr>
        <w:t>e</w:t>
      </w:r>
      <w:r w:rsidR="002625B2" w:rsidRPr="00AE6EDB">
        <w:rPr>
          <w:color w:val="000000" w:themeColor="text1"/>
        </w:rPr>
        <w:t xml:space="preserve">t </w:t>
      </w:r>
      <w:r w:rsidR="004112AC">
        <w:rPr>
          <w:color w:val="000000" w:themeColor="text1"/>
        </w:rPr>
        <w:t xml:space="preserve"> zamestnancov v právnom vzťahu </w:t>
      </w:r>
      <w:r w:rsidR="002625B2" w:rsidRPr="00AE6EDB">
        <w:rPr>
          <w:color w:val="000000" w:themeColor="text1"/>
        </w:rPr>
        <w:t>s</w:t>
      </w:r>
      <w:r w:rsidR="004112AC">
        <w:rPr>
          <w:color w:val="000000" w:themeColor="text1"/>
        </w:rPr>
        <w:t> </w:t>
      </w:r>
      <w:r w:rsidR="002625B2" w:rsidRPr="00AE6EDB">
        <w:rPr>
          <w:color w:val="000000" w:themeColor="text1"/>
        </w:rPr>
        <w:t>pravidelným</w:t>
      </w:r>
      <w:r w:rsidR="004112AC">
        <w:rPr>
          <w:color w:val="000000" w:themeColor="text1"/>
        </w:rPr>
        <w:t xml:space="preserve"> mesačným</w:t>
      </w:r>
      <w:r w:rsidR="002625B2" w:rsidRPr="00AE6EDB">
        <w:rPr>
          <w:color w:val="000000" w:themeColor="text1"/>
        </w:rPr>
        <w:t xml:space="preserve"> príjmom </w:t>
      </w:r>
      <w:r w:rsidRPr="00AE6EDB">
        <w:rPr>
          <w:color w:val="000000" w:themeColor="text1"/>
        </w:rPr>
        <w:t>vz</w:t>
      </w:r>
      <w:r w:rsidR="002625B2" w:rsidRPr="00AE6EDB">
        <w:rPr>
          <w:color w:val="000000" w:themeColor="text1"/>
        </w:rPr>
        <w:t>rást</w:t>
      </w:r>
      <w:r w:rsidRPr="00AE6EDB">
        <w:rPr>
          <w:color w:val="000000" w:themeColor="text1"/>
        </w:rPr>
        <w:t>o</w:t>
      </w:r>
      <w:r w:rsidR="002625B2" w:rsidRPr="00AE6EDB">
        <w:rPr>
          <w:color w:val="000000" w:themeColor="text1"/>
        </w:rPr>
        <w:t>l o</w:t>
      </w:r>
      <w:r w:rsidRPr="00AE6EDB">
        <w:rPr>
          <w:color w:val="000000" w:themeColor="text1"/>
        </w:rPr>
        <w:t> 2,92</w:t>
      </w:r>
      <w:r w:rsidR="005676EF">
        <w:rPr>
          <w:color w:val="000000" w:themeColor="text1"/>
        </w:rPr>
        <w:t> %</w:t>
      </w:r>
      <w:r w:rsidR="002625B2" w:rsidRPr="00AE6EDB">
        <w:rPr>
          <w:color w:val="000000" w:themeColor="text1"/>
        </w:rPr>
        <w:t xml:space="preserve"> (o </w:t>
      </w:r>
      <w:r w:rsidRPr="00AE6EDB">
        <w:rPr>
          <w:color w:val="000000" w:themeColor="text1"/>
        </w:rPr>
        <w:t>5</w:t>
      </w:r>
      <w:r w:rsidR="0054295F">
        <w:rPr>
          <w:color w:val="000000" w:themeColor="text1"/>
        </w:rPr>
        <w:t>1 0</w:t>
      </w:r>
      <w:r w:rsidRPr="00AE6EDB">
        <w:rPr>
          <w:color w:val="000000" w:themeColor="text1"/>
        </w:rPr>
        <w:t>82</w:t>
      </w:r>
      <w:r w:rsidR="002625B2" w:rsidRPr="00AE6EDB">
        <w:rPr>
          <w:color w:val="000000" w:themeColor="text1"/>
        </w:rPr>
        <w:t xml:space="preserve">). Čo sa týka priemerného mesačného počtu </w:t>
      </w:r>
      <w:r w:rsidR="004112AC">
        <w:rPr>
          <w:color w:val="000000" w:themeColor="text1"/>
        </w:rPr>
        <w:t xml:space="preserve">zamestnancov v právnom vzťahu </w:t>
      </w:r>
      <w:r w:rsidR="002625B2" w:rsidRPr="00AE6EDB">
        <w:rPr>
          <w:color w:val="000000" w:themeColor="text1"/>
        </w:rPr>
        <w:t>s nepravidelným príjmom, tento zaznamenal nárast o</w:t>
      </w:r>
      <w:r w:rsidRPr="00AE6EDB">
        <w:rPr>
          <w:color w:val="000000" w:themeColor="text1"/>
        </w:rPr>
        <w:t> 4,23</w:t>
      </w:r>
      <w:r w:rsidR="005676EF">
        <w:rPr>
          <w:color w:val="000000" w:themeColor="text1"/>
        </w:rPr>
        <w:t> %</w:t>
      </w:r>
      <w:r w:rsidR="002625B2" w:rsidRPr="00AE6EDB">
        <w:rPr>
          <w:color w:val="000000" w:themeColor="text1"/>
        </w:rPr>
        <w:t xml:space="preserve"> (o </w:t>
      </w:r>
      <w:r w:rsidR="0054295F">
        <w:rPr>
          <w:color w:val="000000" w:themeColor="text1"/>
        </w:rPr>
        <w:t>2 1</w:t>
      </w:r>
      <w:r w:rsidRPr="00AE6EDB">
        <w:rPr>
          <w:color w:val="000000" w:themeColor="text1"/>
        </w:rPr>
        <w:t>55</w:t>
      </w:r>
      <w:r w:rsidR="002625B2" w:rsidRPr="00AE6EDB">
        <w:rPr>
          <w:color w:val="000000" w:themeColor="text1"/>
        </w:rPr>
        <w:t>) a priemerný mesačný počet dohôd o prác</w:t>
      </w:r>
      <w:r w:rsidR="004112AC">
        <w:rPr>
          <w:color w:val="000000" w:themeColor="text1"/>
        </w:rPr>
        <w:t xml:space="preserve">ach vykonávaných </w:t>
      </w:r>
      <w:r w:rsidR="002625B2" w:rsidRPr="00AE6EDB">
        <w:rPr>
          <w:color w:val="000000" w:themeColor="text1"/>
        </w:rPr>
        <w:t xml:space="preserve"> mimo pracovného pomeru nárast o</w:t>
      </w:r>
      <w:r w:rsidRPr="00AE6EDB">
        <w:rPr>
          <w:color w:val="000000" w:themeColor="text1"/>
        </w:rPr>
        <w:t> 0,97</w:t>
      </w:r>
      <w:r w:rsidR="005676EF">
        <w:rPr>
          <w:color w:val="000000" w:themeColor="text1"/>
        </w:rPr>
        <w:t> %</w:t>
      </w:r>
      <w:r w:rsidR="002625B2" w:rsidRPr="00AE6EDB">
        <w:rPr>
          <w:color w:val="000000" w:themeColor="text1"/>
        </w:rPr>
        <w:t xml:space="preserve"> (o </w:t>
      </w:r>
      <w:r w:rsidR="0054295F">
        <w:rPr>
          <w:color w:val="000000" w:themeColor="text1"/>
        </w:rPr>
        <w:t>4 2</w:t>
      </w:r>
      <w:r w:rsidRPr="00AE6EDB">
        <w:rPr>
          <w:color w:val="000000" w:themeColor="text1"/>
        </w:rPr>
        <w:t>51</w:t>
      </w:r>
      <w:r w:rsidR="002625B2" w:rsidRPr="00AE6EDB">
        <w:rPr>
          <w:color w:val="000000" w:themeColor="text1"/>
        </w:rPr>
        <w:t>). Priemerný mesačný počet samostatne zárobkovo činných osôb poklesol o</w:t>
      </w:r>
      <w:r w:rsidRPr="00AE6EDB">
        <w:rPr>
          <w:color w:val="000000" w:themeColor="text1"/>
        </w:rPr>
        <w:t> 1,40</w:t>
      </w:r>
      <w:r w:rsidR="005676EF">
        <w:rPr>
          <w:color w:val="000000" w:themeColor="text1"/>
        </w:rPr>
        <w:t> %</w:t>
      </w:r>
      <w:r w:rsidR="002625B2" w:rsidRPr="00AE6EDB">
        <w:rPr>
          <w:color w:val="000000" w:themeColor="text1"/>
        </w:rPr>
        <w:t> </w:t>
      </w:r>
      <w:r w:rsidRPr="00AE6EDB">
        <w:rPr>
          <w:color w:val="000000" w:themeColor="text1"/>
        </w:rPr>
        <w:t>(</w:t>
      </w:r>
      <w:r w:rsidR="002625B2" w:rsidRPr="00AE6EDB">
        <w:rPr>
          <w:color w:val="000000" w:themeColor="text1"/>
        </w:rPr>
        <w:t>o </w:t>
      </w:r>
      <w:r w:rsidR="0054295F">
        <w:rPr>
          <w:color w:val="000000" w:themeColor="text1"/>
        </w:rPr>
        <w:t>3 1</w:t>
      </w:r>
      <w:r w:rsidRPr="00AE6EDB">
        <w:rPr>
          <w:color w:val="000000" w:themeColor="text1"/>
        </w:rPr>
        <w:t xml:space="preserve">41 </w:t>
      </w:r>
      <w:r w:rsidR="002625B2" w:rsidRPr="00AE6EDB">
        <w:rPr>
          <w:color w:val="000000" w:themeColor="text1"/>
        </w:rPr>
        <w:t>osôb).</w:t>
      </w:r>
    </w:p>
    <w:p w:rsidR="002625B2" w:rsidRPr="00AE6EDB" w:rsidRDefault="002625B2" w:rsidP="002625B2">
      <w:pPr>
        <w:ind w:firstLine="431"/>
        <w:rPr>
          <w:color w:val="000000" w:themeColor="text1"/>
        </w:rPr>
      </w:pPr>
      <w:r w:rsidRPr="00AE6EDB">
        <w:rPr>
          <w:color w:val="000000" w:themeColor="text1"/>
        </w:rPr>
        <w:t>Celkovo v roku 201</w:t>
      </w:r>
      <w:r w:rsidR="00BD538A" w:rsidRPr="00AE6EDB">
        <w:rPr>
          <w:color w:val="000000" w:themeColor="text1"/>
        </w:rPr>
        <w:t>5</w:t>
      </w:r>
      <w:r w:rsidRPr="00AE6EDB">
        <w:rPr>
          <w:color w:val="000000" w:themeColor="text1"/>
        </w:rPr>
        <w:t xml:space="preserve"> Sociálna poisťovňa evidovala v priemere za mesiac </w:t>
      </w:r>
      <w:r w:rsidR="0054295F">
        <w:rPr>
          <w:color w:val="000000" w:themeColor="text1"/>
        </w:rPr>
        <w:t>2 5</w:t>
      </w:r>
      <w:r w:rsidR="00BD538A" w:rsidRPr="00AE6EDB">
        <w:rPr>
          <w:color w:val="000000" w:themeColor="text1"/>
        </w:rPr>
        <w:t>2</w:t>
      </w:r>
      <w:r w:rsidR="0054295F">
        <w:rPr>
          <w:color w:val="000000" w:themeColor="text1"/>
        </w:rPr>
        <w:t>0 1</w:t>
      </w:r>
      <w:r w:rsidR="00BD538A" w:rsidRPr="00AE6EDB">
        <w:rPr>
          <w:color w:val="000000" w:themeColor="text1"/>
        </w:rPr>
        <w:t>08</w:t>
      </w:r>
      <w:r w:rsidRPr="00AE6EDB">
        <w:rPr>
          <w:color w:val="000000" w:themeColor="text1"/>
        </w:rPr>
        <w:t xml:space="preserve"> poistných vzťahov, čo bolo o</w:t>
      </w:r>
      <w:r w:rsidR="00BD538A" w:rsidRPr="00AE6EDB">
        <w:rPr>
          <w:color w:val="000000" w:themeColor="text1"/>
        </w:rPr>
        <w:t> </w:t>
      </w:r>
      <w:r w:rsidRPr="00AE6EDB">
        <w:rPr>
          <w:color w:val="000000" w:themeColor="text1"/>
        </w:rPr>
        <w:t>5</w:t>
      </w:r>
      <w:r w:rsidR="0054295F">
        <w:rPr>
          <w:color w:val="000000" w:themeColor="text1"/>
        </w:rPr>
        <w:t>4 3</w:t>
      </w:r>
      <w:r w:rsidR="00BD538A" w:rsidRPr="00AE6EDB">
        <w:rPr>
          <w:color w:val="000000" w:themeColor="text1"/>
        </w:rPr>
        <w:t>47</w:t>
      </w:r>
      <w:r w:rsidRPr="00AE6EDB">
        <w:rPr>
          <w:color w:val="000000" w:themeColor="text1"/>
        </w:rPr>
        <w:t xml:space="preserve"> viac poistných vzťahov ako v roku 201</w:t>
      </w:r>
      <w:r w:rsidR="00BD538A" w:rsidRPr="00AE6EDB">
        <w:rPr>
          <w:color w:val="000000" w:themeColor="text1"/>
        </w:rPr>
        <w:t>4</w:t>
      </w:r>
      <w:r w:rsidRPr="00AE6EDB">
        <w:rPr>
          <w:color w:val="000000" w:themeColor="text1"/>
        </w:rPr>
        <w:t xml:space="preserve"> (o 2,</w:t>
      </w:r>
      <w:r w:rsidR="00BD538A" w:rsidRPr="00AE6EDB">
        <w:rPr>
          <w:color w:val="000000" w:themeColor="text1"/>
        </w:rPr>
        <w:t>20</w:t>
      </w:r>
      <w:r w:rsidR="005676EF">
        <w:rPr>
          <w:color w:val="000000" w:themeColor="text1"/>
        </w:rPr>
        <w:t> %</w:t>
      </w:r>
      <w:r w:rsidRPr="00AE6EDB">
        <w:rPr>
          <w:color w:val="000000" w:themeColor="text1"/>
        </w:rPr>
        <w:t>).</w:t>
      </w:r>
    </w:p>
    <w:p w:rsidR="009F4C3E" w:rsidRPr="00AE6EDB" w:rsidRDefault="009F4C3E">
      <w:pPr>
        <w:jc w:val="left"/>
        <w:rPr>
          <w:b/>
        </w:rPr>
      </w:pPr>
      <w:r w:rsidRPr="00AE6EDB">
        <w:br w:type="page"/>
      </w:r>
    </w:p>
    <w:p w:rsidR="002625B2" w:rsidRPr="00AE6EDB" w:rsidRDefault="002625B2" w:rsidP="002625B2">
      <w:pPr>
        <w:pStyle w:val="Nadpis7"/>
      </w:pPr>
      <w:r w:rsidRPr="00AE6EDB">
        <w:lastRenderedPageBreak/>
        <w:t>Graf 2.1 Počet zamestnávateľov evidovaných v Sociálnej poisťovni v rokoch 201</w:t>
      </w:r>
      <w:r w:rsidR="00BD538A" w:rsidRPr="00AE6EDB">
        <w:t>4</w:t>
      </w:r>
      <w:r w:rsidRPr="00AE6EDB">
        <w:t xml:space="preserve"> a 201</w:t>
      </w:r>
      <w:r w:rsidR="00BD538A" w:rsidRPr="00AE6EDB">
        <w:t>5</w:t>
      </w:r>
    </w:p>
    <w:p w:rsidR="002625B2" w:rsidRPr="00AE6EDB" w:rsidRDefault="00BD538A" w:rsidP="002625B2">
      <w:pPr>
        <w:jc w:val="center"/>
      </w:pPr>
      <w:r w:rsidRPr="00AE6EDB">
        <w:rPr>
          <w:noProof/>
        </w:rPr>
        <w:drawing>
          <wp:inline distT="0" distB="0" distL="0" distR="0" wp14:anchorId="485A8987" wp14:editId="545ACFEA">
            <wp:extent cx="4951095" cy="2044065"/>
            <wp:effectExtent l="0" t="0" r="190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5B2" w:rsidRPr="00AE6EDB" w:rsidRDefault="002625B2" w:rsidP="002625B2">
      <w:pPr>
        <w:pStyle w:val="zdroj"/>
        <w:spacing w:before="0"/>
      </w:pPr>
      <w:r w:rsidRPr="00AE6EDB">
        <w:t>Zdroj: Sociálna poisťovňa</w:t>
      </w:r>
    </w:p>
    <w:p w:rsidR="002625B2" w:rsidRPr="00AE6EDB" w:rsidRDefault="002625B2" w:rsidP="002625B2">
      <w:pPr>
        <w:ind w:firstLine="431"/>
        <w:rPr>
          <w:color w:val="000000" w:themeColor="text1"/>
        </w:rPr>
      </w:pPr>
      <w:r w:rsidRPr="00AE6EDB">
        <w:rPr>
          <w:color w:val="000000" w:themeColor="text1"/>
        </w:rPr>
        <w:t>V decembri 201</w:t>
      </w:r>
      <w:r w:rsidR="0061666D" w:rsidRPr="00AE6EDB">
        <w:rPr>
          <w:color w:val="000000" w:themeColor="text1"/>
        </w:rPr>
        <w:t>5</w:t>
      </w:r>
      <w:r w:rsidRPr="00AE6EDB">
        <w:rPr>
          <w:color w:val="000000" w:themeColor="text1"/>
        </w:rPr>
        <w:t xml:space="preserve"> Sociálna poisťovňa evidovala </w:t>
      </w:r>
      <w:r w:rsidR="0061666D" w:rsidRPr="00AE6EDB">
        <w:rPr>
          <w:color w:val="000000" w:themeColor="text1"/>
        </w:rPr>
        <w:t>17</w:t>
      </w:r>
      <w:r w:rsidR="0054295F">
        <w:rPr>
          <w:color w:val="000000" w:themeColor="text1"/>
        </w:rPr>
        <w:t>0 0</w:t>
      </w:r>
      <w:r w:rsidR="0061666D" w:rsidRPr="00AE6EDB">
        <w:rPr>
          <w:color w:val="000000" w:themeColor="text1"/>
        </w:rPr>
        <w:t>42</w:t>
      </w:r>
      <w:r w:rsidRPr="00AE6EDB">
        <w:rPr>
          <w:color w:val="000000" w:themeColor="text1"/>
        </w:rPr>
        <w:t xml:space="preserve"> zamestnávateľov, čo oproti decembru 201</w:t>
      </w:r>
      <w:r w:rsidR="0061666D" w:rsidRPr="00AE6EDB">
        <w:rPr>
          <w:color w:val="000000" w:themeColor="text1"/>
        </w:rPr>
        <w:t>4</w:t>
      </w:r>
      <w:r w:rsidRPr="00AE6EDB">
        <w:rPr>
          <w:color w:val="000000" w:themeColor="text1"/>
        </w:rPr>
        <w:t xml:space="preserve"> predstavuje nárast o </w:t>
      </w:r>
      <w:r w:rsidR="00AC44CB">
        <w:rPr>
          <w:color w:val="000000" w:themeColor="text1"/>
        </w:rPr>
        <w:t>5 4</w:t>
      </w:r>
      <w:r w:rsidR="0061666D" w:rsidRPr="00AE6EDB">
        <w:rPr>
          <w:color w:val="000000" w:themeColor="text1"/>
        </w:rPr>
        <w:t>95</w:t>
      </w:r>
      <w:r w:rsidRPr="00AE6EDB">
        <w:rPr>
          <w:color w:val="000000" w:themeColor="text1"/>
        </w:rPr>
        <w:t xml:space="preserve"> zamestnávateľov (o </w:t>
      </w:r>
      <w:r w:rsidR="0061666D" w:rsidRPr="00AE6EDB">
        <w:rPr>
          <w:color w:val="000000" w:themeColor="text1"/>
        </w:rPr>
        <w:t>3,34</w:t>
      </w:r>
      <w:r w:rsidR="005676EF">
        <w:rPr>
          <w:color w:val="000000" w:themeColor="text1"/>
        </w:rPr>
        <w:t> %</w:t>
      </w:r>
      <w:r w:rsidRPr="00AE6EDB">
        <w:rPr>
          <w:color w:val="000000" w:themeColor="text1"/>
        </w:rPr>
        <w:t>).</w:t>
      </w:r>
    </w:p>
    <w:p w:rsidR="002625B2" w:rsidRPr="00AE6EDB" w:rsidRDefault="002625B2" w:rsidP="002625B2">
      <w:pPr>
        <w:pStyle w:val="Nadpis7"/>
      </w:pPr>
      <w:r w:rsidRPr="00AE6EDB">
        <w:t xml:space="preserve">Graf 2.2 Počet </w:t>
      </w:r>
      <w:r w:rsidR="004112AC">
        <w:t xml:space="preserve">právnych vzťahov </w:t>
      </w:r>
      <w:r w:rsidRPr="00AE6EDB">
        <w:t xml:space="preserve">s pravidelným </w:t>
      </w:r>
      <w:r w:rsidR="004112AC">
        <w:t xml:space="preserve">mesačným </w:t>
      </w:r>
      <w:r w:rsidRPr="00AE6EDB">
        <w:t>príjmom evidovaných v Sociálnej poisťovni v rokoch 201</w:t>
      </w:r>
      <w:r w:rsidR="0061666D" w:rsidRPr="00AE6EDB">
        <w:t>4</w:t>
      </w:r>
      <w:r w:rsidRPr="00AE6EDB">
        <w:t xml:space="preserve"> a 201</w:t>
      </w:r>
      <w:r w:rsidR="0061666D" w:rsidRPr="00AE6EDB">
        <w:t>5</w:t>
      </w:r>
    </w:p>
    <w:p w:rsidR="002625B2" w:rsidRPr="00AE6EDB" w:rsidRDefault="0061666D" w:rsidP="002625B2">
      <w:pPr>
        <w:ind w:left="567"/>
        <w:rPr>
          <w:i/>
          <w:sz w:val="20"/>
          <w:szCs w:val="20"/>
        </w:rPr>
      </w:pPr>
      <w:r w:rsidRPr="00AE6EDB">
        <w:rPr>
          <w:noProof/>
        </w:rPr>
        <w:drawing>
          <wp:inline distT="0" distB="0" distL="0" distR="0" wp14:anchorId="3AE735F9" wp14:editId="530E75DC">
            <wp:extent cx="5050155" cy="2445385"/>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25B2" w:rsidRPr="00AE6EDB" w:rsidRDefault="002625B2" w:rsidP="002625B2">
      <w:pPr>
        <w:pStyle w:val="zdroj"/>
        <w:spacing w:before="0"/>
      </w:pPr>
      <w:r w:rsidRPr="00AE6EDB">
        <w:t>Zdroj: Sociálna poisťovňa</w:t>
      </w:r>
    </w:p>
    <w:p w:rsidR="002625B2" w:rsidRPr="00AE6EDB" w:rsidRDefault="002625B2" w:rsidP="002625B2">
      <w:pPr>
        <w:ind w:firstLine="431"/>
        <w:rPr>
          <w:color w:val="000000" w:themeColor="text1"/>
        </w:rPr>
      </w:pPr>
      <w:r w:rsidRPr="00AE6EDB">
        <w:rPr>
          <w:color w:val="000000" w:themeColor="text1"/>
        </w:rPr>
        <w:t>V decembri 201</w:t>
      </w:r>
      <w:r w:rsidR="0061666D" w:rsidRPr="00AE6EDB">
        <w:rPr>
          <w:color w:val="000000" w:themeColor="text1"/>
        </w:rPr>
        <w:t>5</w:t>
      </w:r>
      <w:r w:rsidRPr="00AE6EDB">
        <w:rPr>
          <w:color w:val="000000" w:themeColor="text1"/>
        </w:rPr>
        <w:t xml:space="preserve"> Sociálna poisťovňa evidovala </w:t>
      </w:r>
      <w:r w:rsidR="0054295F">
        <w:rPr>
          <w:color w:val="000000" w:themeColor="text1"/>
        </w:rPr>
        <w:t>1 8</w:t>
      </w:r>
      <w:r w:rsidR="0061666D" w:rsidRPr="00AE6EDB">
        <w:rPr>
          <w:color w:val="000000" w:themeColor="text1"/>
        </w:rPr>
        <w:t>1</w:t>
      </w:r>
      <w:r w:rsidR="00AC44CB">
        <w:rPr>
          <w:color w:val="000000" w:themeColor="text1"/>
        </w:rPr>
        <w:t>6 6</w:t>
      </w:r>
      <w:r w:rsidR="0061666D" w:rsidRPr="00AE6EDB">
        <w:rPr>
          <w:color w:val="000000" w:themeColor="text1"/>
        </w:rPr>
        <w:t>81</w:t>
      </w:r>
      <w:r w:rsidRPr="00AE6EDB">
        <w:rPr>
          <w:color w:val="000000" w:themeColor="text1"/>
        </w:rPr>
        <w:t xml:space="preserve"> </w:t>
      </w:r>
      <w:r w:rsidR="00702BEB">
        <w:rPr>
          <w:color w:val="000000" w:themeColor="text1"/>
        </w:rPr>
        <w:t>právnych vzťahov</w:t>
      </w:r>
      <w:r w:rsidR="00702BEB" w:rsidRPr="00AE6EDB">
        <w:rPr>
          <w:color w:val="000000" w:themeColor="text1"/>
        </w:rPr>
        <w:t xml:space="preserve"> </w:t>
      </w:r>
      <w:r w:rsidRPr="00AE6EDB">
        <w:rPr>
          <w:color w:val="000000" w:themeColor="text1"/>
        </w:rPr>
        <w:t xml:space="preserve">s pravidelným </w:t>
      </w:r>
      <w:r w:rsidR="00702BEB">
        <w:rPr>
          <w:color w:val="000000" w:themeColor="text1"/>
        </w:rPr>
        <w:t xml:space="preserve">mesačným </w:t>
      </w:r>
      <w:r w:rsidRPr="00AE6EDB">
        <w:rPr>
          <w:color w:val="000000" w:themeColor="text1"/>
        </w:rPr>
        <w:t>príjmom, čo oproti decembru 201</w:t>
      </w:r>
      <w:r w:rsidR="0061666D" w:rsidRPr="00AE6EDB">
        <w:rPr>
          <w:color w:val="000000" w:themeColor="text1"/>
        </w:rPr>
        <w:t>4</w:t>
      </w:r>
      <w:r w:rsidRPr="00AE6EDB">
        <w:rPr>
          <w:color w:val="000000" w:themeColor="text1"/>
        </w:rPr>
        <w:t xml:space="preserve"> predstavuje nárast o</w:t>
      </w:r>
      <w:r w:rsidR="0061666D" w:rsidRPr="00AE6EDB">
        <w:rPr>
          <w:color w:val="000000" w:themeColor="text1"/>
        </w:rPr>
        <w:t> 4</w:t>
      </w:r>
      <w:r w:rsidR="00AC44CB">
        <w:rPr>
          <w:color w:val="000000" w:themeColor="text1"/>
        </w:rPr>
        <w:t>7 6</w:t>
      </w:r>
      <w:r w:rsidR="0061666D" w:rsidRPr="00AE6EDB">
        <w:rPr>
          <w:color w:val="000000" w:themeColor="text1"/>
        </w:rPr>
        <w:t>02</w:t>
      </w:r>
      <w:r w:rsidRPr="00AE6EDB">
        <w:rPr>
          <w:color w:val="000000" w:themeColor="text1"/>
        </w:rPr>
        <w:t xml:space="preserve"> </w:t>
      </w:r>
      <w:r w:rsidR="00702BEB">
        <w:rPr>
          <w:color w:val="000000" w:themeColor="text1"/>
        </w:rPr>
        <w:t>právnych vzťahov</w:t>
      </w:r>
      <w:r w:rsidR="00702BEB" w:rsidRPr="00AE6EDB">
        <w:rPr>
          <w:color w:val="000000" w:themeColor="text1"/>
        </w:rPr>
        <w:t xml:space="preserve"> </w:t>
      </w:r>
      <w:r w:rsidRPr="00AE6EDB">
        <w:rPr>
          <w:color w:val="000000" w:themeColor="text1"/>
        </w:rPr>
        <w:t>(</w:t>
      </w:r>
      <w:r w:rsidR="00702BEB" w:rsidRPr="00AE6EDB">
        <w:rPr>
          <w:color w:val="000000" w:themeColor="text1"/>
        </w:rPr>
        <w:t>o</w:t>
      </w:r>
      <w:r w:rsidR="00702BEB">
        <w:rPr>
          <w:color w:val="000000" w:themeColor="text1"/>
        </w:rPr>
        <w:t> </w:t>
      </w:r>
      <w:r w:rsidRPr="00AE6EDB">
        <w:rPr>
          <w:color w:val="000000" w:themeColor="text1"/>
        </w:rPr>
        <w:t>2,</w:t>
      </w:r>
      <w:r w:rsidR="0061666D" w:rsidRPr="00AE6EDB">
        <w:rPr>
          <w:color w:val="000000" w:themeColor="text1"/>
        </w:rPr>
        <w:t>69</w:t>
      </w:r>
      <w:r w:rsidR="005676EF">
        <w:rPr>
          <w:color w:val="000000" w:themeColor="text1"/>
        </w:rPr>
        <w:t> %</w:t>
      </w:r>
      <w:r w:rsidR="0061666D" w:rsidRPr="00AE6EDB">
        <w:rPr>
          <w:color w:val="000000" w:themeColor="text1"/>
        </w:rPr>
        <w:t>)</w:t>
      </w:r>
      <w:r w:rsidRPr="00AE6EDB">
        <w:rPr>
          <w:color w:val="000000" w:themeColor="text1"/>
        </w:rPr>
        <w:t>.</w:t>
      </w:r>
    </w:p>
    <w:p w:rsidR="009F4C3E" w:rsidRPr="00AE6EDB" w:rsidRDefault="009F4C3E">
      <w:pPr>
        <w:jc w:val="left"/>
        <w:rPr>
          <w:b/>
        </w:rPr>
      </w:pPr>
      <w:r w:rsidRPr="00AE6EDB">
        <w:br w:type="page"/>
      </w:r>
    </w:p>
    <w:p w:rsidR="002625B2" w:rsidRPr="00AE6EDB" w:rsidRDefault="002625B2" w:rsidP="00346880">
      <w:pPr>
        <w:pStyle w:val="Nadpis7"/>
      </w:pPr>
      <w:r w:rsidRPr="00AE6EDB">
        <w:lastRenderedPageBreak/>
        <w:t xml:space="preserve">Graf 2.3 Počet dohôd </w:t>
      </w:r>
      <w:r w:rsidR="00702BEB">
        <w:t xml:space="preserve">o prácach vykonávaných mimo pracovného pomeru </w:t>
      </w:r>
      <w:r w:rsidR="00702BEB">
        <w:br/>
      </w:r>
      <w:r w:rsidRPr="00AE6EDB">
        <w:t>evidovaných v Sociálnej poisťovni v rokoch 201</w:t>
      </w:r>
      <w:r w:rsidR="009F4C3E" w:rsidRPr="00AE6EDB">
        <w:t>4</w:t>
      </w:r>
      <w:r w:rsidRPr="00AE6EDB">
        <w:t xml:space="preserve"> a 201</w:t>
      </w:r>
      <w:r w:rsidR="009F4C3E" w:rsidRPr="00AE6EDB">
        <w:t>5</w:t>
      </w:r>
    </w:p>
    <w:p w:rsidR="002625B2" w:rsidRPr="00AE6EDB" w:rsidRDefault="0061666D" w:rsidP="002625B2">
      <w:pPr>
        <w:spacing w:before="240"/>
        <w:jc w:val="center"/>
        <w:rPr>
          <w:b/>
          <w:noProof/>
        </w:rPr>
      </w:pPr>
      <w:r w:rsidRPr="00AE6EDB">
        <w:rPr>
          <w:noProof/>
        </w:rPr>
        <w:drawing>
          <wp:inline distT="0" distB="0" distL="0" distR="0" wp14:anchorId="6CCC620B" wp14:editId="77DA3A20">
            <wp:extent cx="4572000" cy="2709545"/>
            <wp:effectExtent l="0" t="0" r="0" b="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25B2" w:rsidRPr="00AE6EDB" w:rsidRDefault="002625B2" w:rsidP="002625B2">
      <w:pPr>
        <w:pStyle w:val="zdroj"/>
      </w:pPr>
      <w:r w:rsidRPr="00AE6EDB">
        <w:t>Zdroj: Sociálna poisťovňa</w:t>
      </w:r>
    </w:p>
    <w:p w:rsidR="002625B2" w:rsidRPr="00AE6EDB" w:rsidRDefault="002625B2" w:rsidP="002625B2">
      <w:pPr>
        <w:ind w:firstLine="431"/>
        <w:rPr>
          <w:color w:val="000000" w:themeColor="text1"/>
        </w:rPr>
      </w:pPr>
      <w:r w:rsidRPr="00AE6EDB">
        <w:rPr>
          <w:color w:val="000000" w:themeColor="text1"/>
        </w:rPr>
        <w:t>V decembri 201</w:t>
      </w:r>
      <w:r w:rsidR="009F4C3E" w:rsidRPr="00AE6EDB">
        <w:rPr>
          <w:color w:val="000000" w:themeColor="text1"/>
        </w:rPr>
        <w:t>5</w:t>
      </w:r>
      <w:r w:rsidRPr="00AE6EDB">
        <w:rPr>
          <w:color w:val="000000" w:themeColor="text1"/>
        </w:rPr>
        <w:t xml:space="preserve"> Sociálna poisťovňa evidovala 45</w:t>
      </w:r>
      <w:r w:rsidR="0054295F">
        <w:rPr>
          <w:color w:val="000000" w:themeColor="text1"/>
        </w:rPr>
        <w:t>1 1</w:t>
      </w:r>
      <w:r w:rsidR="009F4C3E" w:rsidRPr="00AE6EDB">
        <w:rPr>
          <w:color w:val="000000" w:themeColor="text1"/>
        </w:rPr>
        <w:t>96</w:t>
      </w:r>
      <w:r w:rsidRPr="00AE6EDB">
        <w:rPr>
          <w:color w:val="000000" w:themeColor="text1"/>
        </w:rPr>
        <w:t xml:space="preserve"> dohôd</w:t>
      </w:r>
      <w:r w:rsidR="00702BEB">
        <w:rPr>
          <w:color w:val="000000" w:themeColor="text1"/>
        </w:rPr>
        <w:t xml:space="preserve"> o prácach vykonávaných mimo pracovného pomeru</w:t>
      </w:r>
      <w:r w:rsidRPr="00AE6EDB">
        <w:rPr>
          <w:color w:val="000000" w:themeColor="text1"/>
        </w:rPr>
        <w:t>, čo oproti decembru 201</w:t>
      </w:r>
      <w:r w:rsidR="009F4C3E" w:rsidRPr="00AE6EDB">
        <w:rPr>
          <w:color w:val="000000" w:themeColor="text1"/>
        </w:rPr>
        <w:t>4</w:t>
      </w:r>
      <w:r w:rsidRPr="00AE6EDB">
        <w:rPr>
          <w:color w:val="000000" w:themeColor="text1"/>
        </w:rPr>
        <w:t xml:space="preserve"> predstavuje </w:t>
      </w:r>
      <w:r w:rsidR="009F4C3E" w:rsidRPr="00AE6EDB">
        <w:rPr>
          <w:color w:val="000000" w:themeColor="text1"/>
        </w:rPr>
        <w:t>pokles</w:t>
      </w:r>
      <w:r w:rsidRPr="00AE6EDB">
        <w:rPr>
          <w:color w:val="000000" w:themeColor="text1"/>
        </w:rPr>
        <w:t xml:space="preserve"> o</w:t>
      </w:r>
      <w:r w:rsidR="009F4C3E" w:rsidRPr="00AE6EDB">
        <w:rPr>
          <w:color w:val="000000" w:themeColor="text1"/>
        </w:rPr>
        <w:t> </w:t>
      </w:r>
      <w:r w:rsidR="0054295F">
        <w:rPr>
          <w:color w:val="000000" w:themeColor="text1"/>
        </w:rPr>
        <w:t>4 0</w:t>
      </w:r>
      <w:r w:rsidR="009F4C3E" w:rsidRPr="00AE6EDB">
        <w:rPr>
          <w:color w:val="000000" w:themeColor="text1"/>
        </w:rPr>
        <w:t>15</w:t>
      </w:r>
      <w:r w:rsidRPr="00AE6EDB">
        <w:rPr>
          <w:color w:val="000000" w:themeColor="text1"/>
        </w:rPr>
        <w:t xml:space="preserve"> dohôd (o </w:t>
      </w:r>
      <w:r w:rsidR="009F4C3E" w:rsidRPr="00AE6EDB">
        <w:rPr>
          <w:color w:val="000000" w:themeColor="text1"/>
        </w:rPr>
        <w:t>0,88</w:t>
      </w:r>
      <w:r w:rsidR="005676EF">
        <w:rPr>
          <w:color w:val="000000" w:themeColor="text1"/>
        </w:rPr>
        <w:t> %</w:t>
      </w:r>
      <w:r w:rsidRPr="00AE6EDB">
        <w:rPr>
          <w:color w:val="000000" w:themeColor="text1"/>
        </w:rPr>
        <w:t>).</w:t>
      </w:r>
    </w:p>
    <w:p w:rsidR="002625B2" w:rsidRPr="00AE6EDB" w:rsidRDefault="002625B2" w:rsidP="002625B2">
      <w:pPr>
        <w:pStyle w:val="Nadpis7"/>
      </w:pPr>
      <w:r w:rsidRPr="00AE6EDB">
        <w:t xml:space="preserve">Graf 2.4 Počet samostatne zárobkovo činných osôb evidovaných v Sociálnej poisťovni </w:t>
      </w:r>
      <w:r w:rsidRPr="00AE6EDB">
        <w:br/>
        <w:t>v rokoch 201</w:t>
      </w:r>
      <w:r w:rsidR="009F4C3E" w:rsidRPr="00AE6EDB">
        <w:t>4</w:t>
      </w:r>
      <w:r w:rsidRPr="00AE6EDB">
        <w:t xml:space="preserve"> a 201</w:t>
      </w:r>
      <w:r w:rsidR="009F4C3E" w:rsidRPr="00AE6EDB">
        <w:t>5</w:t>
      </w:r>
    </w:p>
    <w:p w:rsidR="002625B2" w:rsidRPr="00AE6EDB" w:rsidRDefault="0061666D" w:rsidP="002625B2">
      <w:pPr>
        <w:spacing w:before="240"/>
        <w:jc w:val="center"/>
        <w:rPr>
          <w:noProof/>
        </w:rPr>
      </w:pPr>
      <w:r w:rsidRPr="00AE6EDB">
        <w:rPr>
          <w:noProof/>
        </w:rPr>
        <w:drawing>
          <wp:inline distT="0" distB="0" distL="0" distR="0" wp14:anchorId="09F4E0AE" wp14:editId="125C1ADA">
            <wp:extent cx="5165725" cy="2505075"/>
            <wp:effectExtent l="0" t="0" r="0" b="0"/>
            <wp:docPr id="2273" name="Graf 2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5B2" w:rsidRPr="00AE6EDB" w:rsidRDefault="002625B2" w:rsidP="002625B2">
      <w:pPr>
        <w:pStyle w:val="zdroj"/>
      </w:pPr>
      <w:r w:rsidRPr="00AE6EDB">
        <w:t>Zdroj: Sociálna poisťovňa</w:t>
      </w:r>
    </w:p>
    <w:p w:rsidR="002625B2" w:rsidRPr="00AE6EDB" w:rsidRDefault="002625B2" w:rsidP="002625B2">
      <w:pPr>
        <w:ind w:firstLine="431"/>
        <w:rPr>
          <w:color w:val="000000" w:themeColor="text1"/>
        </w:rPr>
      </w:pPr>
      <w:r w:rsidRPr="00AE6EDB">
        <w:rPr>
          <w:color w:val="000000" w:themeColor="text1"/>
        </w:rPr>
        <w:t>V decembri 201</w:t>
      </w:r>
      <w:r w:rsidR="009F4C3E" w:rsidRPr="00AE6EDB">
        <w:rPr>
          <w:color w:val="000000" w:themeColor="text1"/>
        </w:rPr>
        <w:t>5</w:t>
      </w:r>
      <w:r w:rsidRPr="00AE6EDB">
        <w:rPr>
          <w:color w:val="000000" w:themeColor="text1"/>
        </w:rPr>
        <w:t xml:space="preserve"> Sociálna poisťovňa evidovala 2</w:t>
      </w:r>
      <w:r w:rsidR="009F4C3E" w:rsidRPr="00AE6EDB">
        <w:rPr>
          <w:color w:val="000000" w:themeColor="text1"/>
        </w:rPr>
        <w:t>1</w:t>
      </w:r>
      <w:r w:rsidR="00AC44CB">
        <w:rPr>
          <w:color w:val="000000" w:themeColor="text1"/>
        </w:rPr>
        <w:t>9 3</w:t>
      </w:r>
      <w:r w:rsidR="009F4C3E" w:rsidRPr="00AE6EDB">
        <w:rPr>
          <w:color w:val="000000" w:themeColor="text1"/>
        </w:rPr>
        <w:t>91</w:t>
      </w:r>
      <w:r w:rsidRPr="00AE6EDB">
        <w:rPr>
          <w:color w:val="000000" w:themeColor="text1"/>
        </w:rPr>
        <w:t xml:space="preserve"> samostatne zárobkovo činných osôb, čo oproti decembru 201</w:t>
      </w:r>
      <w:r w:rsidR="009F4C3E" w:rsidRPr="00AE6EDB">
        <w:rPr>
          <w:color w:val="000000" w:themeColor="text1"/>
        </w:rPr>
        <w:t>4</w:t>
      </w:r>
      <w:r w:rsidRPr="00AE6EDB">
        <w:rPr>
          <w:color w:val="000000" w:themeColor="text1"/>
        </w:rPr>
        <w:t xml:space="preserve"> predstavuje pokles o</w:t>
      </w:r>
      <w:r w:rsidR="009F4C3E" w:rsidRPr="00AE6EDB">
        <w:rPr>
          <w:color w:val="000000" w:themeColor="text1"/>
        </w:rPr>
        <w:t> </w:t>
      </w:r>
      <w:r w:rsidR="00AC44CB">
        <w:rPr>
          <w:color w:val="000000" w:themeColor="text1"/>
        </w:rPr>
        <w:t>5 3</w:t>
      </w:r>
      <w:r w:rsidR="009F4C3E" w:rsidRPr="00AE6EDB">
        <w:rPr>
          <w:color w:val="000000" w:themeColor="text1"/>
        </w:rPr>
        <w:t>67</w:t>
      </w:r>
      <w:r w:rsidRPr="00AE6EDB">
        <w:rPr>
          <w:color w:val="000000" w:themeColor="text1"/>
        </w:rPr>
        <w:t xml:space="preserve"> osôb (o 2,</w:t>
      </w:r>
      <w:r w:rsidR="009F4C3E" w:rsidRPr="00AE6EDB">
        <w:rPr>
          <w:color w:val="000000" w:themeColor="text1"/>
        </w:rPr>
        <w:t>39</w:t>
      </w:r>
      <w:r w:rsidR="005676EF">
        <w:rPr>
          <w:color w:val="000000" w:themeColor="text1"/>
        </w:rPr>
        <w:t> %</w:t>
      </w:r>
      <w:r w:rsidRPr="00AE6EDB">
        <w:rPr>
          <w:color w:val="000000" w:themeColor="text1"/>
        </w:rPr>
        <w:t>).</w:t>
      </w:r>
    </w:p>
    <w:p w:rsidR="002625B2" w:rsidRPr="00AE6EDB" w:rsidRDefault="002625B2" w:rsidP="002625B2">
      <w:pPr>
        <w:jc w:val="left"/>
        <w:rPr>
          <w:rFonts w:eastAsiaTheme="minorHAnsi"/>
          <w:i/>
          <w:color w:val="000000"/>
          <w:sz w:val="20"/>
          <w:szCs w:val="20"/>
        </w:rPr>
      </w:pPr>
      <w:r w:rsidRPr="00AE6EDB">
        <w:rPr>
          <w:rFonts w:eastAsiaTheme="minorHAnsi"/>
        </w:rPr>
        <w:br w:type="page"/>
      </w:r>
    </w:p>
    <w:p w:rsidR="002625B2" w:rsidRPr="00AE6EDB" w:rsidRDefault="002625B2" w:rsidP="002625B2">
      <w:pPr>
        <w:pStyle w:val="Nadpis41"/>
      </w:pPr>
      <w:r w:rsidRPr="00AE6EDB">
        <w:lastRenderedPageBreak/>
        <w:t>Zamestnanosť podľa výberového zisťovania pracovných síl</w:t>
      </w:r>
      <w:r w:rsidRPr="00AE6EDB">
        <w:rPr>
          <w:rStyle w:val="Odkaznapoznmkupodiarou"/>
        </w:rPr>
        <w:footnoteReference w:id="13"/>
      </w:r>
      <w:r w:rsidRPr="00AE6EDB">
        <w:t xml:space="preserve"> ŠÚ SR</w:t>
      </w:r>
    </w:p>
    <w:p w:rsidR="002625B2" w:rsidRPr="00AE6EDB" w:rsidRDefault="002625B2" w:rsidP="002625B2">
      <w:pPr>
        <w:pStyle w:val="Normlnysozarkami2"/>
        <w:ind w:firstLine="567"/>
      </w:pPr>
      <w:r w:rsidRPr="00AE6EDB">
        <w:t>V roku 2015 pokračovala tendencia medziročného rastu počtu pracujúcich SR, ktorý bol o 1,2 p. b. rýchlejší ako pred rokom. Celkový priemerný počet pracujúcich SR sa v priemere za rok 2015 medziročne zvýšil o 61,0 tis. osôb, resp. o 2,6</w:t>
      </w:r>
      <w:r w:rsidR="005676EF">
        <w:t> %</w:t>
      </w:r>
      <w:r w:rsidRPr="00AE6EDB">
        <w:t xml:space="preserve"> na </w:t>
      </w:r>
      <w:r w:rsidR="0054295F">
        <w:t>2 4</w:t>
      </w:r>
      <w:r w:rsidRPr="00AE6EDB">
        <w:t>24,0 tis. K tomuto rastu prispel predovšetkým rast počtu pracujúcich v domácej ekonomike SR (bez pracujúcich v zahraničí</w:t>
      </w:r>
      <w:r w:rsidRPr="00AE6EDB">
        <w:rPr>
          <w:rStyle w:val="Odkaznapoznmkupodiarou"/>
        </w:rPr>
        <w:footnoteReference w:id="14"/>
      </w:r>
      <w:r w:rsidRPr="00AE6EDB">
        <w:t>) medziročne o</w:t>
      </w:r>
      <w:r w:rsidR="00C262F0">
        <w:t> </w:t>
      </w:r>
      <w:r w:rsidRPr="00AE6EDB">
        <w:t>4</w:t>
      </w:r>
      <w:r w:rsidR="00C262F0">
        <w:t>6,9</w:t>
      </w:r>
      <w:r w:rsidRPr="00AE6EDB">
        <w:t xml:space="preserve"> tis. osôb, resp. o 2,1</w:t>
      </w:r>
      <w:r w:rsidR="005676EF">
        <w:t> %</w:t>
      </w:r>
      <w:r w:rsidRPr="00AE6EDB">
        <w:t xml:space="preserve"> na </w:t>
      </w:r>
      <w:r w:rsidR="0054295F">
        <w:t>2 2</w:t>
      </w:r>
      <w:r w:rsidRPr="00AE6EDB">
        <w:t xml:space="preserve">76 tis. </w:t>
      </w:r>
    </w:p>
    <w:p w:rsidR="002625B2" w:rsidRPr="00AE6EDB" w:rsidRDefault="002625B2" w:rsidP="002625B2">
      <w:pPr>
        <w:pStyle w:val="Normlnysozarkami2"/>
        <w:ind w:firstLine="567"/>
      </w:pPr>
      <w:r w:rsidRPr="00AE6EDB">
        <w:rPr>
          <w:b/>
          <w:i/>
        </w:rPr>
        <w:t>Z hľadiska postavenia v zamestnaní</w:t>
      </w:r>
      <w:r w:rsidRPr="00AE6EDB">
        <w:t xml:space="preserve"> najvýraznejšie vzrástol počet zamestnancov (o 57,3 tis., resp. o 2,9</w:t>
      </w:r>
      <w:r w:rsidR="005676EF">
        <w:t> %</w:t>
      </w:r>
      <w:r w:rsidRPr="00AE6EDB">
        <w:t>). Mierne sa zvýšil počet podnikateľov (o 1,6 tis., resp. o 0,4</w:t>
      </w:r>
      <w:r w:rsidR="005676EF">
        <w:t> %</w:t>
      </w:r>
      <w:r w:rsidRPr="00AE6EDB">
        <w:t>), avšak prispel k nemu len rast počtu podnikateľov bez zamestnancov (o 2,4 tis., resp. o 0,8</w:t>
      </w:r>
      <w:r w:rsidR="005676EF">
        <w:t> %</w:t>
      </w:r>
      <w:r w:rsidRPr="00AE6EDB">
        <w:t>). Počet podnikateľov so</w:t>
      </w:r>
      <w:r w:rsidR="00467C16" w:rsidRPr="00AE6EDB">
        <w:t> </w:t>
      </w:r>
      <w:r w:rsidRPr="00AE6EDB">
        <w:t>zamestnancami medziročne poklesol (o 0,8 tis., resp. o 1</w:t>
      </w:r>
      <w:r w:rsidR="005676EF">
        <w:t> %</w:t>
      </w:r>
      <w:r w:rsidRPr="00AE6EDB">
        <w:t>). Počet vypomáhajúcich členov domácnosti medziročne vzrástol viac než dvojnásobne, na 3,7 tis. osôb.</w:t>
      </w:r>
    </w:p>
    <w:p w:rsidR="002625B2" w:rsidRPr="00AE6EDB" w:rsidRDefault="002625B2" w:rsidP="002625B2">
      <w:pPr>
        <w:pStyle w:val="Default"/>
        <w:ind w:firstLine="567"/>
        <w:jc w:val="both"/>
        <w:rPr>
          <w:rFonts w:ascii="Times New Roman" w:hAnsi="Times New Roman" w:cs="Times New Roman"/>
          <w:color w:val="auto"/>
          <w:sz w:val="22"/>
          <w:szCs w:val="22"/>
        </w:rPr>
      </w:pPr>
      <w:r w:rsidRPr="00AE6EDB">
        <w:rPr>
          <w:rFonts w:ascii="Times New Roman" w:hAnsi="Times New Roman" w:cs="Times New Roman"/>
          <w:b/>
          <w:i/>
          <w:color w:val="auto"/>
          <w:sz w:val="22"/>
          <w:szCs w:val="22"/>
        </w:rPr>
        <w:t>Z hľadiska pohlavia</w:t>
      </w:r>
      <w:r w:rsidRPr="00AE6EDB">
        <w:rPr>
          <w:rFonts w:ascii="Times New Roman" w:hAnsi="Times New Roman" w:cs="Times New Roman"/>
          <w:color w:val="auto"/>
          <w:sz w:val="22"/>
          <w:szCs w:val="22"/>
        </w:rPr>
        <w:t xml:space="preserve"> vzrástol tak počet pracujúcich žien (o 28 tis.), ako aj počet pracujúcich mužov (o takmer 33 tis.).</w:t>
      </w:r>
    </w:p>
    <w:p w:rsidR="002625B2" w:rsidRPr="00AE6EDB" w:rsidRDefault="002625B2" w:rsidP="002625B2">
      <w:pPr>
        <w:pStyle w:val="Normlnysozarkami2"/>
        <w:ind w:firstLine="567"/>
      </w:pPr>
      <w:r w:rsidRPr="00AE6EDB">
        <w:t xml:space="preserve">V roku 2015 sa zvýšil podiel pracujúcich na </w:t>
      </w:r>
      <w:r w:rsidRPr="00AE6EDB">
        <w:rPr>
          <w:b/>
          <w:i/>
        </w:rPr>
        <w:t>kratší pracovný čas</w:t>
      </w:r>
      <w:r w:rsidRPr="00AE6EDB">
        <w:t>. Takúto možnosť práce využilo v priemere 6,</w:t>
      </w:r>
      <w:r w:rsidR="00C262F0">
        <w:t>0</w:t>
      </w:r>
      <w:r w:rsidR="005676EF">
        <w:t> %</w:t>
      </w:r>
      <w:r w:rsidRPr="00AE6EDB">
        <w:t xml:space="preserve"> z celkového počtu </w:t>
      </w:r>
      <w:r w:rsidR="00C262F0">
        <w:t>pracujúcich</w:t>
      </w:r>
      <w:r w:rsidRPr="00AE6EDB">
        <w:t>, čo bolo o 0,8 p. b. viac ako v roku 2014. U žien bol tento podiel tradične vyšší (8,</w:t>
      </w:r>
      <w:r w:rsidR="00C262F0">
        <w:t>3</w:t>
      </w:r>
      <w:r w:rsidR="005676EF">
        <w:t> %</w:t>
      </w:r>
      <w:r w:rsidRPr="00AE6EDB">
        <w:t>) ako u mužov (4,</w:t>
      </w:r>
      <w:r w:rsidR="00C262F0">
        <w:t>3</w:t>
      </w:r>
      <w:r w:rsidR="005676EF">
        <w:t> %</w:t>
      </w:r>
      <w:r w:rsidRPr="00AE6EDB">
        <w:t>). V porovnaní s rokom 2014 sa absolútny počet pracujúcich na kratší pracovný čas zvýšil o 18,4</w:t>
      </w:r>
      <w:r w:rsidR="005676EF">
        <w:t> %</w:t>
      </w:r>
      <w:r w:rsidRPr="00AE6EDB">
        <w:t>, resp. o 2</w:t>
      </w:r>
      <w:r w:rsidR="00C262F0">
        <w:t>2,8</w:t>
      </w:r>
      <w:r w:rsidRPr="00AE6EDB">
        <w:t xml:space="preserve"> tis. osôb.</w:t>
      </w:r>
    </w:p>
    <w:p w:rsidR="002625B2" w:rsidRPr="00AE6EDB" w:rsidRDefault="002625B2" w:rsidP="002625B2">
      <w:pPr>
        <w:pStyle w:val="Normlnysozarkami2"/>
        <w:ind w:firstLine="567"/>
      </w:pPr>
      <w:r w:rsidRPr="00AE6EDB">
        <w:rPr>
          <w:b/>
        </w:rPr>
        <w:t xml:space="preserve"> </w:t>
      </w:r>
      <w:r w:rsidRPr="00AE6EDB">
        <w:rPr>
          <w:b/>
          <w:i/>
        </w:rPr>
        <w:t>Z hľadiska veku</w:t>
      </w:r>
      <w:r w:rsidRPr="00AE6EDB">
        <w:t xml:space="preserve"> výrazne nadpriemerné tempo rastu počtu pracujúcich bolo zaznamenané najmä vo vekovej skupine pracujúcich 60 a viac ročných (v priemere o 15,2</w:t>
      </w:r>
      <w:r w:rsidR="005676EF">
        <w:t> %</w:t>
      </w:r>
      <w:r w:rsidRPr="00AE6EDB">
        <w:t>). Naopak, tempo rastu počtu pracujúcich v najmladších vekových skupinách (vo veku 15 - 24) bolo len o niečo vyššie (3,6</w:t>
      </w:r>
      <w:r w:rsidR="005676EF">
        <w:t> %</w:t>
      </w:r>
      <w:r w:rsidRPr="00AE6EDB">
        <w:t>) ako bol celkový priemerný rast počtu pracujúcich SR (2,</w:t>
      </w:r>
      <w:r w:rsidR="00C262F0">
        <w:t>6</w:t>
      </w:r>
      <w:r w:rsidR="005676EF">
        <w:t> %</w:t>
      </w:r>
      <w:r w:rsidRPr="00AE6EDB">
        <w:t>). Medziročný vývoj počtu pracujúcich podľa jednotlivých 5-ročných vekových skupín je v nasledujúcej tabuľke.</w:t>
      </w:r>
    </w:p>
    <w:p w:rsidR="002625B2" w:rsidRPr="00AE6EDB" w:rsidRDefault="002625B2" w:rsidP="002625B2">
      <w:pPr>
        <w:pStyle w:val="Nadpis7"/>
      </w:pPr>
      <w:r w:rsidRPr="00AE6EDB">
        <w:t>Tabuľka 2.</w:t>
      </w:r>
      <w:r w:rsidR="004A57BA" w:rsidRPr="00AE6EDB">
        <w:t>4</w:t>
      </w:r>
      <w:r w:rsidRPr="00AE6EDB">
        <w:t xml:space="preserve"> Pracujúci podľa veku v roku 2015 (priemer za rok)</w:t>
      </w:r>
    </w:p>
    <w:tbl>
      <w:tblPr>
        <w:tblW w:w="7938"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000" w:firstRow="0" w:lastRow="0" w:firstColumn="0" w:lastColumn="0" w:noHBand="0" w:noVBand="0"/>
      </w:tblPr>
      <w:tblGrid>
        <w:gridCol w:w="2116"/>
        <w:gridCol w:w="2058"/>
        <w:gridCol w:w="1882"/>
        <w:gridCol w:w="1882"/>
      </w:tblGrid>
      <w:tr w:rsidR="002625B2" w:rsidRPr="00AE6EDB" w:rsidTr="002625B2">
        <w:trPr>
          <w:trHeight w:val="701"/>
          <w:jc w:val="center"/>
        </w:trPr>
        <w:tc>
          <w:tcPr>
            <w:tcW w:w="2116"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Ukazovateľ</w:t>
            </w:r>
          </w:p>
        </w:tc>
        <w:tc>
          <w:tcPr>
            <w:tcW w:w="2058"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Počet pracujúcich</w:t>
            </w:r>
          </w:p>
          <w:p w:rsidR="002625B2" w:rsidRPr="00AE6EDB" w:rsidRDefault="002625B2" w:rsidP="002625B2">
            <w:pPr>
              <w:jc w:val="center"/>
              <w:rPr>
                <w:b/>
                <w:color w:val="FFFFFF" w:themeColor="background1"/>
              </w:rPr>
            </w:pPr>
            <w:r w:rsidRPr="00AE6EDB">
              <w:rPr>
                <w:b/>
                <w:color w:val="FFFFFF" w:themeColor="background1"/>
              </w:rPr>
              <w:t>(v tis. osôb)</w:t>
            </w:r>
          </w:p>
        </w:tc>
        <w:tc>
          <w:tcPr>
            <w:tcW w:w="1882"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Podiel na SR</w:t>
            </w:r>
          </w:p>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r w:rsidRPr="00AE6EDB">
              <w:rPr>
                <w:b/>
                <w:color w:val="FFFFFF" w:themeColor="background1"/>
              </w:rPr>
              <w:t>)</w:t>
            </w:r>
          </w:p>
        </w:tc>
        <w:tc>
          <w:tcPr>
            <w:tcW w:w="1882" w:type="dxa"/>
            <w:shd w:val="clear" w:color="auto" w:fill="BF0000" w:themeFill="accent3" w:themeFillShade="BF"/>
            <w:vAlign w:val="center"/>
          </w:tcPr>
          <w:p w:rsidR="002625B2" w:rsidRPr="00AE6EDB" w:rsidRDefault="002625B2" w:rsidP="002625B2">
            <w:pPr>
              <w:jc w:val="center"/>
              <w:rPr>
                <w:b/>
                <w:color w:val="FFFFFF" w:themeColor="background1"/>
                <w:vertAlign w:val="superscript"/>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55"/>
          <w:jc w:val="center"/>
        </w:trPr>
        <w:tc>
          <w:tcPr>
            <w:tcW w:w="2116" w:type="dxa"/>
            <w:vAlign w:val="center"/>
          </w:tcPr>
          <w:p w:rsidR="002625B2" w:rsidRPr="00AE6EDB" w:rsidRDefault="002625B2" w:rsidP="002625B2">
            <w:pPr>
              <w:rPr>
                <w:b/>
                <w:szCs w:val="20"/>
              </w:rPr>
            </w:pPr>
            <w:r w:rsidRPr="00AE6EDB">
              <w:rPr>
                <w:b/>
                <w:szCs w:val="20"/>
              </w:rPr>
              <w:t>Spolu</w:t>
            </w:r>
          </w:p>
        </w:tc>
        <w:tc>
          <w:tcPr>
            <w:tcW w:w="2058" w:type="dxa"/>
            <w:vAlign w:val="center"/>
          </w:tcPr>
          <w:p w:rsidR="002625B2" w:rsidRPr="00AE6EDB" w:rsidRDefault="002625B2" w:rsidP="002625B2">
            <w:pPr>
              <w:ind w:right="752"/>
              <w:jc w:val="right"/>
              <w:rPr>
                <w:b/>
                <w:bCs/>
                <w:szCs w:val="20"/>
              </w:rPr>
            </w:pPr>
            <w:r w:rsidRPr="00AE6EDB">
              <w:rPr>
                <w:b/>
                <w:bCs/>
                <w:szCs w:val="20"/>
              </w:rPr>
              <w:t>2424,0</w:t>
            </w:r>
          </w:p>
        </w:tc>
        <w:tc>
          <w:tcPr>
            <w:tcW w:w="1882" w:type="dxa"/>
            <w:vAlign w:val="center"/>
          </w:tcPr>
          <w:p w:rsidR="002625B2" w:rsidRPr="00AE6EDB" w:rsidRDefault="002625B2" w:rsidP="002625B2">
            <w:pPr>
              <w:ind w:right="752"/>
              <w:jc w:val="right"/>
              <w:rPr>
                <w:b/>
                <w:bCs/>
                <w:szCs w:val="20"/>
              </w:rPr>
            </w:pPr>
            <w:r w:rsidRPr="00AE6EDB">
              <w:rPr>
                <w:b/>
                <w:bCs/>
                <w:szCs w:val="20"/>
              </w:rPr>
              <w:t>100,0</w:t>
            </w:r>
          </w:p>
        </w:tc>
        <w:tc>
          <w:tcPr>
            <w:tcW w:w="1882" w:type="dxa"/>
            <w:vAlign w:val="center"/>
          </w:tcPr>
          <w:p w:rsidR="002625B2" w:rsidRPr="00AE6EDB" w:rsidRDefault="002625B2" w:rsidP="002625B2">
            <w:pPr>
              <w:ind w:right="403"/>
              <w:jc w:val="right"/>
              <w:rPr>
                <w:b/>
                <w:szCs w:val="20"/>
              </w:rPr>
            </w:pPr>
            <w:r w:rsidRPr="00AE6EDB">
              <w:rPr>
                <w:b/>
                <w:szCs w:val="20"/>
              </w:rPr>
              <w:t>2,6</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v tom veková skupina:</w:t>
            </w:r>
          </w:p>
        </w:tc>
        <w:tc>
          <w:tcPr>
            <w:tcW w:w="2058" w:type="dxa"/>
            <w:vAlign w:val="center"/>
          </w:tcPr>
          <w:p w:rsidR="002625B2" w:rsidRPr="00AE6EDB" w:rsidRDefault="002625B2" w:rsidP="002625B2">
            <w:pPr>
              <w:ind w:right="752"/>
              <w:jc w:val="right"/>
              <w:rPr>
                <w:b/>
                <w:bCs/>
                <w:szCs w:val="20"/>
              </w:rPr>
            </w:pPr>
          </w:p>
        </w:tc>
        <w:tc>
          <w:tcPr>
            <w:tcW w:w="1882" w:type="dxa"/>
            <w:vAlign w:val="center"/>
          </w:tcPr>
          <w:p w:rsidR="002625B2" w:rsidRPr="00AE6EDB" w:rsidRDefault="002625B2" w:rsidP="002625B2">
            <w:pPr>
              <w:ind w:right="752"/>
              <w:jc w:val="right"/>
              <w:rPr>
                <w:b/>
                <w:bCs/>
                <w:szCs w:val="20"/>
              </w:rPr>
            </w:pPr>
          </w:p>
        </w:tc>
        <w:tc>
          <w:tcPr>
            <w:tcW w:w="1882" w:type="dxa"/>
            <w:vAlign w:val="center"/>
          </w:tcPr>
          <w:p w:rsidR="002625B2" w:rsidRPr="00AE6EDB" w:rsidRDefault="002625B2" w:rsidP="002625B2">
            <w:pPr>
              <w:ind w:right="403"/>
              <w:jc w:val="right"/>
              <w:rPr>
                <w:b/>
                <w:szCs w:val="20"/>
              </w:rPr>
            </w:pP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15 </w:t>
            </w:r>
            <w:r w:rsidRPr="00AE6EDB">
              <w:rPr>
                <w:color w:val="000000" w:themeColor="text1"/>
                <w:szCs w:val="20"/>
              </w:rPr>
              <w:t>–</w:t>
            </w:r>
            <w:r w:rsidRPr="00AE6EDB">
              <w:rPr>
                <w:szCs w:val="20"/>
              </w:rPr>
              <w:t xml:space="preserve"> 19 rokov</w:t>
            </w:r>
          </w:p>
        </w:tc>
        <w:tc>
          <w:tcPr>
            <w:tcW w:w="2058" w:type="dxa"/>
            <w:vAlign w:val="center"/>
          </w:tcPr>
          <w:p w:rsidR="002625B2" w:rsidRPr="00AE6EDB" w:rsidRDefault="002625B2" w:rsidP="002625B2">
            <w:pPr>
              <w:ind w:right="752"/>
              <w:jc w:val="right"/>
              <w:rPr>
                <w:bCs/>
                <w:szCs w:val="20"/>
              </w:rPr>
            </w:pPr>
            <w:r w:rsidRPr="00AE6EDB">
              <w:rPr>
                <w:bCs/>
                <w:szCs w:val="20"/>
              </w:rPr>
              <w:t>8,6</w:t>
            </w:r>
          </w:p>
        </w:tc>
        <w:tc>
          <w:tcPr>
            <w:tcW w:w="1882" w:type="dxa"/>
            <w:vAlign w:val="center"/>
          </w:tcPr>
          <w:p w:rsidR="002625B2" w:rsidRPr="00AE6EDB" w:rsidRDefault="002625B2" w:rsidP="002625B2">
            <w:pPr>
              <w:ind w:right="752"/>
              <w:jc w:val="right"/>
              <w:rPr>
                <w:bCs/>
                <w:szCs w:val="20"/>
              </w:rPr>
            </w:pPr>
            <w:r w:rsidRPr="00AE6EDB">
              <w:rPr>
                <w:bCs/>
                <w:szCs w:val="20"/>
              </w:rPr>
              <w:t>0,4</w:t>
            </w:r>
          </w:p>
        </w:tc>
        <w:tc>
          <w:tcPr>
            <w:tcW w:w="1882" w:type="dxa"/>
            <w:vAlign w:val="center"/>
          </w:tcPr>
          <w:p w:rsidR="002625B2" w:rsidRPr="00AE6EDB" w:rsidRDefault="002625B2" w:rsidP="002625B2">
            <w:pPr>
              <w:ind w:right="403"/>
              <w:jc w:val="right"/>
              <w:rPr>
                <w:szCs w:val="20"/>
              </w:rPr>
            </w:pPr>
            <w:r w:rsidRPr="00AE6EDB">
              <w:rPr>
                <w:szCs w:val="20"/>
              </w:rPr>
              <w:t>102,4</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20 </w:t>
            </w:r>
            <w:r w:rsidRPr="00AE6EDB">
              <w:rPr>
                <w:color w:val="000000" w:themeColor="text1"/>
                <w:szCs w:val="20"/>
              </w:rPr>
              <w:t>–</w:t>
            </w:r>
            <w:r w:rsidRPr="00AE6EDB">
              <w:rPr>
                <w:szCs w:val="20"/>
              </w:rPr>
              <w:t xml:space="preserve"> 24 rokov</w:t>
            </w:r>
          </w:p>
        </w:tc>
        <w:tc>
          <w:tcPr>
            <w:tcW w:w="2058" w:type="dxa"/>
            <w:vAlign w:val="center"/>
          </w:tcPr>
          <w:p w:rsidR="002625B2" w:rsidRPr="00AE6EDB" w:rsidRDefault="002625B2" w:rsidP="002625B2">
            <w:pPr>
              <w:ind w:right="752"/>
              <w:jc w:val="right"/>
              <w:rPr>
                <w:bCs/>
                <w:szCs w:val="20"/>
              </w:rPr>
            </w:pPr>
            <w:r w:rsidRPr="00AE6EDB">
              <w:rPr>
                <w:bCs/>
                <w:szCs w:val="20"/>
              </w:rPr>
              <w:t>145,2</w:t>
            </w:r>
          </w:p>
        </w:tc>
        <w:tc>
          <w:tcPr>
            <w:tcW w:w="1882" w:type="dxa"/>
            <w:vAlign w:val="center"/>
          </w:tcPr>
          <w:p w:rsidR="002625B2" w:rsidRPr="00AE6EDB" w:rsidRDefault="002625B2" w:rsidP="002625B2">
            <w:pPr>
              <w:ind w:right="752"/>
              <w:jc w:val="right"/>
              <w:rPr>
                <w:bCs/>
                <w:szCs w:val="20"/>
              </w:rPr>
            </w:pPr>
            <w:r w:rsidRPr="00AE6EDB">
              <w:rPr>
                <w:bCs/>
                <w:szCs w:val="20"/>
              </w:rPr>
              <w:t>6,0</w:t>
            </w:r>
          </w:p>
        </w:tc>
        <w:tc>
          <w:tcPr>
            <w:tcW w:w="1882" w:type="dxa"/>
            <w:vAlign w:val="center"/>
          </w:tcPr>
          <w:p w:rsidR="002625B2" w:rsidRPr="00AE6EDB" w:rsidRDefault="002625B2" w:rsidP="002625B2">
            <w:pPr>
              <w:ind w:right="403"/>
              <w:jc w:val="right"/>
              <w:rPr>
                <w:szCs w:val="20"/>
              </w:rPr>
            </w:pPr>
            <w:r w:rsidRPr="00AE6EDB">
              <w:rPr>
                <w:szCs w:val="20"/>
              </w:rPr>
              <w:t>103,6</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25 </w:t>
            </w:r>
            <w:r w:rsidRPr="00AE6EDB">
              <w:rPr>
                <w:color w:val="000000" w:themeColor="text1"/>
                <w:szCs w:val="20"/>
              </w:rPr>
              <w:t>–</w:t>
            </w:r>
            <w:r w:rsidRPr="00AE6EDB">
              <w:rPr>
                <w:szCs w:val="20"/>
              </w:rPr>
              <w:t xml:space="preserve"> 29 rokov</w:t>
            </w:r>
          </w:p>
        </w:tc>
        <w:tc>
          <w:tcPr>
            <w:tcW w:w="2058" w:type="dxa"/>
            <w:vAlign w:val="center"/>
          </w:tcPr>
          <w:p w:rsidR="002625B2" w:rsidRPr="00AE6EDB" w:rsidRDefault="002625B2" w:rsidP="002625B2">
            <w:pPr>
              <w:ind w:right="752"/>
              <w:jc w:val="right"/>
              <w:rPr>
                <w:bCs/>
                <w:szCs w:val="20"/>
              </w:rPr>
            </w:pPr>
            <w:r w:rsidRPr="00AE6EDB">
              <w:rPr>
                <w:bCs/>
                <w:szCs w:val="20"/>
              </w:rPr>
              <w:t>299,7</w:t>
            </w:r>
          </w:p>
        </w:tc>
        <w:tc>
          <w:tcPr>
            <w:tcW w:w="1882" w:type="dxa"/>
            <w:vAlign w:val="center"/>
          </w:tcPr>
          <w:p w:rsidR="002625B2" w:rsidRPr="00AE6EDB" w:rsidRDefault="002625B2" w:rsidP="002625B2">
            <w:pPr>
              <w:ind w:right="752"/>
              <w:jc w:val="right"/>
              <w:rPr>
                <w:bCs/>
                <w:szCs w:val="20"/>
              </w:rPr>
            </w:pPr>
            <w:r w:rsidRPr="00AE6EDB">
              <w:rPr>
                <w:bCs/>
                <w:szCs w:val="20"/>
              </w:rPr>
              <w:t>12,4</w:t>
            </w:r>
          </w:p>
        </w:tc>
        <w:tc>
          <w:tcPr>
            <w:tcW w:w="1882" w:type="dxa"/>
            <w:vAlign w:val="center"/>
          </w:tcPr>
          <w:p w:rsidR="002625B2" w:rsidRPr="00AE6EDB" w:rsidRDefault="002625B2" w:rsidP="002625B2">
            <w:pPr>
              <w:ind w:right="403"/>
              <w:jc w:val="right"/>
              <w:rPr>
                <w:szCs w:val="20"/>
              </w:rPr>
            </w:pPr>
            <w:r w:rsidRPr="00AE6EDB">
              <w:rPr>
                <w:szCs w:val="20"/>
              </w:rPr>
              <w:t>104,7</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30 </w:t>
            </w:r>
            <w:r w:rsidRPr="00AE6EDB">
              <w:rPr>
                <w:color w:val="000000" w:themeColor="text1"/>
                <w:szCs w:val="20"/>
              </w:rPr>
              <w:t>–</w:t>
            </w:r>
            <w:r w:rsidRPr="00AE6EDB">
              <w:rPr>
                <w:szCs w:val="20"/>
              </w:rPr>
              <w:t xml:space="preserve"> 34 rokov</w:t>
            </w:r>
          </w:p>
        </w:tc>
        <w:tc>
          <w:tcPr>
            <w:tcW w:w="2058" w:type="dxa"/>
            <w:vAlign w:val="center"/>
          </w:tcPr>
          <w:p w:rsidR="002625B2" w:rsidRPr="00AE6EDB" w:rsidRDefault="002625B2" w:rsidP="002625B2">
            <w:pPr>
              <w:ind w:right="752"/>
              <w:jc w:val="right"/>
              <w:rPr>
                <w:bCs/>
                <w:szCs w:val="20"/>
              </w:rPr>
            </w:pPr>
            <w:r w:rsidRPr="00AE6EDB">
              <w:rPr>
                <w:bCs/>
                <w:szCs w:val="20"/>
              </w:rPr>
              <w:t>320,6</w:t>
            </w:r>
          </w:p>
        </w:tc>
        <w:tc>
          <w:tcPr>
            <w:tcW w:w="1882" w:type="dxa"/>
            <w:vAlign w:val="center"/>
          </w:tcPr>
          <w:p w:rsidR="002625B2" w:rsidRPr="00AE6EDB" w:rsidRDefault="002625B2" w:rsidP="002625B2">
            <w:pPr>
              <w:ind w:right="752"/>
              <w:jc w:val="right"/>
              <w:rPr>
                <w:bCs/>
                <w:szCs w:val="20"/>
              </w:rPr>
            </w:pPr>
            <w:r w:rsidRPr="00AE6EDB">
              <w:rPr>
                <w:bCs/>
                <w:szCs w:val="20"/>
              </w:rPr>
              <w:t>13,2</w:t>
            </w:r>
          </w:p>
        </w:tc>
        <w:tc>
          <w:tcPr>
            <w:tcW w:w="1882" w:type="dxa"/>
            <w:vAlign w:val="center"/>
          </w:tcPr>
          <w:p w:rsidR="002625B2" w:rsidRPr="00AE6EDB" w:rsidRDefault="002625B2" w:rsidP="002625B2">
            <w:pPr>
              <w:ind w:right="403"/>
              <w:jc w:val="right"/>
              <w:rPr>
                <w:szCs w:val="20"/>
              </w:rPr>
            </w:pPr>
            <w:r w:rsidRPr="00AE6EDB">
              <w:rPr>
                <w:szCs w:val="20"/>
              </w:rPr>
              <w:t>102,4</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35 </w:t>
            </w:r>
            <w:r w:rsidRPr="00AE6EDB">
              <w:rPr>
                <w:color w:val="000000" w:themeColor="text1"/>
                <w:szCs w:val="20"/>
              </w:rPr>
              <w:t>–</w:t>
            </w:r>
            <w:r w:rsidRPr="00AE6EDB">
              <w:rPr>
                <w:szCs w:val="20"/>
              </w:rPr>
              <w:t xml:space="preserve"> 39 rokov</w:t>
            </w:r>
          </w:p>
        </w:tc>
        <w:tc>
          <w:tcPr>
            <w:tcW w:w="2058" w:type="dxa"/>
            <w:vAlign w:val="center"/>
          </w:tcPr>
          <w:p w:rsidR="002625B2" w:rsidRPr="00AE6EDB" w:rsidRDefault="002625B2" w:rsidP="002625B2">
            <w:pPr>
              <w:ind w:right="752"/>
              <w:jc w:val="right"/>
              <w:rPr>
                <w:bCs/>
                <w:szCs w:val="20"/>
              </w:rPr>
            </w:pPr>
            <w:r w:rsidRPr="00AE6EDB">
              <w:rPr>
                <w:bCs/>
                <w:szCs w:val="20"/>
              </w:rPr>
              <w:t>365,1</w:t>
            </w:r>
          </w:p>
        </w:tc>
        <w:tc>
          <w:tcPr>
            <w:tcW w:w="1882" w:type="dxa"/>
            <w:vAlign w:val="center"/>
          </w:tcPr>
          <w:p w:rsidR="002625B2" w:rsidRPr="00AE6EDB" w:rsidRDefault="002625B2" w:rsidP="002625B2">
            <w:pPr>
              <w:ind w:right="752"/>
              <w:jc w:val="right"/>
              <w:rPr>
                <w:bCs/>
                <w:szCs w:val="20"/>
              </w:rPr>
            </w:pPr>
            <w:r w:rsidRPr="00AE6EDB">
              <w:rPr>
                <w:bCs/>
                <w:szCs w:val="20"/>
              </w:rPr>
              <w:t>15,1</w:t>
            </w:r>
          </w:p>
        </w:tc>
        <w:tc>
          <w:tcPr>
            <w:tcW w:w="1882" w:type="dxa"/>
            <w:vAlign w:val="center"/>
          </w:tcPr>
          <w:p w:rsidR="002625B2" w:rsidRPr="00AE6EDB" w:rsidRDefault="002625B2" w:rsidP="002625B2">
            <w:pPr>
              <w:ind w:right="403"/>
              <w:jc w:val="right"/>
              <w:rPr>
                <w:szCs w:val="20"/>
              </w:rPr>
            </w:pPr>
            <w:r w:rsidRPr="00AE6EDB">
              <w:rPr>
                <w:szCs w:val="20"/>
              </w:rPr>
              <w:t>99,3</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40 </w:t>
            </w:r>
            <w:r w:rsidRPr="00AE6EDB">
              <w:rPr>
                <w:color w:val="000000" w:themeColor="text1"/>
                <w:szCs w:val="20"/>
              </w:rPr>
              <w:t>–</w:t>
            </w:r>
            <w:r w:rsidRPr="00AE6EDB">
              <w:rPr>
                <w:szCs w:val="20"/>
              </w:rPr>
              <w:t xml:space="preserve"> 44 rokov</w:t>
            </w:r>
          </w:p>
        </w:tc>
        <w:tc>
          <w:tcPr>
            <w:tcW w:w="2058" w:type="dxa"/>
            <w:vAlign w:val="center"/>
          </w:tcPr>
          <w:p w:rsidR="002625B2" w:rsidRPr="00AE6EDB" w:rsidRDefault="002625B2" w:rsidP="002625B2">
            <w:pPr>
              <w:ind w:right="752"/>
              <w:jc w:val="right"/>
              <w:rPr>
                <w:bCs/>
                <w:szCs w:val="20"/>
              </w:rPr>
            </w:pPr>
            <w:r w:rsidRPr="00AE6EDB">
              <w:rPr>
                <w:bCs/>
                <w:szCs w:val="20"/>
              </w:rPr>
              <w:t>337,4</w:t>
            </w:r>
          </w:p>
        </w:tc>
        <w:tc>
          <w:tcPr>
            <w:tcW w:w="1882" w:type="dxa"/>
            <w:vAlign w:val="center"/>
          </w:tcPr>
          <w:p w:rsidR="002625B2" w:rsidRPr="00AE6EDB" w:rsidRDefault="002625B2" w:rsidP="002625B2">
            <w:pPr>
              <w:ind w:right="752"/>
              <w:jc w:val="right"/>
              <w:rPr>
                <w:bCs/>
                <w:szCs w:val="20"/>
              </w:rPr>
            </w:pPr>
            <w:r w:rsidRPr="00AE6EDB">
              <w:rPr>
                <w:bCs/>
                <w:szCs w:val="20"/>
              </w:rPr>
              <w:t>13,9</w:t>
            </w:r>
          </w:p>
        </w:tc>
        <w:tc>
          <w:tcPr>
            <w:tcW w:w="1882" w:type="dxa"/>
            <w:vAlign w:val="center"/>
          </w:tcPr>
          <w:p w:rsidR="002625B2" w:rsidRPr="00AE6EDB" w:rsidRDefault="002625B2" w:rsidP="002625B2">
            <w:pPr>
              <w:ind w:right="403"/>
              <w:jc w:val="right"/>
              <w:rPr>
                <w:szCs w:val="20"/>
              </w:rPr>
            </w:pPr>
            <w:r w:rsidRPr="00AE6EDB">
              <w:rPr>
                <w:szCs w:val="20"/>
              </w:rPr>
              <w:t>103,4</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45 </w:t>
            </w:r>
            <w:r w:rsidRPr="00AE6EDB">
              <w:rPr>
                <w:color w:val="000000" w:themeColor="text1"/>
                <w:szCs w:val="20"/>
              </w:rPr>
              <w:t>–</w:t>
            </w:r>
            <w:r w:rsidRPr="00AE6EDB">
              <w:rPr>
                <w:szCs w:val="20"/>
              </w:rPr>
              <w:t xml:space="preserve"> 49 rokov</w:t>
            </w:r>
          </w:p>
        </w:tc>
        <w:tc>
          <w:tcPr>
            <w:tcW w:w="2058" w:type="dxa"/>
            <w:vAlign w:val="center"/>
          </w:tcPr>
          <w:p w:rsidR="002625B2" w:rsidRPr="00AE6EDB" w:rsidRDefault="002625B2" w:rsidP="002625B2">
            <w:pPr>
              <w:ind w:right="752"/>
              <w:jc w:val="right"/>
              <w:rPr>
                <w:bCs/>
                <w:szCs w:val="20"/>
              </w:rPr>
            </w:pPr>
            <w:r w:rsidRPr="00AE6EDB">
              <w:rPr>
                <w:bCs/>
                <w:szCs w:val="20"/>
              </w:rPr>
              <w:t>294,0</w:t>
            </w:r>
          </w:p>
        </w:tc>
        <w:tc>
          <w:tcPr>
            <w:tcW w:w="1882" w:type="dxa"/>
            <w:vAlign w:val="center"/>
          </w:tcPr>
          <w:p w:rsidR="002625B2" w:rsidRPr="00AE6EDB" w:rsidRDefault="002625B2" w:rsidP="002625B2">
            <w:pPr>
              <w:ind w:right="752"/>
              <w:jc w:val="right"/>
              <w:rPr>
                <w:bCs/>
                <w:szCs w:val="20"/>
              </w:rPr>
            </w:pPr>
            <w:r w:rsidRPr="00AE6EDB">
              <w:rPr>
                <w:bCs/>
                <w:szCs w:val="20"/>
              </w:rPr>
              <w:t>12,1</w:t>
            </w:r>
          </w:p>
        </w:tc>
        <w:tc>
          <w:tcPr>
            <w:tcW w:w="1882" w:type="dxa"/>
            <w:vAlign w:val="center"/>
          </w:tcPr>
          <w:p w:rsidR="002625B2" w:rsidRPr="00AE6EDB" w:rsidRDefault="002625B2" w:rsidP="002625B2">
            <w:pPr>
              <w:ind w:right="403"/>
              <w:jc w:val="right"/>
              <w:rPr>
                <w:szCs w:val="20"/>
              </w:rPr>
            </w:pPr>
            <w:r w:rsidRPr="00AE6EDB">
              <w:rPr>
                <w:szCs w:val="20"/>
              </w:rPr>
              <w:t>99,3</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50 </w:t>
            </w:r>
            <w:r w:rsidRPr="00AE6EDB">
              <w:rPr>
                <w:color w:val="000000" w:themeColor="text1"/>
                <w:szCs w:val="20"/>
              </w:rPr>
              <w:t>–</w:t>
            </w:r>
            <w:r w:rsidRPr="00AE6EDB">
              <w:rPr>
                <w:szCs w:val="20"/>
              </w:rPr>
              <w:t xml:space="preserve"> 54 rokov</w:t>
            </w:r>
          </w:p>
        </w:tc>
        <w:tc>
          <w:tcPr>
            <w:tcW w:w="2058" w:type="dxa"/>
            <w:vAlign w:val="center"/>
          </w:tcPr>
          <w:p w:rsidR="002625B2" w:rsidRPr="00AE6EDB" w:rsidRDefault="002625B2" w:rsidP="002625B2">
            <w:pPr>
              <w:ind w:right="752"/>
              <w:jc w:val="right"/>
              <w:rPr>
                <w:bCs/>
                <w:szCs w:val="20"/>
              </w:rPr>
            </w:pPr>
            <w:r w:rsidRPr="00AE6EDB">
              <w:rPr>
                <w:bCs/>
                <w:szCs w:val="20"/>
              </w:rPr>
              <w:t>288,3</w:t>
            </w:r>
          </w:p>
        </w:tc>
        <w:tc>
          <w:tcPr>
            <w:tcW w:w="1882" w:type="dxa"/>
            <w:vAlign w:val="center"/>
          </w:tcPr>
          <w:p w:rsidR="002625B2" w:rsidRPr="00AE6EDB" w:rsidRDefault="002625B2" w:rsidP="002625B2">
            <w:pPr>
              <w:ind w:right="752"/>
              <w:jc w:val="right"/>
              <w:rPr>
                <w:bCs/>
                <w:szCs w:val="20"/>
              </w:rPr>
            </w:pPr>
            <w:r w:rsidRPr="00AE6EDB">
              <w:rPr>
                <w:bCs/>
                <w:szCs w:val="20"/>
              </w:rPr>
              <w:t>11,9</w:t>
            </w:r>
          </w:p>
        </w:tc>
        <w:tc>
          <w:tcPr>
            <w:tcW w:w="1882" w:type="dxa"/>
            <w:vAlign w:val="center"/>
          </w:tcPr>
          <w:p w:rsidR="002625B2" w:rsidRPr="00AE6EDB" w:rsidRDefault="002625B2" w:rsidP="002625B2">
            <w:pPr>
              <w:ind w:right="403"/>
              <w:jc w:val="right"/>
              <w:rPr>
                <w:szCs w:val="20"/>
              </w:rPr>
            </w:pPr>
            <w:r w:rsidRPr="00AE6EDB">
              <w:rPr>
                <w:szCs w:val="20"/>
              </w:rPr>
              <w:t>101,8</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55 </w:t>
            </w:r>
            <w:r w:rsidRPr="00AE6EDB">
              <w:rPr>
                <w:color w:val="000000" w:themeColor="text1"/>
                <w:szCs w:val="20"/>
              </w:rPr>
              <w:t>–</w:t>
            </w:r>
            <w:r w:rsidRPr="00AE6EDB">
              <w:rPr>
                <w:szCs w:val="20"/>
              </w:rPr>
              <w:t xml:space="preserve"> 59 rokov</w:t>
            </w:r>
          </w:p>
        </w:tc>
        <w:tc>
          <w:tcPr>
            <w:tcW w:w="2058" w:type="dxa"/>
            <w:vAlign w:val="center"/>
          </w:tcPr>
          <w:p w:rsidR="002625B2" w:rsidRPr="00AE6EDB" w:rsidRDefault="002625B2" w:rsidP="002625B2">
            <w:pPr>
              <w:ind w:right="752"/>
              <w:jc w:val="right"/>
              <w:rPr>
                <w:bCs/>
                <w:szCs w:val="20"/>
              </w:rPr>
            </w:pPr>
            <w:r w:rsidRPr="00AE6EDB">
              <w:rPr>
                <w:bCs/>
                <w:szCs w:val="20"/>
              </w:rPr>
              <w:t>264,9</w:t>
            </w:r>
          </w:p>
        </w:tc>
        <w:tc>
          <w:tcPr>
            <w:tcW w:w="1882" w:type="dxa"/>
            <w:vAlign w:val="center"/>
          </w:tcPr>
          <w:p w:rsidR="002625B2" w:rsidRPr="00AE6EDB" w:rsidRDefault="002625B2" w:rsidP="002625B2">
            <w:pPr>
              <w:ind w:right="752"/>
              <w:jc w:val="right"/>
              <w:rPr>
                <w:bCs/>
                <w:szCs w:val="20"/>
              </w:rPr>
            </w:pPr>
            <w:r w:rsidRPr="00AE6EDB">
              <w:rPr>
                <w:bCs/>
                <w:szCs w:val="20"/>
              </w:rPr>
              <w:t>10,9</w:t>
            </w:r>
          </w:p>
        </w:tc>
        <w:tc>
          <w:tcPr>
            <w:tcW w:w="1882" w:type="dxa"/>
            <w:vAlign w:val="center"/>
          </w:tcPr>
          <w:p w:rsidR="002625B2" w:rsidRPr="00AE6EDB" w:rsidRDefault="002625B2" w:rsidP="002625B2">
            <w:pPr>
              <w:ind w:right="403"/>
              <w:jc w:val="right"/>
              <w:rPr>
                <w:szCs w:val="20"/>
              </w:rPr>
            </w:pPr>
            <w:r w:rsidRPr="00AE6EDB">
              <w:rPr>
                <w:szCs w:val="20"/>
              </w:rPr>
              <w:t>103,9</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 xml:space="preserve">60 </w:t>
            </w:r>
            <w:r w:rsidRPr="00AE6EDB">
              <w:rPr>
                <w:color w:val="000000" w:themeColor="text1"/>
                <w:szCs w:val="20"/>
              </w:rPr>
              <w:t>–</w:t>
            </w:r>
            <w:r w:rsidRPr="00AE6EDB">
              <w:rPr>
                <w:szCs w:val="20"/>
              </w:rPr>
              <w:t xml:space="preserve"> 64 rokov</w:t>
            </w:r>
          </w:p>
        </w:tc>
        <w:tc>
          <w:tcPr>
            <w:tcW w:w="2058" w:type="dxa"/>
            <w:vAlign w:val="center"/>
          </w:tcPr>
          <w:p w:rsidR="002625B2" w:rsidRPr="00AE6EDB" w:rsidRDefault="002625B2" w:rsidP="002625B2">
            <w:pPr>
              <w:ind w:right="752"/>
              <w:jc w:val="right"/>
              <w:rPr>
                <w:bCs/>
                <w:szCs w:val="20"/>
              </w:rPr>
            </w:pPr>
            <w:r w:rsidRPr="00AE6EDB">
              <w:rPr>
                <w:bCs/>
                <w:szCs w:val="20"/>
              </w:rPr>
              <w:t>81,3</w:t>
            </w:r>
          </w:p>
        </w:tc>
        <w:tc>
          <w:tcPr>
            <w:tcW w:w="1882" w:type="dxa"/>
            <w:vAlign w:val="center"/>
          </w:tcPr>
          <w:p w:rsidR="002625B2" w:rsidRPr="00AE6EDB" w:rsidRDefault="002625B2" w:rsidP="002625B2">
            <w:pPr>
              <w:ind w:right="752"/>
              <w:jc w:val="right"/>
              <w:rPr>
                <w:bCs/>
                <w:szCs w:val="20"/>
              </w:rPr>
            </w:pPr>
            <w:r w:rsidRPr="00AE6EDB">
              <w:rPr>
                <w:bCs/>
                <w:szCs w:val="20"/>
              </w:rPr>
              <w:t>3,4</w:t>
            </w:r>
          </w:p>
        </w:tc>
        <w:tc>
          <w:tcPr>
            <w:tcW w:w="1882" w:type="dxa"/>
            <w:vAlign w:val="center"/>
          </w:tcPr>
          <w:p w:rsidR="002625B2" w:rsidRPr="00AE6EDB" w:rsidRDefault="002625B2" w:rsidP="002625B2">
            <w:pPr>
              <w:ind w:right="403"/>
              <w:jc w:val="right"/>
              <w:rPr>
                <w:szCs w:val="20"/>
              </w:rPr>
            </w:pPr>
            <w:r w:rsidRPr="00AE6EDB">
              <w:rPr>
                <w:szCs w:val="20"/>
              </w:rPr>
              <w:t>111,1</w:t>
            </w:r>
          </w:p>
        </w:tc>
      </w:tr>
      <w:tr w:rsidR="002625B2" w:rsidRPr="00AE6EDB" w:rsidTr="002625B2">
        <w:trPr>
          <w:trHeight w:val="255"/>
          <w:jc w:val="center"/>
        </w:trPr>
        <w:tc>
          <w:tcPr>
            <w:tcW w:w="2116" w:type="dxa"/>
            <w:vAlign w:val="center"/>
          </w:tcPr>
          <w:p w:rsidR="002625B2" w:rsidRPr="00AE6EDB" w:rsidRDefault="002625B2" w:rsidP="002625B2">
            <w:pPr>
              <w:jc w:val="left"/>
              <w:rPr>
                <w:szCs w:val="20"/>
              </w:rPr>
            </w:pPr>
            <w:r w:rsidRPr="00AE6EDB">
              <w:rPr>
                <w:szCs w:val="20"/>
              </w:rPr>
              <w:t>65 a viac rokov</w:t>
            </w:r>
          </w:p>
        </w:tc>
        <w:tc>
          <w:tcPr>
            <w:tcW w:w="2058" w:type="dxa"/>
            <w:vAlign w:val="center"/>
          </w:tcPr>
          <w:p w:rsidR="002625B2" w:rsidRPr="00AE6EDB" w:rsidRDefault="002625B2" w:rsidP="002625B2">
            <w:pPr>
              <w:ind w:right="752"/>
              <w:jc w:val="right"/>
              <w:rPr>
                <w:bCs/>
                <w:szCs w:val="20"/>
              </w:rPr>
            </w:pPr>
            <w:r w:rsidRPr="00AE6EDB">
              <w:rPr>
                <w:bCs/>
                <w:szCs w:val="20"/>
              </w:rPr>
              <w:t>19,0</w:t>
            </w:r>
          </w:p>
        </w:tc>
        <w:tc>
          <w:tcPr>
            <w:tcW w:w="1882" w:type="dxa"/>
            <w:vAlign w:val="center"/>
          </w:tcPr>
          <w:p w:rsidR="002625B2" w:rsidRPr="00AE6EDB" w:rsidRDefault="002625B2" w:rsidP="002625B2">
            <w:pPr>
              <w:ind w:right="752"/>
              <w:jc w:val="right"/>
              <w:rPr>
                <w:bCs/>
                <w:szCs w:val="20"/>
              </w:rPr>
            </w:pPr>
            <w:r w:rsidRPr="00AE6EDB">
              <w:rPr>
                <w:bCs/>
                <w:szCs w:val="20"/>
              </w:rPr>
              <w:t>0,8</w:t>
            </w:r>
          </w:p>
        </w:tc>
        <w:tc>
          <w:tcPr>
            <w:tcW w:w="1882" w:type="dxa"/>
            <w:vAlign w:val="center"/>
          </w:tcPr>
          <w:p w:rsidR="002625B2" w:rsidRPr="00AE6EDB" w:rsidRDefault="002625B2" w:rsidP="002625B2">
            <w:pPr>
              <w:ind w:right="403"/>
              <w:jc w:val="right"/>
              <w:rPr>
                <w:szCs w:val="20"/>
              </w:rPr>
            </w:pPr>
            <w:r w:rsidRPr="00AE6EDB">
              <w:rPr>
                <w:szCs w:val="20"/>
              </w:rPr>
              <w:t>136,7</w:t>
            </w:r>
          </w:p>
        </w:tc>
      </w:tr>
    </w:tbl>
    <w:p w:rsidR="002625B2" w:rsidRPr="00AE6EDB" w:rsidRDefault="002625B2" w:rsidP="002625B2">
      <w:pPr>
        <w:pStyle w:val="zdroj"/>
      </w:pPr>
      <w:r w:rsidRPr="00AE6EDB">
        <w:t xml:space="preserve">Zdroj: ŠÚ SR, VZPS </w:t>
      </w:r>
    </w:p>
    <w:p w:rsidR="002625B2" w:rsidRPr="00AE6EDB" w:rsidRDefault="002625B2" w:rsidP="002625B2">
      <w:pPr>
        <w:ind w:firstLine="567"/>
        <w:rPr>
          <w:b/>
          <w:highlight w:val="cyan"/>
        </w:rPr>
      </w:pPr>
      <w:r w:rsidRPr="00AE6EDB">
        <w:t xml:space="preserve">V roku 2015 pokračoval dlhodobý trend zvyšovania vzdelanostnej úrovne zamestnaných osôb. V porovnaní s rokom 2014 najväčšie absolútne prírastky počtu pracujúcich boli zaznamenaná u osôb s vysokoškolským vzdelaním (v priemere o 27,0 tis. osôb) a úplným stredným odborným vzdelaním </w:t>
      </w:r>
      <w:r w:rsidRPr="00AE6EDB">
        <w:br/>
        <w:t xml:space="preserve">s maturitou (o takmer 22 tis. osôb). Pokles počtu pracujúcich bol zaznamenaný len v skupine pracujúcich s úplným stredným odborným (učňovským) vzdelaním bez maturity a s vyšším odborným vzdelaním. Najintenzívnejší rast zamestnanosti však dosiahli osoby so základným vzdelaním a bez </w:t>
      </w:r>
      <w:r w:rsidRPr="00AE6EDB">
        <w:lastRenderedPageBreak/>
        <w:t>vzdelania, medziročne v priemere o 13,6</w:t>
      </w:r>
      <w:r w:rsidR="005676EF">
        <w:t> %</w:t>
      </w:r>
      <w:r w:rsidRPr="00AE6EDB">
        <w:t>, absolútne o takmer 12 tis. Najväčší podiel na celkovej zamestnanosti mali osoby s úplným stredným odborným vzdelaním s maturitou, so stredným odborným (učňovským) vzdelaním bez maturity a s vysokoškolským vzdelaním</w:t>
      </w:r>
      <w:r w:rsidR="004F033C" w:rsidRPr="00AE6EDB">
        <w:t xml:space="preserve"> </w:t>
      </w:r>
      <w:r w:rsidRPr="00AE6EDB">
        <w:t>(</w:t>
      </w:r>
      <w:r w:rsidR="004F033C" w:rsidRPr="00AE6EDB">
        <w:t>takmer</w:t>
      </w:r>
      <w:r w:rsidRPr="00AE6EDB">
        <w:t xml:space="preserve"> 85</w:t>
      </w:r>
      <w:r w:rsidR="005676EF">
        <w:t> %</w:t>
      </w:r>
      <w:r w:rsidRPr="00AE6EDB">
        <w:t>).</w:t>
      </w:r>
    </w:p>
    <w:p w:rsidR="002625B2" w:rsidRPr="00AE6EDB" w:rsidRDefault="002625B2" w:rsidP="002625B2">
      <w:pPr>
        <w:pStyle w:val="Nadpis7"/>
      </w:pPr>
      <w:r w:rsidRPr="00AE6EDB">
        <w:t>Tabuľka 2.</w:t>
      </w:r>
      <w:r w:rsidR="004A57BA" w:rsidRPr="00AE6EDB">
        <w:t>5</w:t>
      </w:r>
      <w:r w:rsidRPr="00AE6EDB">
        <w:t xml:space="preserve"> Pracujúci podľa vzdelania v roku 2015 (priemer za rok) </w:t>
      </w:r>
    </w:p>
    <w:tbl>
      <w:tblPr>
        <w:tblW w:w="8239"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Look w:val="01E0" w:firstRow="1" w:lastRow="1" w:firstColumn="1" w:lastColumn="1" w:noHBand="0" w:noVBand="0"/>
      </w:tblPr>
      <w:tblGrid>
        <w:gridCol w:w="2593"/>
        <w:gridCol w:w="1960"/>
        <w:gridCol w:w="1843"/>
        <w:gridCol w:w="1843"/>
      </w:tblGrid>
      <w:tr w:rsidR="002625B2" w:rsidRPr="00AE6EDB" w:rsidTr="002625B2">
        <w:trPr>
          <w:jc w:val="center"/>
        </w:trPr>
        <w:tc>
          <w:tcPr>
            <w:tcW w:w="2593"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Ukazovateľ</w:t>
            </w:r>
          </w:p>
        </w:tc>
        <w:tc>
          <w:tcPr>
            <w:tcW w:w="1960"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Počet pracujúcich</w:t>
            </w:r>
          </w:p>
          <w:p w:rsidR="002625B2" w:rsidRPr="00AE6EDB" w:rsidRDefault="002625B2" w:rsidP="002625B2">
            <w:pPr>
              <w:jc w:val="center"/>
              <w:rPr>
                <w:b/>
                <w:color w:val="FFFFFF" w:themeColor="background1"/>
              </w:rPr>
            </w:pPr>
            <w:r w:rsidRPr="00AE6EDB">
              <w:rPr>
                <w:b/>
                <w:color w:val="FFFFFF" w:themeColor="background1"/>
              </w:rPr>
              <w:t>(v tis. osôb)</w:t>
            </w:r>
          </w:p>
        </w:tc>
        <w:tc>
          <w:tcPr>
            <w:tcW w:w="1843"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Podiel na SR</w:t>
            </w:r>
          </w:p>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r w:rsidRPr="00AE6EDB">
              <w:rPr>
                <w:b/>
                <w:color w:val="FFFFFF" w:themeColor="background1"/>
              </w:rPr>
              <w:t>)</w:t>
            </w:r>
          </w:p>
        </w:tc>
        <w:tc>
          <w:tcPr>
            <w:tcW w:w="1843"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55"/>
          <w:jc w:val="center"/>
        </w:trPr>
        <w:tc>
          <w:tcPr>
            <w:tcW w:w="2593" w:type="dxa"/>
            <w:vAlign w:val="center"/>
          </w:tcPr>
          <w:p w:rsidR="002625B2" w:rsidRPr="00AE6EDB" w:rsidRDefault="002625B2" w:rsidP="002625B2">
            <w:pPr>
              <w:jc w:val="left"/>
              <w:rPr>
                <w:b/>
              </w:rPr>
            </w:pPr>
            <w:r w:rsidRPr="00AE6EDB">
              <w:rPr>
                <w:b/>
              </w:rPr>
              <w:t>Spolu</w:t>
            </w:r>
          </w:p>
        </w:tc>
        <w:tc>
          <w:tcPr>
            <w:tcW w:w="1960" w:type="dxa"/>
            <w:vAlign w:val="center"/>
          </w:tcPr>
          <w:p w:rsidR="002625B2" w:rsidRPr="00AE6EDB" w:rsidRDefault="0054295F" w:rsidP="002625B2">
            <w:pPr>
              <w:ind w:right="607"/>
              <w:jc w:val="right"/>
              <w:rPr>
                <w:b/>
              </w:rPr>
            </w:pPr>
            <w:r>
              <w:rPr>
                <w:b/>
              </w:rPr>
              <w:t>2 4</w:t>
            </w:r>
            <w:r w:rsidR="002625B2" w:rsidRPr="00AE6EDB">
              <w:rPr>
                <w:b/>
              </w:rPr>
              <w:t>24,0</w:t>
            </w:r>
          </w:p>
        </w:tc>
        <w:tc>
          <w:tcPr>
            <w:tcW w:w="1843" w:type="dxa"/>
            <w:vAlign w:val="center"/>
          </w:tcPr>
          <w:p w:rsidR="002625B2" w:rsidRPr="00AE6EDB" w:rsidRDefault="002625B2" w:rsidP="002625B2">
            <w:pPr>
              <w:ind w:right="607"/>
              <w:jc w:val="right"/>
              <w:rPr>
                <w:b/>
              </w:rPr>
            </w:pPr>
            <w:r w:rsidRPr="00AE6EDB">
              <w:rPr>
                <w:b/>
              </w:rPr>
              <w:t>100,0</w:t>
            </w:r>
          </w:p>
        </w:tc>
        <w:tc>
          <w:tcPr>
            <w:tcW w:w="1843" w:type="dxa"/>
            <w:vAlign w:val="center"/>
          </w:tcPr>
          <w:p w:rsidR="002625B2" w:rsidRPr="00AE6EDB" w:rsidRDefault="002625B2" w:rsidP="002625B2">
            <w:pPr>
              <w:ind w:right="403"/>
              <w:jc w:val="right"/>
              <w:rPr>
                <w:b/>
                <w:szCs w:val="20"/>
              </w:rPr>
            </w:pPr>
            <w:r w:rsidRPr="00AE6EDB">
              <w:rPr>
                <w:b/>
                <w:szCs w:val="20"/>
              </w:rPr>
              <w:t>102,6</w:t>
            </w:r>
          </w:p>
        </w:tc>
      </w:tr>
      <w:tr w:rsidR="002625B2" w:rsidRPr="00AE6EDB" w:rsidTr="002625B2">
        <w:trPr>
          <w:trHeight w:val="255"/>
          <w:jc w:val="center"/>
        </w:trPr>
        <w:tc>
          <w:tcPr>
            <w:tcW w:w="8239" w:type="dxa"/>
            <w:gridSpan w:val="4"/>
            <w:vAlign w:val="center"/>
          </w:tcPr>
          <w:p w:rsidR="002625B2" w:rsidRPr="00AE6EDB" w:rsidRDefault="002625B2" w:rsidP="002625B2">
            <w:pPr>
              <w:ind w:right="607"/>
              <w:jc w:val="left"/>
            </w:pPr>
            <w:r w:rsidRPr="00AE6EDB">
              <w:t>v tom vzdelanie:</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Základné</w:t>
            </w:r>
          </w:p>
        </w:tc>
        <w:tc>
          <w:tcPr>
            <w:tcW w:w="1960" w:type="dxa"/>
            <w:vAlign w:val="bottom"/>
          </w:tcPr>
          <w:p w:rsidR="002625B2" w:rsidRPr="00AE6EDB" w:rsidRDefault="002625B2" w:rsidP="002625B2">
            <w:pPr>
              <w:ind w:right="607"/>
              <w:jc w:val="right"/>
            </w:pPr>
            <w:r w:rsidRPr="00AE6EDB">
              <w:t>97,4</w:t>
            </w:r>
          </w:p>
        </w:tc>
        <w:tc>
          <w:tcPr>
            <w:tcW w:w="1843" w:type="dxa"/>
            <w:vAlign w:val="bottom"/>
          </w:tcPr>
          <w:p w:rsidR="002625B2" w:rsidRPr="00AE6EDB" w:rsidRDefault="002625B2" w:rsidP="002625B2">
            <w:pPr>
              <w:ind w:right="607"/>
              <w:jc w:val="right"/>
            </w:pPr>
            <w:r w:rsidRPr="00AE6EDB">
              <w:t>4,0</w:t>
            </w:r>
          </w:p>
        </w:tc>
        <w:tc>
          <w:tcPr>
            <w:tcW w:w="1843" w:type="dxa"/>
            <w:vAlign w:val="bottom"/>
          </w:tcPr>
          <w:p w:rsidR="002625B2" w:rsidRPr="00AE6EDB" w:rsidRDefault="002625B2" w:rsidP="002625B2">
            <w:pPr>
              <w:ind w:right="403"/>
              <w:jc w:val="right"/>
              <w:rPr>
                <w:szCs w:val="20"/>
              </w:rPr>
            </w:pPr>
            <w:r w:rsidRPr="00AE6EDB">
              <w:rPr>
                <w:szCs w:val="20"/>
              </w:rPr>
              <w:t>113,4</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Stredné odborné (učňovské) bez maturity</w:t>
            </w:r>
          </w:p>
        </w:tc>
        <w:tc>
          <w:tcPr>
            <w:tcW w:w="1960" w:type="dxa"/>
            <w:vAlign w:val="bottom"/>
          </w:tcPr>
          <w:p w:rsidR="002625B2" w:rsidRPr="00AE6EDB" w:rsidRDefault="002625B2" w:rsidP="002625B2">
            <w:pPr>
              <w:ind w:right="607"/>
              <w:jc w:val="right"/>
            </w:pPr>
            <w:r w:rsidRPr="00AE6EDB">
              <w:t>671,8</w:t>
            </w:r>
          </w:p>
        </w:tc>
        <w:tc>
          <w:tcPr>
            <w:tcW w:w="1843" w:type="dxa"/>
            <w:vAlign w:val="bottom"/>
          </w:tcPr>
          <w:p w:rsidR="002625B2" w:rsidRPr="00AE6EDB" w:rsidRDefault="002625B2" w:rsidP="002625B2">
            <w:pPr>
              <w:ind w:right="607"/>
              <w:jc w:val="right"/>
            </w:pPr>
            <w:r w:rsidRPr="00AE6EDB">
              <w:t>27,7</w:t>
            </w:r>
          </w:p>
        </w:tc>
        <w:tc>
          <w:tcPr>
            <w:tcW w:w="1843" w:type="dxa"/>
            <w:vAlign w:val="bottom"/>
          </w:tcPr>
          <w:p w:rsidR="002625B2" w:rsidRPr="00AE6EDB" w:rsidRDefault="002625B2" w:rsidP="002625B2">
            <w:pPr>
              <w:ind w:right="403"/>
              <w:jc w:val="right"/>
              <w:rPr>
                <w:szCs w:val="20"/>
              </w:rPr>
            </w:pPr>
            <w:r w:rsidRPr="00AE6EDB">
              <w:rPr>
                <w:szCs w:val="20"/>
              </w:rPr>
              <w:t>99,0</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Úplné stredné odborné (učňovské) s maturitou</w:t>
            </w:r>
          </w:p>
        </w:tc>
        <w:tc>
          <w:tcPr>
            <w:tcW w:w="1960" w:type="dxa"/>
            <w:vAlign w:val="bottom"/>
          </w:tcPr>
          <w:p w:rsidR="002625B2" w:rsidRPr="00AE6EDB" w:rsidRDefault="002625B2" w:rsidP="002625B2">
            <w:pPr>
              <w:ind w:right="607"/>
              <w:jc w:val="right"/>
            </w:pPr>
            <w:r w:rsidRPr="00AE6EDB">
              <w:t>155,8</w:t>
            </w:r>
          </w:p>
        </w:tc>
        <w:tc>
          <w:tcPr>
            <w:tcW w:w="1843" w:type="dxa"/>
            <w:vAlign w:val="bottom"/>
          </w:tcPr>
          <w:p w:rsidR="002625B2" w:rsidRPr="00AE6EDB" w:rsidRDefault="002625B2" w:rsidP="002625B2">
            <w:pPr>
              <w:ind w:right="607"/>
              <w:jc w:val="right"/>
            </w:pPr>
            <w:r w:rsidRPr="00AE6EDB">
              <w:t>6,4</w:t>
            </w:r>
          </w:p>
        </w:tc>
        <w:tc>
          <w:tcPr>
            <w:tcW w:w="1843" w:type="dxa"/>
            <w:vAlign w:val="bottom"/>
          </w:tcPr>
          <w:p w:rsidR="002625B2" w:rsidRPr="00AE6EDB" w:rsidRDefault="002625B2" w:rsidP="002625B2">
            <w:pPr>
              <w:ind w:right="403"/>
              <w:jc w:val="right"/>
              <w:rPr>
                <w:szCs w:val="20"/>
              </w:rPr>
            </w:pPr>
            <w:r w:rsidRPr="00AE6EDB">
              <w:rPr>
                <w:szCs w:val="20"/>
              </w:rPr>
              <w:t>106,6</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Úplné stredné všeobecné s maturitou</w:t>
            </w:r>
          </w:p>
        </w:tc>
        <w:tc>
          <w:tcPr>
            <w:tcW w:w="1960" w:type="dxa"/>
            <w:vAlign w:val="bottom"/>
          </w:tcPr>
          <w:p w:rsidR="002625B2" w:rsidRPr="00AE6EDB" w:rsidRDefault="002625B2" w:rsidP="002625B2">
            <w:pPr>
              <w:ind w:right="607"/>
              <w:jc w:val="right"/>
            </w:pPr>
            <w:r w:rsidRPr="00AE6EDB">
              <w:t>92,9</w:t>
            </w:r>
          </w:p>
        </w:tc>
        <w:tc>
          <w:tcPr>
            <w:tcW w:w="1843" w:type="dxa"/>
            <w:vAlign w:val="bottom"/>
          </w:tcPr>
          <w:p w:rsidR="002625B2" w:rsidRPr="00AE6EDB" w:rsidRDefault="002625B2" w:rsidP="002625B2">
            <w:pPr>
              <w:ind w:right="607"/>
              <w:jc w:val="right"/>
            </w:pPr>
            <w:r w:rsidRPr="00AE6EDB">
              <w:t>3,8</w:t>
            </w:r>
          </w:p>
        </w:tc>
        <w:tc>
          <w:tcPr>
            <w:tcW w:w="1843" w:type="dxa"/>
            <w:vAlign w:val="bottom"/>
          </w:tcPr>
          <w:p w:rsidR="002625B2" w:rsidRPr="00AE6EDB" w:rsidRDefault="002625B2" w:rsidP="002625B2">
            <w:pPr>
              <w:ind w:right="403"/>
              <w:jc w:val="right"/>
              <w:rPr>
                <w:szCs w:val="20"/>
              </w:rPr>
            </w:pPr>
            <w:r w:rsidRPr="00AE6EDB">
              <w:rPr>
                <w:szCs w:val="20"/>
              </w:rPr>
              <w:t>101,4</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Úplné stredné odborné s maturitou</w:t>
            </w:r>
          </w:p>
        </w:tc>
        <w:tc>
          <w:tcPr>
            <w:tcW w:w="1960" w:type="dxa"/>
            <w:vAlign w:val="bottom"/>
          </w:tcPr>
          <w:p w:rsidR="002625B2" w:rsidRPr="00AE6EDB" w:rsidRDefault="002625B2" w:rsidP="002625B2">
            <w:pPr>
              <w:ind w:right="607"/>
              <w:jc w:val="right"/>
            </w:pPr>
            <w:r w:rsidRPr="00AE6EDB">
              <w:t>831,6</w:t>
            </w:r>
          </w:p>
        </w:tc>
        <w:tc>
          <w:tcPr>
            <w:tcW w:w="1843" w:type="dxa"/>
            <w:vAlign w:val="bottom"/>
          </w:tcPr>
          <w:p w:rsidR="002625B2" w:rsidRPr="00AE6EDB" w:rsidRDefault="002625B2" w:rsidP="002625B2">
            <w:pPr>
              <w:ind w:right="607"/>
              <w:jc w:val="right"/>
            </w:pPr>
            <w:r w:rsidRPr="00AE6EDB">
              <w:t>34,3</w:t>
            </w:r>
          </w:p>
        </w:tc>
        <w:tc>
          <w:tcPr>
            <w:tcW w:w="1843" w:type="dxa"/>
            <w:vAlign w:val="bottom"/>
          </w:tcPr>
          <w:p w:rsidR="002625B2" w:rsidRPr="00AE6EDB" w:rsidRDefault="002625B2" w:rsidP="002625B2">
            <w:pPr>
              <w:ind w:right="403"/>
              <w:jc w:val="right"/>
              <w:rPr>
                <w:szCs w:val="20"/>
              </w:rPr>
            </w:pPr>
            <w:r w:rsidRPr="00AE6EDB">
              <w:rPr>
                <w:szCs w:val="20"/>
              </w:rPr>
              <w:t>102,7</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Vyššie odborné</w:t>
            </w:r>
          </w:p>
        </w:tc>
        <w:tc>
          <w:tcPr>
            <w:tcW w:w="1960" w:type="dxa"/>
            <w:vAlign w:val="bottom"/>
          </w:tcPr>
          <w:p w:rsidR="002625B2" w:rsidRPr="00AE6EDB" w:rsidRDefault="002625B2" w:rsidP="002625B2">
            <w:pPr>
              <w:ind w:right="607"/>
              <w:jc w:val="right"/>
            </w:pPr>
            <w:r w:rsidRPr="00AE6EDB">
              <w:t>20,8</w:t>
            </w:r>
          </w:p>
        </w:tc>
        <w:tc>
          <w:tcPr>
            <w:tcW w:w="1843" w:type="dxa"/>
            <w:vAlign w:val="bottom"/>
          </w:tcPr>
          <w:p w:rsidR="002625B2" w:rsidRPr="00AE6EDB" w:rsidRDefault="002625B2" w:rsidP="002625B2">
            <w:pPr>
              <w:ind w:right="607"/>
              <w:jc w:val="right"/>
            </w:pPr>
            <w:r w:rsidRPr="00AE6EDB">
              <w:t>0,9</w:t>
            </w:r>
          </w:p>
        </w:tc>
        <w:tc>
          <w:tcPr>
            <w:tcW w:w="1843" w:type="dxa"/>
            <w:vAlign w:val="bottom"/>
          </w:tcPr>
          <w:p w:rsidR="002625B2" w:rsidRPr="00AE6EDB" w:rsidRDefault="002625B2" w:rsidP="002625B2">
            <w:pPr>
              <w:ind w:right="403"/>
              <w:jc w:val="right"/>
              <w:rPr>
                <w:szCs w:val="20"/>
              </w:rPr>
            </w:pPr>
            <w:r w:rsidRPr="00AE6EDB">
              <w:rPr>
                <w:szCs w:val="20"/>
              </w:rPr>
              <w:t>84,6</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Vysokoškolské</w:t>
            </w:r>
          </w:p>
        </w:tc>
        <w:tc>
          <w:tcPr>
            <w:tcW w:w="1960" w:type="dxa"/>
            <w:vAlign w:val="bottom"/>
          </w:tcPr>
          <w:p w:rsidR="002625B2" w:rsidRPr="00AE6EDB" w:rsidRDefault="002625B2" w:rsidP="002625B2">
            <w:pPr>
              <w:ind w:right="607"/>
              <w:jc w:val="right"/>
            </w:pPr>
            <w:r w:rsidRPr="00AE6EDB">
              <w:t>553,4</w:t>
            </w:r>
          </w:p>
        </w:tc>
        <w:tc>
          <w:tcPr>
            <w:tcW w:w="1843" w:type="dxa"/>
            <w:vAlign w:val="bottom"/>
          </w:tcPr>
          <w:p w:rsidR="002625B2" w:rsidRPr="00AE6EDB" w:rsidRDefault="002625B2" w:rsidP="002625B2">
            <w:pPr>
              <w:ind w:right="607"/>
              <w:jc w:val="right"/>
            </w:pPr>
            <w:r w:rsidRPr="00AE6EDB">
              <w:t>22,8</w:t>
            </w:r>
          </w:p>
        </w:tc>
        <w:tc>
          <w:tcPr>
            <w:tcW w:w="1843" w:type="dxa"/>
            <w:vAlign w:val="bottom"/>
          </w:tcPr>
          <w:p w:rsidR="002625B2" w:rsidRPr="00AE6EDB" w:rsidRDefault="002625B2" w:rsidP="002625B2">
            <w:pPr>
              <w:ind w:right="403"/>
              <w:jc w:val="right"/>
              <w:rPr>
                <w:szCs w:val="20"/>
              </w:rPr>
            </w:pPr>
            <w:r w:rsidRPr="00AE6EDB">
              <w:rPr>
                <w:szCs w:val="20"/>
              </w:rPr>
              <w:t>105,1</w:t>
            </w:r>
          </w:p>
        </w:tc>
      </w:tr>
      <w:tr w:rsidR="002625B2" w:rsidRPr="00AE6EDB" w:rsidTr="002625B2">
        <w:trPr>
          <w:trHeight w:val="255"/>
          <w:jc w:val="center"/>
        </w:trPr>
        <w:tc>
          <w:tcPr>
            <w:tcW w:w="2593" w:type="dxa"/>
            <w:vAlign w:val="center"/>
          </w:tcPr>
          <w:p w:rsidR="002625B2" w:rsidRPr="00AE6EDB" w:rsidRDefault="002625B2" w:rsidP="002625B2">
            <w:pPr>
              <w:jc w:val="left"/>
            </w:pPr>
            <w:r w:rsidRPr="00AE6EDB">
              <w:t>Bez vzdelania</w:t>
            </w:r>
          </w:p>
        </w:tc>
        <w:tc>
          <w:tcPr>
            <w:tcW w:w="1960" w:type="dxa"/>
            <w:vAlign w:val="bottom"/>
          </w:tcPr>
          <w:p w:rsidR="002625B2" w:rsidRPr="00AE6EDB" w:rsidRDefault="002625B2" w:rsidP="002625B2">
            <w:pPr>
              <w:ind w:right="607"/>
              <w:jc w:val="right"/>
            </w:pPr>
            <w:r w:rsidRPr="00AE6EDB">
              <w:t>0,3</w:t>
            </w:r>
          </w:p>
        </w:tc>
        <w:tc>
          <w:tcPr>
            <w:tcW w:w="1843" w:type="dxa"/>
            <w:vAlign w:val="bottom"/>
          </w:tcPr>
          <w:p w:rsidR="002625B2" w:rsidRPr="00AE6EDB" w:rsidRDefault="002625B2" w:rsidP="002625B2">
            <w:pPr>
              <w:ind w:right="607"/>
              <w:jc w:val="right"/>
            </w:pPr>
            <w:r w:rsidRPr="00AE6EDB">
              <w:t>0,0</w:t>
            </w:r>
          </w:p>
        </w:tc>
        <w:tc>
          <w:tcPr>
            <w:tcW w:w="1843" w:type="dxa"/>
            <w:vAlign w:val="bottom"/>
          </w:tcPr>
          <w:p w:rsidR="002625B2" w:rsidRPr="00AE6EDB" w:rsidRDefault="002625B2" w:rsidP="002625B2">
            <w:pPr>
              <w:ind w:right="403"/>
              <w:jc w:val="right"/>
              <w:rPr>
                <w:szCs w:val="20"/>
              </w:rPr>
            </w:pPr>
            <w:r w:rsidRPr="00AE6EDB">
              <w:rPr>
                <w:szCs w:val="20"/>
              </w:rPr>
              <w:t>300,0</w:t>
            </w:r>
          </w:p>
        </w:tc>
      </w:tr>
    </w:tbl>
    <w:p w:rsidR="002625B2" w:rsidRPr="00AE6EDB" w:rsidRDefault="002625B2" w:rsidP="002625B2">
      <w:pPr>
        <w:pStyle w:val="zdroj"/>
      </w:pPr>
      <w:r w:rsidRPr="00AE6EDB">
        <w:t xml:space="preserve">Zdroj: ŠÚ SR, VZPS </w:t>
      </w:r>
    </w:p>
    <w:p w:rsidR="002625B2" w:rsidRPr="00AE6EDB" w:rsidRDefault="002625B2" w:rsidP="002625B2">
      <w:pPr>
        <w:ind w:firstLine="431"/>
        <w:rPr>
          <w:color w:val="000000" w:themeColor="text1"/>
        </w:rPr>
      </w:pPr>
      <w:r w:rsidRPr="00AE6EDB">
        <w:rPr>
          <w:b/>
          <w:i/>
          <w:color w:val="000000" w:themeColor="text1"/>
        </w:rPr>
        <w:t>Z regionálneho hľadiska</w:t>
      </w:r>
      <w:r w:rsidRPr="00AE6EDB">
        <w:rPr>
          <w:i/>
          <w:color w:val="000000" w:themeColor="text1"/>
        </w:rPr>
        <w:t xml:space="preserve"> </w:t>
      </w:r>
      <w:r w:rsidRPr="00AE6EDB">
        <w:rPr>
          <w:color w:val="000000" w:themeColor="text1"/>
        </w:rPr>
        <w:t>medziročný rast počtu pracujúcich zaznamenali</w:t>
      </w:r>
      <w:r w:rsidRPr="00AE6EDB" w:rsidDel="0048512C">
        <w:rPr>
          <w:color w:val="000000" w:themeColor="text1"/>
        </w:rPr>
        <w:t xml:space="preserve"> </w:t>
      </w:r>
      <w:r w:rsidRPr="00AE6EDB">
        <w:rPr>
          <w:color w:val="000000" w:themeColor="text1"/>
        </w:rPr>
        <w:t>všetky kraje (v rozsahu od 1,0</w:t>
      </w:r>
      <w:r w:rsidR="005676EF">
        <w:rPr>
          <w:color w:val="000000" w:themeColor="text1"/>
        </w:rPr>
        <w:t> %</w:t>
      </w:r>
      <w:r w:rsidRPr="00AE6EDB">
        <w:rPr>
          <w:color w:val="000000" w:themeColor="text1"/>
        </w:rPr>
        <w:t xml:space="preserve"> do 5,4</w:t>
      </w:r>
      <w:r w:rsidR="005676EF">
        <w:rPr>
          <w:color w:val="000000" w:themeColor="text1"/>
        </w:rPr>
        <w:t> %</w:t>
      </w:r>
      <w:r w:rsidRPr="00AE6EDB">
        <w:rPr>
          <w:color w:val="000000" w:themeColor="text1"/>
        </w:rPr>
        <w:t xml:space="preserve">). </w:t>
      </w:r>
    </w:p>
    <w:p w:rsidR="002625B2" w:rsidRPr="00AE6EDB" w:rsidRDefault="002625B2" w:rsidP="002625B2">
      <w:pPr>
        <w:pStyle w:val="Nadpis7"/>
      </w:pPr>
      <w:r w:rsidRPr="00AE6EDB">
        <w:t>Tabuľka 2.</w:t>
      </w:r>
      <w:r w:rsidR="004A57BA" w:rsidRPr="00AE6EDB">
        <w:t>6</w:t>
      </w:r>
      <w:r w:rsidRPr="00AE6EDB">
        <w:t xml:space="preserve"> Pracujúci podľa krajov v roku 2015 (priemer za rok) </w:t>
      </w:r>
    </w:p>
    <w:tbl>
      <w:tblPr>
        <w:tblW w:w="725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1695"/>
        <w:gridCol w:w="2098"/>
        <w:gridCol w:w="1701"/>
        <w:gridCol w:w="1757"/>
      </w:tblGrid>
      <w:tr w:rsidR="002625B2" w:rsidRPr="00AE6EDB" w:rsidTr="002625B2">
        <w:trPr>
          <w:trHeight w:val="345"/>
          <w:jc w:val="center"/>
        </w:trPr>
        <w:tc>
          <w:tcPr>
            <w:tcW w:w="1695"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Kraj</w:t>
            </w:r>
          </w:p>
        </w:tc>
        <w:tc>
          <w:tcPr>
            <w:tcW w:w="2098"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Počet pracujúcich</w:t>
            </w:r>
          </w:p>
          <w:p w:rsidR="002625B2" w:rsidRPr="00AE6EDB" w:rsidRDefault="002625B2" w:rsidP="002625B2">
            <w:pPr>
              <w:jc w:val="center"/>
              <w:rPr>
                <w:b/>
                <w:color w:val="FFFFFF" w:themeColor="background1"/>
              </w:rPr>
            </w:pPr>
            <w:r w:rsidRPr="00AE6EDB">
              <w:rPr>
                <w:b/>
                <w:color w:val="FFFFFF" w:themeColor="background1"/>
              </w:rPr>
              <w:t>(v tis. osôb)</w:t>
            </w:r>
          </w:p>
        </w:tc>
        <w:tc>
          <w:tcPr>
            <w:tcW w:w="1701"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Podiel na SR</w:t>
            </w:r>
          </w:p>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r w:rsidRPr="00AE6EDB">
              <w:rPr>
                <w:b/>
                <w:color w:val="FFFFFF" w:themeColor="background1"/>
              </w:rPr>
              <w:t>)</w:t>
            </w:r>
          </w:p>
        </w:tc>
        <w:tc>
          <w:tcPr>
            <w:tcW w:w="1757" w:type="dxa"/>
            <w:shd w:val="clear" w:color="auto" w:fill="BF0000" w:themeFill="accent3" w:themeFillShade="BF"/>
            <w:vAlign w:val="center"/>
          </w:tcPr>
          <w:p w:rsidR="002625B2" w:rsidRPr="00AE6EDB" w:rsidRDefault="002625B2" w:rsidP="002625B2">
            <w:pPr>
              <w:jc w:val="center"/>
              <w:rPr>
                <w:b/>
                <w:color w:val="FFFFFF" w:themeColor="background1"/>
                <w:vertAlign w:val="superscript"/>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55"/>
          <w:jc w:val="center"/>
        </w:trPr>
        <w:tc>
          <w:tcPr>
            <w:tcW w:w="1695" w:type="dxa"/>
            <w:vAlign w:val="center"/>
          </w:tcPr>
          <w:p w:rsidR="002625B2" w:rsidRPr="00AE6EDB" w:rsidRDefault="002625B2" w:rsidP="002625B2">
            <w:pPr>
              <w:rPr>
                <w:b/>
              </w:rPr>
            </w:pPr>
            <w:r w:rsidRPr="00AE6EDB">
              <w:rPr>
                <w:b/>
              </w:rPr>
              <w:t>SR spolu</w:t>
            </w:r>
          </w:p>
        </w:tc>
        <w:tc>
          <w:tcPr>
            <w:tcW w:w="2098" w:type="dxa"/>
            <w:vAlign w:val="center"/>
          </w:tcPr>
          <w:p w:rsidR="002625B2" w:rsidRPr="00AE6EDB" w:rsidRDefault="0054295F" w:rsidP="002625B2">
            <w:pPr>
              <w:ind w:right="687"/>
              <w:jc w:val="right"/>
              <w:rPr>
                <w:b/>
              </w:rPr>
            </w:pPr>
            <w:r>
              <w:rPr>
                <w:b/>
              </w:rPr>
              <w:t>2 4</w:t>
            </w:r>
            <w:r w:rsidR="002625B2" w:rsidRPr="00AE6EDB">
              <w:rPr>
                <w:b/>
              </w:rPr>
              <w:t>24,0</w:t>
            </w:r>
          </w:p>
        </w:tc>
        <w:tc>
          <w:tcPr>
            <w:tcW w:w="1701" w:type="dxa"/>
            <w:vAlign w:val="center"/>
          </w:tcPr>
          <w:p w:rsidR="002625B2" w:rsidRPr="00AE6EDB" w:rsidRDefault="002625B2" w:rsidP="002625B2">
            <w:pPr>
              <w:ind w:right="687"/>
              <w:jc w:val="right"/>
              <w:rPr>
                <w:b/>
              </w:rPr>
            </w:pPr>
            <w:r w:rsidRPr="00AE6EDB">
              <w:rPr>
                <w:b/>
              </w:rPr>
              <w:t>100,0</w:t>
            </w:r>
          </w:p>
        </w:tc>
        <w:tc>
          <w:tcPr>
            <w:tcW w:w="1757" w:type="dxa"/>
            <w:vAlign w:val="center"/>
          </w:tcPr>
          <w:p w:rsidR="002625B2" w:rsidRPr="00AE6EDB" w:rsidRDefault="002625B2" w:rsidP="002625B2">
            <w:pPr>
              <w:ind w:right="403"/>
              <w:jc w:val="right"/>
              <w:rPr>
                <w:b/>
                <w:szCs w:val="20"/>
              </w:rPr>
            </w:pPr>
            <w:r w:rsidRPr="00AE6EDB">
              <w:rPr>
                <w:b/>
                <w:szCs w:val="20"/>
              </w:rPr>
              <w:t>102,6</w:t>
            </w:r>
          </w:p>
        </w:tc>
      </w:tr>
      <w:tr w:rsidR="002625B2" w:rsidRPr="00AE6EDB" w:rsidTr="002625B2">
        <w:trPr>
          <w:trHeight w:val="255"/>
          <w:jc w:val="center"/>
        </w:trPr>
        <w:tc>
          <w:tcPr>
            <w:tcW w:w="1695" w:type="dxa"/>
            <w:vAlign w:val="center"/>
          </w:tcPr>
          <w:p w:rsidR="002625B2" w:rsidRPr="00AE6EDB" w:rsidRDefault="002625B2" w:rsidP="002625B2">
            <w:r w:rsidRPr="00AE6EDB">
              <w:t>v tom:</w:t>
            </w:r>
          </w:p>
        </w:tc>
        <w:tc>
          <w:tcPr>
            <w:tcW w:w="2098" w:type="dxa"/>
            <w:vAlign w:val="bottom"/>
          </w:tcPr>
          <w:p w:rsidR="002625B2" w:rsidRPr="00AE6EDB" w:rsidRDefault="002625B2" w:rsidP="002625B2">
            <w:pPr>
              <w:ind w:right="687"/>
              <w:jc w:val="right"/>
              <w:rPr>
                <w:b/>
              </w:rPr>
            </w:pPr>
          </w:p>
        </w:tc>
        <w:tc>
          <w:tcPr>
            <w:tcW w:w="1701" w:type="dxa"/>
            <w:vAlign w:val="center"/>
          </w:tcPr>
          <w:p w:rsidR="002625B2" w:rsidRPr="00AE6EDB" w:rsidRDefault="002625B2" w:rsidP="002625B2">
            <w:pPr>
              <w:ind w:right="687"/>
              <w:jc w:val="right"/>
            </w:pPr>
          </w:p>
        </w:tc>
        <w:tc>
          <w:tcPr>
            <w:tcW w:w="1757" w:type="dxa"/>
            <w:vAlign w:val="center"/>
          </w:tcPr>
          <w:p w:rsidR="002625B2" w:rsidRPr="00AE6EDB" w:rsidRDefault="002625B2" w:rsidP="002625B2">
            <w:pPr>
              <w:ind w:right="403"/>
              <w:jc w:val="right"/>
              <w:rPr>
                <w:b/>
                <w:szCs w:val="20"/>
              </w:rPr>
            </w:pPr>
          </w:p>
        </w:tc>
      </w:tr>
      <w:tr w:rsidR="002625B2" w:rsidRPr="00AE6EDB" w:rsidTr="002625B2">
        <w:trPr>
          <w:trHeight w:val="255"/>
          <w:jc w:val="center"/>
        </w:trPr>
        <w:tc>
          <w:tcPr>
            <w:tcW w:w="1695" w:type="dxa"/>
            <w:vAlign w:val="center"/>
          </w:tcPr>
          <w:p w:rsidR="002625B2" w:rsidRPr="00AE6EDB" w:rsidRDefault="002625B2" w:rsidP="002625B2">
            <w:r w:rsidRPr="00AE6EDB">
              <w:t>Bratislavský</w:t>
            </w:r>
          </w:p>
        </w:tc>
        <w:tc>
          <w:tcPr>
            <w:tcW w:w="2098" w:type="dxa"/>
            <w:vAlign w:val="bottom"/>
          </w:tcPr>
          <w:p w:rsidR="002625B2" w:rsidRPr="00AE6EDB" w:rsidRDefault="002625B2" w:rsidP="002625B2">
            <w:pPr>
              <w:ind w:right="687"/>
              <w:jc w:val="right"/>
            </w:pPr>
            <w:r w:rsidRPr="00AE6EDB">
              <w:t xml:space="preserve">318,6 </w:t>
            </w:r>
          </w:p>
        </w:tc>
        <w:tc>
          <w:tcPr>
            <w:tcW w:w="1701" w:type="dxa"/>
            <w:vAlign w:val="bottom"/>
          </w:tcPr>
          <w:p w:rsidR="002625B2" w:rsidRPr="00AE6EDB" w:rsidRDefault="002625B2" w:rsidP="002625B2">
            <w:pPr>
              <w:ind w:right="687"/>
              <w:jc w:val="right"/>
            </w:pPr>
            <w:r w:rsidRPr="00AE6EDB">
              <w:t>13,1</w:t>
            </w:r>
          </w:p>
        </w:tc>
        <w:tc>
          <w:tcPr>
            <w:tcW w:w="1757" w:type="dxa"/>
            <w:vAlign w:val="bottom"/>
          </w:tcPr>
          <w:p w:rsidR="002625B2" w:rsidRPr="00AE6EDB" w:rsidRDefault="002625B2" w:rsidP="002625B2">
            <w:pPr>
              <w:ind w:right="403"/>
              <w:jc w:val="right"/>
              <w:rPr>
                <w:szCs w:val="20"/>
              </w:rPr>
            </w:pPr>
            <w:r w:rsidRPr="00AE6EDB">
              <w:rPr>
                <w:szCs w:val="20"/>
              </w:rPr>
              <w:t xml:space="preserve">101,0 </w:t>
            </w:r>
          </w:p>
        </w:tc>
      </w:tr>
      <w:tr w:rsidR="002625B2" w:rsidRPr="00AE6EDB" w:rsidTr="002625B2">
        <w:trPr>
          <w:trHeight w:val="255"/>
          <w:jc w:val="center"/>
        </w:trPr>
        <w:tc>
          <w:tcPr>
            <w:tcW w:w="1695" w:type="dxa"/>
            <w:vAlign w:val="center"/>
          </w:tcPr>
          <w:p w:rsidR="002625B2" w:rsidRPr="00AE6EDB" w:rsidRDefault="002625B2" w:rsidP="002625B2">
            <w:r w:rsidRPr="00AE6EDB">
              <w:t>Trnavský</w:t>
            </w:r>
          </w:p>
        </w:tc>
        <w:tc>
          <w:tcPr>
            <w:tcW w:w="2098" w:type="dxa"/>
            <w:vAlign w:val="bottom"/>
          </w:tcPr>
          <w:p w:rsidR="002625B2" w:rsidRPr="00AE6EDB" w:rsidRDefault="002625B2" w:rsidP="002625B2">
            <w:pPr>
              <w:ind w:right="687"/>
              <w:jc w:val="right"/>
            </w:pPr>
            <w:r w:rsidRPr="00AE6EDB">
              <w:t xml:space="preserve">270,0 </w:t>
            </w:r>
          </w:p>
        </w:tc>
        <w:tc>
          <w:tcPr>
            <w:tcW w:w="1701" w:type="dxa"/>
            <w:vAlign w:val="bottom"/>
          </w:tcPr>
          <w:p w:rsidR="002625B2" w:rsidRPr="00AE6EDB" w:rsidRDefault="002625B2" w:rsidP="002625B2">
            <w:pPr>
              <w:ind w:right="687"/>
              <w:jc w:val="right"/>
            </w:pPr>
            <w:r w:rsidRPr="00AE6EDB">
              <w:t>11,1</w:t>
            </w:r>
          </w:p>
        </w:tc>
        <w:tc>
          <w:tcPr>
            <w:tcW w:w="1757" w:type="dxa"/>
            <w:vAlign w:val="bottom"/>
          </w:tcPr>
          <w:p w:rsidR="002625B2" w:rsidRPr="00AE6EDB" w:rsidRDefault="002625B2" w:rsidP="002625B2">
            <w:pPr>
              <w:ind w:right="403"/>
              <w:jc w:val="right"/>
              <w:rPr>
                <w:szCs w:val="20"/>
              </w:rPr>
            </w:pPr>
            <w:r w:rsidRPr="00AE6EDB">
              <w:rPr>
                <w:szCs w:val="20"/>
              </w:rPr>
              <w:t xml:space="preserve">103,2 </w:t>
            </w:r>
          </w:p>
        </w:tc>
      </w:tr>
      <w:tr w:rsidR="002625B2" w:rsidRPr="00AE6EDB" w:rsidTr="002625B2">
        <w:trPr>
          <w:trHeight w:val="255"/>
          <w:jc w:val="center"/>
        </w:trPr>
        <w:tc>
          <w:tcPr>
            <w:tcW w:w="1695" w:type="dxa"/>
            <w:vAlign w:val="center"/>
          </w:tcPr>
          <w:p w:rsidR="002625B2" w:rsidRPr="00AE6EDB" w:rsidRDefault="002625B2" w:rsidP="002625B2">
            <w:r w:rsidRPr="00AE6EDB">
              <w:t>Trenčiansky</w:t>
            </w:r>
          </w:p>
        </w:tc>
        <w:tc>
          <w:tcPr>
            <w:tcW w:w="2098" w:type="dxa"/>
            <w:vAlign w:val="bottom"/>
          </w:tcPr>
          <w:p w:rsidR="002625B2" w:rsidRPr="00AE6EDB" w:rsidRDefault="002625B2" w:rsidP="002625B2">
            <w:pPr>
              <w:ind w:right="687"/>
              <w:jc w:val="right"/>
            </w:pPr>
            <w:r w:rsidRPr="00AE6EDB">
              <w:t xml:space="preserve">273,4 </w:t>
            </w:r>
          </w:p>
        </w:tc>
        <w:tc>
          <w:tcPr>
            <w:tcW w:w="1701" w:type="dxa"/>
            <w:vAlign w:val="bottom"/>
          </w:tcPr>
          <w:p w:rsidR="002625B2" w:rsidRPr="00AE6EDB" w:rsidRDefault="002625B2" w:rsidP="002625B2">
            <w:pPr>
              <w:ind w:right="687"/>
              <w:jc w:val="right"/>
            </w:pPr>
            <w:r w:rsidRPr="00AE6EDB">
              <w:t>11,3</w:t>
            </w:r>
          </w:p>
        </w:tc>
        <w:tc>
          <w:tcPr>
            <w:tcW w:w="1757" w:type="dxa"/>
            <w:vAlign w:val="bottom"/>
          </w:tcPr>
          <w:p w:rsidR="002625B2" w:rsidRPr="00AE6EDB" w:rsidRDefault="002625B2" w:rsidP="002625B2">
            <w:pPr>
              <w:ind w:right="403"/>
              <w:jc w:val="right"/>
              <w:rPr>
                <w:szCs w:val="20"/>
              </w:rPr>
            </w:pPr>
            <w:r w:rsidRPr="00AE6EDB">
              <w:rPr>
                <w:szCs w:val="20"/>
              </w:rPr>
              <w:t xml:space="preserve">101,2 </w:t>
            </w:r>
          </w:p>
        </w:tc>
      </w:tr>
      <w:tr w:rsidR="002625B2" w:rsidRPr="00AE6EDB" w:rsidTr="002625B2">
        <w:trPr>
          <w:trHeight w:val="255"/>
          <w:jc w:val="center"/>
        </w:trPr>
        <w:tc>
          <w:tcPr>
            <w:tcW w:w="1695" w:type="dxa"/>
            <w:vAlign w:val="center"/>
          </w:tcPr>
          <w:p w:rsidR="002625B2" w:rsidRPr="00AE6EDB" w:rsidRDefault="002625B2" w:rsidP="002625B2">
            <w:r w:rsidRPr="00AE6EDB">
              <w:t>Nitriansky</w:t>
            </w:r>
          </w:p>
        </w:tc>
        <w:tc>
          <w:tcPr>
            <w:tcW w:w="2098" w:type="dxa"/>
            <w:vAlign w:val="bottom"/>
          </w:tcPr>
          <w:p w:rsidR="002625B2" w:rsidRPr="00AE6EDB" w:rsidRDefault="002625B2" w:rsidP="002625B2">
            <w:pPr>
              <w:ind w:right="687"/>
              <w:jc w:val="right"/>
            </w:pPr>
            <w:r w:rsidRPr="00AE6EDB">
              <w:t xml:space="preserve">309,6 </w:t>
            </w:r>
          </w:p>
        </w:tc>
        <w:tc>
          <w:tcPr>
            <w:tcW w:w="1701" w:type="dxa"/>
            <w:vAlign w:val="bottom"/>
          </w:tcPr>
          <w:p w:rsidR="002625B2" w:rsidRPr="00AE6EDB" w:rsidRDefault="002625B2" w:rsidP="002625B2">
            <w:pPr>
              <w:ind w:right="687"/>
              <w:jc w:val="right"/>
            </w:pPr>
            <w:r w:rsidRPr="00AE6EDB">
              <w:t>12,8</w:t>
            </w:r>
          </w:p>
        </w:tc>
        <w:tc>
          <w:tcPr>
            <w:tcW w:w="1757" w:type="dxa"/>
            <w:vAlign w:val="bottom"/>
          </w:tcPr>
          <w:p w:rsidR="002625B2" w:rsidRPr="00AE6EDB" w:rsidRDefault="002625B2" w:rsidP="002625B2">
            <w:pPr>
              <w:ind w:right="403"/>
              <w:jc w:val="right"/>
              <w:rPr>
                <w:szCs w:val="20"/>
              </w:rPr>
            </w:pPr>
            <w:r w:rsidRPr="00AE6EDB">
              <w:rPr>
                <w:szCs w:val="20"/>
              </w:rPr>
              <w:t xml:space="preserve">101,1 </w:t>
            </w:r>
          </w:p>
        </w:tc>
      </w:tr>
      <w:tr w:rsidR="002625B2" w:rsidRPr="00AE6EDB" w:rsidTr="002625B2">
        <w:trPr>
          <w:trHeight w:val="255"/>
          <w:jc w:val="center"/>
        </w:trPr>
        <w:tc>
          <w:tcPr>
            <w:tcW w:w="1695" w:type="dxa"/>
            <w:vAlign w:val="center"/>
          </w:tcPr>
          <w:p w:rsidR="002625B2" w:rsidRPr="00AE6EDB" w:rsidRDefault="002625B2" w:rsidP="002625B2">
            <w:r w:rsidRPr="00AE6EDB">
              <w:t>Žilinský</w:t>
            </w:r>
          </w:p>
        </w:tc>
        <w:tc>
          <w:tcPr>
            <w:tcW w:w="2098" w:type="dxa"/>
            <w:vAlign w:val="bottom"/>
          </w:tcPr>
          <w:p w:rsidR="002625B2" w:rsidRPr="00AE6EDB" w:rsidRDefault="002625B2" w:rsidP="002625B2">
            <w:pPr>
              <w:ind w:right="687"/>
              <w:jc w:val="right"/>
            </w:pPr>
            <w:r w:rsidRPr="00AE6EDB">
              <w:t xml:space="preserve">308,0 </w:t>
            </w:r>
          </w:p>
        </w:tc>
        <w:tc>
          <w:tcPr>
            <w:tcW w:w="1701" w:type="dxa"/>
            <w:vAlign w:val="bottom"/>
          </w:tcPr>
          <w:p w:rsidR="002625B2" w:rsidRPr="00AE6EDB" w:rsidRDefault="002625B2" w:rsidP="002625B2">
            <w:pPr>
              <w:ind w:right="687"/>
              <w:jc w:val="right"/>
            </w:pPr>
            <w:r w:rsidRPr="00AE6EDB">
              <w:t>12,7</w:t>
            </w:r>
          </w:p>
        </w:tc>
        <w:tc>
          <w:tcPr>
            <w:tcW w:w="1757" w:type="dxa"/>
            <w:vAlign w:val="bottom"/>
          </w:tcPr>
          <w:p w:rsidR="002625B2" w:rsidRPr="00AE6EDB" w:rsidRDefault="002625B2" w:rsidP="002625B2">
            <w:pPr>
              <w:ind w:right="403"/>
              <w:jc w:val="right"/>
              <w:rPr>
                <w:szCs w:val="20"/>
              </w:rPr>
            </w:pPr>
            <w:r w:rsidRPr="00AE6EDB">
              <w:rPr>
                <w:szCs w:val="20"/>
              </w:rPr>
              <w:t xml:space="preserve">105,4 </w:t>
            </w:r>
          </w:p>
        </w:tc>
      </w:tr>
      <w:tr w:rsidR="002625B2" w:rsidRPr="00AE6EDB" w:rsidTr="002625B2">
        <w:trPr>
          <w:trHeight w:val="255"/>
          <w:jc w:val="center"/>
        </w:trPr>
        <w:tc>
          <w:tcPr>
            <w:tcW w:w="1695" w:type="dxa"/>
            <w:vAlign w:val="center"/>
          </w:tcPr>
          <w:p w:rsidR="002625B2" w:rsidRPr="00AE6EDB" w:rsidRDefault="002625B2" w:rsidP="002625B2">
            <w:r w:rsidRPr="00AE6EDB">
              <w:t>Banskobystrický</w:t>
            </w:r>
          </w:p>
        </w:tc>
        <w:tc>
          <w:tcPr>
            <w:tcW w:w="2098" w:type="dxa"/>
            <w:vAlign w:val="bottom"/>
          </w:tcPr>
          <w:p w:rsidR="002625B2" w:rsidRPr="00AE6EDB" w:rsidRDefault="002625B2" w:rsidP="002625B2">
            <w:pPr>
              <w:ind w:right="687"/>
              <w:jc w:val="right"/>
            </w:pPr>
            <w:r w:rsidRPr="00AE6EDB">
              <w:t xml:space="preserve">289,1 </w:t>
            </w:r>
          </w:p>
        </w:tc>
        <w:tc>
          <w:tcPr>
            <w:tcW w:w="1701" w:type="dxa"/>
            <w:vAlign w:val="bottom"/>
          </w:tcPr>
          <w:p w:rsidR="002625B2" w:rsidRPr="00AE6EDB" w:rsidRDefault="002625B2" w:rsidP="002625B2">
            <w:pPr>
              <w:ind w:right="687"/>
              <w:jc w:val="right"/>
            </w:pPr>
            <w:r w:rsidRPr="00AE6EDB">
              <w:t>11,9</w:t>
            </w:r>
          </w:p>
        </w:tc>
        <w:tc>
          <w:tcPr>
            <w:tcW w:w="1757" w:type="dxa"/>
            <w:vAlign w:val="bottom"/>
          </w:tcPr>
          <w:p w:rsidR="002625B2" w:rsidRPr="00AE6EDB" w:rsidRDefault="002625B2" w:rsidP="002625B2">
            <w:pPr>
              <w:ind w:right="403"/>
              <w:jc w:val="right"/>
              <w:rPr>
                <w:szCs w:val="20"/>
              </w:rPr>
            </w:pPr>
            <w:r w:rsidRPr="00AE6EDB">
              <w:rPr>
                <w:szCs w:val="20"/>
              </w:rPr>
              <w:t xml:space="preserve">104,8 </w:t>
            </w:r>
          </w:p>
        </w:tc>
      </w:tr>
      <w:tr w:rsidR="002625B2" w:rsidRPr="00AE6EDB" w:rsidTr="002625B2">
        <w:trPr>
          <w:trHeight w:val="255"/>
          <w:jc w:val="center"/>
        </w:trPr>
        <w:tc>
          <w:tcPr>
            <w:tcW w:w="1695" w:type="dxa"/>
            <w:vAlign w:val="center"/>
          </w:tcPr>
          <w:p w:rsidR="002625B2" w:rsidRPr="00AE6EDB" w:rsidRDefault="002625B2" w:rsidP="002625B2">
            <w:r w:rsidRPr="00AE6EDB">
              <w:t>Prešovský</w:t>
            </w:r>
          </w:p>
        </w:tc>
        <w:tc>
          <w:tcPr>
            <w:tcW w:w="2098" w:type="dxa"/>
            <w:vAlign w:val="bottom"/>
          </w:tcPr>
          <w:p w:rsidR="002625B2" w:rsidRPr="00AE6EDB" w:rsidRDefault="002625B2" w:rsidP="002625B2">
            <w:pPr>
              <w:ind w:right="687"/>
              <w:jc w:val="right"/>
            </w:pPr>
            <w:r w:rsidRPr="00AE6EDB">
              <w:t xml:space="preserve">329,4 </w:t>
            </w:r>
          </w:p>
        </w:tc>
        <w:tc>
          <w:tcPr>
            <w:tcW w:w="1701" w:type="dxa"/>
            <w:vAlign w:val="bottom"/>
          </w:tcPr>
          <w:p w:rsidR="002625B2" w:rsidRPr="00AE6EDB" w:rsidRDefault="002625B2" w:rsidP="002625B2">
            <w:pPr>
              <w:ind w:right="687"/>
              <w:jc w:val="right"/>
            </w:pPr>
            <w:r w:rsidRPr="00AE6EDB">
              <w:t>13,6</w:t>
            </w:r>
          </w:p>
        </w:tc>
        <w:tc>
          <w:tcPr>
            <w:tcW w:w="1757" w:type="dxa"/>
            <w:vAlign w:val="bottom"/>
          </w:tcPr>
          <w:p w:rsidR="002625B2" w:rsidRPr="00AE6EDB" w:rsidRDefault="002625B2" w:rsidP="002625B2">
            <w:pPr>
              <w:ind w:right="403"/>
              <w:jc w:val="right"/>
              <w:rPr>
                <w:szCs w:val="20"/>
              </w:rPr>
            </w:pPr>
            <w:r w:rsidRPr="00AE6EDB">
              <w:rPr>
                <w:szCs w:val="20"/>
              </w:rPr>
              <w:t xml:space="preserve">101,1 </w:t>
            </w:r>
          </w:p>
        </w:tc>
      </w:tr>
      <w:tr w:rsidR="002625B2" w:rsidRPr="00AE6EDB" w:rsidTr="002625B2">
        <w:trPr>
          <w:trHeight w:val="255"/>
          <w:jc w:val="center"/>
        </w:trPr>
        <w:tc>
          <w:tcPr>
            <w:tcW w:w="1695" w:type="dxa"/>
            <w:vAlign w:val="center"/>
          </w:tcPr>
          <w:p w:rsidR="002625B2" w:rsidRPr="00AE6EDB" w:rsidRDefault="002625B2" w:rsidP="002625B2">
            <w:r w:rsidRPr="00AE6EDB">
              <w:t>Košický</w:t>
            </w:r>
          </w:p>
        </w:tc>
        <w:tc>
          <w:tcPr>
            <w:tcW w:w="2098" w:type="dxa"/>
            <w:vAlign w:val="bottom"/>
          </w:tcPr>
          <w:p w:rsidR="002625B2" w:rsidRPr="00AE6EDB" w:rsidRDefault="002625B2" w:rsidP="002625B2">
            <w:pPr>
              <w:ind w:right="687"/>
              <w:jc w:val="right"/>
            </w:pPr>
            <w:r w:rsidRPr="00AE6EDB">
              <w:t xml:space="preserve">326,0 </w:t>
            </w:r>
          </w:p>
        </w:tc>
        <w:tc>
          <w:tcPr>
            <w:tcW w:w="1701" w:type="dxa"/>
            <w:vAlign w:val="bottom"/>
          </w:tcPr>
          <w:p w:rsidR="002625B2" w:rsidRPr="00AE6EDB" w:rsidRDefault="002625B2" w:rsidP="002625B2">
            <w:pPr>
              <w:ind w:right="687"/>
              <w:jc w:val="right"/>
            </w:pPr>
            <w:r w:rsidRPr="00AE6EDB">
              <w:t>13,5</w:t>
            </w:r>
          </w:p>
        </w:tc>
        <w:tc>
          <w:tcPr>
            <w:tcW w:w="1757" w:type="dxa"/>
            <w:vAlign w:val="bottom"/>
          </w:tcPr>
          <w:p w:rsidR="002625B2" w:rsidRPr="00AE6EDB" w:rsidRDefault="002625B2" w:rsidP="002625B2">
            <w:pPr>
              <w:ind w:right="403"/>
              <w:jc w:val="right"/>
              <w:rPr>
                <w:szCs w:val="20"/>
              </w:rPr>
            </w:pPr>
            <w:r w:rsidRPr="00AE6EDB">
              <w:rPr>
                <w:szCs w:val="20"/>
              </w:rPr>
              <w:t xml:space="preserve">103,3 </w:t>
            </w:r>
          </w:p>
        </w:tc>
      </w:tr>
    </w:tbl>
    <w:p w:rsidR="002625B2" w:rsidRPr="00AE6EDB" w:rsidRDefault="002625B2" w:rsidP="002625B2">
      <w:pPr>
        <w:pStyle w:val="zdroj"/>
      </w:pPr>
      <w:r w:rsidRPr="00AE6EDB">
        <w:t>Zdroj: ŠÚ SR, VZPS</w:t>
      </w:r>
    </w:p>
    <w:p w:rsidR="004F033C" w:rsidRPr="00AE6EDB" w:rsidRDefault="004F033C">
      <w:pPr>
        <w:jc w:val="left"/>
      </w:pPr>
      <w:r w:rsidRPr="00AE6EDB">
        <w:br w:type="page"/>
      </w:r>
    </w:p>
    <w:p w:rsidR="002625B2" w:rsidRPr="00AE6EDB" w:rsidRDefault="002625B2" w:rsidP="004F033C">
      <w:pPr>
        <w:pStyle w:val="Normlnysozarkami2"/>
        <w:ind w:firstLine="567"/>
        <w:rPr>
          <w:b/>
          <w:highlight w:val="cyan"/>
        </w:rPr>
      </w:pPr>
      <w:r w:rsidRPr="00AE6EDB">
        <w:lastRenderedPageBreak/>
        <w:t xml:space="preserve">Z celkového počtu pracujúcich SR v roku 2015 </w:t>
      </w:r>
      <w:r w:rsidRPr="00AE6EDB">
        <w:rPr>
          <w:b/>
        </w:rPr>
        <w:t>pracovalo v zahraničí</w:t>
      </w:r>
      <w:r w:rsidRPr="00AE6EDB">
        <w:rPr>
          <w:rStyle w:val="Odkaznapoznmkupodiarou"/>
        </w:rPr>
        <w:footnoteReference w:id="15"/>
      </w:r>
      <w:r w:rsidRPr="00AE6EDB">
        <w:t xml:space="preserve"> 148,0 tis. osôb. Počet krátkodobo pracujúcich v zahraničí sa medziročne zvýšil o 14,0 tis., resp. o 10,4</w:t>
      </w:r>
      <w:r w:rsidR="005676EF">
        <w:t> %</w:t>
      </w:r>
      <w:r w:rsidRPr="00AE6EDB">
        <w:t xml:space="preserve"> a ich podiel na</w:t>
      </w:r>
      <w:r w:rsidR="004F033C" w:rsidRPr="00AE6EDB">
        <w:t> </w:t>
      </w:r>
      <w:r w:rsidRPr="00AE6EDB">
        <w:t>celkovej zamestnanosti SR dosiahol 6,1</w:t>
      </w:r>
      <w:r w:rsidR="005676EF">
        <w:t> %</w:t>
      </w:r>
      <w:r w:rsidRPr="00AE6EDB">
        <w:t xml:space="preserve"> (5,7</w:t>
      </w:r>
      <w:r w:rsidR="005676EF">
        <w:t> %</w:t>
      </w:r>
      <w:r w:rsidRPr="00AE6EDB">
        <w:t xml:space="preserve"> v roku 2014). Najviac osôb, ktoré si našli prácu v</w:t>
      </w:r>
      <w:r w:rsidR="004F033C" w:rsidRPr="00AE6EDB">
        <w:t> </w:t>
      </w:r>
      <w:r w:rsidRPr="00AE6EDB">
        <w:t>zahraničí, bolo z Prešovského kraja. Z európskych krajín pracovali slovenskí občania najmä v</w:t>
      </w:r>
      <w:r w:rsidR="004F033C" w:rsidRPr="00AE6EDB">
        <w:t> </w:t>
      </w:r>
      <w:r w:rsidRPr="00AE6EDB">
        <w:t>Českej republike a v Rakúsku. Medzi migrantmi prevládali pracujúci v stavebníctve (24,9</w:t>
      </w:r>
      <w:r w:rsidR="005676EF">
        <w:t> %</w:t>
      </w:r>
      <w:r w:rsidRPr="00AE6EDB">
        <w:t>), v priemyselných odvetviach (24,3</w:t>
      </w:r>
      <w:r w:rsidR="005676EF">
        <w:t> %</w:t>
      </w:r>
      <w:r w:rsidRPr="00AE6EDB">
        <w:t>) a v zdravotníctve a sociálnych službách (21,3</w:t>
      </w:r>
      <w:r w:rsidR="005676EF">
        <w:t> %</w:t>
      </w:r>
      <w:r w:rsidRPr="00AE6EDB">
        <w:t xml:space="preserve">). </w:t>
      </w:r>
    </w:p>
    <w:p w:rsidR="002625B2" w:rsidRPr="00AE6EDB" w:rsidRDefault="002625B2" w:rsidP="002625B2">
      <w:pPr>
        <w:pStyle w:val="Nadpis7"/>
      </w:pPr>
      <w:r w:rsidRPr="00AE6EDB">
        <w:t>Tabuľka 2.</w:t>
      </w:r>
      <w:r w:rsidR="004A57BA" w:rsidRPr="00AE6EDB">
        <w:t>7</w:t>
      </w:r>
      <w:r w:rsidRPr="00AE6EDB">
        <w:t xml:space="preserve"> Vývoj zahraničnej pracovnej migrácie podľa krajov v roku 2015</w:t>
      </w:r>
    </w:p>
    <w:tbl>
      <w:tblPr>
        <w:tblW w:w="853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A0" w:firstRow="1" w:lastRow="0" w:firstColumn="1" w:lastColumn="0" w:noHBand="0" w:noVBand="0"/>
      </w:tblPr>
      <w:tblGrid>
        <w:gridCol w:w="1814"/>
        <w:gridCol w:w="1612"/>
        <w:gridCol w:w="1389"/>
        <w:gridCol w:w="1191"/>
        <w:gridCol w:w="2527"/>
      </w:tblGrid>
      <w:tr w:rsidR="002625B2" w:rsidRPr="00AE6EDB" w:rsidTr="002625B2">
        <w:trPr>
          <w:trHeight w:val="454"/>
          <w:jc w:val="center"/>
        </w:trPr>
        <w:tc>
          <w:tcPr>
            <w:tcW w:w="1814" w:type="dxa"/>
            <w:vMerge w:val="restart"/>
            <w:shd w:val="clear" w:color="auto" w:fill="BF0000" w:themeFill="accent3" w:themeFillShade="BF"/>
            <w:noWrap/>
            <w:vAlign w:val="center"/>
          </w:tcPr>
          <w:p w:rsidR="002625B2" w:rsidRPr="00AE6EDB" w:rsidRDefault="002625B2" w:rsidP="002625B2">
            <w:pPr>
              <w:jc w:val="center"/>
              <w:rPr>
                <w:b/>
                <w:bCs/>
                <w:color w:val="FFFFFF" w:themeColor="background1"/>
                <w:szCs w:val="20"/>
              </w:rPr>
            </w:pPr>
            <w:r w:rsidRPr="00AE6EDB">
              <w:rPr>
                <w:b/>
                <w:bCs/>
                <w:color w:val="FFFFFF" w:themeColor="background1"/>
                <w:szCs w:val="20"/>
              </w:rPr>
              <w:t>Kraj</w:t>
            </w:r>
          </w:p>
        </w:tc>
        <w:tc>
          <w:tcPr>
            <w:tcW w:w="1612" w:type="dxa"/>
            <w:vMerge w:val="restart"/>
            <w:shd w:val="clear" w:color="auto" w:fill="BF0000" w:themeFill="accent3" w:themeFillShade="BF"/>
            <w:vAlign w:val="center"/>
          </w:tcPr>
          <w:p w:rsidR="002625B2" w:rsidRPr="00AE6EDB" w:rsidRDefault="002625B2" w:rsidP="002625B2">
            <w:pPr>
              <w:jc w:val="center"/>
              <w:rPr>
                <w:b/>
                <w:bCs/>
                <w:color w:val="FFFFFF" w:themeColor="background1"/>
                <w:szCs w:val="20"/>
              </w:rPr>
            </w:pPr>
            <w:r w:rsidRPr="00AE6EDB">
              <w:rPr>
                <w:b/>
                <w:bCs/>
                <w:color w:val="FFFFFF" w:themeColor="background1"/>
                <w:szCs w:val="20"/>
              </w:rPr>
              <w:t>Pracujúci v zahraničí</w:t>
            </w:r>
          </w:p>
          <w:p w:rsidR="002625B2" w:rsidRPr="00AE6EDB" w:rsidRDefault="002625B2" w:rsidP="002625B2">
            <w:pPr>
              <w:jc w:val="center"/>
              <w:rPr>
                <w:b/>
                <w:bCs/>
                <w:color w:val="FFFFFF" w:themeColor="background1"/>
                <w:szCs w:val="20"/>
              </w:rPr>
            </w:pPr>
            <w:r w:rsidRPr="00AE6EDB">
              <w:rPr>
                <w:b/>
                <w:bCs/>
                <w:color w:val="FFFFFF" w:themeColor="background1"/>
                <w:szCs w:val="20"/>
              </w:rPr>
              <w:t>(v tis. osôb)</w:t>
            </w:r>
          </w:p>
        </w:tc>
        <w:tc>
          <w:tcPr>
            <w:tcW w:w="1389" w:type="dxa"/>
            <w:vMerge w:val="restart"/>
            <w:shd w:val="clear" w:color="auto" w:fill="BF0000" w:themeFill="accent3" w:themeFillShade="BF"/>
            <w:vAlign w:val="center"/>
          </w:tcPr>
          <w:p w:rsidR="002625B2" w:rsidRPr="00AE6EDB" w:rsidRDefault="002625B2" w:rsidP="002625B2">
            <w:pPr>
              <w:jc w:val="center"/>
              <w:rPr>
                <w:b/>
                <w:bCs/>
                <w:color w:val="FFFFFF" w:themeColor="background1"/>
                <w:szCs w:val="20"/>
                <w:vertAlign w:val="superscript"/>
              </w:rPr>
            </w:pPr>
            <w:r w:rsidRPr="00AE6EDB">
              <w:rPr>
                <w:b/>
                <w:bCs/>
                <w:color w:val="FFFFFF" w:themeColor="background1"/>
                <w:szCs w:val="20"/>
              </w:rPr>
              <w:t>index 2015/2014</w:t>
            </w:r>
          </w:p>
        </w:tc>
        <w:tc>
          <w:tcPr>
            <w:tcW w:w="1191" w:type="dxa"/>
            <w:vMerge w:val="restart"/>
            <w:shd w:val="clear" w:color="auto" w:fill="BF0000" w:themeFill="accent3" w:themeFillShade="BF"/>
            <w:vAlign w:val="center"/>
          </w:tcPr>
          <w:p w:rsidR="002625B2" w:rsidRPr="00AE6EDB" w:rsidRDefault="002625B2" w:rsidP="002625B2">
            <w:pPr>
              <w:jc w:val="center"/>
              <w:rPr>
                <w:b/>
                <w:bCs/>
                <w:color w:val="FFFFFF" w:themeColor="background1"/>
                <w:szCs w:val="20"/>
              </w:rPr>
            </w:pPr>
            <w:r w:rsidRPr="00AE6EDB">
              <w:rPr>
                <w:b/>
                <w:bCs/>
                <w:color w:val="FFFFFF" w:themeColor="background1"/>
                <w:szCs w:val="20"/>
              </w:rPr>
              <w:t>Podiel na SR</w:t>
            </w:r>
          </w:p>
          <w:p w:rsidR="002625B2" w:rsidRPr="00AE6EDB" w:rsidRDefault="002625B2" w:rsidP="002625B2">
            <w:pPr>
              <w:jc w:val="center"/>
              <w:rPr>
                <w:b/>
                <w:bCs/>
                <w:color w:val="FFFFFF" w:themeColor="background1"/>
                <w:szCs w:val="20"/>
              </w:rPr>
            </w:pPr>
            <w:r w:rsidRPr="00AE6EDB">
              <w:rPr>
                <w:b/>
                <w:bCs/>
                <w:color w:val="FFFFFF" w:themeColor="background1"/>
                <w:szCs w:val="20"/>
              </w:rPr>
              <w:t>(v</w:t>
            </w:r>
            <w:r w:rsidR="005676EF">
              <w:rPr>
                <w:b/>
                <w:bCs/>
                <w:color w:val="FFFFFF" w:themeColor="background1"/>
                <w:szCs w:val="20"/>
              </w:rPr>
              <w:t> %</w:t>
            </w:r>
            <w:r w:rsidRPr="00AE6EDB">
              <w:rPr>
                <w:b/>
                <w:bCs/>
                <w:color w:val="FFFFFF" w:themeColor="background1"/>
                <w:szCs w:val="20"/>
              </w:rPr>
              <w:t>)</w:t>
            </w:r>
          </w:p>
        </w:tc>
        <w:tc>
          <w:tcPr>
            <w:tcW w:w="2527" w:type="dxa"/>
            <w:vMerge w:val="restart"/>
            <w:shd w:val="clear" w:color="auto" w:fill="BF0000" w:themeFill="accent3" w:themeFillShade="BF"/>
            <w:vAlign w:val="center"/>
          </w:tcPr>
          <w:p w:rsidR="002625B2" w:rsidRPr="00AE6EDB" w:rsidRDefault="002625B2" w:rsidP="002625B2">
            <w:pPr>
              <w:jc w:val="center"/>
              <w:rPr>
                <w:b/>
                <w:bCs/>
                <w:color w:val="FFFFFF" w:themeColor="background1"/>
                <w:szCs w:val="20"/>
              </w:rPr>
            </w:pPr>
            <w:r w:rsidRPr="00AE6EDB">
              <w:rPr>
                <w:b/>
                <w:bCs/>
                <w:color w:val="FFFFFF" w:themeColor="background1"/>
                <w:szCs w:val="20"/>
              </w:rPr>
              <w:t>Podiel pracujúcich v zahraničí na celkovej zamestnanosti SR, resp. kraja (v</w:t>
            </w:r>
            <w:r w:rsidR="005676EF">
              <w:rPr>
                <w:b/>
                <w:bCs/>
                <w:color w:val="FFFFFF" w:themeColor="background1"/>
                <w:szCs w:val="20"/>
              </w:rPr>
              <w:t> %</w:t>
            </w:r>
            <w:r w:rsidRPr="00AE6EDB">
              <w:rPr>
                <w:b/>
                <w:bCs/>
                <w:color w:val="FFFFFF" w:themeColor="background1"/>
                <w:szCs w:val="20"/>
              </w:rPr>
              <w:t>)</w:t>
            </w:r>
          </w:p>
        </w:tc>
      </w:tr>
      <w:tr w:rsidR="002625B2" w:rsidRPr="00AE6EDB" w:rsidTr="002625B2">
        <w:trPr>
          <w:trHeight w:val="825"/>
          <w:jc w:val="center"/>
        </w:trPr>
        <w:tc>
          <w:tcPr>
            <w:tcW w:w="1814" w:type="dxa"/>
            <w:vMerge/>
            <w:shd w:val="clear" w:color="auto" w:fill="BF0000" w:themeFill="accent3" w:themeFillShade="BF"/>
            <w:vAlign w:val="center"/>
          </w:tcPr>
          <w:p w:rsidR="002625B2" w:rsidRPr="00AE6EDB" w:rsidRDefault="002625B2" w:rsidP="002625B2">
            <w:pPr>
              <w:jc w:val="left"/>
              <w:rPr>
                <w:b/>
                <w:bCs/>
                <w:color w:val="FF0000"/>
                <w:szCs w:val="20"/>
              </w:rPr>
            </w:pPr>
          </w:p>
        </w:tc>
        <w:tc>
          <w:tcPr>
            <w:tcW w:w="1612" w:type="dxa"/>
            <w:vMerge/>
            <w:shd w:val="clear" w:color="auto" w:fill="BF0000" w:themeFill="accent3" w:themeFillShade="BF"/>
            <w:vAlign w:val="center"/>
          </w:tcPr>
          <w:p w:rsidR="002625B2" w:rsidRPr="00AE6EDB" w:rsidRDefault="002625B2" w:rsidP="002625B2">
            <w:pPr>
              <w:jc w:val="left"/>
              <w:rPr>
                <w:b/>
                <w:bCs/>
                <w:color w:val="FF0000"/>
                <w:szCs w:val="20"/>
              </w:rPr>
            </w:pPr>
          </w:p>
        </w:tc>
        <w:tc>
          <w:tcPr>
            <w:tcW w:w="1389" w:type="dxa"/>
            <w:vMerge/>
            <w:shd w:val="clear" w:color="auto" w:fill="BF0000" w:themeFill="accent3" w:themeFillShade="BF"/>
            <w:vAlign w:val="center"/>
          </w:tcPr>
          <w:p w:rsidR="002625B2" w:rsidRPr="00AE6EDB" w:rsidRDefault="002625B2" w:rsidP="002625B2">
            <w:pPr>
              <w:jc w:val="left"/>
              <w:rPr>
                <w:b/>
                <w:bCs/>
                <w:color w:val="FF0000"/>
                <w:szCs w:val="20"/>
              </w:rPr>
            </w:pPr>
          </w:p>
        </w:tc>
        <w:tc>
          <w:tcPr>
            <w:tcW w:w="1191" w:type="dxa"/>
            <w:vMerge/>
            <w:shd w:val="clear" w:color="auto" w:fill="BF0000" w:themeFill="accent3" w:themeFillShade="BF"/>
            <w:vAlign w:val="center"/>
          </w:tcPr>
          <w:p w:rsidR="002625B2" w:rsidRPr="00AE6EDB" w:rsidRDefault="002625B2" w:rsidP="002625B2">
            <w:pPr>
              <w:jc w:val="left"/>
              <w:rPr>
                <w:b/>
                <w:bCs/>
                <w:color w:val="FF0000"/>
                <w:szCs w:val="20"/>
              </w:rPr>
            </w:pPr>
          </w:p>
        </w:tc>
        <w:tc>
          <w:tcPr>
            <w:tcW w:w="2527" w:type="dxa"/>
            <w:vMerge/>
            <w:shd w:val="clear" w:color="auto" w:fill="BF0000" w:themeFill="accent3" w:themeFillShade="BF"/>
            <w:vAlign w:val="center"/>
          </w:tcPr>
          <w:p w:rsidR="002625B2" w:rsidRPr="00AE6EDB" w:rsidRDefault="002625B2" w:rsidP="002625B2">
            <w:pPr>
              <w:jc w:val="left"/>
              <w:rPr>
                <w:b/>
                <w:bCs/>
                <w:color w:val="FF0000"/>
                <w:szCs w:val="20"/>
              </w:rPr>
            </w:pPr>
          </w:p>
        </w:tc>
      </w:tr>
      <w:tr w:rsidR="002625B2" w:rsidRPr="00AE6EDB" w:rsidTr="002625B2">
        <w:trPr>
          <w:trHeight w:val="255"/>
          <w:jc w:val="center"/>
        </w:trPr>
        <w:tc>
          <w:tcPr>
            <w:tcW w:w="1814" w:type="dxa"/>
            <w:noWrap/>
            <w:vAlign w:val="bottom"/>
          </w:tcPr>
          <w:p w:rsidR="002625B2" w:rsidRPr="00AE6EDB" w:rsidRDefault="002625B2" w:rsidP="002625B2">
            <w:pPr>
              <w:jc w:val="left"/>
              <w:rPr>
                <w:b/>
                <w:szCs w:val="20"/>
              </w:rPr>
            </w:pPr>
            <w:r w:rsidRPr="00AE6EDB">
              <w:rPr>
                <w:b/>
                <w:szCs w:val="20"/>
              </w:rPr>
              <w:t>SR spolu</w:t>
            </w:r>
          </w:p>
        </w:tc>
        <w:tc>
          <w:tcPr>
            <w:tcW w:w="1612" w:type="dxa"/>
            <w:noWrap/>
            <w:vAlign w:val="bottom"/>
          </w:tcPr>
          <w:p w:rsidR="002625B2" w:rsidRPr="00AE6EDB" w:rsidRDefault="002625B2" w:rsidP="002625B2">
            <w:pPr>
              <w:ind w:right="403"/>
              <w:jc w:val="right"/>
              <w:rPr>
                <w:b/>
                <w:szCs w:val="20"/>
              </w:rPr>
            </w:pPr>
            <w:r w:rsidRPr="00AE6EDB">
              <w:rPr>
                <w:b/>
                <w:szCs w:val="20"/>
              </w:rPr>
              <w:t>148,0</w:t>
            </w:r>
          </w:p>
        </w:tc>
        <w:tc>
          <w:tcPr>
            <w:tcW w:w="1389" w:type="dxa"/>
            <w:noWrap/>
            <w:vAlign w:val="bottom"/>
          </w:tcPr>
          <w:p w:rsidR="002625B2" w:rsidRPr="00AE6EDB" w:rsidRDefault="002625B2" w:rsidP="002625B2">
            <w:pPr>
              <w:ind w:right="403"/>
              <w:jc w:val="right"/>
              <w:rPr>
                <w:b/>
                <w:szCs w:val="20"/>
              </w:rPr>
            </w:pPr>
            <w:r w:rsidRPr="00AE6EDB">
              <w:rPr>
                <w:b/>
                <w:szCs w:val="20"/>
              </w:rPr>
              <w:t>110,4</w:t>
            </w:r>
          </w:p>
        </w:tc>
        <w:tc>
          <w:tcPr>
            <w:tcW w:w="1191" w:type="dxa"/>
            <w:noWrap/>
            <w:vAlign w:val="bottom"/>
          </w:tcPr>
          <w:p w:rsidR="002625B2" w:rsidRPr="00AE6EDB" w:rsidRDefault="002625B2" w:rsidP="002625B2">
            <w:pPr>
              <w:ind w:right="403"/>
              <w:jc w:val="right"/>
              <w:rPr>
                <w:b/>
                <w:szCs w:val="20"/>
              </w:rPr>
            </w:pPr>
            <w:r w:rsidRPr="00AE6EDB">
              <w:rPr>
                <w:b/>
                <w:szCs w:val="20"/>
              </w:rPr>
              <w:t>100,0</w:t>
            </w:r>
          </w:p>
        </w:tc>
        <w:tc>
          <w:tcPr>
            <w:tcW w:w="2527" w:type="dxa"/>
            <w:noWrap/>
            <w:vAlign w:val="bottom"/>
          </w:tcPr>
          <w:p w:rsidR="002625B2" w:rsidRPr="00AE6EDB" w:rsidRDefault="002625B2" w:rsidP="002625B2">
            <w:pPr>
              <w:ind w:right="403"/>
              <w:jc w:val="right"/>
              <w:rPr>
                <w:b/>
                <w:szCs w:val="20"/>
              </w:rPr>
            </w:pPr>
            <w:r w:rsidRPr="00AE6EDB">
              <w:rPr>
                <w:b/>
                <w:szCs w:val="20"/>
              </w:rPr>
              <w:t>6,1</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v tom:</w:t>
            </w:r>
          </w:p>
        </w:tc>
        <w:tc>
          <w:tcPr>
            <w:tcW w:w="1612" w:type="dxa"/>
            <w:noWrap/>
            <w:vAlign w:val="bottom"/>
          </w:tcPr>
          <w:p w:rsidR="002625B2" w:rsidRPr="00AE6EDB" w:rsidRDefault="002625B2" w:rsidP="002625B2">
            <w:pPr>
              <w:ind w:right="403"/>
              <w:jc w:val="right"/>
              <w:rPr>
                <w:szCs w:val="20"/>
              </w:rPr>
            </w:pPr>
          </w:p>
        </w:tc>
        <w:tc>
          <w:tcPr>
            <w:tcW w:w="1389" w:type="dxa"/>
            <w:noWrap/>
            <w:vAlign w:val="bottom"/>
          </w:tcPr>
          <w:p w:rsidR="002625B2" w:rsidRPr="00AE6EDB" w:rsidRDefault="002625B2" w:rsidP="002625B2">
            <w:pPr>
              <w:ind w:right="403"/>
              <w:jc w:val="right"/>
              <w:rPr>
                <w:szCs w:val="20"/>
              </w:rPr>
            </w:pPr>
          </w:p>
        </w:tc>
        <w:tc>
          <w:tcPr>
            <w:tcW w:w="1191" w:type="dxa"/>
            <w:noWrap/>
            <w:vAlign w:val="bottom"/>
          </w:tcPr>
          <w:p w:rsidR="002625B2" w:rsidRPr="00AE6EDB" w:rsidRDefault="002625B2" w:rsidP="002625B2">
            <w:pPr>
              <w:ind w:right="403"/>
              <w:jc w:val="right"/>
              <w:rPr>
                <w:szCs w:val="20"/>
              </w:rPr>
            </w:pPr>
          </w:p>
        </w:tc>
        <w:tc>
          <w:tcPr>
            <w:tcW w:w="2527" w:type="dxa"/>
            <w:noWrap/>
            <w:vAlign w:val="bottom"/>
          </w:tcPr>
          <w:p w:rsidR="002625B2" w:rsidRPr="00AE6EDB" w:rsidRDefault="002625B2" w:rsidP="002625B2">
            <w:pPr>
              <w:ind w:right="403"/>
              <w:jc w:val="right"/>
              <w:rPr>
                <w:szCs w:val="20"/>
              </w:rPr>
            </w:pP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Bratislavský</w:t>
            </w:r>
          </w:p>
        </w:tc>
        <w:tc>
          <w:tcPr>
            <w:tcW w:w="1612" w:type="dxa"/>
            <w:noWrap/>
            <w:vAlign w:val="bottom"/>
          </w:tcPr>
          <w:p w:rsidR="002625B2" w:rsidRPr="00AE6EDB" w:rsidRDefault="002625B2" w:rsidP="002625B2">
            <w:pPr>
              <w:ind w:right="403"/>
              <w:jc w:val="right"/>
              <w:rPr>
                <w:szCs w:val="20"/>
              </w:rPr>
            </w:pPr>
            <w:r w:rsidRPr="00AE6EDB">
              <w:rPr>
                <w:szCs w:val="20"/>
              </w:rPr>
              <w:t xml:space="preserve">6,1 </w:t>
            </w:r>
          </w:p>
        </w:tc>
        <w:tc>
          <w:tcPr>
            <w:tcW w:w="1389" w:type="dxa"/>
            <w:noWrap/>
            <w:vAlign w:val="bottom"/>
          </w:tcPr>
          <w:p w:rsidR="002625B2" w:rsidRPr="00AE6EDB" w:rsidRDefault="002625B2" w:rsidP="002625B2">
            <w:pPr>
              <w:ind w:right="403"/>
              <w:jc w:val="right"/>
              <w:rPr>
                <w:szCs w:val="20"/>
              </w:rPr>
            </w:pPr>
            <w:r w:rsidRPr="00AE6EDB">
              <w:rPr>
                <w:szCs w:val="20"/>
              </w:rPr>
              <w:t xml:space="preserve">103,4 </w:t>
            </w:r>
          </w:p>
        </w:tc>
        <w:tc>
          <w:tcPr>
            <w:tcW w:w="1191" w:type="dxa"/>
            <w:noWrap/>
            <w:vAlign w:val="bottom"/>
          </w:tcPr>
          <w:p w:rsidR="002625B2" w:rsidRPr="00AE6EDB" w:rsidRDefault="002625B2" w:rsidP="002625B2">
            <w:pPr>
              <w:ind w:right="403"/>
              <w:jc w:val="right"/>
              <w:rPr>
                <w:szCs w:val="20"/>
              </w:rPr>
            </w:pPr>
            <w:r w:rsidRPr="00AE6EDB">
              <w:rPr>
                <w:szCs w:val="20"/>
              </w:rPr>
              <w:t xml:space="preserve">4,1 </w:t>
            </w:r>
          </w:p>
        </w:tc>
        <w:tc>
          <w:tcPr>
            <w:tcW w:w="2527" w:type="dxa"/>
            <w:noWrap/>
            <w:vAlign w:val="bottom"/>
          </w:tcPr>
          <w:p w:rsidR="002625B2" w:rsidRPr="00AE6EDB" w:rsidRDefault="002625B2" w:rsidP="002625B2">
            <w:pPr>
              <w:ind w:right="403"/>
              <w:jc w:val="right"/>
              <w:rPr>
                <w:szCs w:val="20"/>
              </w:rPr>
            </w:pPr>
            <w:r w:rsidRPr="00AE6EDB">
              <w:rPr>
                <w:szCs w:val="20"/>
              </w:rPr>
              <w:t xml:space="preserve">1,9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Trnavský</w:t>
            </w:r>
          </w:p>
        </w:tc>
        <w:tc>
          <w:tcPr>
            <w:tcW w:w="1612" w:type="dxa"/>
            <w:noWrap/>
            <w:vAlign w:val="bottom"/>
          </w:tcPr>
          <w:p w:rsidR="002625B2" w:rsidRPr="00AE6EDB" w:rsidRDefault="002625B2" w:rsidP="002625B2">
            <w:pPr>
              <w:ind w:right="403"/>
              <w:jc w:val="right"/>
              <w:rPr>
                <w:szCs w:val="20"/>
              </w:rPr>
            </w:pPr>
            <w:r w:rsidRPr="00AE6EDB">
              <w:rPr>
                <w:szCs w:val="20"/>
              </w:rPr>
              <w:t xml:space="preserve">5,4 </w:t>
            </w:r>
          </w:p>
        </w:tc>
        <w:tc>
          <w:tcPr>
            <w:tcW w:w="1389" w:type="dxa"/>
            <w:noWrap/>
            <w:vAlign w:val="bottom"/>
          </w:tcPr>
          <w:p w:rsidR="002625B2" w:rsidRPr="00AE6EDB" w:rsidRDefault="002625B2" w:rsidP="002625B2">
            <w:pPr>
              <w:ind w:right="403"/>
              <w:jc w:val="right"/>
              <w:rPr>
                <w:szCs w:val="20"/>
              </w:rPr>
            </w:pPr>
            <w:r w:rsidRPr="00AE6EDB">
              <w:rPr>
                <w:szCs w:val="20"/>
              </w:rPr>
              <w:t xml:space="preserve">112,5 </w:t>
            </w:r>
          </w:p>
        </w:tc>
        <w:tc>
          <w:tcPr>
            <w:tcW w:w="1191" w:type="dxa"/>
            <w:noWrap/>
            <w:vAlign w:val="bottom"/>
          </w:tcPr>
          <w:p w:rsidR="002625B2" w:rsidRPr="00AE6EDB" w:rsidRDefault="002625B2" w:rsidP="002625B2">
            <w:pPr>
              <w:ind w:right="403"/>
              <w:jc w:val="right"/>
              <w:rPr>
                <w:szCs w:val="20"/>
              </w:rPr>
            </w:pPr>
            <w:r w:rsidRPr="00AE6EDB">
              <w:rPr>
                <w:szCs w:val="20"/>
              </w:rPr>
              <w:t xml:space="preserve">3,6 </w:t>
            </w:r>
          </w:p>
        </w:tc>
        <w:tc>
          <w:tcPr>
            <w:tcW w:w="2527" w:type="dxa"/>
            <w:noWrap/>
            <w:vAlign w:val="bottom"/>
          </w:tcPr>
          <w:p w:rsidR="002625B2" w:rsidRPr="00AE6EDB" w:rsidRDefault="002625B2" w:rsidP="002625B2">
            <w:pPr>
              <w:ind w:right="403"/>
              <w:jc w:val="right"/>
              <w:rPr>
                <w:szCs w:val="20"/>
              </w:rPr>
            </w:pPr>
            <w:r w:rsidRPr="00AE6EDB">
              <w:rPr>
                <w:szCs w:val="20"/>
              </w:rPr>
              <w:t xml:space="preserve">2,0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Trenčiansky</w:t>
            </w:r>
          </w:p>
        </w:tc>
        <w:tc>
          <w:tcPr>
            <w:tcW w:w="1612" w:type="dxa"/>
            <w:noWrap/>
            <w:vAlign w:val="bottom"/>
          </w:tcPr>
          <w:p w:rsidR="002625B2" w:rsidRPr="00AE6EDB" w:rsidRDefault="002625B2" w:rsidP="002625B2">
            <w:pPr>
              <w:ind w:right="403"/>
              <w:jc w:val="right"/>
              <w:rPr>
                <w:szCs w:val="20"/>
              </w:rPr>
            </w:pPr>
            <w:r w:rsidRPr="00AE6EDB">
              <w:rPr>
                <w:szCs w:val="20"/>
              </w:rPr>
              <w:t xml:space="preserve">10,5 </w:t>
            </w:r>
          </w:p>
        </w:tc>
        <w:tc>
          <w:tcPr>
            <w:tcW w:w="1389" w:type="dxa"/>
            <w:noWrap/>
            <w:vAlign w:val="bottom"/>
          </w:tcPr>
          <w:p w:rsidR="002625B2" w:rsidRPr="00AE6EDB" w:rsidRDefault="002625B2" w:rsidP="002625B2">
            <w:pPr>
              <w:ind w:right="403"/>
              <w:jc w:val="right"/>
              <w:rPr>
                <w:szCs w:val="20"/>
              </w:rPr>
            </w:pPr>
            <w:r w:rsidRPr="00AE6EDB">
              <w:rPr>
                <w:szCs w:val="20"/>
              </w:rPr>
              <w:t xml:space="preserve">122,1 </w:t>
            </w:r>
          </w:p>
        </w:tc>
        <w:tc>
          <w:tcPr>
            <w:tcW w:w="1191" w:type="dxa"/>
            <w:noWrap/>
            <w:vAlign w:val="bottom"/>
          </w:tcPr>
          <w:p w:rsidR="002625B2" w:rsidRPr="00AE6EDB" w:rsidRDefault="002625B2" w:rsidP="002625B2">
            <w:pPr>
              <w:ind w:right="403"/>
              <w:jc w:val="right"/>
              <w:rPr>
                <w:szCs w:val="20"/>
              </w:rPr>
            </w:pPr>
            <w:r w:rsidRPr="00AE6EDB">
              <w:rPr>
                <w:szCs w:val="20"/>
              </w:rPr>
              <w:t xml:space="preserve">7,1 </w:t>
            </w:r>
          </w:p>
        </w:tc>
        <w:tc>
          <w:tcPr>
            <w:tcW w:w="2527" w:type="dxa"/>
            <w:noWrap/>
            <w:vAlign w:val="bottom"/>
          </w:tcPr>
          <w:p w:rsidR="002625B2" w:rsidRPr="00AE6EDB" w:rsidRDefault="002625B2" w:rsidP="002625B2">
            <w:pPr>
              <w:ind w:right="403"/>
              <w:jc w:val="right"/>
              <w:rPr>
                <w:szCs w:val="20"/>
              </w:rPr>
            </w:pPr>
            <w:r w:rsidRPr="00AE6EDB">
              <w:rPr>
                <w:szCs w:val="20"/>
              </w:rPr>
              <w:t xml:space="preserve">3,8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Nitriansky</w:t>
            </w:r>
          </w:p>
        </w:tc>
        <w:tc>
          <w:tcPr>
            <w:tcW w:w="1612" w:type="dxa"/>
            <w:noWrap/>
            <w:vAlign w:val="bottom"/>
          </w:tcPr>
          <w:p w:rsidR="002625B2" w:rsidRPr="00AE6EDB" w:rsidRDefault="002625B2" w:rsidP="002625B2">
            <w:pPr>
              <w:ind w:right="403"/>
              <w:jc w:val="right"/>
              <w:rPr>
                <w:szCs w:val="20"/>
              </w:rPr>
            </w:pPr>
            <w:r w:rsidRPr="00AE6EDB">
              <w:rPr>
                <w:szCs w:val="20"/>
              </w:rPr>
              <w:t xml:space="preserve">21,4 </w:t>
            </w:r>
          </w:p>
        </w:tc>
        <w:tc>
          <w:tcPr>
            <w:tcW w:w="1389" w:type="dxa"/>
            <w:noWrap/>
            <w:vAlign w:val="bottom"/>
          </w:tcPr>
          <w:p w:rsidR="002625B2" w:rsidRPr="00AE6EDB" w:rsidRDefault="002625B2" w:rsidP="002625B2">
            <w:pPr>
              <w:ind w:right="403"/>
              <w:jc w:val="right"/>
              <w:rPr>
                <w:szCs w:val="20"/>
              </w:rPr>
            </w:pPr>
            <w:r w:rsidRPr="00AE6EDB">
              <w:rPr>
                <w:szCs w:val="20"/>
              </w:rPr>
              <w:t xml:space="preserve">92,6 </w:t>
            </w:r>
          </w:p>
        </w:tc>
        <w:tc>
          <w:tcPr>
            <w:tcW w:w="1191" w:type="dxa"/>
            <w:noWrap/>
            <w:vAlign w:val="bottom"/>
          </w:tcPr>
          <w:p w:rsidR="002625B2" w:rsidRPr="00AE6EDB" w:rsidRDefault="002625B2" w:rsidP="002625B2">
            <w:pPr>
              <w:ind w:right="403"/>
              <w:jc w:val="right"/>
              <w:rPr>
                <w:szCs w:val="20"/>
              </w:rPr>
            </w:pPr>
            <w:r w:rsidRPr="00AE6EDB">
              <w:rPr>
                <w:szCs w:val="20"/>
              </w:rPr>
              <w:t xml:space="preserve">14,5 </w:t>
            </w:r>
          </w:p>
        </w:tc>
        <w:tc>
          <w:tcPr>
            <w:tcW w:w="2527" w:type="dxa"/>
            <w:noWrap/>
            <w:vAlign w:val="bottom"/>
          </w:tcPr>
          <w:p w:rsidR="002625B2" w:rsidRPr="00AE6EDB" w:rsidRDefault="002625B2" w:rsidP="002625B2">
            <w:pPr>
              <w:ind w:right="403"/>
              <w:jc w:val="right"/>
              <w:rPr>
                <w:szCs w:val="20"/>
              </w:rPr>
            </w:pPr>
            <w:r w:rsidRPr="00AE6EDB">
              <w:rPr>
                <w:szCs w:val="20"/>
              </w:rPr>
              <w:t xml:space="preserve">6,9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Žilinský</w:t>
            </w:r>
          </w:p>
        </w:tc>
        <w:tc>
          <w:tcPr>
            <w:tcW w:w="1612" w:type="dxa"/>
            <w:noWrap/>
            <w:vAlign w:val="bottom"/>
          </w:tcPr>
          <w:p w:rsidR="002625B2" w:rsidRPr="00AE6EDB" w:rsidRDefault="002625B2" w:rsidP="002625B2">
            <w:pPr>
              <w:ind w:right="403"/>
              <w:jc w:val="right"/>
              <w:rPr>
                <w:szCs w:val="20"/>
              </w:rPr>
            </w:pPr>
            <w:r w:rsidRPr="00AE6EDB">
              <w:rPr>
                <w:szCs w:val="20"/>
              </w:rPr>
              <w:t xml:space="preserve">27,8 </w:t>
            </w:r>
          </w:p>
        </w:tc>
        <w:tc>
          <w:tcPr>
            <w:tcW w:w="1389" w:type="dxa"/>
            <w:noWrap/>
            <w:vAlign w:val="bottom"/>
          </w:tcPr>
          <w:p w:rsidR="002625B2" w:rsidRPr="00AE6EDB" w:rsidRDefault="002625B2" w:rsidP="002625B2">
            <w:pPr>
              <w:ind w:right="403"/>
              <w:jc w:val="right"/>
              <w:rPr>
                <w:szCs w:val="20"/>
              </w:rPr>
            </w:pPr>
            <w:r w:rsidRPr="00AE6EDB">
              <w:rPr>
                <w:szCs w:val="20"/>
              </w:rPr>
              <w:t xml:space="preserve">117,8 </w:t>
            </w:r>
          </w:p>
        </w:tc>
        <w:tc>
          <w:tcPr>
            <w:tcW w:w="1191" w:type="dxa"/>
            <w:noWrap/>
            <w:vAlign w:val="bottom"/>
          </w:tcPr>
          <w:p w:rsidR="002625B2" w:rsidRPr="00AE6EDB" w:rsidRDefault="002625B2" w:rsidP="002625B2">
            <w:pPr>
              <w:ind w:right="403"/>
              <w:jc w:val="right"/>
              <w:rPr>
                <w:szCs w:val="20"/>
              </w:rPr>
            </w:pPr>
            <w:r w:rsidRPr="00AE6EDB">
              <w:rPr>
                <w:szCs w:val="20"/>
              </w:rPr>
              <w:t xml:space="preserve">18,8 </w:t>
            </w:r>
          </w:p>
        </w:tc>
        <w:tc>
          <w:tcPr>
            <w:tcW w:w="2527" w:type="dxa"/>
            <w:noWrap/>
            <w:vAlign w:val="bottom"/>
          </w:tcPr>
          <w:p w:rsidR="002625B2" w:rsidRPr="00AE6EDB" w:rsidRDefault="002625B2" w:rsidP="002625B2">
            <w:pPr>
              <w:ind w:right="403"/>
              <w:jc w:val="right"/>
              <w:rPr>
                <w:szCs w:val="20"/>
              </w:rPr>
            </w:pPr>
            <w:r w:rsidRPr="00AE6EDB">
              <w:rPr>
                <w:szCs w:val="20"/>
              </w:rPr>
              <w:t xml:space="preserve">9,0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Banskobystrický</w:t>
            </w:r>
          </w:p>
        </w:tc>
        <w:tc>
          <w:tcPr>
            <w:tcW w:w="1612" w:type="dxa"/>
            <w:noWrap/>
            <w:vAlign w:val="bottom"/>
          </w:tcPr>
          <w:p w:rsidR="002625B2" w:rsidRPr="00AE6EDB" w:rsidRDefault="002625B2" w:rsidP="002625B2">
            <w:pPr>
              <w:ind w:right="403"/>
              <w:jc w:val="right"/>
              <w:rPr>
                <w:szCs w:val="20"/>
              </w:rPr>
            </w:pPr>
            <w:r w:rsidRPr="00AE6EDB">
              <w:rPr>
                <w:szCs w:val="20"/>
              </w:rPr>
              <w:t xml:space="preserve">19,7 </w:t>
            </w:r>
          </w:p>
        </w:tc>
        <w:tc>
          <w:tcPr>
            <w:tcW w:w="1389" w:type="dxa"/>
            <w:noWrap/>
            <w:vAlign w:val="bottom"/>
          </w:tcPr>
          <w:p w:rsidR="002625B2" w:rsidRPr="00AE6EDB" w:rsidRDefault="002625B2" w:rsidP="002625B2">
            <w:pPr>
              <w:ind w:right="403"/>
              <w:jc w:val="right"/>
              <w:rPr>
                <w:szCs w:val="20"/>
              </w:rPr>
            </w:pPr>
            <w:r w:rsidRPr="00AE6EDB">
              <w:rPr>
                <w:szCs w:val="20"/>
              </w:rPr>
              <w:t xml:space="preserve">119,4 </w:t>
            </w:r>
          </w:p>
        </w:tc>
        <w:tc>
          <w:tcPr>
            <w:tcW w:w="1191" w:type="dxa"/>
            <w:noWrap/>
            <w:vAlign w:val="bottom"/>
          </w:tcPr>
          <w:p w:rsidR="002625B2" w:rsidRPr="00AE6EDB" w:rsidRDefault="002625B2" w:rsidP="002625B2">
            <w:pPr>
              <w:ind w:right="403"/>
              <w:jc w:val="right"/>
              <w:rPr>
                <w:szCs w:val="20"/>
              </w:rPr>
            </w:pPr>
            <w:r w:rsidRPr="00AE6EDB">
              <w:rPr>
                <w:szCs w:val="20"/>
              </w:rPr>
              <w:t xml:space="preserve">13,3 </w:t>
            </w:r>
          </w:p>
        </w:tc>
        <w:tc>
          <w:tcPr>
            <w:tcW w:w="2527" w:type="dxa"/>
            <w:noWrap/>
            <w:vAlign w:val="bottom"/>
          </w:tcPr>
          <w:p w:rsidR="002625B2" w:rsidRPr="00AE6EDB" w:rsidRDefault="002625B2" w:rsidP="002625B2">
            <w:pPr>
              <w:ind w:right="403"/>
              <w:jc w:val="right"/>
              <w:rPr>
                <w:szCs w:val="20"/>
              </w:rPr>
            </w:pPr>
            <w:r w:rsidRPr="00AE6EDB">
              <w:rPr>
                <w:szCs w:val="20"/>
              </w:rPr>
              <w:t xml:space="preserve">6,8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Prešovský</w:t>
            </w:r>
          </w:p>
        </w:tc>
        <w:tc>
          <w:tcPr>
            <w:tcW w:w="1612" w:type="dxa"/>
            <w:noWrap/>
            <w:vAlign w:val="bottom"/>
          </w:tcPr>
          <w:p w:rsidR="002625B2" w:rsidRPr="00AE6EDB" w:rsidRDefault="002625B2" w:rsidP="002625B2">
            <w:pPr>
              <w:ind w:right="403"/>
              <w:jc w:val="right"/>
              <w:rPr>
                <w:szCs w:val="20"/>
              </w:rPr>
            </w:pPr>
            <w:r w:rsidRPr="00AE6EDB">
              <w:rPr>
                <w:szCs w:val="20"/>
              </w:rPr>
              <w:t xml:space="preserve">37,8 </w:t>
            </w:r>
          </w:p>
        </w:tc>
        <w:tc>
          <w:tcPr>
            <w:tcW w:w="1389" w:type="dxa"/>
            <w:noWrap/>
            <w:vAlign w:val="bottom"/>
          </w:tcPr>
          <w:p w:rsidR="002625B2" w:rsidRPr="00AE6EDB" w:rsidRDefault="002625B2" w:rsidP="002625B2">
            <w:pPr>
              <w:ind w:right="403"/>
              <w:jc w:val="right"/>
              <w:rPr>
                <w:szCs w:val="20"/>
              </w:rPr>
            </w:pPr>
            <w:r w:rsidRPr="00AE6EDB">
              <w:rPr>
                <w:szCs w:val="20"/>
              </w:rPr>
              <w:t xml:space="preserve">104,7 </w:t>
            </w:r>
          </w:p>
        </w:tc>
        <w:tc>
          <w:tcPr>
            <w:tcW w:w="1191" w:type="dxa"/>
            <w:noWrap/>
            <w:vAlign w:val="bottom"/>
          </w:tcPr>
          <w:p w:rsidR="002625B2" w:rsidRPr="00AE6EDB" w:rsidRDefault="002625B2" w:rsidP="002625B2">
            <w:pPr>
              <w:ind w:right="403"/>
              <w:jc w:val="right"/>
              <w:rPr>
                <w:szCs w:val="20"/>
              </w:rPr>
            </w:pPr>
            <w:r w:rsidRPr="00AE6EDB">
              <w:rPr>
                <w:szCs w:val="20"/>
              </w:rPr>
              <w:t xml:space="preserve">25,5 </w:t>
            </w:r>
          </w:p>
        </w:tc>
        <w:tc>
          <w:tcPr>
            <w:tcW w:w="2527" w:type="dxa"/>
            <w:noWrap/>
            <w:vAlign w:val="bottom"/>
          </w:tcPr>
          <w:p w:rsidR="002625B2" w:rsidRPr="00AE6EDB" w:rsidRDefault="002625B2" w:rsidP="002625B2">
            <w:pPr>
              <w:ind w:right="403"/>
              <w:jc w:val="right"/>
              <w:rPr>
                <w:szCs w:val="20"/>
              </w:rPr>
            </w:pPr>
            <w:r w:rsidRPr="00AE6EDB">
              <w:rPr>
                <w:szCs w:val="20"/>
              </w:rPr>
              <w:t xml:space="preserve">11,5 </w:t>
            </w:r>
          </w:p>
        </w:tc>
      </w:tr>
      <w:tr w:rsidR="002625B2" w:rsidRPr="00AE6EDB" w:rsidTr="002625B2">
        <w:trPr>
          <w:trHeight w:val="255"/>
          <w:jc w:val="center"/>
        </w:trPr>
        <w:tc>
          <w:tcPr>
            <w:tcW w:w="1814" w:type="dxa"/>
            <w:noWrap/>
            <w:vAlign w:val="bottom"/>
          </w:tcPr>
          <w:p w:rsidR="002625B2" w:rsidRPr="00AE6EDB" w:rsidRDefault="002625B2" w:rsidP="002625B2">
            <w:pPr>
              <w:jc w:val="left"/>
              <w:rPr>
                <w:szCs w:val="20"/>
              </w:rPr>
            </w:pPr>
            <w:r w:rsidRPr="00AE6EDB">
              <w:rPr>
                <w:szCs w:val="20"/>
              </w:rPr>
              <w:t>Košický</w:t>
            </w:r>
          </w:p>
        </w:tc>
        <w:tc>
          <w:tcPr>
            <w:tcW w:w="1612" w:type="dxa"/>
            <w:noWrap/>
            <w:vAlign w:val="bottom"/>
          </w:tcPr>
          <w:p w:rsidR="002625B2" w:rsidRPr="00AE6EDB" w:rsidRDefault="002625B2" w:rsidP="002625B2">
            <w:pPr>
              <w:ind w:right="403"/>
              <w:jc w:val="right"/>
              <w:rPr>
                <w:szCs w:val="20"/>
              </w:rPr>
            </w:pPr>
            <w:r w:rsidRPr="00AE6EDB">
              <w:rPr>
                <w:szCs w:val="20"/>
              </w:rPr>
              <w:t xml:space="preserve">19,5 </w:t>
            </w:r>
          </w:p>
        </w:tc>
        <w:tc>
          <w:tcPr>
            <w:tcW w:w="1389" w:type="dxa"/>
            <w:noWrap/>
            <w:vAlign w:val="bottom"/>
          </w:tcPr>
          <w:p w:rsidR="002625B2" w:rsidRPr="00AE6EDB" w:rsidRDefault="002625B2" w:rsidP="002625B2">
            <w:pPr>
              <w:ind w:right="403"/>
              <w:jc w:val="right"/>
              <w:rPr>
                <w:szCs w:val="20"/>
              </w:rPr>
            </w:pPr>
            <w:r w:rsidRPr="00AE6EDB">
              <w:rPr>
                <w:szCs w:val="20"/>
              </w:rPr>
              <w:t xml:space="preserve">125,8 </w:t>
            </w:r>
          </w:p>
        </w:tc>
        <w:tc>
          <w:tcPr>
            <w:tcW w:w="1191" w:type="dxa"/>
            <w:noWrap/>
            <w:vAlign w:val="bottom"/>
          </w:tcPr>
          <w:p w:rsidR="002625B2" w:rsidRPr="00AE6EDB" w:rsidRDefault="002625B2" w:rsidP="002625B2">
            <w:pPr>
              <w:ind w:right="403"/>
              <w:jc w:val="right"/>
              <w:rPr>
                <w:szCs w:val="20"/>
              </w:rPr>
            </w:pPr>
            <w:r w:rsidRPr="00AE6EDB">
              <w:rPr>
                <w:szCs w:val="20"/>
              </w:rPr>
              <w:t xml:space="preserve">13,2 </w:t>
            </w:r>
          </w:p>
        </w:tc>
        <w:tc>
          <w:tcPr>
            <w:tcW w:w="2527" w:type="dxa"/>
            <w:noWrap/>
            <w:vAlign w:val="bottom"/>
          </w:tcPr>
          <w:p w:rsidR="002625B2" w:rsidRPr="00AE6EDB" w:rsidRDefault="002625B2" w:rsidP="002625B2">
            <w:pPr>
              <w:ind w:right="403"/>
              <w:jc w:val="right"/>
              <w:rPr>
                <w:szCs w:val="20"/>
              </w:rPr>
            </w:pPr>
            <w:r w:rsidRPr="00AE6EDB">
              <w:rPr>
                <w:szCs w:val="20"/>
              </w:rPr>
              <w:t xml:space="preserve">6,0 </w:t>
            </w:r>
          </w:p>
        </w:tc>
      </w:tr>
    </w:tbl>
    <w:p w:rsidR="002625B2" w:rsidRPr="00AE6EDB" w:rsidRDefault="002625B2" w:rsidP="002625B2">
      <w:pPr>
        <w:pStyle w:val="zdroj"/>
      </w:pPr>
      <w:r w:rsidRPr="00AE6EDB">
        <w:t>Zdroj: ŠÚ SR, VZPS</w:t>
      </w:r>
      <w:r w:rsidRPr="00AE6EDB" w:rsidDel="00E4156E">
        <w:t xml:space="preserve"> </w:t>
      </w:r>
    </w:p>
    <w:p w:rsidR="002625B2" w:rsidRPr="00AE6EDB" w:rsidRDefault="002625B2" w:rsidP="002625B2">
      <w:pPr>
        <w:pStyle w:val="zdroj"/>
        <w:spacing w:before="0" w:after="0"/>
        <w:rPr>
          <w:i w:val="0"/>
          <w:color w:val="auto"/>
          <w:sz w:val="22"/>
          <w:szCs w:val="22"/>
        </w:rPr>
      </w:pPr>
      <w:r w:rsidRPr="00AE6EDB">
        <w:rPr>
          <w:b/>
          <w:i w:val="0"/>
          <w:color w:val="auto"/>
          <w:sz w:val="22"/>
          <w:szCs w:val="22"/>
        </w:rPr>
        <w:t>Miera zamestnanosti</w:t>
      </w:r>
      <w:r w:rsidRPr="00AE6EDB">
        <w:rPr>
          <w:i w:val="0"/>
          <w:color w:val="auto"/>
          <w:sz w:val="22"/>
          <w:szCs w:val="22"/>
        </w:rPr>
        <w:t xml:space="preserve"> </w:t>
      </w:r>
      <w:r w:rsidRPr="00AE6EDB">
        <w:rPr>
          <w:b/>
          <w:i w:val="0"/>
          <w:color w:val="auto"/>
          <w:sz w:val="22"/>
          <w:szCs w:val="22"/>
        </w:rPr>
        <w:t xml:space="preserve">osôb vo veku 20 </w:t>
      </w:r>
      <w:r w:rsidRPr="00AE6EDB">
        <w:rPr>
          <w:color w:val="000000" w:themeColor="text1"/>
        </w:rPr>
        <w:t xml:space="preserve">– </w:t>
      </w:r>
      <w:r w:rsidRPr="00AE6EDB">
        <w:rPr>
          <w:b/>
          <w:i w:val="0"/>
          <w:color w:val="auto"/>
          <w:sz w:val="22"/>
          <w:szCs w:val="22"/>
        </w:rPr>
        <w:t>64 rokov</w:t>
      </w:r>
      <w:r w:rsidRPr="00AE6EDB">
        <w:rPr>
          <w:i w:val="0"/>
          <w:color w:val="auto"/>
          <w:sz w:val="22"/>
          <w:szCs w:val="22"/>
        </w:rPr>
        <w:t xml:space="preserve"> sa v porovnaní s rokom 2014 medziročne zvýšila o 1,8 p. b. na 67,7</w:t>
      </w:r>
      <w:r w:rsidR="005676EF">
        <w:rPr>
          <w:i w:val="0"/>
          <w:color w:val="auto"/>
          <w:sz w:val="22"/>
          <w:szCs w:val="22"/>
        </w:rPr>
        <w:t> %</w:t>
      </w:r>
      <w:r w:rsidRPr="00AE6EDB">
        <w:rPr>
          <w:i w:val="0"/>
          <w:color w:val="auto"/>
          <w:sz w:val="22"/>
          <w:szCs w:val="22"/>
        </w:rPr>
        <w:t xml:space="preserve"> a to u oboch pohlaví (o 1,8 p. b. u mužov na 75,0</w:t>
      </w:r>
      <w:r w:rsidR="005676EF">
        <w:rPr>
          <w:i w:val="0"/>
          <w:color w:val="auto"/>
          <w:sz w:val="22"/>
          <w:szCs w:val="22"/>
        </w:rPr>
        <w:t> %</w:t>
      </w:r>
      <w:r w:rsidRPr="00AE6EDB">
        <w:rPr>
          <w:i w:val="0"/>
          <w:color w:val="auto"/>
          <w:sz w:val="22"/>
          <w:szCs w:val="22"/>
        </w:rPr>
        <w:t xml:space="preserve"> a u žien o 1,7 p. b. na 60,3</w:t>
      </w:r>
      <w:r w:rsidR="005676EF">
        <w:rPr>
          <w:i w:val="0"/>
          <w:color w:val="auto"/>
          <w:sz w:val="22"/>
          <w:szCs w:val="22"/>
        </w:rPr>
        <w:t> %</w:t>
      </w:r>
      <w:r w:rsidRPr="00AE6EDB">
        <w:rPr>
          <w:i w:val="0"/>
          <w:color w:val="auto"/>
          <w:sz w:val="22"/>
          <w:szCs w:val="22"/>
        </w:rPr>
        <w:t xml:space="preserve">). Pozitívne je, že medziročná dynamika rastu miery zamestnanosti obyvateľov vo veku </w:t>
      </w:r>
      <w:r w:rsidRPr="00AE6EDB">
        <w:rPr>
          <w:i w:val="0"/>
          <w:color w:val="auto"/>
          <w:sz w:val="22"/>
          <w:szCs w:val="22"/>
        </w:rPr>
        <w:br/>
        <w:t>20</w:t>
      </w:r>
      <w:r w:rsidR="004F033C" w:rsidRPr="00AE6EDB">
        <w:rPr>
          <w:i w:val="0"/>
          <w:color w:val="auto"/>
          <w:sz w:val="22"/>
          <w:szCs w:val="22"/>
        </w:rPr>
        <w:t xml:space="preserve"> – </w:t>
      </w:r>
      <w:r w:rsidRPr="00AE6EDB">
        <w:rPr>
          <w:i w:val="0"/>
          <w:color w:val="auto"/>
          <w:sz w:val="22"/>
          <w:szCs w:val="22"/>
        </w:rPr>
        <w:t>64 rokov v roku 2015 bola podstatne rýchlejšia ako v roku 2014 (zvýšenie o 0,9 p. b.).</w:t>
      </w:r>
    </w:p>
    <w:p w:rsidR="002625B2" w:rsidRPr="00AE6EDB" w:rsidRDefault="002625B2" w:rsidP="002625B2">
      <w:pPr>
        <w:pStyle w:val="Normlnysozarkami2"/>
        <w:ind w:firstLine="567"/>
      </w:pPr>
      <w:r w:rsidRPr="00AE6EDB">
        <w:rPr>
          <w:b/>
          <w:i/>
        </w:rPr>
        <w:t>Z hľadiska veku</w:t>
      </w:r>
      <w:r w:rsidRPr="00AE6EDB">
        <w:t xml:space="preserve"> najvyššiu špecifickú mieru zamestnanosti dosiahli 5-ročné vekové skupiny od 40 do 49 rokov (viac ako 80</w:t>
      </w:r>
      <w:r w:rsidR="005676EF">
        <w:t> %</w:t>
      </w:r>
      <w:r w:rsidRPr="00AE6EDB">
        <w:t>). U mužov špecifickú mieru zamestnanosti 80</w:t>
      </w:r>
      <w:r w:rsidR="005676EF">
        <w:t> %</w:t>
      </w:r>
      <w:r w:rsidRPr="00AE6EDB">
        <w:t xml:space="preserve"> a viac dosiahli všetky 5-ročné vekové skupiny vo veku od 25 do 54 rokov, u žien bola špecifická miera zamestnanosti na úrovni 80</w:t>
      </w:r>
      <w:r w:rsidR="005676EF">
        <w:t> %</w:t>
      </w:r>
      <w:r w:rsidRPr="00AE6EDB">
        <w:t xml:space="preserve"> a viac v 5-ročných vekových skupinách od 40 do 49 rokov (príloha ku kapitole 2, tabuľka 1).</w:t>
      </w:r>
    </w:p>
    <w:p w:rsidR="002625B2" w:rsidRPr="00AE6EDB" w:rsidRDefault="002625B2" w:rsidP="002625B2">
      <w:pPr>
        <w:pStyle w:val="Normlnysozarkami2"/>
        <w:ind w:firstLine="567"/>
      </w:pPr>
      <w:r w:rsidRPr="00AE6EDB">
        <w:t xml:space="preserve">V porovnaní s rokom 2014 poklesla špecifická miera zamestnanosti len v skupine obyvateľov vo veku 35 </w:t>
      </w:r>
      <w:r w:rsidR="004F033C" w:rsidRPr="00AE6EDB">
        <w:t>–</w:t>
      </w:r>
      <w:r w:rsidRPr="00AE6EDB">
        <w:t xml:space="preserve"> 39 rokov (pokles o 1,0 p. b.) a 40 – 44 rokov (pokles o 0,8 p. b.). V ostatných vekových skupinách špecifická miera zamestnanosti medziročne vzrástla v rozsahu od 0,</w:t>
      </w:r>
      <w:r w:rsidR="00C262F0">
        <w:t>2</w:t>
      </w:r>
      <w:r w:rsidRPr="00AE6EDB">
        <w:t xml:space="preserve"> p. b. do 4,7 p. b., z toho najviac vo vekovej skupine 25 - 29 rokov (o 4,7 p. b.) a 55 </w:t>
      </w:r>
      <w:r w:rsidRPr="00AE6EDB">
        <w:rPr>
          <w:color w:val="000000" w:themeColor="text1"/>
        </w:rPr>
        <w:t>– 59</w:t>
      </w:r>
      <w:r w:rsidRPr="00AE6EDB">
        <w:t xml:space="preserve"> rokov (o 3,7 p. b.).</w:t>
      </w:r>
    </w:p>
    <w:p w:rsidR="002625B2" w:rsidRPr="00AE6EDB" w:rsidRDefault="002625B2" w:rsidP="002625B2">
      <w:pPr>
        <w:pStyle w:val="Normlnysozarkami2"/>
        <w:ind w:firstLine="567"/>
      </w:pPr>
      <w:r w:rsidRPr="00AE6EDB">
        <w:t xml:space="preserve">Špecifická </w:t>
      </w:r>
      <w:r w:rsidRPr="00AE6EDB">
        <w:rPr>
          <w:b/>
          <w:i/>
        </w:rPr>
        <w:t>miera zamestnanosti mladých ľudí</w:t>
      </w:r>
      <w:r w:rsidRPr="00AE6EDB">
        <w:rPr>
          <w:i/>
        </w:rPr>
        <w:t xml:space="preserve"> </w:t>
      </w:r>
      <w:r w:rsidRPr="00AE6EDB">
        <w:rPr>
          <w:b/>
          <w:i/>
        </w:rPr>
        <w:t xml:space="preserve">(vo veku 15 </w:t>
      </w:r>
      <w:r w:rsidRPr="00AE6EDB">
        <w:rPr>
          <w:b/>
          <w:color w:val="000000" w:themeColor="text1"/>
        </w:rPr>
        <w:t xml:space="preserve">– </w:t>
      </w:r>
      <w:r w:rsidRPr="00AE6EDB">
        <w:rPr>
          <w:b/>
          <w:i/>
        </w:rPr>
        <w:t>24 rokov)</w:t>
      </w:r>
      <w:r w:rsidRPr="00AE6EDB">
        <w:t xml:space="preserve"> dosiahla priemernú úroveň 23,4</w:t>
      </w:r>
      <w:r w:rsidR="005676EF">
        <w:t> %</w:t>
      </w:r>
      <w:r w:rsidRPr="00AE6EDB">
        <w:t xml:space="preserve"> a bola o 1,6 p. b. vyššia ako </w:t>
      </w:r>
      <w:r w:rsidR="003C5F44" w:rsidRPr="00AE6EDB">
        <w:t>v predchádzajúcom roku</w:t>
      </w:r>
      <w:r w:rsidRPr="00AE6EDB">
        <w:t>. Jej úroveň sa medziročne zvýšila u oboch pohlaví (o 1,5 p. b. u mužov na 28,4</w:t>
      </w:r>
      <w:r w:rsidR="005676EF">
        <w:t> %</w:t>
      </w:r>
      <w:r w:rsidRPr="00AE6EDB">
        <w:t xml:space="preserve"> a u žien o 1,5 p. b. na 18,0</w:t>
      </w:r>
      <w:r w:rsidR="005676EF">
        <w:t> %</w:t>
      </w:r>
      <w:r w:rsidRPr="00AE6EDB">
        <w:t xml:space="preserve">). </w:t>
      </w:r>
    </w:p>
    <w:p w:rsidR="002625B2" w:rsidRPr="00AE6EDB" w:rsidRDefault="002625B2" w:rsidP="002625B2">
      <w:pPr>
        <w:pStyle w:val="Normlnysozarkami2"/>
        <w:ind w:firstLine="567"/>
      </w:pPr>
      <w:r w:rsidRPr="00AE6EDB">
        <w:t xml:space="preserve">Špecifická </w:t>
      </w:r>
      <w:r w:rsidRPr="00AE6EDB">
        <w:rPr>
          <w:b/>
          <w:i/>
        </w:rPr>
        <w:t>miera zamestnanosti starších</w:t>
      </w:r>
      <w:r w:rsidRPr="00AE6EDB">
        <w:rPr>
          <w:i/>
        </w:rPr>
        <w:t xml:space="preserve"> </w:t>
      </w:r>
      <w:r w:rsidRPr="00AE6EDB">
        <w:rPr>
          <w:b/>
          <w:i/>
        </w:rPr>
        <w:t xml:space="preserve">(vo veku 55 </w:t>
      </w:r>
      <w:r w:rsidRPr="00AE6EDB">
        <w:rPr>
          <w:b/>
          <w:color w:val="000000" w:themeColor="text1"/>
        </w:rPr>
        <w:t xml:space="preserve">– </w:t>
      </w:r>
      <w:r w:rsidRPr="00AE6EDB">
        <w:rPr>
          <w:b/>
          <w:i/>
        </w:rPr>
        <w:t>64 rokov)</w:t>
      </w:r>
      <w:r w:rsidRPr="00AE6EDB">
        <w:t xml:space="preserve"> dosiahla úroveň 47,0</w:t>
      </w:r>
      <w:r w:rsidR="005676EF">
        <w:t> %</w:t>
      </w:r>
      <w:r w:rsidRPr="00AE6EDB">
        <w:t xml:space="preserve"> a bola o 2,2 p. b. vyššia ako pred rokom. Zvýšila sa u oboch pohlaví, pričom výraznejšie u žien (o 3,8 p. b. na 41,0</w:t>
      </w:r>
      <w:r w:rsidR="005676EF">
        <w:t> %</w:t>
      </w:r>
      <w:r w:rsidRPr="00AE6EDB">
        <w:t>) ako mužov (o 0,4 p. b. na 53,6</w:t>
      </w:r>
      <w:r w:rsidR="005676EF">
        <w:t> %</w:t>
      </w:r>
      <w:r w:rsidRPr="00AE6EDB">
        <w:t>). To sa odrazilo aj vo výraznejšom znížení rozdielu miery zamestnanosti medzi mužmi a ženami (o 12,6 p. b.) v uvedenej vekovej skupine oproti roku 2014 (o 16 p. b) Podrobnejšie údaje sa nachádzajú v prílohe ku kapitole 2, tabuľke 1.</w:t>
      </w:r>
    </w:p>
    <w:p w:rsidR="002625B2" w:rsidRPr="00AE6EDB" w:rsidRDefault="002625B2" w:rsidP="002625B2">
      <w:pPr>
        <w:pStyle w:val="Normlnysozarkami2"/>
        <w:ind w:firstLine="431"/>
      </w:pPr>
      <w:r w:rsidRPr="00AE6EDB">
        <w:rPr>
          <w:b/>
          <w:i/>
        </w:rPr>
        <w:t>Z hľadiska vzdelania</w:t>
      </w:r>
      <w:r w:rsidRPr="00AE6EDB">
        <w:t xml:space="preserve"> najvyššiu špecifickú mieru zamestnanosti dosiahla skupina obyvateľov s vysokoškolským vzdelaním (77,2</w:t>
      </w:r>
      <w:r w:rsidR="005676EF">
        <w:t> %</w:t>
      </w:r>
      <w:r w:rsidRPr="00AE6EDB">
        <w:t>), s úplným stredným odborným (učňovským) vzdelaním s</w:t>
      </w:r>
      <w:r w:rsidR="004F033C" w:rsidRPr="00AE6EDB">
        <w:t> </w:t>
      </w:r>
      <w:r w:rsidRPr="00AE6EDB">
        <w:t>maturitou (74,8</w:t>
      </w:r>
      <w:r w:rsidR="005676EF">
        <w:t> %</w:t>
      </w:r>
      <w:r w:rsidRPr="00AE6EDB">
        <w:t>) a úplným stredným odborným vzdelaním (74,6</w:t>
      </w:r>
      <w:r w:rsidR="005676EF">
        <w:t> %</w:t>
      </w:r>
      <w:r w:rsidRPr="00AE6EDB">
        <w:t>). Naopak, najnižšia bola špecifická miera zamestnanosti osôb so základným vzdelaním (18,0</w:t>
      </w:r>
      <w:r w:rsidR="005676EF">
        <w:t> %</w:t>
      </w:r>
      <w:r w:rsidRPr="00AE6EDB">
        <w:t xml:space="preserve">) a osôb </w:t>
      </w:r>
      <w:r w:rsidR="00C262F0">
        <w:t>bez školského vzdelania</w:t>
      </w:r>
      <w:r w:rsidRPr="00AE6EDB">
        <w:t xml:space="preserve"> (3,9</w:t>
      </w:r>
      <w:r w:rsidR="005676EF">
        <w:t> %</w:t>
      </w:r>
      <w:r w:rsidRPr="00AE6EDB">
        <w:t xml:space="preserve">). V porovnaní s rokom 2014 sa však miera zamestnanosti </w:t>
      </w:r>
      <w:proofErr w:type="spellStart"/>
      <w:r w:rsidRPr="00AE6EDB">
        <w:t>nízkokvalifikovaných</w:t>
      </w:r>
      <w:proofErr w:type="spellEnd"/>
      <w:r w:rsidRPr="00AE6EDB">
        <w:t xml:space="preserve"> osôb, ktoré dlhodobo patria medzi znevýhodnené skupiny obyvateľov, pokiaľ ide o ich uplatnenie sa </w:t>
      </w:r>
      <w:r w:rsidRPr="00AE6EDB">
        <w:lastRenderedPageBreak/>
        <w:t>na trhu práce, medziročne výraznejšie zvýšila (v prípade základného vzdelania o 2,2 p. b. a u osôb bez vzdelania o 2,9 p. b.). Pozitívne je, že okrem vzdelanostnej skupiny osôb s úplným stredným odborným (učňovským) vzdelaním s maturitou (zníženie o 1,3 p. b.) miera zamestnanosti vzrástla vo všetkých ďalších vzdelanostných skupinách v rozsahu od 0,7 p. b. do 2,9 p. b. (príloha ku kapitole 2, tabuľka 1).</w:t>
      </w:r>
    </w:p>
    <w:p w:rsidR="002625B2" w:rsidRPr="00AE6EDB" w:rsidRDefault="002625B2" w:rsidP="002625B2">
      <w:pPr>
        <w:pStyle w:val="Normlnysozarkami2"/>
        <w:ind w:firstLine="567"/>
      </w:pPr>
      <w:r w:rsidRPr="00AE6EDB">
        <w:rPr>
          <w:b/>
          <w:i/>
        </w:rPr>
        <w:t>V rámci jednotlivých regiónov</w:t>
      </w:r>
      <w:r w:rsidRPr="00AE6EDB">
        <w:t xml:space="preserve"> najvyššiu mieru zamestnanosti obyvateľov vo veku </w:t>
      </w:r>
      <w:r w:rsidRPr="00AE6EDB">
        <w:br/>
        <w:t>20 </w:t>
      </w:r>
      <w:r w:rsidRPr="00AE6EDB">
        <w:rPr>
          <w:color w:val="000000" w:themeColor="text1"/>
        </w:rPr>
        <w:t>– </w:t>
      </w:r>
      <w:r w:rsidRPr="00AE6EDB">
        <w:t>64 rokov dosiahol Bratislavský kraj (75,2</w:t>
      </w:r>
      <w:r w:rsidR="005676EF">
        <w:t> %</w:t>
      </w:r>
      <w:r w:rsidRPr="00AE6EDB">
        <w:t>), najnižšiu Prešovský kraj (62,8</w:t>
      </w:r>
      <w:r w:rsidR="005676EF">
        <w:t> %</w:t>
      </w:r>
      <w:r w:rsidRPr="00AE6EDB">
        <w:t xml:space="preserve">). V porovnaní s rokom 2014 sa miera zamestnanosti vo veku 20 </w:t>
      </w:r>
      <w:r w:rsidRPr="00AE6EDB">
        <w:rPr>
          <w:color w:val="000000" w:themeColor="text1"/>
        </w:rPr>
        <w:t xml:space="preserve">– </w:t>
      </w:r>
      <w:r w:rsidRPr="00AE6EDB">
        <w:t>64 rokov zvýšila vo všetkých krajoch v rozsahu od 0,3 p. b. v Bratislavskom kraji do 3,4 p. b.</w:t>
      </w:r>
      <w:r w:rsidR="008621AA">
        <w:t xml:space="preserve"> v </w:t>
      </w:r>
      <w:r w:rsidRPr="00AE6EDB">
        <w:t xml:space="preserve"> Banskobystrickom a Žilinskom kraji. </w:t>
      </w:r>
    </w:p>
    <w:p w:rsidR="002625B2" w:rsidRPr="00AE6EDB" w:rsidRDefault="002625B2" w:rsidP="002625B2">
      <w:pPr>
        <w:pStyle w:val="Normlnysozarkami2"/>
        <w:tabs>
          <w:tab w:val="left" w:pos="896"/>
        </w:tabs>
        <w:ind w:firstLine="567"/>
      </w:pPr>
      <w:r w:rsidRPr="00AE6EDB">
        <w:t xml:space="preserve">Aj v roku 2015 pokračovala tendencia znižovania medziregionálnych rozdielov v úrovni miery zamestnanosti. Oproti predchádzajúcemu roku sa rozdiel medzi najvyššou a najnižšou mierou zamestnanosti vo veku 20 </w:t>
      </w:r>
      <w:r w:rsidRPr="00AE6EDB">
        <w:rPr>
          <w:color w:val="000000" w:themeColor="text1"/>
        </w:rPr>
        <w:t>–</w:t>
      </w:r>
      <w:r w:rsidRPr="00AE6EDB">
        <w:t xml:space="preserve"> 64 rokov v krajoch znížil (z 13,4 p. b. v roku 2014 na 12,4 p. b. v roku 2015).</w:t>
      </w:r>
    </w:p>
    <w:p w:rsidR="002625B2" w:rsidRPr="00AE6EDB" w:rsidRDefault="002625B2" w:rsidP="002625B2">
      <w:pPr>
        <w:pStyle w:val="Nadpis7"/>
        <w:rPr>
          <w:vertAlign w:val="superscript"/>
        </w:rPr>
      </w:pPr>
      <w:r w:rsidRPr="00AE6EDB">
        <w:t>Tabuľka 2.</w:t>
      </w:r>
      <w:r w:rsidR="004A57BA" w:rsidRPr="00AE6EDB">
        <w:t>8</w:t>
      </w:r>
      <w:r w:rsidRPr="00AE6EDB">
        <w:t xml:space="preserve"> Miera zamestnanosti vo veku 20 – 64 rokov podľa krajov </w:t>
      </w:r>
      <w:r w:rsidRPr="00AE6EDB">
        <w:br/>
        <w:t>(priemer za rok v</w:t>
      </w:r>
      <w:r w:rsidR="005676EF">
        <w:t> %</w:t>
      </w:r>
      <w:r w:rsidRPr="00AE6EDB">
        <w:t>)</w:t>
      </w:r>
    </w:p>
    <w:tbl>
      <w:tblPr>
        <w:tblW w:w="815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619"/>
        <w:gridCol w:w="2093"/>
        <w:gridCol w:w="2231"/>
        <w:gridCol w:w="2212"/>
      </w:tblGrid>
      <w:tr w:rsidR="002625B2" w:rsidRPr="00AE6EDB" w:rsidTr="002625B2">
        <w:trPr>
          <w:trHeight w:hRule="exact" w:val="284"/>
          <w:jc w:val="center"/>
        </w:trPr>
        <w:tc>
          <w:tcPr>
            <w:tcW w:w="993" w:type="pct"/>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Kraj</w:t>
            </w:r>
          </w:p>
        </w:tc>
        <w:tc>
          <w:tcPr>
            <w:tcW w:w="2651" w:type="pct"/>
            <w:gridSpan w:val="2"/>
            <w:shd w:val="clear" w:color="auto" w:fill="BF0000" w:themeFill="accent3" w:themeFillShade="BF"/>
            <w:noWrap/>
            <w:vAlign w:val="center"/>
          </w:tcPr>
          <w:p w:rsidR="002625B2" w:rsidRPr="00AE6EDB" w:rsidRDefault="002625B2" w:rsidP="002625B2">
            <w:pPr>
              <w:jc w:val="center"/>
              <w:rPr>
                <w:b/>
                <w:color w:val="FFFFFF" w:themeColor="background1"/>
                <w:vertAlign w:val="superscript"/>
              </w:rPr>
            </w:pPr>
            <w:r w:rsidRPr="00AE6EDB">
              <w:rPr>
                <w:b/>
                <w:color w:val="FFFFFF" w:themeColor="background1"/>
              </w:rPr>
              <w:t>Miera zamestnanosti vo veku 20 – 64 rokov</w:t>
            </w:r>
          </w:p>
        </w:tc>
        <w:tc>
          <w:tcPr>
            <w:tcW w:w="1356" w:type="pct"/>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Zmena 2015/2014</w:t>
            </w:r>
          </w:p>
          <w:p w:rsidR="002625B2" w:rsidRPr="00AE6EDB" w:rsidRDefault="002625B2" w:rsidP="002625B2">
            <w:pPr>
              <w:jc w:val="center"/>
              <w:rPr>
                <w:b/>
                <w:color w:val="FFFFFF" w:themeColor="background1"/>
              </w:rPr>
            </w:pPr>
            <w:r w:rsidRPr="00AE6EDB">
              <w:rPr>
                <w:b/>
                <w:color w:val="FFFFFF" w:themeColor="background1"/>
              </w:rPr>
              <w:t>(v p. b.)</w:t>
            </w:r>
          </w:p>
        </w:tc>
      </w:tr>
      <w:tr w:rsidR="002625B2" w:rsidRPr="00AE6EDB" w:rsidTr="002625B2">
        <w:trPr>
          <w:trHeight w:hRule="exact" w:val="270"/>
          <w:jc w:val="center"/>
        </w:trPr>
        <w:tc>
          <w:tcPr>
            <w:tcW w:w="993" w:type="pct"/>
            <w:vMerge/>
            <w:shd w:val="clear" w:color="auto" w:fill="BF0000" w:themeFill="accent3" w:themeFillShade="BF"/>
            <w:noWrap/>
            <w:vAlign w:val="center"/>
          </w:tcPr>
          <w:p w:rsidR="002625B2" w:rsidRPr="00AE6EDB" w:rsidRDefault="002625B2" w:rsidP="002625B2">
            <w:pPr>
              <w:jc w:val="center"/>
              <w:rPr>
                <w:b/>
                <w:color w:val="FFFFFF" w:themeColor="background1"/>
              </w:rPr>
            </w:pPr>
          </w:p>
        </w:tc>
        <w:tc>
          <w:tcPr>
            <w:tcW w:w="1283" w:type="pct"/>
            <w:shd w:val="clear" w:color="auto" w:fill="BF0000" w:themeFill="accent3" w:themeFillShade="BF"/>
            <w:noWrap/>
            <w:vAlign w:val="center"/>
          </w:tcPr>
          <w:p w:rsidR="002625B2" w:rsidRPr="00AE6EDB" w:rsidRDefault="002625B2" w:rsidP="002625B2">
            <w:pPr>
              <w:jc w:val="center"/>
              <w:rPr>
                <w:b/>
                <w:color w:val="FFFFFF" w:themeColor="background1"/>
                <w:vertAlign w:val="superscript"/>
              </w:rPr>
            </w:pPr>
            <w:r w:rsidRPr="00AE6EDB">
              <w:rPr>
                <w:b/>
                <w:color w:val="FFFFFF" w:themeColor="background1"/>
              </w:rPr>
              <w:t>rok 2014</w:t>
            </w:r>
          </w:p>
        </w:tc>
        <w:tc>
          <w:tcPr>
            <w:tcW w:w="1368" w:type="pc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rok 2015</w:t>
            </w:r>
          </w:p>
        </w:tc>
        <w:tc>
          <w:tcPr>
            <w:tcW w:w="1356" w:type="pct"/>
            <w:vMerge/>
            <w:shd w:val="clear" w:color="auto" w:fill="4F81BD"/>
            <w:noWrap/>
            <w:vAlign w:val="center"/>
          </w:tcPr>
          <w:p w:rsidR="002625B2" w:rsidRPr="00AE6EDB" w:rsidRDefault="002625B2" w:rsidP="002625B2">
            <w:pPr>
              <w:rPr>
                <w:color w:val="FF0000"/>
              </w:rPr>
            </w:pPr>
          </w:p>
        </w:tc>
      </w:tr>
      <w:tr w:rsidR="002625B2" w:rsidRPr="00AE6EDB" w:rsidTr="002625B2">
        <w:trPr>
          <w:trHeight w:val="255"/>
          <w:jc w:val="center"/>
        </w:trPr>
        <w:tc>
          <w:tcPr>
            <w:tcW w:w="993" w:type="pct"/>
            <w:noWrap/>
            <w:vAlign w:val="center"/>
          </w:tcPr>
          <w:p w:rsidR="002625B2" w:rsidRPr="00AE6EDB" w:rsidRDefault="002625B2" w:rsidP="002625B2">
            <w:pPr>
              <w:rPr>
                <w:b/>
              </w:rPr>
            </w:pPr>
            <w:r w:rsidRPr="00AE6EDB">
              <w:rPr>
                <w:b/>
              </w:rPr>
              <w:t>SR spolu</w:t>
            </w:r>
          </w:p>
        </w:tc>
        <w:tc>
          <w:tcPr>
            <w:tcW w:w="1283" w:type="pct"/>
            <w:noWrap/>
            <w:vAlign w:val="center"/>
          </w:tcPr>
          <w:p w:rsidR="002625B2" w:rsidRPr="00AE6EDB" w:rsidRDefault="002625B2" w:rsidP="002625B2">
            <w:pPr>
              <w:ind w:right="697"/>
              <w:jc w:val="right"/>
              <w:rPr>
                <w:b/>
              </w:rPr>
            </w:pPr>
            <w:r w:rsidRPr="00AE6EDB">
              <w:rPr>
                <w:b/>
              </w:rPr>
              <w:t>65,9</w:t>
            </w:r>
          </w:p>
        </w:tc>
        <w:tc>
          <w:tcPr>
            <w:tcW w:w="1368" w:type="pct"/>
            <w:noWrap/>
            <w:vAlign w:val="center"/>
          </w:tcPr>
          <w:p w:rsidR="002625B2" w:rsidRPr="00AE6EDB" w:rsidRDefault="002625B2" w:rsidP="002625B2">
            <w:pPr>
              <w:ind w:right="697"/>
              <w:jc w:val="right"/>
              <w:rPr>
                <w:b/>
              </w:rPr>
            </w:pPr>
            <w:r w:rsidRPr="00AE6EDB">
              <w:rPr>
                <w:b/>
              </w:rPr>
              <w:t>67,7</w:t>
            </w:r>
          </w:p>
        </w:tc>
        <w:tc>
          <w:tcPr>
            <w:tcW w:w="1356" w:type="pct"/>
            <w:noWrap/>
            <w:vAlign w:val="center"/>
          </w:tcPr>
          <w:p w:rsidR="002625B2" w:rsidRPr="00AE6EDB" w:rsidRDefault="002625B2" w:rsidP="002625B2">
            <w:pPr>
              <w:ind w:right="697"/>
              <w:jc w:val="right"/>
              <w:rPr>
                <w:b/>
              </w:rPr>
            </w:pPr>
            <w:r w:rsidRPr="00AE6EDB">
              <w:rPr>
                <w:b/>
              </w:rPr>
              <w:t>1,8</w:t>
            </w:r>
          </w:p>
        </w:tc>
      </w:tr>
      <w:tr w:rsidR="002625B2" w:rsidRPr="00AE6EDB" w:rsidTr="002625B2">
        <w:trPr>
          <w:trHeight w:val="255"/>
          <w:jc w:val="center"/>
        </w:trPr>
        <w:tc>
          <w:tcPr>
            <w:tcW w:w="993" w:type="pct"/>
            <w:noWrap/>
            <w:vAlign w:val="center"/>
          </w:tcPr>
          <w:p w:rsidR="002625B2" w:rsidRPr="00AE6EDB" w:rsidRDefault="002625B2" w:rsidP="002625B2">
            <w:r w:rsidRPr="00AE6EDB">
              <w:t>Bratislavský</w:t>
            </w:r>
          </w:p>
        </w:tc>
        <w:tc>
          <w:tcPr>
            <w:tcW w:w="1283" w:type="pct"/>
            <w:noWrap/>
            <w:vAlign w:val="center"/>
          </w:tcPr>
          <w:p w:rsidR="002625B2" w:rsidRPr="00AE6EDB" w:rsidRDefault="002625B2" w:rsidP="002625B2">
            <w:pPr>
              <w:ind w:right="697"/>
              <w:jc w:val="right"/>
            </w:pPr>
            <w:r w:rsidRPr="00AE6EDB">
              <w:t>74,9</w:t>
            </w:r>
          </w:p>
        </w:tc>
        <w:tc>
          <w:tcPr>
            <w:tcW w:w="1368" w:type="pct"/>
            <w:noWrap/>
            <w:vAlign w:val="bottom"/>
          </w:tcPr>
          <w:p w:rsidR="002625B2" w:rsidRPr="00AE6EDB" w:rsidRDefault="002625B2" w:rsidP="002625B2">
            <w:pPr>
              <w:ind w:right="697"/>
              <w:jc w:val="right"/>
            </w:pPr>
            <w:r w:rsidRPr="00AE6EDB">
              <w:t xml:space="preserve">75,2 </w:t>
            </w:r>
          </w:p>
        </w:tc>
        <w:tc>
          <w:tcPr>
            <w:tcW w:w="1356" w:type="pct"/>
            <w:noWrap/>
            <w:vAlign w:val="bottom"/>
          </w:tcPr>
          <w:p w:rsidR="002625B2" w:rsidRPr="00AE6EDB" w:rsidRDefault="002625B2" w:rsidP="002625B2">
            <w:pPr>
              <w:ind w:right="697"/>
              <w:jc w:val="right"/>
            </w:pPr>
            <w:r w:rsidRPr="00AE6EDB">
              <w:t xml:space="preserve">0,3 </w:t>
            </w:r>
          </w:p>
        </w:tc>
      </w:tr>
      <w:tr w:rsidR="002625B2" w:rsidRPr="00AE6EDB" w:rsidTr="002625B2">
        <w:trPr>
          <w:trHeight w:val="255"/>
          <w:jc w:val="center"/>
        </w:trPr>
        <w:tc>
          <w:tcPr>
            <w:tcW w:w="993" w:type="pct"/>
            <w:noWrap/>
            <w:vAlign w:val="center"/>
          </w:tcPr>
          <w:p w:rsidR="002625B2" w:rsidRPr="00AE6EDB" w:rsidRDefault="002625B2" w:rsidP="002625B2">
            <w:r w:rsidRPr="00AE6EDB">
              <w:t>Trnavský</w:t>
            </w:r>
          </w:p>
        </w:tc>
        <w:tc>
          <w:tcPr>
            <w:tcW w:w="1283" w:type="pct"/>
            <w:noWrap/>
            <w:vAlign w:val="center"/>
          </w:tcPr>
          <w:p w:rsidR="002625B2" w:rsidRPr="00AE6EDB" w:rsidRDefault="002625B2" w:rsidP="002625B2">
            <w:pPr>
              <w:ind w:right="697"/>
              <w:jc w:val="right"/>
            </w:pPr>
            <w:r w:rsidRPr="00AE6EDB">
              <w:t>69,4</w:t>
            </w:r>
          </w:p>
        </w:tc>
        <w:tc>
          <w:tcPr>
            <w:tcW w:w="1368" w:type="pct"/>
            <w:noWrap/>
            <w:vAlign w:val="bottom"/>
          </w:tcPr>
          <w:p w:rsidR="002625B2" w:rsidRPr="00AE6EDB" w:rsidRDefault="002625B2" w:rsidP="002625B2">
            <w:pPr>
              <w:ind w:right="697"/>
              <w:jc w:val="right"/>
            </w:pPr>
            <w:r w:rsidRPr="00AE6EDB">
              <w:t xml:space="preserve">71,7 </w:t>
            </w:r>
          </w:p>
        </w:tc>
        <w:tc>
          <w:tcPr>
            <w:tcW w:w="1356" w:type="pct"/>
            <w:noWrap/>
            <w:vAlign w:val="bottom"/>
          </w:tcPr>
          <w:p w:rsidR="002625B2" w:rsidRPr="00AE6EDB" w:rsidRDefault="002625B2" w:rsidP="002625B2">
            <w:pPr>
              <w:ind w:right="697"/>
              <w:jc w:val="right"/>
            </w:pPr>
            <w:r w:rsidRPr="00AE6EDB">
              <w:t xml:space="preserve">2,3 </w:t>
            </w:r>
          </w:p>
        </w:tc>
      </w:tr>
      <w:tr w:rsidR="002625B2" w:rsidRPr="00AE6EDB" w:rsidTr="002625B2">
        <w:trPr>
          <w:trHeight w:val="255"/>
          <w:jc w:val="center"/>
        </w:trPr>
        <w:tc>
          <w:tcPr>
            <w:tcW w:w="993" w:type="pct"/>
            <w:noWrap/>
            <w:vAlign w:val="center"/>
          </w:tcPr>
          <w:p w:rsidR="002625B2" w:rsidRPr="00AE6EDB" w:rsidRDefault="002625B2" w:rsidP="002625B2">
            <w:r w:rsidRPr="00AE6EDB">
              <w:t>Trenčiansky</w:t>
            </w:r>
          </w:p>
        </w:tc>
        <w:tc>
          <w:tcPr>
            <w:tcW w:w="1283" w:type="pct"/>
            <w:noWrap/>
            <w:vAlign w:val="center"/>
          </w:tcPr>
          <w:p w:rsidR="002625B2" w:rsidRPr="00AE6EDB" w:rsidRDefault="002625B2" w:rsidP="002625B2">
            <w:pPr>
              <w:ind w:right="697"/>
              <w:jc w:val="right"/>
            </w:pPr>
            <w:r w:rsidRPr="00AE6EDB">
              <w:t>67,9</w:t>
            </w:r>
          </w:p>
        </w:tc>
        <w:tc>
          <w:tcPr>
            <w:tcW w:w="1368" w:type="pct"/>
            <w:noWrap/>
            <w:vAlign w:val="bottom"/>
          </w:tcPr>
          <w:p w:rsidR="002625B2" w:rsidRPr="00AE6EDB" w:rsidRDefault="002625B2" w:rsidP="002625B2">
            <w:pPr>
              <w:ind w:right="697"/>
              <w:jc w:val="right"/>
            </w:pPr>
            <w:r w:rsidRPr="00AE6EDB">
              <w:t xml:space="preserve">69,0 </w:t>
            </w:r>
          </w:p>
        </w:tc>
        <w:tc>
          <w:tcPr>
            <w:tcW w:w="1356" w:type="pct"/>
            <w:noWrap/>
            <w:vAlign w:val="bottom"/>
          </w:tcPr>
          <w:p w:rsidR="002625B2" w:rsidRPr="00AE6EDB" w:rsidRDefault="002625B2" w:rsidP="002625B2">
            <w:pPr>
              <w:ind w:right="697"/>
              <w:jc w:val="right"/>
            </w:pPr>
            <w:r w:rsidRPr="00AE6EDB">
              <w:t xml:space="preserve">1,1 </w:t>
            </w:r>
          </w:p>
        </w:tc>
      </w:tr>
      <w:tr w:rsidR="002625B2" w:rsidRPr="00AE6EDB" w:rsidTr="002625B2">
        <w:trPr>
          <w:trHeight w:val="255"/>
          <w:jc w:val="center"/>
        </w:trPr>
        <w:tc>
          <w:tcPr>
            <w:tcW w:w="993" w:type="pct"/>
            <w:noWrap/>
            <w:vAlign w:val="center"/>
          </w:tcPr>
          <w:p w:rsidR="002625B2" w:rsidRPr="00AE6EDB" w:rsidRDefault="002625B2" w:rsidP="002625B2">
            <w:r w:rsidRPr="00AE6EDB">
              <w:t>Nitriansky</w:t>
            </w:r>
          </w:p>
        </w:tc>
        <w:tc>
          <w:tcPr>
            <w:tcW w:w="1283" w:type="pct"/>
            <w:noWrap/>
            <w:vAlign w:val="center"/>
          </w:tcPr>
          <w:p w:rsidR="002625B2" w:rsidRPr="00AE6EDB" w:rsidRDefault="002625B2" w:rsidP="002625B2">
            <w:pPr>
              <w:ind w:right="697"/>
              <w:jc w:val="right"/>
            </w:pPr>
            <w:r w:rsidRPr="00AE6EDB">
              <w:t>66,7</w:t>
            </w:r>
          </w:p>
        </w:tc>
        <w:tc>
          <w:tcPr>
            <w:tcW w:w="1368" w:type="pct"/>
            <w:noWrap/>
            <w:vAlign w:val="bottom"/>
          </w:tcPr>
          <w:p w:rsidR="002625B2" w:rsidRPr="00AE6EDB" w:rsidRDefault="002625B2" w:rsidP="002625B2">
            <w:pPr>
              <w:ind w:right="697"/>
              <w:jc w:val="right"/>
            </w:pPr>
            <w:r w:rsidRPr="00AE6EDB">
              <w:t xml:space="preserve">67,6 </w:t>
            </w:r>
          </w:p>
        </w:tc>
        <w:tc>
          <w:tcPr>
            <w:tcW w:w="1356" w:type="pct"/>
            <w:noWrap/>
            <w:vAlign w:val="bottom"/>
          </w:tcPr>
          <w:p w:rsidR="002625B2" w:rsidRPr="00AE6EDB" w:rsidRDefault="002625B2" w:rsidP="002625B2">
            <w:pPr>
              <w:ind w:right="697"/>
              <w:jc w:val="right"/>
            </w:pPr>
            <w:r w:rsidRPr="00AE6EDB">
              <w:t xml:space="preserve">0,9 </w:t>
            </w:r>
          </w:p>
        </w:tc>
      </w:tr>
      <w:tr w:rsidR="002625B2" w:rsidRPr="00AE6EDB" w:rsidTr="002625B2">
        <w:trPr>
          <w:trHeight w:val="255"/>
          <w:jc w:val="center"/>
        </w:trPr>
        <w:tc>
          <w:tcPr>
            <w:tcW w:w="993" w:type="pct"/>
            <w:noWrap/>
            <w:vAlign w:val="center"/>
          </w:tcPr>
          <w:p w:rsidR="002625B2" w:rsidRPr="00AE6EDB" w:rsidRDefault="002625B2" w:rsidP="002625B2">
            <w:r w:rsidRPr="00AE6EDB">
              <w:t>Žilinský</w:t>
            </w:r>
          </w:p>
        </w:tc>
        <w:tc>
          <w:tcPr>
            <w:tcW w:w="1283" w:type="pct"/>
            <w:noWrap/>
            <w:vAlign w:val="center"/>
          </w:tcPr>
          <w:p w:rsidR="002625B2" w:rsidRPr="00AE6EDB" w:rsidRDefault="002625B2" w:rsidP="002625B2">
            <w:pPr>
              <w:ind w:right="697"/>
              <w:jc w:val="right"/>
            </w:pPr>
            <w:r w:rsidRPr="00AE6EDB">
              <w:t>64,3</w:t>
            </w:r>
          </w:p>
        </w:tc>
        <w:tc>
          <w:tcPr>
            <w:tcW w:w="1368" w:type="pct"/>
            <w:noWrap/>
            <w:vAlign w:val="bottom"/>
          </w:tcPr>
          <w:p w:rsidR="002625B2" w:rsidRPr="00AE6EDB" w:rsidRDefault="002625B2" w:rsidP="002625B2">
            <w:pPr>
              <w:ind w:right="697"/>
              <w:jc w:val="right"/>
            </w:pPr>
            <w:r w:rsidRPr="00AE6EDB">
              <w:t xml:space="preserve">67,7 </w:t>
            </w:r>
          </w:p>
        </w:tc>
        <w:tc>
          <w:tcPr>
            <w:tcW w:w="1356" w:type="pct"/>
            <w:noWrap/>
            <w:vAlign w:val="bottom"/>
          </w:tcPr>
          <w:p w:rsidR="002625B2" w:rsidRPr="00AE6EDB" w:rsidRDefault="002625B2" w:rsidP="002625B2">
            <w:pPr>
              <w:ind w:right="697"/>
              <w:jc w:val="right"/>
            </w:pPr>
            <w:r w:rsidRPr="00AE6EDB">
              <w:t xml:space="preserve">3,4 </w:t>
            </w:r>
          </w:p>
        </w:tc>
      </w:tr>
      <w:tr w:rsidR="002625B2" w:rsidRPr="00AE6EDB" w:rsidTr="002625B2">
        <w:trPr>
          <w:trHeight w:val="255"/>
          <w:jc w:val="center"/>
        </w:trPr>
        <w:tc>
          <w:tcPr>
            <w:tcW w:w="993" w:type="pct"/>
            <w:noWrap/>
            <w:vAlign w:val="center"/>
          </w:tcPr>
          <w:p w:rsidR="002625B2" w:rsidRPr="00AE6EDB" w:rsidRDefault="002625B2" w:rsidP="002625B2">
            <w:r w:rsidRPr="00AE6EDB">
              <w:t>Banskobystrický</w:t>
            </w:r>
          </w:p>
        </w:tc>
        <w:tc>
          <w:tcPr>
            <w:tcW w:w="1283" w:type="pct"/>
            <w:noWrap/>
            <w:vAlign w:val="center"/>
          </w:tcPr>
          <w:p w:rsidR="002625B2" w:rsidRPr="00AE6EDB" w:rsidRDefault="002625B2" w:rsidP="002625B2">
            <w:pPr>
              <w:ind w:right="697"/>
              <w:jc w:val="right"/>
            </w:pPr>
            <w:r w:rsidRPr="00AE6EDB">
              <w:t>63,2</w:t>
            </w:r>
          </w:p>
        </w:tc>
        <w:tc>
          <w:tcPr>
            <w:tcW w:w="1368" w:type="pct"/>
            <w:noWrap/>
            <w:vAlign w:val="bottom"/>
          </w:tcPr>
          <w:p w:rsidR="002625B2" w:rsidRPr="00AE6EDB" w:rsidRDefault="002625B2" w:rsidP="002625B2">
            <w:pPr>
              <w:ind w:right="697"/>
              <w:jc w:val="right"/>
            </w:pPr>
            <w:r w:rsidRPr="00AE6EDB">
              <w:t xml:space="preserve">66,6 </w:t>
            </w:r>
          </w:p>
        </w:tc>
        <w:tc>
          <w:tcPr>
            <w:tcW w:w="1356" w:type="pct"/>
            <w:noWrap/>
            <w:vAlign w:val="bottom"/>
          </w:tcPr>
          <w:p w:rsidR="002625B2" w:rsidRPr="00AE6EDB" w:rsidRDefault="002625B2" w:rsidP="002625B2">
            <w:pPr>
              <w:ind w:right="697"/>
              <w:jc w:val="right"/>
            </w:pPr>
            <w:r w:rsidRPr="00AE6EDB">
              <w:t xml:space="preserve">3,4 </w:t>
            </w:r>
          </w:p>
        </w:tc>
      </w:tr>
      <w:tr w:rsidR="002625B2" w:rsidRPr="00AE6EDB" w:rsidTr="002625B2">
        <w:trPr>
          <w:trHeight w:val="255"/>
          <w:jc w:val="center"/>
        </w:trPr>
        <w:tc>
          <w:tcPr>
            <w:tcW w:w="993" w:type="pct"/>
            <w:noWrap/>
            <w:vAlign w:val="center"/>
          </w:tcPr>
          <w:p w:rsidR="002625B2" w:rsidRPr="00AE6EDB" w:rsidRDefault="002625B2" w:rsidP="002625B2">
            <w:r w:rsidRPr="00AE6EDB">
              <w:t>Prešovský</w:t>
            </w:r>
          </w:p>
        </w:tc>
        <w:tc>
          <w:tcPr>
            <w:tcW w:w="1283" w:type="pct"/>
            <w:noWrap/>
            <w:vAlign w:val="center"/>
          </w:tcPr>
          <w:p w:rsidR="002625B2" w:rsidRPr="00AE6EDB" w:rsidRDefault="002625B2" w:rsidP="002625B2">
            <w:pPr>
              <w:ind w:right="697"/>
              <w:jc w:val="right"/>
            </w:pPr>
            <w:r w:rsidRPr="00AE6EDB">
              <w:t>62,3</w:t>
            </w:r>
          </w:p>
        </w:tc>
        <w:tc>
          <w:tcPr>
            <w:tcW w:w="1368" w:type="pct"/>
            <w:noWrap/>
            <w:vAlign w:val="bottom"/>
          </w:tcPr>
          <w:p w:rsidR="002625B2" w:rsidRPr="00AE6EDB" w:rsidRDefault="002625B2" w:rsidP="002625B2">
            <w:pPr>
              <w:ind w:right="697"/>
              <w:jc w:val="right"/>
            </w:pPr>
            <w:r w:rsidRPr="00AE6EDB">
              <w:t xml:space="preserve">62,8 </w:t>
            </w:r>
          </w:p>
        </w:tc>
        <w:tc>
          <w:tcPr>
            <w:tcW w:w="1356" w:type="pct"/>
            <w:noWrap/>
            <w:vAlign w:val="bottom"/>
          </w:tcPr>
          <w:p w:rsidR="002625B2" w:rsidRPr="00AE6EDB" w:rsidRDefault="002625B2" w:rsidP="002625B2">
            <w:pPr>
              <w:ind w:right="697"/>
              <w:jc w:val="right"/>
            </w:pPr>
            <w:r w:rsidRPr="00AE6EDB">
              <w:t xml:space="preserve">0,5 </w:t>
            </w:r>
          </w:p>
        </w:tc>
      </w:tr>
      <w:tr w:rsidR="002625B2" w:rsidRPr="00AE6EDB" w:rsidTr="002625B2">
        <w:trPr>
          <w:trHeight w:val="255"/>
          <w:jc w:val="center"/>
        </w:trPr>
        <w:tc>
          <w:tcPr>
            <w:tcW w:w="993" w:type="pct"/>
            <w:noWrap/>
            <w:vAlign w:val="center"/>
          </w:tcPr>
          <w:p w:rsidR="002625B2" w:rsidRPr="00AE6EDB" w:rsidRDefault="002625B2" w:rsidP="002625B2">
            <w:r w:rsidRPr="00AE6EDB">
              <w:t>Košický</w:t>
            </w:r>
          </w:p>
        </w:tc>
        <w:tc>
          <w:tcPr>
            <w:tcW w:w="1283" w:type="pct"/>
            <w:noWrap/>
            <w:vAlign w:val="center"/>
          </w:tcPr>
          <w:p w:rsidR="002625B2" w:rsidRPr="00AE6EDB" w:rsidRDefault="002625B2" w:rsidP="002625B2">
            <w:pPr>
              <w:ind w:right="697"/>
              <w:jc w:val="right"/>
            </w:pPr>
            <w:r w:rsidRPr="00AE6EDB">
              <w:t>61,5</w:t>
            </w:r>
          </w:p>
        </w:tc>
        <w:tc>
          <w:tcPr>
            <w:tcW w:w="1368" w:type="pct"/>
            <w:noWrap/>
            <w:vAlign w:val="bottom"/>
          </w:tcPr>
          <w:p w:rsidR="002625B2" w:rsidRPr="00AE6EDB" w:rsidRDefault="002625B2" w:rsidP="002625B2">
            <w:pPr>
              <w:ind w:right="697"/>
              <w:jc w:val="right"/>
            </w:pPr>
            <w:r w:rsidRPr="00AE6EDB">
              <w:t xml:space="preserve">63,3 </w:t>
            </w:r>
          </w:p>
        </w:tc>
        <w:tc>
          <w:tcPr>
            <w:tcW w:w="1356" w:type="pct"/>
            <w:noWrap/>
            <w:vAlign w:val="bottom"/>
          </w:tcPr>
          <w:p w:rsidR="002625B2" w:rsidRPr="00AE6EDB" w:rsidRDefault="002625B2" w:rsidP="002625B2">
            <w:pPr>
              <w:ind w:right="697"/>
              <w:jc w:val="right"/>
            </w:pPr>
            <w:r w:rsidRPr="00AE6EDB">
              <w:t xml:space="preserve">1,8 </w:t>
            </w:r>
          </w:p>
        </w:tc>
      </w:tr>
    </w:tbl>
    <w:p w:rsidR="002625B2" w:rsidRPr="00AE6EDB" w:rsidRDefault="002625B2" w:rsidP="002625B2">
      <w:pPr>
        <w:pStyle w:val="zdroj"/>
      </w:pPr>
      <w:r w:rsidRPr="00AE6EDB">
        <w:t>Zdroj: ŠÚ SR, VZPS</w:t>
      </w:r>
    </w:p>
    <w:p w:rsidR="002A21C4" w:rsidRPr="00AE6EDB" w:rsidRDefault="002A21C4">
      <w:pPr>
        <w:jc w:val="left"/>
        <w:rPr>
          <w:b/>
          <w:color w:val="E78A80" w:themeColor="accent2" w:themeTint="99"/>
          <w:szCs w:val="22"/>
        </w:rPr>
      </w:pPr>
      <w:r w:rsidRPr="00AE6EDB">
        <w:br w:type="page"/>
      </w:r>
    </w:p>
    <w:p w:rsidR="002625B2" w:rsidRPr="00AE6EDB" w:rsidRDefault="002625B2" w:rsidP="008B33F6">
      <w:pPr>
        <w:pStyle w:val="Nadpis41"/>
        <w:spacing w:before="0" w:after="180"/>
        <w:ind w:left="862" w:hanging="862"/>
      </w:pPr>
      <w:r w:rsidRPr="00AE6EDB">
        <w:lastRenderedPageBreak/>
        <w:t>Zamestnanosť podľa štatistického výkazníctva ŠÚ SR</w:t>
      </w:r>
    </w:p>
    <w:p w:rsidR="002625B2" w:rsidRPr="00AE6EDB" w:rsidRDefault="002625B2" w:rsidP="002625B2">
      <w:pPr>
        <w:ind w:firstLine="567"/>
      </w:pPr>
      <w:r w:rsidRPr="00AE6EDB">
        <w:t xml:space="preserve">Podľa štvrťročného podnikového výkazníctva </w:t>
      </w:r>
      <w:r w:rsidRPr="00AE6EDB">
        <w:rPr>
          <w:iCs/>
        </w:rPr>
        <w:t>priemerný počet zamestnaných osôb v hospodárstve SR</w:t>
      </w:r>
      <w:r w:rsidRPr="00AE6EDB">
        <w:t xml:space="preserve"> za rok 2015 dosiahol </w:t>
      </w:r>
      <w:r w:rsidR="0054295F">
        <w:t>2 2</w:t>
      </w:r>
      <w:r w:rsidRPr="00AE6EDB">
        <w:t>51,6 tis. osôb. V porovnaní s rokom 2014 vzrástol o 2,1</w:t>
      </w:r>
      <w:r w:rsidR="005676EF">
        <w:t> %</w:t>
      </w:r>
      <w:r w:rsidRPr="00AE6EDB">
        <w:t>, čo v absolútnom vyjadrení predstavovalo prírastok 47,0 tis. osôb.</w:t>
      </w:r>
    </w:p>
    <w:p w:rsidR="002625B2" w:rsidRPr="00AE6EDB" w:rsidRDefault="002625B2" w:rsidP="002625B2">
      <w:pPr>
        <w:ind w:firstLine="431"/>
        <w:rPr>
          <w:highlight w:val="cyan"/>
        </w:rPr>
      </w:pPr>
      <w:r w:rsidRPr="00AE6EDB">
        <w:t xml:space="preserve">Pokiaľ ide o </w:t>
      </w:r>
      <w:r w:rsidRPr="00AE6EDB">
        <w:rPr>
          <w:b/>
        </w:rPr>
        <w:t>odvetvovú štruktúru</w:t>
      </w:r>
      <w:r w:rsidRPr="00AE6EDB">
        <w:t>, z celkového počtu zamestnaných osôb SR v roku 2015 pracovalo v pôdohospodárstve 4,2</w:t>
      </w:r>
      <w:r w:rsidR="005676EF">
        <w:t> %</w:t>
      </w:r>
      <w:r w:rsidRPr="00AE6EDB">
        <w:t xml:space="preserve"> (rovnako ako v roku 2014), v priemysle 22,6</w:t>
      </w:r>
      <w:r w:rsidR="005676EF">
        <w:t> %</w:t>
      </w:r>
      <w:r w:rsidRPr="00AE6EDB">
        <w:t xml:space="preserve"> (oproti roku 2014 zníženie o 0,1 p. b.), v stavebníctve 6,9</w:t>
      </w:r>
      <w:r w:rsidR="005676EF">
        <w:t> %</w:t>
      </w:r>
      <w:r w:rsidRPr="00AE6EDB">
        <w:t xml:space="preserve"> (v roku 2014 to bolo 7,1</w:t>
      </w:r>
      <w:r w:rsidR="005676EF">
        <w:t> %</w:t>
      </w:r>
      <w:r w:rsidRPr="00AE6EDB">
        <w:t>) a v sektore služieb 66,3</w:t>
      </w:r>
      <w:r w:rsidR="005676EF">
        <w:t> %</w:t>
      </w:r>
      <w:r w:rsidRPr="00AE6EDB">
        <w:t xml:space="preserve"> (66,1</w:t>
      </w:r>
      <w:r w:rsidR="005676EF">
        <w:t> %</w:t>
      </w:r>
      <w:r w:rsidRPr="00AE6EDB">
        <w:t xml:space="preserve"> v roku 2014). V rámci sektora služieb najväčší podiel na celkovej zamestnanosti malo odvetvie veľkoobchod a maloobchod, oprava motorových vozidiel (24,3</w:t>
      </w:r>
      <w:r w:rsidR="005676EF">
        <w:t> %</w:t>
      </w:r>
      <w:r w:rsidRPr="00AE6EDB">
        <w:t>), ktorý bol oproti roku 2014 nižší o 0,5 p. b.</w:t>
      </w:r>
    </w:p>
    <w:p w:rsidR="002625B2" w:rsidRPr="00AE6EDB" w:rsidRDefault="002625B2" w:rsidP="008B33F6">
      <w:pPr>
        <w:pStyle w:val="Nadpis7"/>
        <w:spacing w:before="120" w:after="0"/>
      </w:pPr>
      <w:r w:rsidRPr="00AE6EDB">
        <w:t>Graf 2.5 Podiel zamestnancov podľa odvetvovej štruktúry – rok 201</w:t>
      </w:r>
      <w:r w:rsidR="002A21C4" w:rsidRPr="00AE6EDB">
        <w:t>5</w:t>
      </w:r>
    </w:p>
    <w:p w:rsidR="002625B2" w:rsidRPr="00AE6EDB" w:rsidRDefault="0095608B" w:rsidP="002A21C4">
      <w:pPr>
        <w:jc w:val="center"/>
      </w:pPr>
      <w:r w:rsidRPr="00AE6EDB">
        <w:rPr>
          <w:noProof/>
        </w:rPr>
        <w:drawing>
          <wp:inline distT="0" distB="0" distL="0" distR="0" wp14:anchorId="727ED40A" wp14:editId="06998257">
            <wp:extent cx="5838825" cy="308610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25B2" w:rsidRPr="00AE6EDB" w:rsidRDefault="002625B2" w:rsidP="002625B2">
      <w:pPr>
        <w:pStyle w:val="zdroj"/>
        <w:ind w:firstLine="0"/>
      </w:pPr>
      <w:r w:rsidRPr="00AE6EDB">
        <w:t>Zdroj: ŠÚ SR</w:t>
      </w:r>
    </w:p>
    <w:p w:rsidR="002625B2" w:rsidRPr="00AE6EDB" w:rsidRDefault="002625B2" w:rsidP="002625B2">
      <w:pPr>
        <w:ind w:firstLine="567"/>
      </w:pPr>
      <w:r w:rsidRPr="00AE6EDB">
        <w:t xml:space="preserve">V roku 2015 nedošlo k výraznejším posunom v štruktúre zamestnanosti </w:t>
      </w:r>
      <w:r w:rsidRPr="00AE6EDB">
        <w:rPr>
          <w:b/>
        </w:rPr>
        <w:t>podľa veľkosti podnikov</w:t>
      </w:r>
      <w:r w:rsidRPr="00AE6EDB">
        <w:t xml:space="preserve">. </w:t>
      </w:r>
      <w:bookmarkStart w:id="105" w:name="_Toc356482632"/>
      <w:r w:rsidRPr="00AE6EDB">
        <w:t>V porovnaní s rokom 2014 sa znížila zamestnanosť len v podnikoch s 500 – 999 zamestnancami a u živnostníkov. Ostatné veľkostné kategórie podnikov zaznamenali medziročný rast počtu zamestnancov (v rozsahu od 1,4</w:t>
      </w:r>
      <w:r w:rsidR="005676EF">
        <w:t> %</w:t>
      </w:r>
      <w:r w:rsidRPr="00AE6EDB">
        <w:t xml:space="preserve"> do 13,6</w:t>
      </w:r>
      <w:r w:rsidR="005676EF">
        <w:t> %</w:t>
      </w:r>
      <w:r w:rsidRPr="00AE6EDB">
        <w:t>). Malé a stredné podniky vrátane živnostníkov sa v roku 2015 podieľali na celkovej zamestnanosti SR 69,6</w:t>
      </w:r>
      <w:r w:rsidR="005676EF">
        <w:t> %</w:t>
      </w:r>
      <w:r w:rsidRPr="00AE6EDB">
        <w:t>, čo bol</w:t>
      </w:r>
      <w:r w:rsidR="008621AA">
        <w:t>o</w:t>
      </w:r>
      <w:r w:rsidRPr="00AE6EDB">
        <w:t xml:space="preserve"> o 0,8 p. b. menej ako v roku 2014.</w:t>
      </w:r>
    </w:p>
    <w:p w:rsidR="002625B2" w:rsidRPr="00AE6EDB" w:rsidRDefault="002625B2" w:rsidP="00326DA1">
      <w:pPr>
        <w:pStyle w:val="Nadpis7"/>
        <w:spacing w:before="0"/>
      </w:pPr>
      <w:r w:rsidRPr="00AE6EDB">
        <w:t>Tabuľka 2.</w:t>
      </w:r>
      <w:r w:rsidR="004A57BA" w:rsidRPr="00AE6EDB">
        <w:t>9</w:t>
      </w:r>
      <w:r w:rsidRPr="00AE6EDB">
        <w:t xml:space="preserve"> Zamestnanosť podľa veľkosti podnikov (priemer za rok)</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100"/>
        <w:gridCol w:w="1163"/>
        <w:gridCol w:w="1340"/>
        <w:gridCol w:w="1178"/>
        <w:gridCol w:w="1163"/>
        <w:gridCol w:w="1338"/>
        <w:gridCol w:w="1006"/>
      </w:tblGrid>
      <w:tr w:rsidR="008B33F6" w:rsidRPr="00AE6EDB" w:rsidTr="008B33F6">
        <w:trPr>
          <w:cantSplit/>
          <w:trHeight w:val="340"/>
          <w:jc w:val="center"/>
        </w:trPr>
        <w:tc>
          <w:tcPr>
            <w:tcW w:w="2100" w:type="dxa"/>
            <w:vMerge w:val="restart"/>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Počet zamestnancov</w:t>
            </w:r>
          </w:p>
        </w:tc>
        <w:tc>
          <w:tcPr>
            <w:tcW w:w="3681" w:type="dxa"/>
            <w:gridSpan w:val="3"/>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2014</w:t>
            </w:r>
          </w:p>
        </w:tc>
        <w:tc>
          <w:tcPr>
            <w:tcW w:w="3507" w:type="dxa"/>
            <w:gridSpan w:val="3"/>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2015</w:t>
            </w:r>
          </w:p>
        </w:tc>
      </w:tr>
      <w:tr w:rsidR="008B33F6" w:rsidRPr="00AE6EDB" w:rsidTr="002625B2">
        <w:trPr>
          <w:jc w:val="center"/>
        </w:trPr>
        <w:tc>
          <w:tcPr>
            <w:tcW w:w="2100" w:type="dxa"/>
            <w:vMerge/>
            <w:shd w:val="clear" w:color="auto" w:fill="BF0000" w:themeFill="accent3" w:themeFillShade="BF"/>
            <w:vAlign w:val="center"/>
          </w:tcPr>
          <w:p w:rsidR="008B33F6" w:rsidRPr="00AE6EDB" w:rsidRDefault="008B33F6" w:rsidP="002625B2">
            <w:pPr>
              <w:jc w:val="center"/>
              <w:rPr>
                <w:b/>
                <w:color w:val="FFFFFF" w:themeColor="background1"/>
              </w:rPr>
            </w:pPr>
          </w:p>
        </w:tc>
        <w:tc>
          <w:tcPr>
            <w:tcW w:w="1163" w:type="dxa"/>
            <w:shd w:val="clear" w:color="auto" w:fill="BF0000" w:themeFill="accent3" w:themeFillShade="BF"/>
            <w:vAlign w:val="center"/>
          </w:tcPr>
          <w:p w:rsidR="008B33F6" w:rsidRPr="00AE6EDB" w:rsidRDefault="008B33F6" w:rsidP="008B33F6">
            <w:pPr>
              <w:jc w:val="center"/>
              <w:rPr>
                <w:b/>
                <w:color w:val="FFFFFF" w:themeColor="background1"/>
              </w:rPr>
            </w:pPr>
            <w:r w:rsidRPr="00AE6EDB">
              <w:rPr>
                <w:b/>
                <w:color w:val="FFFFFF" w:themeColor="background1"/>
              </w:rPr>
              <w:t>Osoby</w:t>
            </w:r>
          </w:p>
        </w:tc>
        <w:tc>
          <w:tcPr>
            <w:tcW w:w="1340" w:type="dxa"/>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Index 2014/2013</w:t>
            </w:r>
          </w:p>
        </w:tc>
        <w:tc>
          <w:tcPr>
            <w:tcW w:w="1178" w:type="dxa"/>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Podiel v</w:t>
            </w:r>
            <w:r w:rsidR="005676EF">
              <w:rPr>
                <w:b/>
                <w:color w:val="FFFFFF" w:themeColor="background1"/>
              </w:rPr>
              <w:t> %</w:t>
            </w:r>
          </w:p>
        </w:tc>
        <w:tc>
          <w:tcPr>
            <w:tcW w:w="1163" w:type="dxa"/>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Osoby</w:t>
            </w:r>
          </w:p>
        </w:tc>
        <w:tc>
          <w:tcPr>
            <w:tcW w:w="1338" w:type="dxa"/>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Index 2015/2014</w:t>
            </w:r>
          </w:p>
        </w:tc>
        <w:tc>
          <w:tcPr>
            <w:tcW w:w="1006" w:type="dxa"/>
            <w:shd w:val="clear" w:color="auto" w:fill="BF0000" w:themeFill="accent3" w:themeFillShade="BF"/>
            <w:vAlign w:val="center"/>
          </w:tcPr>
          <w:p w:rsidR="008B33F6" w:rsidRPr="00AE6EDB" w:rsidRDefault="008B33F6" w:rsidP="002625B2">
            <w:pPr>
              <w:jc w:val="center"/>
              <w:rPr>
                <w:b/>
                <w:color w:val="FFFFFF" w:themeColor="background1"/>
              </w:rPr>
            </w:pPr>
            <w:r w:rsidRPr="00AE6EDB">
              <w:rPr>
                <w:b/>
                <w:color w:val="FFFFFF" w:themeColor="background1"/>
              </w:rPr>
              <w:t>Podiel v</w:t>
            </w:r>
            <w:r w:rsidR="005676EF">
              <w:rPr>
                <w:b/>
                <w:color w:val="FFFFFF" w:themeColor="background1"/>
              </w:rPr>
              <w:t> %</w:t>
            </w:r>
          </w:p>
        </w:tc>
      </w:tr>
      <w:tr w:rsidR="002625B2" w:rsidRPr="00AE6EDB" w:rsidTr="002625B2">
        <w:trPr>
          <w:jc w:val="center"/>
        </w:trPr>
        <w:tc>
          <w:tcPr>
            <w:tcW w:w="2100" w:type="dxa"/>
            <w:vAlign w:val="center"/>
          </w:tcPr>
          <w:p w:rsidR="002625B2" w:rsidRPr="00AE6EDB" w:rsidRDefault="002625B2" w:rsidP="002625B2">
            <w:r w:rsidRPr="00AE6EDB">
              <w:t>0 – 19</w:t>
            </w:r>
          </w:p>
        </w:tc>
        <w:tc>
          <w:tcPr>
            <w:tcW w:w="1163" w:type="dxa"/>
            <w:vAlign w:val="center"/>
          </w:tcPr>
          <w:p w:rsidR="002625B2" w:rsidRPr="00AE6EDB" w:rsidRDefault="002625B2" w:rsidP="002625B2">
            <w:pPr>
              <w:jc w:val="right"/>
            </w:pPr>
            <w:r w:rsidRPr="00AE6EDB">
              <w:t>32</w:t>
            </w:r>
            <w:r w:rsidR="00AC44CB">
              <w:t>5 8</w:t>
            </w:r>
            <w:r w:rsidRPr="00AE6EDB">
              <w:t>14</w:t>
            </w:r>
          </w:p>
        </w:tc>
        <w:tc>
          <w:tcPr>
            <w:tcW w:w="1340" w:type="dxa"/>
            <w:vAlign w:val="center"/>
          </w:tcPr>
          <w:p w:rsidR="002625B2" w:rsidRPr="00AE6EDB" w:rsidRDefault="002625B2" w:rsidP="002625B2">
            <w:pPr>
              <w:jc w:val="right"/>
            </w:pPr>
            <w:r w:rsidRPr="00AE6EDB">
              <w:t>103,2</w:t>
            </w:r>
          </w:p>
        </w:tc>
        <w:tc>
          <w:tcPr>
            <w:tcW w:w="1178" w:type="dxa"/>
            <w:vAlign w:val="center"/>
          </w:tcPr>
          <w:p w:rsidR="002625B2" w:rsidRPr="00AE6EDB" w:rsidRDefault="002625B2" w:rsidP="002625B2">
            <w:pPr>
              <w:jc w:val="right"/>
            </w:pPr>
            <w:r w:rsidRPr="00AE6EDB">
              <w:t>14,8</w:t>
            </w:r>
          </w:p>
        </w:tc>
        <w:tc>
          <w:tcPr>
            <w:tcW w:w="1163" w:type="dxa"/>
            <w:vAlign w:val="bottom"/>
          </w:tcPr>
          <w:p w:rsidR="002625B2" w:rsidRPr="00AE6EDB" w:rsidRDefault="002625B2" w:rsidP="002625B2">
            <w:pPr>
              <w:jc w:val="right"/>
            </w:pPr>
            <w:r w:rsidRPr="00AE6EDB">
              <w:t>33</w:t>
            </w:r>
            <w:r w:rsidR="0054295F">
              <w:t>0 3</w:t>
            </w:r>
            <w:r w:rsidRPr="00AE6EDB">
              <w:t xml:space="preserve">77 </w:t>
            </w:r>
          </w:p>
        </w:tc>
        <w:tc>
          <w:tcPr>
            <w:tcW w:w="1338" w:type="dxa"/>
            <w:vAlign w:val="bottom"/>
          </w:tcPr>
          <w:p w:rsidR="002625B2" w:rsidRPr="00AE6EDB" w:rsidRDefault="002625B2" w:rsidP="002625B2">
            <w:pPr>
              <w:jc w:val="right"/>
            </w:pPr>
            <w:r w:rsidRPr="00AE6EDB">
              <w:t xml:space="preserve">101,4 </w:t>
            </w:r>
          </w:p>
        </w:tc>
        <w:tc>
          <w:tcPr>
            <w:tcW w:w="1006" w:type="dxa"/>
            <w:vAlign w:val="bottom"/>
          </w:tcPr>
          <w:p w:rsidR="002625B2" w:rsidRPr="00AE6EDB" w:rsidRDefault="002625B2" w:rsidP="002625B2">
            <w:pPr>
              <w:jc w:val="right"/>
            </w:pPr>
            <w:r w:rsidRPr="00AE6EDB">
              <w:t xml:space="preserve">14,7 </w:t>
            </w:r>
          </w:p>
        </w:tc>
      </w:tr>
      <w:tr w:rsidR="002625B2" w:rsidRPr="00AE6EDB" w:rsidTr="002625B2">
        <w:trPr>
          <w:jc w:val="center"/>
        </w:trPr>
        <w:tc>
          <w:tcPr>
            <w:tcW w:w="2100" w:type="dxa"/>
            <w:vAlign w:val="center"/>
          </w:tcPr>
          <w:p w:rsidR="002625B2" w:rsidRPr="00AE6EDB" w:rsidRDefault="002625B2" w:rsidP="002625B2">
            <w:r w:rsidRPr="00AE6EDB">
              <w:t>20 – 49</w:t>
            </w:r>
          </w:p>
        </w:tc>
        <w:tc>
          <w:tcPr>
            <w:tcW w:w="1163" w:type="dxa"/>
            <w:vAlign w:val="center"/>
          </w:tcPr>
          <w:p w:rsidR="002625B2" w:rsidRPr="00AE6EDB" w:rsidRDefault="002625B2" w:rsidP="002625B2">
            <w:pPr>
              <w:jc w:val="right"/>
            </w:pPr>
            <w:r w:rsidRPr="00AE6EDB">
              <w:t>20</w:t>
            </w:r>
            <w:r w:rsidR="00AC44CB">
              <w:t>4 9</w:t>
            </w:r>
            <w:r w:rsidRPr="00AE6EDB">
              <w:t>73</w:t>
            </w:r>
          </w:p>
        </w:tc>
        <w:tc>
          <w:tcPr>
            <w:tcW w:w="1340" w:type="dxa"/>
            <w:vAlign w:val="center"/>
          </w:tcPr>
          <w:p w:rsidR="002625B2" w:rsidRPr="00AE6EDB" w:rsidRDefault="002625B2" w:rsidP="002625B2">
            <w:pPr>
              <w:jc w:val="right"/>
            </w:pPr>
            <w:r w:rsidRPr="00AE6EDB">
              <w:t>102,6</w:t>
            </w:r>
          </w:p>
        </w:tc>
        <w:tc>
          <w:tcPr>
            <w:tcW w:w="1178" w:type="dxa"/>
            <w:vAlign w:val="center"/>
          </w:tcPr>
          <w:p w:rsidR="002625B2" w:rsidRPr="00AE6EDB" w:rsidRDefault="002625B2" w:rsidP="002625B2">
            <w:pPr>
              <w:jc w:val="right"/>
            </w:pPr>
            <w:r w:rsidRPr="00AE6EDB">
              <w:t>9,3</w:t>
            </w:r>
          </w:p>
        </w:tc>
        <w:tc>
          <w:tcPr>
            <w:tcW w:w="1163" w:type="dxa"/>
            <w:vAlign w:val="bottom"/>
          </w:tcPr>
          <w:p w:rsidR="002625B2" w:rsidRPr="00AE6EDB" w:rsidRDefault="002625B2" w:rsidP="002625B2">
            <w:pPr>
              <w:jc w:val="right"/>
            </w:pPr>
            <w:r w:rsidRPr="00AE6EDB">
              <w:t>21</w:t>
            </w:r>
            <w:r w:rsidR="00AC44CB">
              <w:t>6 0</w:t>
            </w:r>
            <w:r w:rsidRPr="00AE6EDB">
              <w:t xml:space="preserve">76 </w:t>
            </w:r>
          </w:p>
        </w:tc>
        <w:tc>
          <w:tcPr>
            <w:tcW w:w="1338" w:type="dxa"/>
            <w:vAlign w:val="bottom"/>
          </w:tcPr>
          <w:p w:rsidR="002625B2" w:rsidRPr="00AE6EDB" w:rsidRDefault="002625B2" w:rsidP="002625B2">
            <w:pPr>
              <w:jc w:val="right"/>
            </w:pPr>
            <w:r w:rsidRPr="00AE6EDB">
              <w:t xml:space="preserve">105,4 </w:t>
            </w:r>
          </w:p>
        </w:tc>
        <w:tc>
          <w:tcPr>
            <w:tcW w:w="1006" w:type="dxa"/>
            <w:vAlign w:val="bottom"/>
          </w:tcPr>
          <w:p w:rsidR="002625B2" w:rsidRPr="00AE6EDB" w:rsidRDefault="002625B2" w:rsidP="002625B2">
            <w:pPr>
              <w:jc w:val="right"/>
            </w:pPr>
            <w:r w:rsidRPr="00AE6EDB">
              <w:t xml:space="preserve">9,6 </w:t>
            </w:r>
          </w:p>
        </w:tc>
      </w:tr>
      <w:tr w:rsidR="002625B2" w:rsidRPr="00AE6EDB" w:rsidTr="002625B2">
        <w:trPr>
          <w:jc w:val="center"/>
        </w:trPr>
        <w:tc>
          <w:tcPr>
            <w:tcW w:w="2100" w:type="dxa"/>
            <w:vAlign w:val="center"/>
          </w:tcPr>
          <w:p w:rsidR="002625B2" w:rsidRPr="00AE6EDB" w:rsidRDefault="002625B2" w:rsidP="002625B2">
            <w:r w:rsidRPr="00AE6EDB">
              <w:t>50 – 249</w:t>
            </w:r>
          </w:p>
        </w:tc>
        <w:tc>
          <w:tcPr>
            <w:tcW w:w="1163" w:type="dxa"/>
            <w:vAlign w:val="center"/>
          </w:tcPr>
          <w:p w:rsidR="002625B2" w:rsidRPr="00AE6EDB" w:rsidRDefault="002625B2" w:rsidP="002625B2">
            <w:pPr>
              <w:jc w:val="right"/>
            </w:pPr>
            <w:r w:rsidRPr="00AE6EDB">
              <w:t>37</w:t>
            </w:r>
            <w:r w:rsidR="00AC44CB">
              <w:t>9 5</w:t>
            </w:r>
            <w:r w:rsidRPr="00AE6EDB">
              <w:t>96</w:t>
            </w:r>
          </w:p>
        </w:tc>
        <w:tc>
          <w:tcPr>
            <w:tcW w:w="1340" w:type="dxa"/>
            <w:vAlign w:val="center"/>
          </w:tcPr>
          <w:p w:rsidR="002625B2" w:rsidRPr="00AE6EDB" w:rsidRDefault="002625B2" w:rsidP="002625B2">
            <w:pPr>
              <w:jc w:val="right"/>
            </w:pPr>
            <w:r w:rsidRPr="00AE6EDB">
              <w:t>103,4</w:t>
            </w:r>
          </w:p>
        </w:tc>
        <w:tc>
          <w:tcPr>
            <w:tcW w:w="1178" w:type="dxa"/>
            <w:vAlign w:val="center"/>
          </w:tcPr>
          <w:p w:rsidR="002625B2" w:rsidRPr="00AE6EDB" w:rsidRDefault="002625B2" w:rsidP="002625B2">
            <w:pPr>
              <w:jc w:val="right"/>
            </w:pPr>
            <w:r w:rsidRPr="00AE6EDB">
              <w:t>17,2</w:t>
            </w:r>
          </w:p>
        </w:tc>
        <w:tc>
          <w:tcPr>
            <w:tcW w:w="1163" w:type="dxa"/>
            <w:vAlign w:val="bottom"/>
          </w:tcPr>
          <w:p w:rsidR="002625B2" w:rsidRPr="00AE6EDB" w:rsidRDefault="002625B2" w:rsidP="002625B2">
            <w:pPr>
              <w:jc w:val="right"/>
            </w:pPr>
            <w:r w:rsidRPr="00AE6EDB">
              <w:t>38</w:t>
            </w:r>
            <w:r w:rsidR="00AC44CB">
              <w:t>5 0</w:t>
            </w:r>
            <w:r w:rsidRPr="00AE6EDB">
              <w:t xml:space="preserve">42 </w:t>
            </w:r>
          </w:p>
        </w:tc>
        <w:tc>
          <w:tcPr>
            <w:tcW w:w="1338" w:type="dxa"/>
            <w:vAlign w:val="bottom"/>
          </w:tcPr>
          <w:p w:rsidR="002625B2" w:rsidRPr="00AE6EDB" w:rsidRDefault="002625B2" w:rsidP="002625B2">
            <w:pPr>
              <w:jc w:val="right"/>
            </w:pPr>
            <w:r w:rsidRPr="00AE6EDB">
              <w:t xml:space="preserve">101,4 </w:t>
            </w:r>
          </w:p>
        </w:tc>
        <w:tc>
          <w:tcPr>
            <w:tcW w:w="1006" w:type="dxa"/>
            <w:vAlign w:val="bottom"/>
          </w:tcPr>
          <w:p w:rsidR="002625B2" w:rsidRPr="00AE6EDB" w:rsidRDefault="002625B2" w:rsidP="002625B2">
            <w:pPr>
              <w:jc w:val="right"/>
            </w:pPr>
            <w:r w:rsidRPr="00AE6EDB">
              <w:t xml:space="preserve">17,1 </w:t>
            </w:r>
          </w:p>
        </w:tc>
      </w:tr>
      <w:tr w:rsidR="002625B2" w:rsidRPr="00AE6EDB" w:rsidTr="002625B2">
        <w:trPr>
          <w:jc w:val="center"/>
        </w:trPr>
        <w:tc>
          <w:tcPr>
            <w:tcW w:w="2100" w:type="dxa"/>
            <w:vAlign w:val="center"/>
          </w:tcPr>
          <w:p w:rsidR="002625B2" w:rsidRPr="00AE6EDB" w:rsidRDefault="002625B2" w:rsidP="002625B2">
            <w:r w:rsidRPr="00AE6EDB">
              <w:t>250 – 499</w:t>
            </w:r>
          </w:p>
        </w:tc>
        <w:tc>
          <w:tcPr>
            <w:tcW w:w="1163" w:type="dxa"/>
            <w:vAlign w:val="center"/>
          </w:tcPr>
          <w:p w:rsidR="002625B2" w:rsidRPr="00AE6EDB" w:rsidRDefault="002625B2" w:rsidP="002625B2">
            <w:pPr>
              <w:jc w:val="right"/>
            </w:pPr>
            <w:r w:rsidRPr="00AE6EDB">
              <w:t>14</w:t>
            </w:r>
            <w:r w:rsidR="0054295F">
              <w:t>0 9</w:t>
            </w:r>
            <w:r w:rsidRPr="00AE6EDB">
              <w:t>64</w:t>
            </w:r>
          </w:p>
        </w:tc>
        <w:tc>
          <w:tcPr>
            <w:tcW w:w="1340" w:type="dxa"/>
            <w:vAlign w:val="center"/>
          </w:tcPr>
          <w:p w:rsidR="002625B2" w:rsidRPr="00AE6EDB" w:rsidRDefault="002625B2" w:rsidP="002625B2">
            <w:pPr>
              <w:jc w:val="right"/>
            </w:pPr>
            <w:r w:rsidRPr="00AE6EDB">
              <w:t>103,8</w:t>
            </w:r>
          </w:p>
        </w:tc>
        <w:tc>
          <w:tcPr>
            <w:tcW w:w="1178" w:type="dxa"/>
            <w:vAlign w:val="center"/>
          </w:tcPr>
          <w:p w:rsidR="002625B2" w:rsidRPr="00AE6EDB" w:rsidRDefault="002625B2" w:rsidP="002625B2">
            <w:pPr>
              <w:jc w:val="right"/>
            </w:pPr>
            <w:r w:rsidRPr="00AE6EDB">
              <w:t>6,4</w:t>
            </w:r>
          </w:p>
        </w:tc>
        <w:tc>
          <w:tcPr>
            <w:tcW w:w="1163" w:type="dxa"/>
            <w:vAlign w:val="bottom"/>
          </w:tcPr>
          <w:p w:rsidR="002625B2" w:rsidRPr="00AE6EDB" w:rsidRDefault="002625B2" w:rsidP="002625B2">
            <w:pPr>
              <w:jc w:val="right"/>
            </w:pPr>
            <w:r w:rsidRPr="00AE6EDB">
              <w:t>16</w:t>
            </w:r>
            <w:r w:rsidR="0054295F">
              <w:t>0 1</w:t>
            </w:r>
            <w:r w:rsidRPr="00AE6EDB">
              <w:t xml:space="preserve">41 </w:t>
            </w:r>
          </w:p>
        </w:tc>
        <w:tc>
          <w:tcPr>
            <w:tcW w:w="1338" w:type="dxa"/>
            <w:vAlign w:val="bottom"/>
          </w:tcPr>
          <w:p w:rsidR="002625B2" w:rsidRPr="00AE6EDB" w:rsidRDefault="002625B2" w:rsidP="002625B2">
            <w:pPr>
              <w:jc w:val="right"/>
            </w:pPr>
            <w:r w:rsidRPr="00AE6EDB">
              <w:t xml:space="preserve">113,6 </w:t>
            </w:r>
          </w:p>
        </w:tc>
        <w:tc>
          <w:tcPr>
            <w:tcW w:w="1006" w:type="dxa"/>
            <w:vAlign w:val="bottom"/>
          </w:tcPr>
          <w:p w:rsidR="002625B2" w:rsidRPr="00AE6EDB" w:rsidRDefault="002625B2" w:rsidP="002625B2">
            <w:pPr>
              <w:jc w:val="right"/>
            </w:pPr>
            <w:r w:rsidRPr="00AE6EDB">
              <w:t xml:space="preserve">7,1 </w:t>
            </w:r>
          </w:p>
        </w:tc>
      </w:tr>
      <w:tr w:rsidR="002625B2" w:rsidRPr="00AE6EDB" w:rsidTr="002625B2">
        <w:trPr>
          <w:jc w:val="center"/>
        </w:trPr>
        <w:tc>
          <w:tcPr>
            <w:tcW w:w="2100" w:type="dxa"/>
            <w:vAlign w:val="center"/>
          </w:tcPr>
          <w:p w:rsidR="002625B2" w:rsidRPr="00AE6EDB" w:rsidRDefault="002625B2" w:rsidP="002625B2">
            <w:r w:rsidRPr="00AE6EDB">
              <w:t>500 – 999</w:t>
            </w:r>
          </w:p>
        </w:tc>
        <w:tc>
          <w:tcPr>
            <w:tcW w:w="1163" w:type="dxa"/>
            <w:vAlign w:val="center"/>
          </w:tcPr>
          <w:p w:rsidR="002625B2" w:rsidRPr="00AE6EDB" w:rsidRDefault="002625B2" w:rsidP="002625B2">
            <w:pPr>
              <w:jc w:val="right"/>
            </w:pPr>
            <w:r w:rsidRPr="00AE6EDB">
              <w:t>14</w:t>
            </w:r>
            <w:r w:rsidR="0054295F">
              <w:t>0 0</w:t>
            </w:r>
            <w:r w:rsidRPr="00AE6EDB">
              <w:t>36</w:t>
            </w:r>
          </w:p>
        </w:tc>
        <w:tc>
          <w:tcPr>
            <w:tcW w:w="1340" w:type="dxa"/>
            <w:vAlign w:val="center"/>
          </w:tcPr>
          <w:p w:rsidR="002625B2" w:rsidRPr="00AE6EDB" w:rsidRDefault="002625B2" w:rsidP="002625B2">
            <w:pPr>
              <w:jc w:val="right"/>
            </w:pPr>
            <w:r w:rsidRPr="00AE6EDB">
              <w:t>97,5</w:t>
            </w:r>
          </w:p>
        </w:tc>
        <w:tc>
          <w:tcPr>
            <w:tcW w:w="1178" w:type="dxa"/>
            <w:vAlign w:val="center"/>
          </w:tcPr>
          <w:p w:rsidR="002625B2" w:rsidRPr="00AE6EDB" w:rsidRDefault="002625B2" w:rsidP="002625B2">
            <w:pPr>
              <w:jc w:val="right"/>
            </w:pPr>
            <w:r w:rsidRPr="00AE6EDB">
              <w:t>6,4</w:t>
            </w:r>
          </w:p>
        </w:tc>
        <w:tc>
          <w:tcPr>
            <w:tcW w:w="1163" w:type="dxa"/>
            <w:vAlign w:val="bottom"/>
          </w:tcPr>
          <w:p w:rsidR="002625B2" w:rsidRPr="00AE6EDB" w:rsidRDefault="002625B2" w:rsidP="002625B2">
            <w:pPr>
              <w:jc w:val="right"/>
            </w:pPr>
            <w:r w:rsidRPr="00AE6EDB">
              <w:t>13</w:t>
            </w:r>
            <w:r w:rsidR="00AC44CB">
              <w:t>8 6</w:t>
            </w:r>
            <w:r w:rsidRPr="00AE6EDB">
              <w:t xml:space="preserve">51 </w:t>
            </w:r>
          </w:p>
        </w:tc>
        <w:tc>
          <w:tcPr>
            <w:tcW w:w="1338" w:type="dxa"/>
            <w:vAlign w:val="bottom"/>
          </w:tcPr>
          <w:p w:rsidR="002625B2" w:rsidRPr="00AE6EDB" w:rsidRDefault="002625B2" w:rsidP="002625B2">
            <w:pPr>
              <w:jc w:val="right"/>
            </w:pPr>
            <w:r w:rsidRPr="00AE6EDB">
              <w:t xml:space="preserve">99,0 </w:t>
            </w:r>
          </w:p>
        </w:tc>
        <w:tc>
          <w:tcPr>
            <w:tcW w:w="1006" w:type="dxa"/>
            <w:vAlign w:val="bottom"/>
          </w:tcPr>
          <w:p w:rsidR="002625B2" w:rsidRPr="00AE6EDB" w:rsidRDefault="002625B2" w:rsidP="002625B2">
            <w:pPr>
              <w:jc w:val="right"/>
            </w:pPr>
            <w:r w:rsidRPr="00AE6EDB">
              <w:t xml:space="preserve">6,2 </w:t>
            </w:r>
          </w:p>
        </w:tc>
      </w:tr>
      <w:tr w:rsidR="002625B2" w:rsidRPr="00AE6EDB" w:rsidTr="002625B2">
        <w:trPr>
          <w:jc w:val="center"/>
        </w:trPr>
        <w:tc>
          <w:tcPr>
            <w:tcW w:w="2100" w:type="dxa"/>
            <w:vAlign w:val="center"/>
          </w:tcPr>
          <w:p w:rsidR="002625B2" w:rsidRPr="00AE6EDB" w:rsidRDefault="0054295F" w:rsidP="002625B2">
            <w:r>
              <w:t>1 0</w:t>
            </w:r>
            <w:r w:rsidR="002625B2" w:rsidRPr="00AE6EDB">
              <w:t>00 a viac</w:t>
            </w:r>
          </w:p>
        </w:tc>
        <w:tc>
          <w:tcPr>
            <w:tcW w:w="1163" w:type="dxa"/>
            <w:vAlign w:val="center"/>
          </w:tcPr>
          <w:p w:rsidR="002625B2" w:rsidRPr="00AE6EDB" w:rsidRDefault="002625B2" w:rsidP="002625B2">
            <w:pPr>
              <w:jc w:val="right"/>
            </w:pPr>
            <w:r w:rsidRPr="00AE6EDB">
              <w:t>37</w:t>
            </w:r>
            <w:r w:rsidR="0054295F">
              <w:t>1 7</w:t>
            </w:r>
            <w:r w:rsidRPr="00AE6EDB">
              <w:t>63</w:t>
            </w:r>
          </w:p>
        </w:tc>
        <w:tc>
          <w:tcPr>
            <w:tcW w:w="1340" w:type="dxa"/>
            <w:vAlign w:val="center"/>
          </w:tcPr>
          <w:p w:rsidR="002625B2" w:rsidRPr="00AE6EDB" w:rsidRDefault="002625B2" w:rsidP="002625B2">
            <w:pPr>
              <w:jc w:val="right"/>
            </w:pPr>
            <w:r w:rsidRPr="00AE6EDB">
              <w:t>101,4</w:t>
            </w:r>
          </w:p>
        </w:tc>
        <w:tc>
          <w:tcPr>
            <w:tcW w:w="1178" w:type="dxa"/>
            <w:vAlign w:val="center"/>
          </w:tcPr>
          <w:p w:rsidR="002625B2" w:rsidRPr="00AE6EDB" w:rsidRDefault="002625B2" w:rsidP="002625B2">
            <w:pPr>
              <w:jc w:val="right"/>
            </w:pPr>
            <w:r w:rsidRPr="00AE6EDB">
              <w:t>16,9</w:t>
            </w:r>
          </w:p>
        </w:tc>
        <w:tc>
          <w:tcPr>
            <w:tcW w:w="1163" w:type="dxa"/>
            <w:vAlign w:val="bottom"/>
          </w:tcPr>
          <w:p w:rsidR="002625B2" w:rsidRPr="00AE6EDB" w:rsidRDefault="002625B2" w:rsidP="002625B2">
            <w:pPr>
              <w:jc w:val="right"/>
            </w:pPr>
            <w:r w:rsidRPr="00AE6EDB">
              <w:t>38</w:t>
            </w:r>
            <w:r w:rsidR="00AC44CB">
              <w:t>6 8</w:t>
            </w:r>
            <w:r w:rsidRPr="00AE6EDB">
              <w:t xml:space="preserve">45 </w:t>
            </w:r>
          </w:p>
        </w:tc>
        <w:tc>
          <w:tcPr>
            <w:tcW w:w="1338" w:type="dxa"/>
            <w:vAlign w:val="bottom"/>
          </w:tcPr>
          <w:p w:rsidR="002625B2" w:rsidRPr="00AE6EDB" w:rsidRDefault="002625B2" w:rsidP="002625B2">
            <w:pPr>
              <w:jc w:val="right"/>
            </w:pPr>
            <w:r w:rsidRPr="00AE6EDB">
              <w:t xml:space="preserve">104,1 </w:t>
            </w:r>
          </w:p>
        </w:tc>
        <w:tc>
          <w:tcPr>
            <w:tcW w:w="1006" w:type="dxa"/>
            <w:vAlign w:val="bottom"/>
          </w:tcPr>
          <w:p w:rsidR="002625B2" w:rsidRPr="00AE6EDB" w:rsidRDefault="002625B2" w:rsidP="002625B2">
            <w:pPr>
              <w:jc w:val="right"/>
            </w:pPr>
            <w:r w:rsidRPr="00AE6EDB">
              <w:t xml:space="preserve">17,2 </w:t>
            </w:r>
          </w:p>
        </w:tc>
      </w:tr>
      <w:tr w:rsidR="002625B2" w:rsidRPr="00AE6EDB" w:rsidTr="002625B2">
        <w:trPr>
          <w:jc w:val="center"/>
        </w:trPr>
        <w:tc>
          <w:tcPr>
            <w:tcW w:w="2100" w:type="dxa"/>
            <w:vAlign w:val="center"/>
          </w:tcPr>
          <w:p w:rsidR="002625B2" w:rsidRPr="00AE6EDB" w:rsidRDefault="002625B2" w:rsidP="002625B2">
            <w:r w:rsidRPr="00AE6EDB">
              <w:t>Živnostníci</w:t>
            </w:r>
            <w:r w:rsidR="008B33F6" w:rsidRPr="00AE6EDB">
              <w:t>*</w:t>
            </w:r>
            <w:r w:rsidRPr="00AE6EDB">
              <w:t xml:space="preserve"> (odhad)</w:t>
            </w:r>
          </w:p>
        </w:tc>
        <w:tc>
          <w:tcPr>
            <w:tcW w:w="1163" w:type="dxa"/>
            <w:vAlign w:val="center"/>
          </w:tcPr>
          <w:p w:rsidR="002625B2" w:rsidRPr="00AE6EDB" w:rsidRDefault="002625B2" w:rsidP="002625B2">
            <w:pPr>
              <w:jc w:val="right"/>
            </w:pPr>
            <w:r w:rsidRPr="00AE6EDB">
              <w:t>64</w:t>
            </w:r>
            <w:r w:rsidR="0054295F">
              <w:t>1 5</w:t>
            </w:r>
            <w:r w:rsidRPr="00AE6EDB">
              <w:t>00</w:t>
            </w:r>
          </w:p>
        </w:tc>
        <w:tc>
          <w:tcPr>
            <w:tcW w:w="1340" w:type="dxa"/>
            <w:vAlign w:val="center"/>
          </w:tcPr>
          <w:p w:rsidR="002625B2" w:rsidRPr="00AE6EDB" w:rsidRDefault="002625B2" w:rsidP="002625B2">
            <w:pPr>
              <w:jc w:val="right"/>
            </w:pPr>
            <w:r w:rsidRPr="00AE6EDB">
              <w:t>99,0</w:t>
            </w:r>
          </w:p>
        </w:tc>
        <w:tc>
          <w:tcPr>
            <w:tcW w:w="1178" w:type="dxa"/>
            <w:vAlign w:val="center"/>
          </w:tcPr>
          <w:p w:rsidR="002625B2" w:rsidRPr="00AE6EDB" w:rsidRDefault="002625B2" w:rsidP="002625B2">
            <w:pPr>
              <w:jc w:val="right"/>
            </w:pPr>
            <w:r w:rsidRPr="00AE6EDB">
              <w:t>29,1</w:t>
            </w:r>
          </w:p>
        </w:tc>
        <w:tc>
          <w:tcPr>
            <w:tcW w:w="1163" w:type="dxa"/>
            <w:vAlign w:val="center"/>
          </w:tcPr>
          <w:p w:rsidR="002625B2" w:rsidRPr="00AE6EDB" w:rsidRDefault="002625B2" w:rsidP="002625B2">
            <w:pPr>
              <w:jc w:val="right"/>
            </w:pPr>
            <w:r w:rsidRPr="00AE6EDB">
              <w:t>63</w:t>
            </w:r>
            <w:r w:rsidR="0054295F">
              <w:t>4 5</w:t>
            </w:r>
            <w:r w:rsidRPr="00AE6EDB">
              <w:t xml:space="preserve">00 </w:t>
            </w:r>
          </w:p>
        </w:tc>
        <w:tc>
          <w:tcPr>
            <w:tcW w:w="1338" w:type="dxa"/>
            <w:vAlign w:val="center"/>
          </w:tcPr>
          <w:p w:rsidR="002625B2" w:rsidRPr="00AE6EDB" w:rsidRDefault="002625B2" w:rsidP="002625B2">
            <w:pPr>
              <w:jc w:val="right"/>
            </w:pPr>
            <w:r w:rsidRPr="00AE6EDB">
              <w:t xml:space="preserve">98,9 </w:t>
            </w:r>
          </w:p>
        </w:tc>
        <w:tc>
          <w:tcPr>
            <w:tcW w:w="1006" w:type="dxa"/>
            <w:vAlign w:val="center"/>
          </w:tcPr>
          <w:p w:rsidR="002625B2" w:rsidRPr="00AE6EDB" w:rsidRDefault="002625B2" w:rsidP="002625B2">
            <w:pPr>
              <w:jc w:val="right"/>
            </w:pPr>
            <w:r w:rsidRPr="00AE6EDB">
              <w:t>28,2</w:t>
            </w:r>
          </w:p>
        </w:tc>
      </w:tr>
      <w:tr w:rsidR="002625B2" w:rsidRPr="00AE6EDB" w:rsidTr="002625B2">
        <w:trPr>
          <w:jc w:val="center"/>
        </w:trPr>
        <w:tc>
          <w:tcPr>
            <w:tcW w:w="2100" w:type="dxa"/>
            <w:vAlign w:val="center"/>
          </w:tcPr>
          <w:p w:rsidR="002625B2" w:rsidRPr="00AE6EDB" w:rsidRDefault="002625B2" w:rsidP="002625B2">
            <w:pPr>
              <w:rPr>
                <w:b/>
              </w:rPr>
            </w:pPr>
            <w:r w:rsidRPr="00AE6EDB">
              <w:rPr>
                <w:b/>
              </w:rPr>
              <w:t>Spolu</w:t>
            </w:r>
          </w:p>
        </w:tc>
        <w:tc>
          <w:tcPr>
            <w:tcW w:w="1163" w:type="dxa"/>
            <w:vAlign w:val="center"/>
          </w:tcPr>
          <w:p w:rsidR="002625B2" w:rsidRPr="00AE6EDB" w:rsidRDefault="0054295F" w:rsidP="002625B2">
            <w:pPr>
              <w:jc w:val="right"/>
              <w:rPr>
                <w:b/>
              </w:rPr>
            </w:pPr>
            <w:r>
              <w:rPr>
                <w:b/>
              </w:rPr>
              <w:t>2 2</w:t>
            </w:r>
            <w:r w:rsidR="002625B2" w:rsidRPr="00AE6EDB">
              <w:rPr>
                <w:b/>
              </w:rPr>
              <w:t>0</w:t>
            </w:r>
            <w:r>
              <w:rPr>
                <w:b/>
              </w:rPr>
              <w:t>4 6</w:t>
            </w:r>
            <w:r w:rsidR="002625B2" w:rsidRPr="00AE6EDB">
              <w:rPr>
                <w:b/>
              </w:rPr>
              <w:t>46</w:t>
            </w:r>
          </w:p>
        </w:tc>
        <w:tc>
          <w:tcPr>
            <w:tcW w:w="1340" w:type="dxa"/>
            <w:vAlign w:val="center"/>
          </w:tcPr>
          <w:p w:rsidR="002625B2" w:rsidRPr="00AE6EDB" w:rsidRDefault="002625B2" w:rsidP="002625B2">
            <w:pPr>
              <w:jc w:val="right"/>
              <w:rPr>
                <w:b/>
              </w:rPr>
            </w:pPr>
            <w:r w:rsidRPr="00AE6EDB">
              <w:rPr>
                <w:b/>
              </w:rPr>
              <w:t>101,3</w:t>
            </w:r>
          </w:p>
        </w:tc>
        <w:tc>
          <w:tcPr>
            <w:tcW w:w="1178" w:type="dxa"/>
            <w:vAlign w:val="center"/>
          </w:tcPr>
          <w:p w:rsidR="002625B2" w:rsidRPr="00AE6EDB" w:rsidRDefault="002625B2" w:rsidP="002625B2">
            <w:pPr>
              <w:jc w:val="right"/>
              <w:rPr>
                <w:b/>
              </w:rPr>
            </w:pPr>
            <w:r w:rsidRPr="00AE6EDB">
              <w:rPr>
                <w:b/>
              </w:rPr>
              <w:t>100,0</w:t>
            </w:r>
          </w:p>
        </w:tc>
        <w:tc>
          <w:tcPr>
            <w:tcW w:w="1163" w:type="dxa"/>
            <w:vAlign w:val="center"/>
          </w:tcPr>
          <w:p w:rsidR="002625B2" w:rsidRPr="00AE6EDB" w:rsidRDefault="0054295F" w:rsidP="002625B2">
            <w:pPr>
              <w:jc w:val="right"/>
              <w:rPr>
                <w:b/>
              </w:rPr>
            </w:pPr>
            <w:r>
              <w:rPr>
                <w:b/>
              </w:rPr>
              <w:t>2 2</w:t>
            </w:r>
            <w:r w:rsidR="002625B2" w:rsidRPr="00AE6EDB">
              <w:rPr>
                <w:b/>
              </w:rPr>
              <w:t>5</w:t>
            </w:r>
            <w:r>
              <w:rPr>
                <w:b/>
              </w:rPr>
              <w:t>1 6</w:t>
            </w:r>
            <w:r w:rsidR="002625B2" w:rsidRPr="00AE6EDB">
              <w:rPr>
                <w:b/>
              </w:rPr>
              <w:t xml:space="preserve">31 </w:t>
            </w:r>
          </w:p>
        </w:tc>
        <w:tc>
          <w:tcPr>
            <w:tcW w:w="1338" w:type="dxa"/>
            <w:vAlign w:val="center"/>
          </w:tcPr>
          <w:p w:rsidR="002625B2" w:rsidRPr="00AE6EDB" w:rsidRDefault="002625B2" w:rsidP="002625B2">
            <w:pPr>
              <w:jc w:val="right"/>
              <w:rPr>
                <w:b/>
              </w:rPr>
            </w:pPr>
            <w:r w:rsidRPr="00AE6EDB">
              <w:rPr>
                <w:b/>
              </w:rPr>
              <w:t>102,1</w:t>
            </w:r>
          </w:p>
        </w:tc>
        <w:tc>
          <w:tcPr>
            <w:tcW w:w="1006" w:type="dxa"/>
            <w:vAlign w:val="center"/>
          </w:tcPr>
          <w:p w:rsidR="002625B2" w:rsidRPr="00AE6EDB" w:rsidRDefault="002625B2" w:rsidP="002625B2">
            <w:pPr>
              <w:jc w:val="right"/>
              <w:rPr>
                <w:b/>
              </w:rPr>
            </w:pPr>
            <w:r w:rsidRPr="00AE6EDB">
              <w:rPr>
                <w:b/>
              </w:rPr>
              <w:t>100,0</w:t>
            </w:r>
          </w:p>
        </w:tc>
      </w:tr>
    </w:tbl>
    <w:p w:rsidR="008B33F6" w:rsidRPr="00AE6EDB" w:rsidRDefault="002625B2" w:rsidP="008B33F6">
      <w:pPr>
        <w:pStyle w:val="zdroj"/>
        <w:spacing w:after="0"/>
        <w:ind w:firstLine="0"/>
        <w:jc w:val="left"/>
      </w:pPr>
      <w:r w:rsidRPr="00AE6EDB">
        <w:t>Zdroj: ŠÚ SR, Štatistická správa o základných vývojových tendenciách v hospodárstve SR v 4. štvrťroku 2014, Štatistická správa o základných vývojových tendenciách v hospodárstve SR v 4. štvrťroku 2015</w:t>
      </w:r>
      <w:bookmarkEnd w:id="105"/>
    </w:p>
    <w:p w:rsidR="002625B2" w:rsidRPr="00AE6EDB" w:rsidRDefault="008B33F6" w:rsidP="008B33F6">
      <w:pPr>
        <w:pStyle w:val="zdroj"/>
        <w:spacing w:before="0"/>
        <w:ind w:firstLine="0"/>
        <w:jc w:val="left"/>
        <w:rPr>
          <w:b/>
        </w:rPr>
      </w:pPr>
      <w:r w:rsidRPr="00AE6EDB">
        <w:t>*vrátane zamestnancov u živnostníkov</w:t>
      </w:r>
      <w:r w:rsidR="002625B2" w:rsidRPr="00AE6EDB">
        <w:br w:type="page"/>
      </w:r>
    </w:p>
    <w:p w:rsidR="002625B2" w:rsidRPr="00AE6EDB" w:rsidRDefault="002625B2" w:rsidP="002625B2">
      <w:pPr>
        <w:pStyle w:val="Normlnysozarkami2"/>
        <w:ind w:firstLine="567"/>
      </w:pPr>
      <w:r w:rsidRPr="00AE6EDB">
        <w:lastRenderedPageBreak/>
        <w:t>Podľa údajov Štatistického úradu SR v roku 2015 pracovalo 4</w:t>
      </w:r>
      <w:r w:rsidR="00AC44CB">
        <w:t>5 4</w:t>
      </w:r>
      <w:r w:rsidRPr="00AE6EDB">
        <w:t xml:space="preserve">28 </w:t>
      </w:r>
      <w:r w:rsidRPr="00AE6EDB">
        <w:rPr>
          <w:b/>
        </w:rPr>
        <w:t>zamestnancov so</w:t>
      </w:r>
      <w:r w:rsidR="00443A53" w:rsidRPr="00AE6EDB">
        <w:rPr>
          <w:b/>
        </w:rPr>
        <w:t> </w:t>
      </w:r>
      <w:r w:rsidRPr="00AE6EDB">
        <w:rPr>
          <w:b/>
        </w:rPr>
        <w:t>zdravotným postihnutím</w:t>
      </w:r>
      <w:r w:rsidRPr="00AE6EDB">
        <w:t>, t. j. 3,4</w:t>
      </w:r>
      <w:r w:rsidR="005676EF">
        <w:t> %</w:t>
      </w:r>
      <w:r w:rsidRPr="00AE6EDB">
        <w:t xml:space="preserve"> z celkového priemerného evidenčného počtu zamestnancov v SR (údaje z podnikového výkazníctva, bez malých organizácií do 19 zamestnancov, ktoré majú ročnú produkciu nižšiu ako 5 mil.</w:t>
      </w:r>
      <w:r w:rsidR="0054295F">
        <w:t> eur</w:t>
      </w:r>
      <w:r w:rsidRPr="00AE6EDB">
        <w:t>). Oproti roku 2014 sa ich počet zvýšil o 11,4</w:t>
      </w:r>
      <w:r w:rsidR="005676EF">
        <w:t> %</w:t>
      </w:r>
      <w:r w:rsidRPr="00AE6EDB">
        <w:t xml:space="preserve"> (o </w:t>
      </w:r>
      <w:r w:rsidR="0054295F">
        <w:t>4 6</w:t>
      </w:r>
      <w:r w:rsidRPr="00AE6EDB">
        <w:t>42 osôb) a ich podiel na celkovej zamestnanosti o 0,2 p. b.</w:t>
      </w:r>
    </w:p>
    <w:p w:rsidR="00443A53" w:rsidRPr="00AE6EDB" w:rsidRDefault="00443A53">
      <w:pPr>
        <w:jc w:val="left"/>
        <w:rPr>
          <w:b/>
          <w:color w:val="E78A80" w:themeColor="accent2" w:themeTint="99"/>
          <w:szCs w:val="22"/>
        </w:rPr>
      </w:pPr>
    </w:p>
    <w:p w:rsidR="002625B2" w:rsidRPr="00AE6EDB" w:rsidRDefault="002625B2" w:rsidP="002625B2">
      <w:pPr>
        <w:pStyle w:val="Nadpis41"/>
      </w:pPr>
      <w:r w:rsidRPr="00AE6EDB">
        <w:t>Voľné pracovné miesta</w:t>
      </w:r>
    </w:p>
    <w:p w:rsidR="002625B2" w:rsidRPr="00AE6EDB" w:rsidRDefault="002625B2" w:rsidP="002625B2">
      <w:pPr>
        <w:ind w:firstLine="567"/>
      </w:pPr>
      <w:r w:rsidRPr="00AE6EDB">
        <w:t>V roku 2015 bolo v hospodárstve SR podľa štatistického výkazníctva k dispozícii v priemere 1</w:t>
      </w:r>
      <w:r w:rsidR="00AC44CB">
        <w:t>7 1</w:t>
      </w:r>
      <w:r w:rsidRPr="00AE6EDB">
        <w:t>98 voľných pracovných miest. V porovnaní s rokom 2014 ich počet vzrástol o 7,2</w:t>
      </w:r>
      <w:r w:rsidR="005676EF">
        <w:t> %</w:t>
      </w:r>
      <w:r w:rsidRPr="00AE6EDB">
        <w:t xml:space="preserve"> (absolútne o </w:t>
      </w:r>
      <w:r w:rsidR="0054295F">
        <w:t>1 1</w:t>
      </w:r>
      <w:r w:rsidRPr="00AE6EDB">
        <w:t xml:space="preserve">52 miest). </w:t>
      </w:r>
      <w:r w:rsidRPr="00AE6EDB">
        <w:rPr>
          <w:b/>
        </w:rPr>
        <w:t>V</w:t>
      </w:r>
      <w:r w:rsidRPr="00AE6EDB">
        <w:t> </w:t>
      </w:r>
      <w:r w:rsidRPr="00AE6EDB">
        <w:rPr>
          <w:b/>
        </w:rPr>
        <w:t>relatívnom vyjadrení</w:t>
      </w:r>
      <w:r w:rsidRPr="00AE6EDB">
        <w:t xml:space="preserve"> najvýraznejší medziročný rast počtu voľných pracovných miest bol v odvetviach administratívne služby (</w:t>
      </w:r>
      <w:r w:rsidR="00C262F0">
        <w:t xml:space="preserve">o </w:t>
      </w:r>
      <w:r w:rsidRPr="00AE6EDB">
        <w:t>70,5</w:t>
      </w:r>
      <w:r w:rsidR="005676EF">
        <w:t> %</w:t>
      </w:r>
      <w:r w:rsidRPr="00AE6EDB">
        <w:t>), zdravotníctvo a sociálna pomoc (o 60,5</w:t>
      </w:r>
      <w:r w:rsidR="005676EF">
        <w:t> %</w:t>
      </w:r>
      <w:r w:rsidRPr="00AE6EDB">
        <w:t>), informácie a komunikáci</w:t>
      </w:r>
      <w:r w:rsidR="00443A53" w:rsidRPr="00AE6EDB">
        <w:t>a</w:t>
      </w:r>
      <w:r w:rsidRPr="00AE6EDB">
        <w:t xml:space="preserve"> (o 48,4</w:t>
      </w:r>
      <w:r w:rsidR="005676EF">
        <w:t> %</w:t>
      </w:r>
      <w:r w:rsidRPr="00AE6EDB">
        <w:t>). Pokles počtu voľných pracovných bol zaznamenaný v odvetviach poľnohospodárstvo, lesníctvo a rybolov; stavebníctvo; veľkoobchod a maloobchod; činnosti v oblasti nehnuteľností; odborné, vedecké a technické činnosti; umenie, zábava a rekreácia.</w:t>
      </w:r>
    </w:p>
    <w:p w:rsidR="00443A53" w:rsidRPr="00AE6EDB" w:rsidRDefault="002625B2" w:rsidP="00443A53">
      <w:pPr>
        <w:ind w:firstLine="567"/>
        <w:rPr>
          <w:b/>
        </w:rPr>
      </w:pPr>
      <w:r w:rsidRPr="00AE6EDB">
        <w:rPr>
          <w:b/>
        </w:rPr>
        <w:t>V absolútnom vyjadrení</w:t>
      </w:r>
      <w:r w:rsidRPr="00AE6EDB">
        <w:t xml:space="preserve"> najviac voľných pracovných miest pribudlo v priemyselnej výrobe </w:t>
      </w:r>
      <w:r w:rsidRPr="00AE6EDB">
        <w:br/>
      </w:r>
      <w:r w:rsidR="00443A53" w:rsidRPr="00AE6EDB">
        <w:t>(</w:t>
      </w:r>
      <w:r w:rsidRPr="00AE6EDB">
        <w:t>300</w:t>
      </w:r>
      <w:r w:rsidR="00443A53" w:rsidRPr="00AE6EDB">
        <w:t xml:space="preserve"> miest</w:t>
      </w:r>
      <w:r w:rsidRPr="00AE6EDB">
        <w:t>), vo</w:t>
      </w:r>
      <w:r w:rsidRPr="00AE6EDB">
        <w:rPr>
          <w:rFonts w:ascii="Arial" w:hAnsi="Arial" w:cs="Arial"/>
          <w:color w:val="001A5A"/>
          <w:sz w:val="24"/>
        </w:rPr>
        <w:t xml:space="preserve"> </w:t>
      </w:r>
      <w:r w:rsidRPr="00AE6EDB">
        <w:t>verejnej správe a obrane,</w:t>
      </w:r>
      <w:r w:rsidR="008621AA">
        <w:t xml:space="preserve"> v </w:t>
      </w:r>
      <w:r w:rsidRPr="00AE6EDB">
        <w:t xml:space="preserve"> povinnom sociálnom zabezpečen</w:t>
      </w:r>
      <w:r w:rsidR="00443A53" w:rsidRPr="00AE6EDB">
        <w:t>í (</w:t>
      </w:r>
      <w:r w:rsidRPr="00AE6EDB">
        <w:t>248) a v zdravotníctve a sociálnej pomoci</w:t>
      </w:r>
      <w:r w:rsidR="00443A53" w:rsidRPr="00AE6EDB">
        <w:t xml:space="preserve"> (</w:t>
      </w:r>
      <w:r w:rsidRPr="00AE6EDB">
        <w:t>22</w:t>
      </w:r>
      <w:r w:rsidR="00C262F0">
        <w:t>6</w:t>
      </w:r>
      <w:r w:rsidRPr="00AE6EDB">
        <w:t>). Naopak, úbytok voľných pracovných miest zaznamenalo odvetvie odborné vedecké a technické činnosti (196).</w:t>
      </w:r>
    </w:p>
    <w:p w:rsidR="002625B2" w:rsidRPr="00AE6EDB" w:rsidRDefault="002625B2" w:rsidP="00443A53">
      <w:pPr>
        <w:ind w:firstLine="431"/>
        <w:rPr>
          <w:b/>
          <w:highlight w:val="cyan"/>
        </w:rPr>
      </w:pPr>
      <w:r w:rsidRPr="00AE6EDB">
        <w:rPr>
          <w:b/>
        </w:rPr>
        <w:t>Z regionálneho hľadiska</w:t>
      </w:r>
      <w:r w:rsidRPr="00AE6EDB">
        <w:t xml:space="preserve"> bolo v roku 2015 najviac voľných pracovných miest v Bratislavskom kraji (</w:t>
      </w:r>
      <w:r w:rsidR="00AC44CB">
        <w:t>8 7</w:t>
      </w:r>
      <w:r w:rsidRPr="00AE6EDB">
        <w:t>76, čo predstavovalo 51</w:t>
      </w:r>
      <w:r w:rsidR="005676EF">
        <w:t> %</w:t>
      </w:r>
      <w:r w:rsidRPr="00AE6EDB">
        <w:t xml:space="preserve"> z celkového priemerného počtu voľných pracovných miest v SR). V ostatných krajoch sa ich počet pohyboval od 986 (Košický kraj) do </w:t>
      </w:r>
      <w:r w:rsidR="0054295F">
        <w:t>1 4</w:t>
      </w:r>
      <w:r w:rsidRPr="00AE6EDB">
        <w:t>28 (Trnavský kraj). Vo</w:t>
      </w:r>
      <w:r w:rsidR="00443A53" w:rsidRPr="00AE6EDB">
        <w:t> </w:t>
      </w:r>
      <w:r w:rsidRPr="00AE6EDB">
        <w:t xml:space="preserve">väčšine krajov (okrem Banskobystrického a Košického) bol počet voľných pracovných miest vyšší ako </w:t>
      </w:r>
      <w:r w:rsidR="00443A53" w:rsidRPr="00AE6EDB">
        <w:t xml:space="preserve">v </w:t>
      </w:r>
      <w:r w:rsidRPr="00AE6EDB">
        <w:t>pred</w:t>
      </w:r>
      <w:r w:rsidR="00443A53" w:rsidRPr="00AE6EDB">
        <w:t>chádzajúcom</w:t>
      </w:r>
      <w:r w:rsidRPr="00AE6EDB">
        <w:t xml:space="preserve"> rok</w:t>
      </w:r>
      <w:r w:rsidR="00443A53" w:rsidRPr="00AE6EDB">
        <w:t>u</w:t>
      </w:r>
      <w:r w:rsidRPr="00AE6EDB">
        <w:t>.</w:t>
      </w:r>
    </w:p>
    <w:p w:rsidR="002625B2" w:rsidRPr="00AE6EDB" w:rsidRDefault="002625B2" w:rsidP="002625B2">
      <w:pPr>
        <w:pStyle w:val="Nadpis7"/>
      </w:pPr>
      <w:r w:rsidRPr="00AE6EDB">
        <w:t>Tabuľka 2.</w:t>
      </w:r>
      <w:r w:rsidR="004A57BA" w:rsidRPr="00AE6EDB">
        <w:t>10</w:t>
      </w:r>
      <w:r w:rsidRPr="00AE6EDB">
        <w:t xml:space="preserve"> Voľné pracovné miesta v roku 2015 podľa krajov (priemer za rok) </w:t>
      </w:r>
    </w:p>
    <w:tbl>
      <w:tblPr>
        <w:tblW w:w="793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2018"/>
        <w:gridCol w:w="1637"/>
        <w:gridCol w:w="2300"/>
        <w:gridCol w:w="1983"/>
      </w:tblGrid>
      <w:tr w:rsidR="002625B2" w:rsidRPr="00AE6EDB" w:rsidTr="002625B2">
        <w:trPr>
          <w:trHeight w:val="284"/>
          <w:jc w:val="center"/>
        </w:trPr>
        <w:tc>
          <w:tcPr>
            <w:tcW w:w="1271" w:type="pct"/>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Kraj</w:t>
            </w:r>
          </w:p>
        </w:tc>
        <w:tc>
          <w:tcPr>
            <w:tcW w:w="2480" w:type="pct"/>
            <w:gridSpan w:val="2"/>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Voľné pracovné miesta</w:t>
            </w:r>
          </w:p>
        </w:tc>
        <w:tc>
          <w:tcPr>
            <w:tcW w:w="1249" w:type="pct"/>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84"/>
          <w:jc w:val="center"/>
        </w:trPr>
        <w:tc>
          <w:tcPr>
            <w:tcW w:w="1271" w:type="pct"/>
            <w:vMerge/>
            <w:noWrap/>
            <w:vAlign w:val="center"/>
          </w:tcPr>
          <w:p w:rsidR="002625B2" w:rsidRPr="00AE6EDB" w:rsidRDefault="002625B2" w:rsidP="002625B2">
            <w:pPr>
              <w:rPr>
                <w:color w:val="FF0000"/>
              </w:rPr>
            </w:pPr>
          </w:p>
        </w:tc>
        <w:tc>
          <w:tcPr>
            <w:tcW w:w="1031" w:type="pc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Počet</w:t>
            </w:r>
          </w:p>
        </w:tc>
        <w:tc>
          <w:tcPr>
            <w:tcW w:w="1449" w:type="pc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Podiel na SR (v</w:t>
            </w:r>
            <w:r w:rsidR="005676EF">
              <w:rPr>
                <w:b/>
                <w:color w:val="FFFFFF" w:themeColor="background1"/>
              </w:rPr>
              <w:t> %</w:t>
            </w:r>
            <w:r w:rsidRPr="00AE6EDB">
              <w:rPr>
                <w:b/>
                <w:color w:val="FFFFFF" w:themeColor="background1"/>
              </w:rPr>
              <w:t>)</w:t>
            </w:r>
          </w:p>
        </w:tc>
        <w:tc>
          <w:tcPr>
            <w:tcW w:w="1249" w:type="pct"/>
            <w:vMerge/>
            <w:vAlign w:val="center"/>
          </w:tcPr>
          <w:p w:rsidR="002625B2" w:rsidRPr="00AE6EDB" w:rsidRDefault="002625B2" w:rsidP="002625B2">
            <w:pPr>
              <w:rPr>
                <w:color w:val="FF0000"/>
              </w:rPr>
            </w:pPr>
          </w:p>
        </w:tc>
      </w:tr>
      <w:tr w:rsidR="002625B2" w:rsidRPr="00AE6EDB" w:rsidTr="002625B2">
        <w:trPr>
          <w:trHeight w:val="255"/>
          <w:jc w:val="center"/>
        </w:trPr>
        <w:tc>
          <w:tcPr>
            <w:tcW w:w="1271" w:type="pct"/>
            <w:noWrap/>
            <w:vAlign w:val="center"/>
          </w:tcPr>
          <w:p w:rsidR="002625B2" w:rsidRPr="00AE6EDB" w:rsidRDefault="002625B2" w:rsidP="002625B2">
            <w:pPr>
              <w:rPr>
                <w:b/>
              </w:rPr>
            </w:pPr>
            <w:r w:rsidRPr="00AE6EDB">
              <w:rPr>
                <w:b/>
              </w:rPr>
              <w:t>SR spolu</w:t>
            </w:r>
          </w:p>
        </w:tc>
        <w:tc>
          <w:tcPr>
            <w:tcW w:w="1031" w:type="pct"/>
            <w:noWrap/>
            <w:vAlign w:val="center"/>
          </w:tcPr>
          <w:p w:rsidR="002625B2" w:rsidRPr="00AE6EDB" w:rsidRDefault="002625B2" w:rsidP="002625B2">
            <w:pPr>
              <w:ind w:right="458"/>
              <w:jc w:val="right"/>
              <w:rPr>
                <w:b/>
              </w:rPr>
            </w:pPr>
            <w:r w:rsidRPr="00AE6EDB">
              <w:rPr>
                <w:b/>
              </w:rPr>
              <w:t>1</w:t>
            </w:r>
            <w:r w:rsidR="00AC44CB">
              <w:rPr>
                <w:b/>
              </w:rPr>
              <w:t>7 1</w:t>
            </w:r>
            <w:r w:rsidRPr="00AE6EDB">
              <w:rPr>
                <w:b/>
              </w:rPr>
              <w:t>98</w:t>
            </w:r>
          </w:p>
        </w:tc>
        <w:tc>
          <w:tcPr>
            <w:tcW w:w="1449" w:type="pct"/>
            <w:noWrap/>
            <w:vAlign w:val="center"/>
          </w:tcPr>
          <w:p w:rsidR="002625B2" w:rsidRPr="00AE6EDB" w:rsidRDefault="002625B2" w:rsidP="002625B2">
            <w:pPr>
              <w:ind w:right="600"/>
              <w:jc w:val="right"/>
              <w:rPr>
                <w:b/>
              </w:rPr>
            </w:pPr>
            <w:r w:rsidRPr="00AE6EDB">
              <w:rPr>
                <w:b/>
              </w:rPr>
              <w:t>100,0</w:t>
            </w:r>
          </w:p>
        </w:tc>
        <w:tc>
          <w:tcPr>
            <w:tcW w:w="1249" w:type="pct"/>
            <w:vAlign w:val="center"/>
          </w:tcPr>
          <w:p w:rsidR="002625B2" w:rsidRPr="00AE6EDB" w:rsidRDefault="002625B2" w:rsidP="002625B2">
            <w:pPr>
              <w:ind w:right="600"/>
              <w:jc w:val="right"/>
              <w:rPr>
                <w:b/>
              </w:rPr>
            </w:pPr>
            <w:r w:rsidRPr="00AE6EDB">
              <w:rPr>
                <w:b/>
              </w:rPr>
              <w:t>107,2</w:t>
            </w:r>
          </w:p>
        </w:tc>
      </w:tr>
      <w:tr w:rsidR="002625B2" w:rsidRPr="00AE6EDB" w:rsidTr="002625B2">
        <w:trPr>
          <w:trHeight w:val="255"/>
          <w:jc w:val="center"/>
        </w:trPr>
        <w:tc>
          <w:tcPr>
            <w:tcW w:w="1271" w:type="pct"/>
            <w:noWrap/>
            <w:vAlign w:val="center"/>
          </w:tcPr>
          <w:p w:rsidR="002625B2" w:rsidRPr="00AE6EDB" w:rsidRDefault="002625B2" w:rsidP="002625B2">
            <w:r w:rsidRPr="00AE6EDB">
              <w:t>v tom:</w:t>
            </w:r>
          </w:p>
        </w:tc>
        <w:tc>
          <w:tcPr>
            <w:tcW w:w="1031" w:type="pct"/>
            <w:noWrap/>
            <w:vAlign w:val="center"/>
          </w:tcPr>
          <w:p w:rsidR="002625B2" w:rsidRPr="00AE6EDB" w:rsidRDefault="002625B2" w:rsidP="002625B2">
            <w:pPr>
              <w:ind w:right="458"/>
              <w:jc w:val="right"/>
            </w:pPr>
          </w:p>
        </w:tc>
        <w:tc>
          <w:tcPr>
            <w:tcW w:w="1449" w:type="pct"/>
            <w:noWrap/>
            <w:vAlign w:val="center"/>
          </w:tcPr>
          <w:p w:rsidR="002625B2" w:rsidRPr="00AE6EDB" w:rsidRDefault="002625B2" w:rsidP="002625B2">
            <w:pPr>
              <w:ind w:right="600"/>
              <w:jc w:val="right"/>
            </w:pPr>
          </w:p>
        </w:tc>
        <w:tc>
          <w:tcPr>
            <w:tcW w:w="1249" w:type="pct"/>
            <w:vAlign w:val="center"/>
          </w:tcPr>
          <w:p w:rsidR="002625B2" w:rsidRPr="00AE6EDB" w:rsidRDefault="002625B2" w:rsidP="002625B2">
            <w:pPr>
              <w:ind w:right="600"/>
              <w:jc w:val="right"/>
            </w:pPr>
          </w:p>
        </w:tc>
      </w:tr>
      <w:tr w:rsidR="002625B2" w:rsidRPr="00AE6EDB" w:rsidTr="002625B2">
        <w:trPr>
          <w:trHeight w:val="255"/>
          <w:jc w:val="center"/>
        </w:trPr>
        <w:tc>
          <w:tcPr>
            <w:tcW w:w="1271" w:type="pct"/>
            <w:noWrap/>
            <w:vAlign w:val="center"/>
          </w:tcPr>
          <w:p w:rsidR="002625B2" w:rsidRPr="00AE6EDB" w:rsidRDefault="002625B2" w:rsidP="002625B2">
            <w:r w:rsidRPr="00AE6EDB">
              <w:t>Bratislavský</w:t>
            </w:r>
          </w:p>
        </w:tc>
        <w:tc>
          <w:tcPr>
            <w:tcW w:w="1031" w:type="pct"/>
            <w:noWrap/>
            <w:vAlign w:val="bottom"/>
          </w:tcPr>
          <w:p w:rsidR="002625B2" w:rsidRPr="00AE6EDB" w:rsidRDefault="00AC44CB" w:rsidP="002625B2">
            <w:pPr>
              <w:ind w:right="600"/>
              <w:jc w:val="right"/>
            </w:pPr>
            <w:r>
              <w:t>8 7</w:t>
            </w:r>
            <w:r w:rsidR="002625B2" w:rsidRPr="00AE6EDB">
              <w:t xml:space="preserve">76 </w:t>
            </w:r>
          </w:p>
        </w:tc>
        <w:tc>
          <w:tcPr>
            <w:tcW w:w="1449" w:type="pct"/>
            <w:noWrap/>
            <w:vAlign w:val="bottom"/>
          </w:tcPr>
          <w:p w:rsidR="002625B2" w:rsidRPr="00AE6EDB" w:rsidRDefault="002625B2" w:rsidP="002625B2">
            <w:pPr>
              <w:ind w:right="600"/>
              <w:jc w:val="right"/>
            </w:pPr>
            <w:r w:rsidRPr="00AE6EDB">
              <w:t>51,0</w:t>
            </w:r>
          </w:p>
        </w:tc>
        <w:tc>
          <w:tcPr>
            <w:tcW w:w="1249" w:type="pct"/>
            <w:vAlign w:val="bottom"/>
          </w:tcPr>
          <w:p w:rsidR="002625B2" w:rsidRPr="00AE6EDB" w:rsidRDefault="002625B2" w:rsidP="002625B2">
            <w:pPr>
              <w:ind w:right="600"/>
              <w:jc w:val="right"/>
            </w:pPr>
            <w:r w:rsidRPr="00AE6EDB">
              <w:t xml:space="preserve">105,2 </w:t>
            </w:r>
          </w:p>
        </w:tc>
      </w:tr>
      <w:tr w:rsidR="002625B2" w:rsidRPr="00AE6EDB" w:rsidTr="002625B2">
        <w:trPr>
          <w:trHeight w:val="255"/>
          <w:jc w:val="center"/>
        </w:trPr>
        <w:tc>
          <w:tcPr>
            <w:tcW w:w="1271" w:type="pct"/>
            <w:noWrap/>
            <w:vAlign w:val="center"/>
          </w:tcPr>
          <w:p w:rsidR="002625B2" w:rsidRPr="00AE6EDB" w:rsidRDefault="002625B2" w:rsidP="002625B2">
            <w:r w:rsidRPr="00AE6EDB">
              <w:t>Trnavský</w:t>
            </w:r>
          </w:p>
        </w:tc>
        <w:tc>
          <w:tcPr>
            <w:tcW w:w="1031" w:type="pct"/>
            <w:noWrap/>
            <w:vAlign w:val="bottom"/>
          </w:tcPr>
          <w:p w:rsidR="002625B2" w:rsidRPr="00AE6EDB" w:rsidRDefault="0054295F" w:rsidP="002625B2">
            <w:pPr>
              <w:ind w:right="600"/>
              <w:jc w:val="right"/>
            </w:pPr>
            <w:r>
              <w:t>1 4</w:t>
            </w:r>
            <w:r w:rsidR="002625B2" w:rsidRPr="00AE6EDB">
              <w:t xml:space="preserve">28 </w:t>
            </w:r>
          </w:p>
        </w:tc>
        <w:tc>
          <w:tcPr>
            <w:tcW w:w="1449" w:type="pct"/>
            <w:noWrap/>
            <w:vAlign w:val="bottom"/>
          </w:tcPr>
          <w:p w:rsidR="002625B2" w:rsidRPr="00AE6EDB" w:rsidRDefault="002625B2" w:rsidP="002625B2">
            <w:pPr>
              <w:ind w:right="600"/>
              <w:jc w:val="right"/>
            </w:pPr>
            <w:r w:rsidRPr="00AE6EDB">
              <w:t>8,3</w:t>
            </w:r>
          </w:p>
        </w:tc>
        <w:tc>
          <w:tcPr>
            <w:tcW w:w="1249" w:type="pct"/>
            <w:vAlign w:val="bottom"/>
          </w:tcPr>
          <w:p w:rsidR="002625B2" w:rsidRPr="00AE6EDB" w:rsidRDefault="002625B2" w:rsidP="002625B2">
            <w:pPr>
              <w:ind w:right="600"/>
              <w:jc w:val="right"/>
            </w:pPr>
            <w:r w:rsidRPr="00AE6EDB">
              <w:t xml:space="preserve">124,8 </w:t>
            </w:r>
          </w:p>
        </w:tc>
      </w:tr>
      <w:tr w:rsidR="002625B2" w:rsidRPr="00AE6EDB" w:rsidTr="002625B2">
        <w:trPr>
          <w:trHeight w:val="255"/>
          <w:jc w:val="center"/>
        </w:trPr>
        <w:tc>
          <w:tcPr>
            <w:tcW w:w="1271" w:type="pct"/>
            <w:noWrap/>
            <w:vAlign w:val="center"/>
          </w:tcPr>
          <w:p w:rsidR="002625B2" w:rsidRPr="00AE6EDB" w:rsidRDefault="002625B2" w:rsidP="002625B2">
            <w:r w:rsidRPr="00AE6EDB">
              <w:t>Trenčiansky</w:t>
            </w:r>
          </w:p>
        </w:tc>
        <w:tc>
          <w:tcPr>
            <w:tcW w:w="1031" w:type="pct"/>
            <w:noWrap/>
            <w:vAlign w:val="bottom"/>
          </w:tcPr>
          <w:p w:rsidR="002625B2" w:rsidRPr="00AE6EDB" w:rsidRDefault="0054295F" w:rsidP="002625B2">
            <w:pPr>
              <w:ind w:right="600"/>
              <w:jc w:val="right"/>
            </w:pPr>
            <w:r>
              <w:t>1 1</w:t>
            </w:r>
            <w:r w:rsidR="002625B2" w:rsidRPr="00AE6EDB">
              <w:t xml:space="preserve">97 </w:t>
            </w:r>
          </w:p>
        </w:tc>
        <w:tc>
          <w:tcPr>
            <w:tcW w:w="1449" w:type="pct"/>
            <w:noWrap/>
            <w:vAlign w:val="bottom"/>
          </w:tcPr>
          <w:p w:rsidR="002625B2" w:rsidRPr="00AE6EDB" w:rsidRDefault="002625B2" w:rsidP="002625B2">
            <w:pPr>
              <w:ind w:right="600"/>
              <w:jc w:val="right"/>
            </w:pPr>
            <w:r w:rsidRPr="00AE6EDB">
              <w:t>7,0</w:t>
            </w:r>
          </w:p>
        </w:tc>
        <w:tc>
          <w:tcPr>
            <w:tcW w:w="1249" w:type="pct"/>
            <w:vAlign w:val="bottom"/>
          </w:tcPr>
          <w:p w:rsidR="002625B2" w:rsidRPr="00AE6EDB" w:rsidRDefault="002625B2" w:rsidP="002625B2">
            <w:pPr>
              <w:ind w:right="600"/>
              <w:jc w:val="right"/>
            </w:pPr>
            <w:r w:rsidRPr="00AE6EDB">
              <w:t xml:space="preserve">127,9 </w:t>
            </w:r>
          </w:p>
        </w:tc>
      </w:tr>
      <w:tr w:rsidR="002625B2" w:rsidRPr="00AE6EDB" w:rsidTr="002625B2">
        <w:trPr>
          <w:trHeight w:val="255"/>
          <w:jc w:val="center"/>
        </w:trPr>
        <w:tc>
          <w:tcPr>
            <w:tcW w:w="1271" w:type="pct"/>
            <w:noWrap/>
            <w:vAlign w:val="center"/>
          </w:tcPr>
          <w:p w:rsidR="002625B2" w:rsidRPr="00AE6EDB" w:rsidRDefault="002625B2" w:rsidP="002625B2">
            <w:r w:rsidRPr="00AE6EDB">
              <w:t>Nitriansky</w:t>
            </w:r>
          </w:p>
        </w:tc>
        <w:tc>
          <w:tcPr>
            <w:tcW w:w="1031" w:type="pct"/>
            <w:noWrap/>
            <w:vAlign w:val="bottom"/>
          </w:tcPr>
          <w:p w:rsidR="002625B2" w:rsidRPr="00AE6EDB" w:rsidRDefault="0054295F" w:rsidP="002625B2">
            <w:pPr>
              <w:ind w:right="600"/>
              <w:jc w:val="right"/>
            </w:pPr>
            <w:r>
              <w:t>1 1</w:t>
            </w:r>
            <w:r w:rsidR="002625B2" w:rsidRPr="00AE6EDB">
              <w:t>35</w:t>
            </w:r>
          </w:p>
        </w:tc>
        <w:tc>
          <w:tcPr>
            <w:tcW w:w="1449" w:type="pct"/>
            <w:noWrap/>
            <w:vAlign w:val="bottom"/>
          </w:tcPr>
          <w:p w:rsidR="002625B2" w:rsidRPr="00AE6EDB" w:rsidRDefault="002625B2" w:rsidP="002625B2">
            <w:pPr>
              <w:ind w:right="600"/>
              <w:jc w:val="right"/>
            </w:pPr>
            <w:r w:rsidRPr="00AE6EDB">
              <w:t>6,6</w:t>
            </w:r>
          </w:p>
        </w:tc>
        <w:tc>
          <w:tcPr>
            <w:tcW w:w="1249" w:type="pct"/>
            <w:vAlign w:val="bottom"/>
          </w:tcPr>
          <w:p w:rsidR="002625B2" w:rsidRPr="00AE6EDB" w:rsidRDefault="002625B2" w:rsidP="002625B2">
            <w:pPr>
              <w:ind w:right="600"/>
              <w:jc w:val="right"/>
            </w:pPr>
            <w:r w:rsidRPr="00AE6EDB">
              <w:t xml:space="preserve">108,7 </w:t>
            </w:r>
          </w:p>
        </w:tc>
      </w:tr>
      <w:tr w:rsidR="002625B2" w:rsidRPr="00AE6EDB" w:rsidTr="002625B2">
        <w:trPr>
          <w:trHeight w:val="255"/>
          <w:jc w:val="center"/>
        </w:trPr>
        <w:tc>
          <w:tcPr>
            <w:tcW w:w="1271" w:type="pct"/>
            <w:noWrap/>
            <w:vAlign w:val="center"/>
          </w:tcPr>
          <w:p w:rsidR="002625B2" w:rsidRPr="00AE6EDB" w:rsidRDefault="002625B2" w:rsidP="002625B2">
            <w:r w:rsidRPr="00AE6EDB">
              <w:t>Žilinský</w:t>
            </w:r>
          </w:p>
        </w:tc>
        <w:tc>
          <w:tcPr>
            <w:tcW w:w="1031" w:type="pct"/>
            <w:noWrap/>
            <w:vAlign w:val="bottom"/>
          </w:tcPr>
          <w:p w:rsidR="002625B2" w:rsidRPr="00AE6EDB" w:rsidRDefault="0054295F" w:rsidP="002625B2">
            <w:pPr>
              <w:ind w:right="600"/>
              <w:jc w:val="right"/>
            </w:pPr>
            <w:r>
              <w:t>1 1</w:t>
            </w:r>
            <w:r w:rsidR="002625B2" w:rsidRPr="00AE6EDB">
              <w:t xml:space="preserve">39 </w:t>
            </w:r>
          </w:p>
        </w:tc>
        <w:tc>
          <w:tcPr>
            <w:tcW w:w="1449" w:type="pct"/>
            <w:noWrap/>
            <w:vAlign w:val="bottom"/>
          </w:tcPr>
          <w:p w:rsidR="002625B2" w:rsidRPr="00AE6EDB" w:rsidRDefault="002625B2" w:rsidP="002625B2">
            <w:pPr>
              <w:ind w:right="600"/>
              <w:jc w:val="right"/>
            </w:pPr>
            <w:r w:rsidRPr="00AE6EDB">
              <w:t>6,6</w:t>
            </w:r>
          </w:p>
        </w:tc>
        <w:tc>
          <w:tcPr>
            <w:tcW w:w="1249" w:type="pct"/>
            <w:vAlign w:val="bottom"/>
          </w:tcPr>
          <w:p w:rsidR="002625B2" w:rsidRPr="00AE6EDB" w:rsidRDefault="002625B2" w:rsidP="002625B2">
            <w:pPr>
              <w:ind w:right="600"/>
              <w:jc w:val="right"/>
            </w:pPr>
            <w:r w:rsidRPr="00AE6EDB">
              <w:t xml:space="preserve">108,1 </w:t>
            </w:r>
          </w:p>
        </w:tc>
      </w:tr>
      <w:tr w:rsidR="002625B2" w:rsidRPr="00AE6EDB" w:rsidTr="002625B2">
        <w:trPr>
          <w:trHeight w:val="255"/>
          <w:jc w:val="center"/>
        </w:trPr>
        <w:tc>
          <w:tcPr>
            <w:tcW w:w="1271" w:type="pct"/>
            <w:noWrap/>
            <w:vAlign w:val="center"/>
          </w:tcPr>
          <w:p w:rsidR="002625B2" w:rsidRPr="00AE6EDB" w:rsidRDefault="002625B2" w:rsidP="002625B2">
            <w:r w:rsidRPr="00AE6EDB">
              <w:t>Banskobystrický</w:t>
            </w:r>
          </w:p>
        </w:tc>
        <w:tc>
          <w:tcPr>
            <w:tcW w:w="1031" w:type="pct"/>
            <w:noWrap/>
            <w:vAlign w:val="bottom"/>
          </w:tcPr>
          <w:p w:rsidR="002625B2" w:rsidRPr="00AE6EDB" w:rsidRDefault="0054295F" w:rsidP="002625B2">
            <w:pPr>
              <w:ind w:right="600"/>
              <w:jc w:val="right"/>
            </w:pPr>
            <w:r>
              <w:t>1 3</w:t>
            </w:r>
            <w:r w:rsidR="002625B2" w:rsidRPr="00AE6EDB">
              <w:t xml:space="preserve">12 </w:t>
            </w:r>
          </w:p>
        </w:tc>
        <w:tc>
          <w:tcPr>
            <w:tcW w:w="1449" w:type="pct"/>
            <w:noWrap/>
            <w:vAlign w:val="bottom"/>
          </w:tcPr>
          <w:p w:rsidR="002625B2" w:rsidRPr="00AE6EDB" w:rsidRDefault="002625B2" w:rsidP="002625B2">
            <w:pPr>
              <w:ind w:right="600"/>
              <w:jc w:val="right"/>
            </w:pPr>
            <w:r w:rsidRPr="00AE6EDB">
              <w:t>7,6</w:t>
            </w:r>
          </w:p>
        </w:tc>
        <w:tc>
          <w:tcPr>
            <w:tcW w:w="1249" w:type="pct"/>
            <w:vAlign w:val="bottom"/>
          </w:tcPr>
          <w:p w:rsidR="002625B2" w:rsidRPr="00AE6EDB" w:rsidRDefault="002625B2" w:rsidP="002625B2">
            <w:pPr>
              <w:ind w:right="600"/>
              <w:jc w:val="right"/>
            </w:pPr>
            <w:r w:rsidRPr="00AE6EDB">
              <w:t xml:space="preserve">90,5 </w:t>
            </w:r>
          </w:p>
        </w:tc>
      </w:tr>
      <w:tr w:rsidR="002625B2" w:rsidRPr="00AE6EDB" w:rsidTr="002625B2">
        <w:trPr>
          <w:trHeight w:val="255"/>
          <w:jc w:val="center"/>
        </w:trPr>
        <w:tc>
          <w:tcPr>
            <w:tcW w:w="1271" w:type="pct"/>
            <w:noWrap/>
            <w:vAlign w:val="center"/>
          </w:tcPr>
          <w:p w:rsidR="002625B2" w:rsidRPr="00AE6EDB" w:rsidRDefault="002625B2" w:rsidP="002625B2">
            <w:r w:rsidRPr="00AE6EDB">
              <w:t>Prešovský</w:t>
            </w:r>
          </w:p>
        </w:tc>
        <w:tc>
          <w:tcPr>
            <w:tcW w:w="1031" w:type="pct"/>
            <w:noWrap/>
            <w:vAlign w:val="bottom"/>
          </w:tcPr>
          <w:p w:rsidR="002625B2" w:rsidRPr="00AE6EDB" w:rsidRDefault="0054295F" w:rsidP="002625B2">
            <w:pPr>
              <w:ind w:right="600"/>
              <w:jc w:val="right"/>
            </w:pPr>
            <w:r>
              <w:t>1 2</w:t>
            </w:r>
            <w:r w:rsidR="002625B2" w:rsidRPr="00AE6EDB">
              <w:t xml:space="preserve">25 </w:t>
            </w:r>
          </w:p>
        </w:tc>
        <w:tc>
          <w:tcPr>
            <w:tcW w:w="1449" w:type="pct"/>
            <w:noWrap/>
            <w:vAlign w:val="bottom"/>
          </w:tcPr>
          <w:p w:rsidR="002625B2" w:rsidRPr="00AE6EDB" w:rsidRDefault="002625B2" w:rsidP="002625B2">
            <w:pPr>
              <w:ind w:right="600"/>
              <w:jc w:val="right"/>
            </w:pPr>
            <w:r w:rsidRPr="00AE6EDB">
              <w:t>7,1</w:t>
            </w:r>
          </w:p>
        </w:tc>
        <w:tc>
          <w:tcPr>
            <w:tcW w:w="1249" w:type="pct"/>
            <w:vAlign w:val="bottom"/>
          </w:tcPr>
          <w:p w:rsidR="002625B2" w:rsidRPr="00AE6EDB" w:rsidRDefault="002625B2" w:rsidP="002625B2">
            <w:pPr>
              <w:ind w:right="600"/>
              <w:jc w:val="right"/>
            </w:pPr>
            <w:r w:rsidRPr="00AE6EDB">
              <w:t xml:space="preserve">112,9 </w:t>
            </w:r>
          </w:p>
        </w:tc>
      </w:tr>
      <w:tr w:rsidR="002625B2" w:rsidRPr="00AE6EDB" w:rsidTr="002625B2">
        <w:trPr>
          <w:trHeight w:val="255"/>
          <w:jc w:val="center"/>
        </w:trPr>
        <w:tc>
          <w:tcPr>
            <w:tcW w:w="1271" w:type="pct"/>
            <w:noWrap/>
            <w:vAlign w:val="center"/>
          </w:tcPr>
          <w:p w:rsidR="002625B2" w:rsidRPr="00AE6EDB" w:rsidRDefault="002625B2" w:rsidP="002625B2">
            <w:r w:rsidRPr="00AE6EDB">
              <w:t>Košický</w:t>
            </w:r>
          </w:p>
        </w:tc>
        <w:tc>
          <w:tcPr>
            <w:tcW w:w="1031" w:type="pct"/>
            <w:noWrap/>
            <w:vAlign w:val="bottom"/>
          </w:tcPr>
          <w:p w:rsidR="002625B2" w:rsidRPr="00AE6EDB" w:rsidRDefault="002625B2" w:rsidP="002625B2">
            <w:pPr>
              <w:ind w:right="600"/>
              <w:jc w:val="right"/>
            </w:pPr>
            <w:r w:rsidRPr="00AE6EDB">
              <w:t xml:space="preserve">986 </w:t>
            </w:r>
          </w:p>
        </w:tc>
        <w:tc>
          <w:tcPr>
            <w:tcW w:w="1449" w:type="pct"/>
            <w:noWrap/>
            <w:vAlign w:val="bottom"/>
          </w:tcPr>
          <w:p w:rsidR="002625B2" w:rsidRPr="00AE6EDB" w:rsidRDefault="002625B2" w:rsidP="002625B2">
            <w:pPr>
              <w:ind w:right="600"/>
              <w:jc w:val="right"/>
            </w:pPr>
            <w:r w:rsidRPr="00AE6EDB">
              <w:t>5,7</w:t>
            </w:r>
          </w:p>
        </w:tc>
        <w:tc>
          <w:tcPr>
            <w:tcW w:w="1249" w:type="pct"/>
            <w:vAlign w:val="bottom"/>
          </w:tcPr>
          <w:p w:rsidR="002625B2" w:rsidRPr="00AE6EDB" w:rsidRDefault="002625B2" w:rsidP="002625B2">
            <w:pPr>
              <w:ind w:right="600"/>
              <w:jc w:val="right"/>
            </w:pPr>
            <w:r w:rsidRPr="00AE6EDB">
              <w:t xml:space="preserve">99,5 </w:t>
            </w:r>
          </w:p>
        </w:tc>
      </w:tr>
    </w:tbl>
    <w:p w:rsidR="002625B2" w:rsidRPr="00AE6EDB" w:rsidRDefault="002625B2" w:rsidP="002625B2">
      <w:pPr>
        <w:pStyle w:val="zdroj"/>
        <w:ind w:left="567" w:right="708" w:firstLine="0"/>
      </w:pPr>
      <w:r w:rsidRPr="00AE6EDB">
        <w:t>Zdroj: ŠÚ SR, Štatistická správa o základných vývojových tendenciách v hospodárstve SR v 4. štvrťroku 2015</w:t>
      </w:r>
    </w:p>
    <w:p w:rsidR="002625B2" w:rsidRPr="00AE6EDB" w:rsidRDefault="002625B2" w:rsidP="002625B2">
      <w:pPr>
        <w:jc w:val="left"/>
        <w:rPr>
          <w:i/>
          <w:color w:val="000000"/>
          <w:sz w:val="20"/>
          <w:szCs w:val="20"/>
          <w:highlight w:val="cyan"/>
        </w:rPr>
      </w:pPr>
      <w:r w:rsidRPr="00AE6EDB">
        <w:rPr>
          <w:highlight w:val="cyan"/>
        </w:rPr>
        <w:br w:type="page"/>
      </w:r>
    </w:p>
    <w:p w:rsidR="002625B2" w:rsidRPr="00AE6EDB" w:rsidRDefault="002625B2" w:rsidP="002625B2">
      <w:pPr>
        <w:pStyle w:val="Nadpis6"/>
      </w:pPr>
      <w:bookmarkStart w:id="106" w:name="_Toc422233406"/>
      <w:bookmarkStart w:id="107" w:name="_Toc452469863"/>
      <w:r w:rsidRPr="00AE6EDB">
        <w:lastRenderedPageBreak/>
        <w:t>Vývoj nezamestnanosti</w:t>
      </w:r>
      <w:bookmarkEnd w:id="106"/>
      <w:bookmarkEnd w:id="107"/>
    </w:p>
    <w:p w:rsidR="002625B2" w:rsidRPr="00AE6EDB" w:rsidRDefault="002625B2" w:rsidP="002625B2">
      <w:pPr>
        <w:pStyle w:val="Normlnysozarkami1"/>
        <w:ind w:firstLine="431"/>
        <w:rPr>
          <w:color w:val="000000" w:themeColor="text1"/>
          <w:lang w:eastAsia="cs-CZ"/>
        </w:rPr>
      </w:pPr>
      <w:r w:rsidRPr="00AE6EDB">
        <w:rPr>
          <w:color w:val="000000" w:themeColor="text1"/>
          <w:lang w:eastAsia="cs-CZ"/>
        </w:rPr>
        <w:t>Podobne ako zamestnanosť aj nezamestnanosť možno sledovať na základe viacerých prístupov, ktoré sa konceptuálne odlišujú.</w:t>
      </w:r>
    </w:p>
    <w:p w:rsidR="002625B2" w:rsidRPr="00AE6EDB" w:rsidRDefault="002625B2" w:rsidP="002625B2">
      <w:pPr>
        <w:pStyle w:val="Normlnysozarkami1"/>
        <w:ind w:firstLine="431"/>
        <w:rPr>
          <w:color w:val="000000" w:themeColor="text1"/>
        </w:rPr>
      </w:pPr>
      <w:r w:rsidRPr="00AE6EDB">
        <w:rPr>
          <w:color w:val="000000" w:themeColor="text1"/>
        </w:rPr>
        <w:t>Metodika nezamestnanosti</w:t>
      </w:r>
      <w:r w:rsidRPr="00AE6EDB">
        <w:rPr>
          <w:i/>
          <w:color w:val="000000" w:themeColor="text1"/>
        </w:rPr>
        <w:t xml:space="preserve"> </w:t>
      </w:r>
      <w:r w:rsidRPr="00AE6EDB">
        <w:rPr>
          <w:b/>
          <w:i/>
          <w:color w:val="000000" w:themeColor="text1"/>
        </w:rPr>
        <w:t>na základe evidencie úradov práce, sociálnych vecí a rodiny</w:t>
      </w:r>
      <w:r w:rsidRPr="00AE6EDB">
        <w:rPr>
          <w:color w:val="000000" w:themeColor="text1"/>
        </w:rPr>
        <w:t xml:space="preserve"> sa významne odlišuje od metodiky nezamestnanosti na základe VZPS, zachytáva odlišnú populáciu z dôvodu rozdielnej definície nezamestnaného, závisí od motivácie evidovať sa, ako aj od legis</w:t>
      </w:r>
      <w:r w:rsidRPr="00AE6EDB">
        <w:rPr>
          <w:color w:val="000000" w:themeColor="text1"/>
        </w:rPr>
        <w:softHyphen/>
        <w:t>latívnych podmienok evidencie. Hoci nie je medzinárodne porovnateľná, poskytuje administratívne údaje, ktorých vykazovanie je možné na mesačnej báze a na najnižšej administratívno-územnej úrovni.</w:t>
      </w:r>
    </w:p>
    <w:p w:rsidR="002625B2" w:rsidRPr="00AE6EDB" w:rsidRDefault="002625B2" w:rsidP="002625B2">
      <w:pPr>
        <w:tabs>
          <w:tab w:val="left" w:pos="1134"/>
        </w:tabs>
        <w:ind w:firstLine="431"/>
        <w:rPr>
          <w:color w:val="000000" w:themeColor="text1"/>
          <w:lang w:eastAsia="cs-CZ"/>
        </w:rPr>
      </w:pPr>
      <w:r w:rsidRPr="00AE6EDB">
        <w:rPr>
          <w:b/>
          <w:i/>
          <w:color w:val="000000" w:themeColor="text1"/>
          <w:lang w:eastAsia="cs-CZ"/>
        </w:rPr>
        <w:t>Výberové zisťovanie pracovných síl</w:t>
      </w:r>
      <w:r w:rsidRPr="00AE6EDB">
        <w:rPr>
          <w:color w:val="000000" w:themeColor="text1"/>
          <w:lang w:eastAsia="cs-CZ"/>
        </w:rPr>
        <w:t xml:space="preserve"> realizované ŠÚ SR v domácnostiach zachytáva nezamestnaných podľa definície Medzinárodnej organizácie práce ako osoby vo veku od 15</w:t>
      </w:r>
      <w:r w:rsidR="00B65D95">
        <w:rPr>
          <w:color w:val="000000" w:themeColor="text1"/>
          <w:lang w:eastAsia="cs-CZ"/>
        </w:rPr>
        <w:t xml:space="preserve"> do 74</w:t>
      </w:r>
      <w:r w:rsidRPr="00AE6EDB">
        <w:rPr>
          <w:color w:val="000000" w:themeColor="text1"/>
          <w:lang w:eastAsia="cs-CZ"/>
        </w:rPr>
        <w:t xml:space="preserve"> rokov, ktoré súčasne spĺňajú nasledujúce tri podmienky:</w:t>
      </w:r>
      <w:r w:rsidRPr="00AE6EDB">
        <w:rPr>
          <w:color w:val="000000" w:themeColor="text1"/>
          <w:lang w:eastAsia="cs-CZ"/>
        </w:rPr>
        <w:tab/>
      </w:r>
    </w:p>
    <w:p w:rsidR="002625B2" w:rsidRPr="00AE6EDB" w:rsidRDefault="002625B2" w:rsidP="002625B2">
      <w:pPr>
        <w:tabs>
          <w:tab w:val="left" w:pos="1134"/>
        </w:tabs>
        <w:ind w:firstLine="567"/>
        <w:rPr>
          <w:color w:val="000000" w:themeColor="text1"/>
          <w:lang w:eastAsia="cs-CZ"/>
        </w:rPr>
      </w:pPr>
      <w:r w:rsidRPr="00AE6EDB">
        <w:rPr>
          <w:color w:val="000000" w:themeColor="text1"/>
          <w:lang w:eastAsia="cs-CZ"/>
        </w:rPr>
        <w:tab/>
        <w:t>1. v referenčnom týždni nemali žiadnu platenú prácu;</w:t>
      </w:r>
    </w:p>
    <w:p w:rsidR="002625B2" w:rsidRPr="00AE6EDB" w:rsidRDefault="002625B2" w:rsidP="002625B2">
      <w:pPr>
        <w:ind w:left="1418" w:hanging="284"/>
        <w:rPr>
          <w:color w:val="000000" w:themeColor="text1"/>
          <w:lang w:eastAsia="cs-CZ"/>
        </w:rPr>
      </w:pPr>
      <w:r w:rsidRPr="00AE6EDB">
        <w:rPr>
          <w:color w:val="000000" w:themeColor="text1"/>
          <w:lang w:eastAsia="cs-CZ"/>
        </w:rPr>
        <w:t xml:space="preserve">2. v posledných štyroch týždňoch si aktívne hľadali prácu alebo si prácu našli </w:t>
      </w:r>
      <w:r w:rsidRPr="00AE6EDB">
        <w:rPr>
          <w:color w:val="000000" w:themeColor="text1"/>
          <w:lang w:eastAsia="cs-CZ"/>
        </w:rPr>
        <w:br/>
        <w:t xml:space="preserve">a do zamestnania nastúpia najneskôr do 3 mesiacov a zároveň </w:t>
      </w:r>
    </w:p>
    <w:p w:rsidR="002625B2" w:rsidRPr="00AE6EDB" w:rsidRDefault="002625B2" w:rsidP="002625B2">
      <w:pPr>
        <w:ind w:left="1418" w:hanging="284"/>
        <w:rPr>
          <w:color w:val="000000" w:themeColor="text1"/>
          <w:lang w:eastAsia="cs-CZ"/>
        </w:rPr>
      </w:pPr>
      <w:r w:rsidRPr="00AE6EDB">
        <w:rPr>
          <w:color w:val="000000" w:themeColor="text1"/>
          <w:lang w:eastAsia="cs-CZ"/>
        </w:rPr>
        <w:t>3. sú schopné nastúpiť do práce najneskôr do dvoch týždňov.</w:t>
      </w:r>
    </w:p>
    <w:p w:rsidR="002625B2" w:rsidRPr="00AE6EDB" w:rsidRDefault="002625B2" w:rsidP="002625B2">
      <w:pPr>
        <w:pStyle w:val="Nadpis7"/>
      </w:pPr>
      <w:r w:rsidRPr="00AE6EDB">
        <w:t>Graf 2.</w:t>
      </w:r>
      <w:r w:rsidR="00C33FCB" w:rsidRPr="00AE6EDB">
        <w:t>6</w:t>
      </w:r>
      <w:r w:rsidRPr="00AE6EDB">
        <w:t xml:space="preserve"> Porovnanie vývoja nezamestnanosti podľa evidencie ŠÚ SR a ÚPSVR</w:t>
      </w:r>
    </w:p>
    <w:p w:rsidR="002625B2" w:rsidRPr="00AE6EDB" w:rsidRDefault="002625B2" w:rsidP="002625B2">
      <w:pPr>
        <w:pStyle w:val="Normlnysozarkami1"/>
        <w:ind w:left="-567" w:firstLine="0"/>
        <w:jc w:val="center"/>
        <w:rPr>
          <w:color w:val="000000" w:themeColor="text1"/>
          <w:sz w:val="20"/>
          <w:szCs w:val="20"/>
        </w:rPr>
      </w:pPr>
      <w:r w:rsidRPr="00AE6EDB">
        <w:rPr>
          <w:noProof/>
        </w:rPr>
        <w:drawing>
          <wp:inline distT="0" distB="0" distL="0" distR="0" wp14:anchorId="4A29FD13" wp14:editId="47DEA7F4">
            <wp:extent cx="5760720" cy="2624968"/>
            <wp:effectExtent l="0" t="0" r="0" b="444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25B2" w:rsidRPr="00AE6EDB" w:rsidRDefault="002625B2" w:rsidP="002625B2">
      <w:pPr>
        <w:pStyle w:val="zdroj"/>
      </w:pPr>
      <w:r w:rsidRPr="00AE6EDB">
        <w:t>ŠÚ SR (VZPS), ÚPSVR</w:t>
      </w:r>
    </w:p>
    <w:p w:rsidR="00443A53" w:rsidRPr="00AE6EDB" w:rsidRDefault="00443A53">
      <w:pPr>
        <w:jc w:val="left"/>
        <w:rPr>
          <w:b/>
          <w:color w:val="E78A80" w:themeColor="accent2" w:themeTint="99"/>
          <w:szCs w:val="22"/>
        </w:rPr>
      </w:pPr>
      <w:r w:rsidRPr="00AE6EDB">
        <w:br w:type="page"/>
      </w:r>
    </w:p>
    <w:p w:rsidR="002625B2" w:rsidRPr="00AE6EDB" w:rsidRDefault="002625B2" w:rsidP="002625B2">
      <w:pPr>
        <w:pStyle w:val="Nadpis41"/>
      </w:pPr>
      <w:r w:rsidRPr="00AE6EDB">
        <w:lastRenderedPageBreak/>
        <w:t>Nezamestnanosť podľa evidencie úradov práce, sociálnych vecí a rodiny</w:t>
      </w:r>
    </w:p>
    <w:p w:rsidR="002625B2" w:rsidRPr="00AE6EDB" w:rsidRDefault="002625B2" w:rsidP="002625B2">
      <w:pPr>
        <w:ind w:firstLine="431"/>
        <w:rPr>
          <w:szCs w:val="22"/>
          <w:highlight w:val="cyan"/>
        </w:rPr>
      </w:pPr>
      <w:r w:rsidRPr="00AE6EDB">
        <w:rPr>
          <w:szCs w:val="22"/>
        </w:rPr>
        <w:t xml:space="preserve">V roku 2015 bolo v SR </w:t>
      </w:r>
      <w:r w:rsidRPr="00AE6EDB">
        <w:rPr>
          <w:b/>
          <w:i/>
          <w:szCs w:val="22"/>
        </w:rPr>
        <w:t>priemerne evidovaných 35</w:t>
      </w:r>
      <w:r w:rsidR="0054295F">
        <w:rPr>
          <w:b/>
          <w:i/>
          <w:szCs w:val="22"/>
        </w:rPr>
        <w:t>4 5</w:t>
      </w:r>
      <w:r w:rsidRPr="00AE6EDB">
        <w:rPr>
          <w:b/>
          <w:i/>
          <w:szCs w:val="22"/>
        </w:rPr>
        <w:t xml:space="preserve">82 uchádzačov o zamestnanie </w:t>
      </w:r>
      <w:r w:rsidRPr="00AE6EDB">
        <w:rPr>
          <w:szCs w:val="22"/>
        </w:rPr>
        <w:t>(ďalej aj „</w:t>
      </w:r>
      <w:proofErr w:type="spellStart"/>
      <w:r w:rsidRPr="00AE6EDB">
        <w:rPr>
          <w:szCs w:val="22"/>
        </w:rPr>
        <w:t>UoZ</w:t>
      </w:r>
      <w:proofErr w:type="spellEnd"/>
      <w:r w:rsidRPr="00AE6EDB">
        <w:rPr>
          <w:szCs w:val="22"/>
        </w:rPr>
        <w:t xml:space="preserve">“). </w:t>
      </w:r>
      <w:r w:rsidRPr="00AE6EDB">
        <w:t xml:space="preserve">Vývoj evidovanej nezamestnanosti v jednotlivých mesiacoch charakterizoval pozitívny klesajúci trend počas celého roka. Počet evidovaných nezamestnaných bol v každom mesiaci nižší ako v rovnakom mesiaci predchádzajúceho roka, a to aj u mužov aj u žien. Keď zoberieme do úvahy sezónne výkyvy, počet </w:t>
      </w:r>
      <w:proofErr w:type="spellStart"/>
      <w:r w:rsidRPr="00AE6EDB">
        <w:t>UoZ</w:t>
      </w:r>
      <w:proofErr w:type="spellEnd"/>
      <w:r w:rsidRPr="00AE6EDB">
        <w:t xml:space="preserve"> sa v priebehu roka 2015 znižoval aj medzimesačne (výnimku tvorili mesiace jún a september, kedy bol zaznamenaný medzimesačný nárast počtu </w:t>
      </w:r>
      <w:proofErr w:type="spellStart"/>
      <w:r w:rsidRPr="00AE6EDB">
        <w:t>UoZ</w:t>
      </w:r>
      <w:proofErr w:type="spellEnd"/>
      <w:r w:rsidRPr="00AE6EDB">
        <w:t xml:space="preserve">). </w:t>
      </w:r>
      <w:r w:rsidRPr="00AE6EDB">
        <w:rPr>
          <w:szCs w:val="22"/>
        </w:rPr>
        <w:t xml:space="preserve">V porovnaní s rokom 2014 počet </w:t>
      </w:r>
      <w:proofErr w:type="spellStart"/>
      <w:r w:rsidRPr="00AE6EDB">
        <w:rPr>
          <w:szCs w:val="22"/>
        </w:rPr>
        <w:t>UoZ</w:t>
      </w:r>
      <w:proofErr w:type="spellEnd"/>
      <w:r w:rsidRPr="00AE6EDB">
        <w:rPr>
          <w:szCs w:val="22"/>
        </w:rPr>
        <w:t xml:space="preserve"> priemerne mesačne poklesol o 3</w:t>
      </w:r>
      <w:r w:rsidR="0054295F">
        <w:rPr>
          <w:szCs w:val="22"/>
        </w:rPr>
        <w:t>1 0</w:t>
      </w:r>
      <w:r w:rsidRPr="00AE6EDB">
        <w:rPr>
          <w:szCs w:val="22"/>
        </w:rPr>
        <w:t>79 osôb, t. j. o 8,06</w:t>
      </w:r>
      <w:r w:rsidR="005676EF">
        <w:rPr>
          <w:szCs w:val="22"/>
        </w:rPr>
        <w:t> %</w:t>
      </w:r>
      <w:r w:rsidRPr="00AE6EDB">
        <w:rPr>
          <w:szCs w:val="22"/>
        </w:rPr>
        <w:t xml:space="preserve"> (v roku 2014 bolo priemerne evidovaných 38</w:t>
      </w:r>
      <w:r w:rsidR="00AC44CB">
        <w:rPr>
          <w:szCs w:val="22"/>
        </w:rPr>
        <w:t>5 6</w:t>
      </w:r>
      <w:r w:rsidRPr="00AE6EDB">
        <w:rPr>
          <w:szCs w:val="22"/>
        </w:rPr>
        <w:t>61 </w:t>
      </w:r>
      <w:proofErr w:type="spellStart"/>
      <w:r w:rsidRPr="00AE6EDB">
        <w:rPr>
          <w:szCs w:val="22"/>
        </w:rPr>
        <w:t>UoZ</w:t>
      </w:r>
      <w:proofErr w:type="spellEnd"/>
      <w:r w:rsidRPr="00AE6EDB">
        <w:rPr>
          <w:szCs w:val="22"/>
        </w:rPr>
        <w:t>). K znižovaniu nezamestnanosti prispelo aj adresné využívanie nástrojov aktívnej politiky trhu práce spolu s individuálnym prístupom ku klientom, a to aj vďaka účinnému realizovaniu projektov podporených z európskych štrukturálnych fondov.</w:t>
      </w:r>
    </w:p>
    <w:p w:rsidR="002625B2" w:rsidRPr="00AE6EDB" w:rsidRDefault="002625B2" w:rsidP="002625B2">
      <w:pPr>
        <w:pStyle w:val="Nadpis7"/>
      </w:pPr>
      <w:r w:rsidRPr="00AE6EDB">
        <w:t>G</w:t>
      </w:r>
      <w:r w:rsidR="00C33FCB" w:rsidRPr="00AE6EDB">
        <w:t>raf 2.7</w:t>
      </w:r>
      <w:r w:rsidRPr="00AE6EDB">
        <w:t xml:space="preserve"> Vývoj počtu uchádzačov o zamestnanie v jednotlivých mesiacoch v rokoch 2014 a 2015</w:t>
      </w:r>
    </w:p>
    <w:p w:rsidR="002625B2" w:rsidRPr="00AE6EDB" w:rsidRDefault="002625B2" w:rsidP="00443A53">
      <w:pPr>
        <w:pStyle w:val="zdroj"/>
        <w:spacing w:after="0"/>
        <w:ind w:firstLine="0"/>
        <w:jc w:val="center"/>
      </w:pPr>
      <w:r w:rsidRPr="00AE6EDB">
        <w:rPr>
          <w:noProof/>
        </w:rPr>
        <w:drawing>
          <wp:inline distT="0" distB="0" distL="0" distR="0" wp14:anchorId="43DE249E" wp14:editId="3C2F873B">
            <wp:extent cx="5688330" cy="246634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25B2" w:rsidRPr="00AE6EDB" w:rsidRDefault="002625B2" w:rsidP="002625B2">
      <w:pPr>
        <w:pStyle w:val="zdroj"/>
        <w:rPr>
          <w:sz w:val="24"/>
        </w:rPr>
      </w:pPr>
      <w:r w:rsidRPr="00AE6EDB">
        <w:t xml:space="preserve">Zdroj: ÚPSVR </w:t>
      </w:r>
    </w:p>
    <w:p w:rsidR="002625B2" w:rsidRPr="00AE6EDB" w:rsidRDefault="002625B2" w:rsidP="002625B2">
      <w:pPr>
        <w:pStyle w:val="Normlnysozarkami11"/>
        <w:ind w:firstLine="431"/>
        <w:rPr>
          <w:szCs w:val="22"/>
          <w:highlight w:val="cyan"/>
        </w:rPr>
      </w:pPr>
      <w:r w:rsidRPr="00AE6EDB">
        <w:t xml:space="preserve">Z celkového priemerného počtu </w:t>
      </w:r>
      <w:proofErr w:type="spellStart"/>
      <w:r w:rsidRPr="00AE6EDB">
        <w:t>UoZ</w:t>
      </w:r>
      <w:proofErr w:type="spellEnd"/>
      <w:r w:rsidRPr="00AE6EDB">
        <w:t xml:space="preserve"> bolo v evidencií 17</w:t>
      </w:r>
      <w:r w:rsidR="00AC44CB">
        <w:t>7 6</w:t>
      </w:r>
      <w:r w:rsidRPr="00AE6EDB">
        <w:t>69 žien (50,11</w:t>
      </w:r>
      <w:r w:rsidR="005676EF">
        <w:t> %</w:t>
      </w:r>
      <w:r w:rsidRPr="00AE6EDB">
        <w:t>), čo v porovnaní s rokom 2014 (priemerne 18</w:t>
      </w:r>
      <w:r w:rsidR="00AC44CB">
        <w:t>8 4</w:t>
      </w:r>
      <w:r w:rsidRPr="00AE6EDB">
        <w:t>64 žien) predstavovalo pokles o 1</w:t>
      </w:r>
      <w:r w:rsidR="0054295F">
        <w:t>0 7</w:t>
      </w:r>
      <w:r w:rsidRPr="00AE6EDB">
        <w:t>95 osôb, resp. o 5,73</w:t>
      </w:r>
      <w:r w:rsidR="005676EF">
        <w:t> %</w:t>
      </w:r>
      <w:r w:rsidRPr="00AE6EDB">
        <w:t xml:space="preserve">. Najvyšší podiel žien na celkových počtoch </w:t>
      </w:r>
      <w:proofErr w:type="spellStart"/>
      <w:r w:rsidRPr="00AE6EDB">
        <w:t>UoZ</w:t>
      </w:r>
      <w:proofErr w:type="spellEnd"/>
      <w:r w:rsidRPr="00AE6EDB">
        <w:t xml:space="preserve"> v roku 2015 bol v Nitrianskom kraji (54,39</w:t>
      </w:r>
      <w:r w:rsidR="005676EF">
        <w:t> %</w:t>
      </w:r>
      <w:r w:rsidRPr="00AE6EDB">
        <w:t>), v ostatných krajoch sa podiel pohyboval v rozmedzí od 47,30</w:t>
      </w:r>
      <w:r w:rsidR="005676EF">
        <w:t> %</w:t>
      </w:r>
      <w:r w:rsidRPr="00AE6EDB">
        <w:t xml:space="preserve"> (Prešovský kraj) do 53,50</w:t>
      </w:r>
      <w:r w:rsidR="005676EF">
        <w:t> %</w:t>
      </w:r>
      <w:r w:rsidRPr="00AE6EDB">
        <w:t xml:space="preserve"> (Trnavský kraj).</w:t>
      </w:r>
    </w:p>
    <w:p w:rsidR="002625B2" w:rsidRPr="00AE6EDB" w:rsidRDefault="002625B2" w:rsidP="002625B2">
      <w:pPr>
        <w:pStyle w:val="Nadpis7"/>
      </w:pPr>
      <w:r w:rsidRPr="00AE6EDB">
        <w:t>Graf 2.</w:t>
      </w:r>
      <w:r w:rsidR="00C33FCB" w:rsidRPr="00AE6EDB">
        <w:t>8</w:t>
      </w:r>
      <w:r w:rsidRPr="00AE6EDB">
        <w:t xml:space="preserve"> Vývoj počtov nezamestnaných mužov a žien v jednotlivých mesiacoch </w:t>
      </w:r>
      <w:r w:rsidRPr="00AE6EDB">
        <w:br/>
        <w:t>v rokoch 2014 a 2015</w:t>
      </w:r>
    </w:p>
    <w:p w:rsidR="002625B2" w:rsidRPr="00AE6EDB" w:rsidRDefault="002625B2" w:rsidP="002625B2">
      <w:pPr>
        <w:jc w:val="center"/>
      </w:pPr>
      <w:r w:rsidRPr="00AE6EDB">
        <w:rPr>
          <w:noProof/>
        </w:rPr>
        <w:drawing>
          <wp:inline distT="0" distB="0" distL="0" distR="0" wp14:anchorId="0663C75E" wp14:editId="3CE407F6">
            <wp:extent cx="5760720" cy="2475865"/>
            <wp:effectExtent l="0" t="0" r="0" b="63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25B2" w:rsidRPr="00AE6EDB" w:rsidRDefault="002625B2" w:rsidP="002625B2">
      <w:pPr>
        <w:pStyle w:val="zdroj"/>
      </w:pPr>
      <w:r w:rsidRPr="00AE6EDB">
        <w:t>Zdroj: ÚPSVR</w:t>
      </w:r>
    </w:p>
    <w:p w:rsidR="002625B2" w:rsidRPr="00AE6EDB" w:rsidRDefault="002625B2" w:rsidP="002625B2">
      <w:pPr>
        <w:pStyle w:val="Nadpis7"/>
      </w:pPr>
      <w:r w:rsidRPr="00AE6EDB">
        <w:lastRenderedPageBreak/>
        <w:t>G</w:t>
      </w:r>
      <w:r w:rsidR="00C33FCB" w:rsidRPr="00AE6EDB">
        <w:t>raf 2.9</w:t>
      </w:r>
      <w:r w:rsidRPr="00AE6EDB">
        <w:t xml:space="preserve"> Vývoj počtu disponibilných uchádzačov o zamestnanie v jednotlivých mesiacoch v rokoch 2014 a 2015</w:t>
      </w:r>
    </w:p>
    <w:p w:rsidR="002625B2" w:rsidRPr="00AE6EDB" w:rsidRDefault="002625B2" w:rsidP="002625B2">
      <w:pPr>
        <w:rPr>
          <w:b/>
        </w:rPr>
      </w:pPr>
      <w:r w:rsidRPr="00AE6EDB">
        <w:rPr>
          <w:noProof/>
        </w:rPr>
        <w:drawing>
          <wp:inline distT="0" distB="0" distL="0" distR="0" wp14:anchorId="131245A8" wp14:editId="3F06F6FA">
            <wp:extent cx="5760720" cy="280035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5B2" w:rsidRPr="00AE6EDB" w:rsidRDefault="002625B2" w:rsidP="002625B2">
      <w:pPr>
        <w:pStyle w:val="zdroj"/>
      </w:pPr>
      <w:r w:rsidRPr="00AE6EDB">
        <w:t>Zdroj: ÚPSVR</w:t>
      </w:r>
    </w:p>
    <w:p w:rsidR="00FF013C" w:rsidRPr="00AE6EDB" w:rsidRDefault="00FF013C" w:rsidP="00FF013C">
      <w:pPr>
        <w:ind w:firstLine="431"/>
        <w:rPr>
          <w:szCs w:val="22"/>
          <w:highlight w:val="cyan"/>
        </w:rPr>
      </w:pPr>
      <w:r w:rsidRPr="00AE6EDB">
        <w:rPr>
          <w:b/>
          <w:szCs w:val="22"/>
        </w:rPr>
        <w:t>Priemerný počet disponibilných</w:t>
      </w:r>
      <w:r w:rsidRPr="00AE6EDB">
        <w:rPr>
          <w:rStyle w:val="Odkaznapoznmkupodiarou"/>
          <w:b/>
          <w:szCs w:val="22"/>
        </w:rPr>
        <w:footnoteReference w:id="16"/>
      </w:r>
      <w:r w:rsidRPr="00AE6EDB">
        <w:rPr>
          <w:b/>
          <w:szCs w:val="22"/>
        </w:rPr>
        <w:t xml:space="preserve"> </w:t>
      </w:r>
      <w:proofErr w:type="spellStart"/>
      <w:r w:rsidRPr="00AE6EDB">
        <w:rPr>
          <w:b/>
          <w:szCs w:val="22"/>
        </w:rPr>
        <w:t>UoZ</w:t>
      </w:r>
      <w:proofErr w:type="spellEnd"/>
      <w:r w:rsidRPr="00AE6EDB">
        <w:rPr>
          <w:szCs w:val="22"/>
        </w:rPr>
        <w:t xml:space="preserve"> </w:t>
      </w:r>
      <w:r w:rsidRPr="00AE6EDB">
        <w:t>dosiahol v roku 2015 počet 31</w:t>
      </w:r>
      <w:r w:rsidR="0054295F">
        <w:t>0 2</w:t>
      </w:r>
      <w:r w:rsidRPr="00AE6EDB">
        <w:t>20 osôb. V medziročnom porovnaní je to pokles o 3</w:t>
      </w:r>
      <w:r w:rsidR="00AC44CB">
        <w:t>4 9</w:t>
      </w:r>
      <w:r w:rsidRPr="00AE6EDB">
        <w:t>29 osôb, t.j. o 10,12</w:t>
      </w:r>
      <w:r w:rsidR="005676EF">
        <w:t> %</w:t>
      </w:r>
      <w:r w:rsidRPr="00AE6EDB">
        <w:t xml:space="preserve"> (v roku 2014 bolo evidovaných v priemere 34</w:t>
      </w:r>
      <w:r w:rsidR="00AC44CB">
        <w:t>5 1</w:t>
      </w:r>
      <w:r w:rsidRPr="00AE6EDB">
        <w:t xml:space="preserve">49 </w:t>
      </w:r>
      <w:proofErr w:type="spellStart"/>
      <w:r w:rsidRPr="00AE6EDB">
        <w:t>UoZ</w:t>
      </w:r>
      <w:proofErr w:type="spellEnd"/>
      <w:r w:rsidRPr="00AE6EDB">
        <w:t>).</w:t>
      </w:r>
    </w:p>
    <w:p w:rsidR="002625B2" w:rsidRPr="00AE6EDB" w:rsidRDefault="002625B2" w:rsidP="002625B2">
      <w:pPr>
        <w:pStyle w:val="Nadpis7"/>
      </w:pPr>
      <w:r w:rsidRPr="00AE6EDB">
        <w:t>G</w:t>
      </w:r>
      <w:r w:rsidR="00C33FCB" w:rsidRPr="00AE6EDB">
        <w:t>raf 2.10</w:t>
      </w:r>
      <w:r w:rsidRPr="00AE6EDB">
        <w:t xml:space="preserve"> Porovnanie priemerných počtov uchádzačov o zamestnanie </w:t>
      </w:r>
      <w:r w:rsidRPr="00AE6EDB">
        <w:br/>
        <w:t>v rokoch 2014 a 2015</w:t>
      </w:r>
    </w:p>
    <w:p w:rsidR="002625B2" w:rsidRPr="00AE6EDB" w:rsidRDefault="002625B2" w:rsidP="002625B2">
      <w:pPr>
        <w:pStyle w:val="Normlnywebov"/>
        <w:spacing w:before="0" w:after="0"/>
        <w:rPr>
          <w:rStyle w:val="zdrojChar"/>
        </w:rPr>
      </w:pPr>
      <w:r w:rsidRPr="00AE6EDB">
        <w:rPr>
          <w:noProof/>
        </w:rPr>
        <w:drawing>
          <wp:inline distT="0" distB="0" distL="0" distR="0" wp14:anchorId="093DB076" wp14:editId="1EA757F7">
            <wp:extent cx="5677786" cy="2466753"/>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25B2" w:rsidRPr="00AE6EDB" w:rsidRDefault="002625B2" w:rsidP="002625B2">
      <w:pPr>
        <w:pStyle w:val="zdroj"/>
      </w:pPr>
      <w:r w:rsidRPr="00AE6EDB">
        <w:t xml:space="preserve">Zdroj: ÚPSVR </w:t>
      </w:r>
    </w:p>
    <w:p w:rsidR="002625B2" w:rsidRPr="00AE6EDB" w:rsidRDefault="002625B2" w:rsidP="002625B2">
      <w:pPr>
        <w:ind w:firstLine="431"/>
        <w:rPr>
          <w:color w:val="000000" w:themeColor="text1"/>
        </w:rPr>
      </w:pPr>
      <w:r w:rsidRPr="00AE6EDB">
        <w:rPr>
          <w:b/>
          <w:color w:val="000000" w:themeColor="text1"/>
        </w:rPr>
        <w:t>Miera evidovanej nezamestnanosti</w:t>
      </w:r>
      <w:r w:rsidRPr="00AE6EDB">
        <w:rPr>
          <w:color w:val="000000" w:themeColor="text1"/>
        </w:rPr>
        <w:t xml:space="preserve"> v jednotlivých kvartáloch </w:t>
      </w:r>
      <w:r w:rsidRPr="00AE6EDB">
        <w:rPr>
          <w:b/>
          <w:color w:val="000000" w:themeColor="text1"/>
        </w:rPr>
        <w:t>počas roka postupne klesala</w:t>
      </w:r>
      <w:r w:rsidRPr="00AE6EDB">
        <w:rPr>
          <w:color w:val="000000" w:themeColor="text1"/>
        </w:rPr>
        <w:t>, vo všetkých kvartáloch roku 2015 bola nižšia ako v roku 2014. V priemere za rok 2015 dosiahla úroveň 11,50</w:t>
      </w:r>
      <w:r w:rsidR="005676EF">
        <w:rPr>
          <w:color w:val="000000" w:themeColor="text1"/>
        </w:rPr>
        <w:t> %</w:t>
      </w:r>
      <w:r w:rsidRPr="00AE6EDB">
        <w:rPr>
          <w:color w:val="000000" w:themeColor="text1"/>
        </w:rPr>
        <w:t xml:space="preserve"> (priemerný medziročný pokles o 1,29 p. b.).</w:t>
      </w:r>
    </w:p>
    <w:p w:rsidR="002625B2" w:rsidRPr="00AE6EDB" w:rsidRDefault="002625B2" w:rsidP="002625B2">
      <w:pPr>
        <w:ind w:firstLine="431"/>
        <w:rPr>
          <w:szCs w:val="22"/>
          <w:highlight w:val="cyan"/>
        </w:rPr>
      </w:pPr>
      <w:r w:rsidRPr="00AE6EDB">
        <w:rPr>
          <w:b/>
          <w:color w:val="000000" w:themeColor="text1"/>
        </w:rPr>
        <w:t>Z regionálneho hľadiska</w:t>
      </w:r>
      <w:r w:rsidRPr="00AE6EDB">
        <w:rPr>
          <w:color w:val="000000" w:themeColor="text1"/>
        </w:rPr>
        <w:t xml:space="preserve"> </w:t>
      </w:r>
      <w:r w:rsidR="00443A53" w:rsidRPr="00AE6EDB">
        <w:rPr>
          <w:color w:val="000000" w:themeColor="text1"/>
        </w:rPr>
        <w:t xml:space="preserve">bola </w:t>
      </w:r>
      <w:r w:rsidRPr="00AE6EDB">
        <w:rPr>
          <w:color w:val="000000" w:themeColor="text1"/>
        </w:rPr>
        <w:t>za rok 2015 najvyššia úroveň priemernej miery evidovanej nezamestnanosti zaznamenaná v Prešovskom kraji (16,51</w:t>
      </w:r>
      <w:r w:rsidR="005676EF">
        <w:rPr>
          <w:color w:val="000000" w:themeColor="text1"/>
        </w:rPr>
        <w:t> %</w:t>
      </w:r>
      <w:r w:rsidRPr="00AE6EDB">
        <w:rPr>
          <w:color w:val="000000" w:themeColor="text1"/>
        </w:rPr>
        <w:t>) a najnižšia v Bratislavskom kraji (5,85</w:t>
      </w:r>
      <w:r w:rsidR="005676EF">
        <w:rPr>
          <w:color w:val="000000" w:themeColor="text1"/>
        </w:rPr>
        <w:t> %</w:t>
      </w:r>
      <w:r w:rsidRPr="00AE6EDB">
        <w:rPr>
          <w:color w:val="000000" w:themeColor="text1"/>
        </w:rPr>
        <w:t>). Úroveň celoslovenského priemeru miery evidovanej nezamestnanosti (11,50</w:t>
      </w:r>
      <w:r w:rsidR="005676EF">
        <w:rPr>
          <w:color w:val="000000" w:themeColor="text1"/>
        </w:rPr>
        <w:t> %</w:t>
      </w:r>
      <w:r w:rsidRPr="00AE6EDB">
        <w:rPr>
          <w:color w:val="000000" w:themeColor="text1"/>
        </w:rPr>
        <w:t xml:space="preserve">) bola okrem </w:t>
      </w:r>
      <w:r w:rsidRPr="00AE6EDB">
        <w:rPr>
          <w:color w:val="000000" w:themeColor="text1"/>
        </w:rPr>
        <w:lastRenderedPageBreak/>
        <w:t>Prešovského kraja prekročená v Banskobystrickom kraji s ročným priemerom 16,02</w:t>
      </w:r>
      <w:r w:rsidR="005676EF">
        <w:rPr>
          <w:color w:val="000000" w:themeColor="text1"/>
        </w:rPr>
        <w:t> %</w:t>
      </w:r>
      <w:r w:rsidRPr="00AE6EDB">
        <w:rPr>
          <w:color w:val="000000" w:themeColor="text1"/>
        </w:rPr>
        <w:t xml:space="preserve"> a v Košickom kraji s ročným priemerom 15,37</w:t>
      </w:r>
      <w:r w:rsidR="005676EF">
        <w:rPr>
          <w:color w:val="000000" w:themeColor="text1"/>
        </w:rPr>
        <w:t> %</w:t>
      </w:r>
      <w:r w:rsidRPr="00AE6EDB">
        <w:rPr>
          <w:color w:val="000000" w:themeColor="text1"/>
        </w:rPr>
        <w:t>.</w:t>
      </w:r>
      <w:r w:rsidRPr="00AE6EDB">
        <w:rPr>
          <w:szCs w:val="22"/>
          <w:highlight w:val="cyan"/>
        </w:rPr>
        <w:t xml:space="preserve"> </w:t>
      </w:r>
    </w:p>
    <w:p w:rsidR="002625B2" w:rsidRPr="00AE6EDB" w:rsidRDefault="002625B2" w:rsidP="0046091A">
      <w:pPr>
        <w:pStyle w:val="Nadpis7"/>
        <w:spacing w:after="0"/>
      </w:pPr>
      <w:r w:rsidRPr="00AE6EDB">
        <w:t>Graf 2.1</w:t>
      </w:r>
      <w:r w:rsidR="00C33FCB" w:rsidRPr="00AE6EDB">
        <w:t>1</w:t>
      </w:r>
      <w:r w:rsidRPr="00AE6EDB">
        <w:t xml:space="preserve"> Priemerná miera evidovanej nezamestnanosti a priemerný počet </w:t>
      </w:r>
      <w:proofErr w:type="spellStart"/>
      <w:r w:rsidRPr="00AE6EDB">
        <w:t>UoZ</w:t>
      </w:r>
      <w:proofErr w:type="spellEnd"/>
      <w:r w:rsidRPr="00AE6EDB">
        <w:t xml:space="preserve"> v krajoch SR v roku 2015</w:t>
      </w:r>
    </w:p>
    <w:p w:rsidR="002625B2" w:rsidRPr="00AE6EDB" w:rsidRDefault="002625B2" w:rsidP="002625B2">
      <w:pPr>
        <w:pStyle w:val="zdroj"/>
        <w:spacing w:before="0"/>
        <w:ind w:left="709" w:hanging="709"/>
        <w:jc w:val="left"/>
        <w:rPr>
          <w:color w:val="auto"/>
          <w:szCs w:val="22"/>
        </w:rPr>
      </w:pPr>
      <w:r w:rsidRPr="00AE6EDB">
        <w:rPr>
          <w:noProof/>
        </w:rPr>
        <w:drawing>
          <wp:inline distT="0" distB="0" distL="0" distR="0" wp14:anchorId="14E661F2" wp14:editId="654831C4">
            <wp:extent cx="5629275" cy="2933700"/>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E6EDB">
        <w:t>Zdroj: ÚPSVR</w:t>
      </w:r>
    </w:p>
    <w:p w:rsidR="002625B2" w:rsidRPr="00AE6EDB" w:rsidRDefault="002625B2" w:rsidP="002625B2">
      <w:pPr>
        <w:ind w:firstLine="431"/>
      </w:pPr>
      <w:r w:rsidRPr="00AE6EDB">
        <w:t>Vo všetkých krajoch SR bol dosiahnutý medziročný pokles priemernej miery evidovanej nezamestnanosti v rozpätí od 0,35 p. b. v Bratislavskom kraji do 1,79 p. b. v Banskobystrickom kraji. Medziročný pokles priemernej miery evidovanej nezamestnanosti, vyšší ako priemer za SR (1,29 p. b.), bol zaznamenaný v štyroch krajoch: Trenčianskom (o 1,52 p. b.), Žilinskom (o 1,70 p. b.), Banskobystrickom ( o 1,79 p. b.) a Prešovskom (o 1,51 p. b.). V Bratislavskom kraji bol zaznamenaný pokles o 0,35 p. b., v Trnavskom kraji o 1,02 p.</w:t>
      </w:r>
      <w:r w:rsidR="00AE6EDB" w:rsidRPr="00AE6EDB">
        <w:t> </w:t>
      </w:r>
      <w:r w:rsidRPr="00AE6EDB">
        <w:t>b., v Nitrianskom kraji o 1,21 p.</w:t>
      </w:r>
      <w:r w:rsidR="00AE6EDB" w:rsidRPr="00AE6EDB">
        <w:t> </w:t>
      </w:r>
      <w:r w:rsidRPr="00AE6EDB">
        <w:t>b. a v Košickom kraji o</w:t>
      </w:r>
      <w:r w:rsidR="0046091A" w:rsidRPr="00AE6EDB">
        <w:t> </w:t>
      </w:r>
      <w:r w:rsidRPr="00AE6EDB">
        <w:t>1,23 p.</w:t>
      </w:r>
      <w:r w:rsidR="00AE6EDB" w:rsidRPr="00AE6EDB">
        <w:t> </w:t>
      </w:r>
      <w:r w:rsidRPr="00AE6EDB">
        <w:t>b.</w:t>
      </w:r>
    </w:p>
    <w:p w:rsidR="002625B2" w:rsidRPr="00AE6EDB" w:rsidRDefault="002625B2" w:rsidP="002625B2">
      <w:pPr>
        <w:ind w:firstLine="431"/>
        <w:rPr>
          <w:szCs w:val="22"/>
          <w:highlight w:val="cyan"/>
        </w:rPr>
      </w:pPr>
      <w:r w:rsidRPr="00AE6EDB">
        <w:rPr>
          <w:b/>
        </w:rPr>
        <w:t>Miera nezamestnanosti vypočítaná z celkového počtu uchádzačov</w:t>
      </w:r>
      <w:r w:rsidRPr="00AE6EDB">
        <w:t xml:space="preserve"> o zamestnanie dosiahla v priemere za rok 2015 úroveň 13,15</w:t>
      </w:r>
      <w:r w:rsidR="005676EF">
        <w:t> %</w:t>
      </w:r>
      <w:r w:rsidRPr="00AE6EDB">
        <w:t xml:space="preserve">, čo predstavovalo oproti roku 2014 pokles o 1,14 p. b. </w:t>
      </w:r>
      <w:r w:rsidRPr="00AE6EDB">
        <w:br/>
        <w:t>(v roku 201</w:t>
      </w:r>
      <w:r w:rsidR="0054295F">
        <w:t>4 1</w:t>
      </w:r>
      <w:r w:rsidRPr="00AE6EDB">
        <w:t>4,29</w:t>
      </w:r>
      <w:r w:rsidR="005676EF">
        <w:t> %</w:t>
      </w:r>
      <w:r w:rsidRPr="00AE6EDB">
        <w:t>).</w:t>
      </w:r>
    </w:p>
    <w:p w:rsidR="002625B2" w:rsidRPr="00AE6EDB" w:rsidRDefault="002625B2" w:rsidP="002625B2">
      <w:pPr>
        <w:pStyle w:val="Nadpis7"/>
      </w:pPr>
      <w:r w:rsidRPr="00AE6EDB">
        <w:t>Graf 2.1</w:t>
      </w:r>
      <w:r w:rsidR="00C33FCB" w:rsidRPr="00AE6EDB">
        <w:t>2</w:t>
      </w:r>
      <w:r w:rsidRPr="00AE6EDB">
        <w:t xml:space="preserve"> Priemerná miera evidovanej nezamestnanosti a miera nezamestnanosti z celkového počtu </w:t>
      </w:r>
      <w:proofErr w:type="spellStart"/>
      <w:r w:rsidRPr="00AE6EDB">
        <w:t>UoZ</w:t>
      </w:r>
      <w:proofErr w:type="spellEnd"/>
      <w:r w:rsidRPr="00AE6EDB">
        <w:t xml:space="preserve"> v SR v rokoch 2014 a 2015</w:t>
      </w:r>
    </w:p>
    <w:p w:rsidR="002625B2" w:rsidRPr="00AE6EDB" w:rsidRDefault="002625B2" w:rsidP="002625B2">
      <w:pPr>
        <w:jc w:val="center"/>
        <w:rPr>
          <w:rStyle w:val="zdrojChar"/>
        </w:rPr>
      </w:pPr>
      <w:r w:rsidRPr="00AE6EDB">
        <w:rPr>
          <w:noProof/>
        </w:rPr>
        <w:drawing>
          <wp:inline distT="0" distB="0" distL="0" distR="0" wp14:anchorId="1DAA1687" wp14:editId="212F0938">
            <wp:extent cx="5507355" cy="241300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25B2" w:rsidRPr="00AE6EDB" w:rsidRDefault="002625B2" w:rsidP="0046091A">
      <w:pPr>
        <w:pStyle w:val="zdroj"/>
        <w:spacing w:before="0"/>
      </w:pPr>
      <w:r w:rsidRPr="00AE6EDB">
        <w:t>Zdroj: ÚPSVR</w:t>
      </w:r>
    </w:p>
    <w:p w:rsidR="002625B2" w:rsidRPr="00AE6EDB" w:rsidRDefault="002625B2" w:rsidP="002625B2">
      <w:pPr>
        <w:ind w:firstLine="431"/>
        <w:rPr>
          <w:highlight w:val="cyan"/>
        </w:rPr>
      </w:pPr>
      <w:r w:rsidRPr="00AE6EDB">
        <w:rPr>
          <w:b/>
          <w:szCs w:val="22"/>
        </w:rPr>
        <w:lastRenderedPageBreak/>
        <w:t xml:space="preserve">Štruktúra </w:t>
      </w:r>
      <w:proofErr w:type="spellStart"/>
      <w:r w:rsidRPr="00AE6EDB">
        <w:rPr>
          <w:b/>
          <w:szCs w:val="22"/>
        </w:rPr>
        <w:t>UoZ</w:t>
      </w:r>
      <w:proofErr w:type="spellEnd"/>
      <w:r w:rsidRPr="00AE6EDB">
        <w:rPr>
          <w:szCs w:val="22"/>
        </w:rPr>
        <w:t xml:space="preserve"> </w:t>
      </w:r>
      <w:r w:rsidRPr="00AE6EDB">
        <w:rPr>
          <w:b/>
          <w:szCs w:val="22"/>
        </w:rPr>
        <w:t>podľa vzdelania</w:t>
      </w:r>
      <w:r w:rsidRPr="00AE6EDB">
        <w:rPr>
          <w:rStyle w:val="Odkaznapoznmkupodiarou"/>
          <w:b/>
          <w:szCs w:val="22"/>
        </w:rPr>
        <w:footnoteReference w:id="17"/>
      </w:r>
      <w:r w:rsidRPr="00AE6EDB">
        <w:rPr>
          <w:b/>
          <w:szCs w:val="22"/>
        </w:rPr>
        <w:t xml:space="preserve"> </w:t>
      </w:r>
      <w:r w:rsidRPr="00AE6EDB">
        <w:rPr>
          <w:szCs w:val="22"/>
        </w:rPr>
        <w:t xml:space="preserve">sa v roku 2015 </w:t>
      </w:r>
      <w:r w:rsidRPr="00AE6EDB">
        <w:t xml:space="preserve">v porovnaní s minulými rokmi nezmenila. Priemerný </w:t>
      </w:r>
      <w:r w:rsidR="00434305">
        <w:t>mesačný</w:t>
      </w:r>
      <w:r w:rsidR="00434305" w:rsidRPr="00AE6EDB">
        <w:t xml:space="preserve"> </w:t>
      </w:r>
      <w:r w:rsidRPr="00AE6EDB">
        <w:t>počet bol už tradične najvyšší u </w:t>
      </w:r>
      <w:proofErr w:type="spellStart"/>
      <w:r w:rsidRPr="00AE6EDB">
        <w:t>UoZ</w:t>
      </w:r>
      <w:proofErr w:type="spellEnd"/>
      <w:r w:rsidRPr="00AE6EDB">
        <w:t xml:space="preserve"> so stredným odborným vzdelaním (vrátane nižšieho stredného odborného vzdelania, t.j. stup</w:t>
      </w:r>
      <w:r w:rsidR="0046091A" w:rsidRPr="00AE6EDB">
        <w:t>n</w:t>
      </w:r>
      <w:r w:rsidRPr="00AE6EDB">
        <w:t>e</w:t>
      </w:r>
      <w:r w:rsidR="0046091A" w:rsidRPr="00AE6EDB">
        <w:t xml:space="preserve"> vzdelania </w:t>
      </w:r>
      <w:r w:rsidRPr="00AE6EDB">
        <w:t>12 a 13), v počte 11</w:t>
      </w:r>
      <w:r w:rsidR="0054295F">
        <w:t>1 6</w:t>
      </w:r>
      <w:r w:rsidRPr="00AE6EDB">
        <w:t>35 osôb a</w:t>
      </w:r>
      <w:r w:rsidR="0046091A" w:rsidRPr="00AE6EDB">
        <w:t> </w:t>
      </w:r>
      <w:r w:rsidRPr="00AE6EDB">
        <w:t>v</w:t>
      </w:r>
      <w:r w:rsidR="0046091A" w:rsidRPr="00AE6EDB">
        <w:t> </w:t>
      </w:r>
      <w:r w:rsidRPr="00AE6EDB">
        <w:t>percentuálnom vyjadrení 31,48</w:t>
      </w:r>
      <w:r w:rsidR="005676EF">
        <w:t> %</w:t>
      </w:r>
      <w:r w:rsidRPr="00AE6EDB">
        <w:t xml:space="preserve">. Druhý najvyšší počet dosiahla skupina </w:t>
      </w:r>
      <w:proofErr w:type="spellStart"/>
      <w:r w:rsidRPr="00AE6EDB">
        <w:t>UoZ</w:t>
      </w:r>
      <w:proofErr w:type="spellEnd"/>
      <w:r w:rsidRPr="00AE6EDB">
        <w:t xml:space="preserve"> iba so základným vzdelaním (stupeň 11), alebo s neukončeným základným vzdelaním (stupeň 10) v počte 10</w:t>
      </w:r>
      <w:r w:rsidR="0054295F">
        <w:t>3 4</w:t>
      </w:r>
      <w:r w:rsidRPr="00AE6EDB">
        <w:t>84 osôb a v percentuálnom vyjadrení 29,19</w:t>
      </w:r>
      <w:r w:rsidR="005676EF">
        <w:t> %</w:t>
      </w:r>
      <w:r w:rsidRPr="00AE6EDB">
        <w:t xml:space="preserve">. Nasleduje skupina </w:t>
      </w:r>
      <w:proofErr w:type="spellStart"/>
      <w:r w:rsidRPr="00AE6EDB">
        <w:t>UoZ</w:t>
      </w:r>
      <w:proofErr w:type="spellEnd"/>
      <w:r w:rsidRPr="00AE6EDB">
        <w:t xml:space="preserve"> s úplným stredným odborným vzdelaním (st</w:t>
      </w:r>
      <w:r w:rsidR="0046091A" w:rsidRPr="00AE6EDB">
        <w:t>upeň</w:t>
      </w:r>
      <w:r w:rsidRPr="00AE6EDB">
        <w:t xml:space="preserve"> 14), v počte 8</w:t>
      </w:r>
      <w:r w:rsidR="00AC44CB">
        <w:t>9 2</w:t>
      </w:r>
      <w:r w:rsidRPr="00AE6EDB">
        <w:t>20 osôb a s podielom 25,16</w:t>
      </w:r>
      <w:r w:rsidR="005676EF">
        <w:t> %</w:t>
      </w:r>
      <w:r w:rsidRPr="00AE6EDB">
        <w:t xml:space="preserve">. Menej početnú skupinu tvorili vysokoškolsky vzdelaní </w:t>
      </w:r>
      <w:proofErr w:type="spellStart"/>
      <w:r w:rsidRPr="00AE6EDB">
        <w:t>UoZ</w:t>
      </w:r>
      <w:proofErr w:type="spellEnd"/>
      <w:r w:rsidRPr="00AE6EDB">
        <w:t xml:space="preserve"> (st</w:t>
      </w:r>
      <w:r w:rsidR="0046091A" w:rsidRPr="00AE6EDB">
        <w:t>upne</w:t>
      </w:r>
      <w:r w:rsidRPr="00AE6EDB">
        <w:t xml:space="preserve"> 17, 18 a 19) v počte 3</w:t>
      </w:r>
      <w:r w:rsidR="0054295F">
        <w:t>4 8</w:t>
      </w:r>
      <w:r w:rsidRPr="00AE6EDB">
        <w:t>27 a s podielom 9,81</w:t>
      </w:r>
      <w:r w:rsidR="005676EF">
        <w:t> %</w:t>
      </w:r>
      <w:r w:rsidRPr="00AE6EDB">
        <w:t xml:space="preserve">, pričom najviac bolo </w:t>
      </w:r>
      <w:proofErr w:type="spellStart"/>
      <w:r w:rsidRPr="00AE6EDB">
        <w:t>UoZ</w:t>
      </w:r>
      <w:proofErr w:type="spellEnd"/>
      <w:r w:rsidRPr="00AE6EDB">
        <w:t xml:space="preserve"> s vysokoškolským vzdelaním druhého stupňa, v počte 2</w:t>
      </w:r>
      <w:r w:rsidR="00AC44CB">
        <w:t>7 7</w:t>
      </w:r>
      <w:r w:rsidRPr="00AE6EDB">
        <w:t>39 osôb a s podielom 7,82</w:t>
      </w:r>
      <w:r w:rsidR="005676EF">
        <w:t> %</w:t>
      </w:r>
      <w:r w:rsidRPr="00AE6EDB">
        <w:t xml:space="preserve">. Najmenšie zastúpenie mali </w:t>
      </w:r>
      <w:proofErr w:type="spellStart"/>
      <w:r w:rsidRPr="00AE6EDB">
        <w:t>UoZ</w:t>
      </w:r>
      <w:proofErr w:type="spellEnd"/>
      <w:r w:rsidRPr="00AE6EDB">
        <w:t xml:space="preserve"> s vysokoškolským vzdelaním tretieho stupňa, s priemerným počtom 796 osôb a s podielom 0,22</w:t>
      </w:r>
      <w:r w:rsidR="005676EF">
        <w:t> %</w:t>
      </w:r>
      <w:r w:rsidRPr="00AE6EDB">
        <w:t xml:space="preserve">. K najmenej početným skupinám patrili aj </w:t>
      </w:r>
      <w:proofErr w:type="spellStart"/>
      <w:r w:rsidRPr="00AE6EDB">
        <w:t>UoZ</w:t>
      </w:r>
      <w:proofErr w:type="spellEnd"/>
      <w:r w:rsidRPr="00AE6EDB">
        <w:t xml:space="preserve"> s vyšším odborným vzdelaním (st</w:t>
      </w:r>
      <w:r w:rsidR="0046091A" w:rsidRPr="00AE6EDB">
        <w:t>upeň</w:t>
      </w:r>
      <w:r w:rsidRPr="00AE6EDB">
        <w:t xml:space="preserve"> 16) s počtom </w:t>
      </w:r>
      <w:r w:rsidR="0054295F">
        <w:t>1 6</w:t>
      </w:r>
      <w:r w:rsidRPr="00AE6EDB">
        <w:t>85 a s podielom 0,48</w:t>
      </w:r>
      <w:r w:rsidR="005676EF">
        <w:t> %</w:t>
      </w:r>
      <w:r w:rsidRPr="00AE6EDB">
        <w:t xml:space="preserve"> a </w:t>
      </w:r>
      <w:proofErr w:type="spellStart"/>
      <w:r w:rsidRPr="00AE6EDB">
        <w:t>UoZ</w:t>
      </w:r>
      <w:proofErr w:type="spellEnd"/>
      <w:r w:rsidRPr="00AE6EDB">
        <w:t xml:space="preserve"> s úplným stredným všeobecným vzdelaním (st</w:t>
      </w:r>
      <w:r w:rsidR="0046091A" w:rsidRPr="00AE6EDB">
        <w:t>upeň</w:t>
      </w:r>
      <w:r w:rsidRPr="00AE6EDB">
        <w:t> 15) s počtom 1</w:t>
      </w:r>
      <w:r w:rsidR="0054295F">
        <w:t>3 1</w:t>
      </w:r>
      <w:r w:rsidRPr="00AE6EDB">
        <w:t>68 a podielom 3,71</w:t>
      </w:r>
      <w:r w:rsidR="005676EF">
        <w:t> %</w:t>
      </w:r>
      <w:r w:rsidRPr="00AE6EDB">
        <w:t>.</w:t>
      </w:r>
    </w:p>
    <w:p w:rsidR="002625B2" w:rsidRPr="00AE6EDB" w:rsidRDefault="002625B2" w:rsidP="002625B2">
      <w:pPr>
        <w:pStyle w:val="Nadpis7"/>
      </w:pPr>
      <w:r w:rsidRPr="00AE6EDB">
        <w:t>Graf 2.1</w:t>
      </w:r>
      <w:r w:rsidR="00C33FCB" w:rsidRPr="00AE6EDB">
        <w:t>3</w:t>
      </w:r>
      <w:r w:rsidRPr="00AE6EDB">
        <w:t xml:space="preserve"> Podiel </w:t>
      </w:r>
      <w:proofErr w:type="spellStart"/>
      <w:r w:rsidRPr="00AE6EDB">
        <w:t>UoZ</w:t>
      </w:r>
      <w:proofErr w:type="spellEnd"/>
      <w:r w:rsidRPr="00AE6EDB">
        <w:t xml:space="preserve"> podľa stupňa vzdelania v krajoch SR v roku 2015</w:t>
      </w:r>
    </w:p>
    <w:p w:rsidR="002625B2" w:rsidRPr="00AE6EDB" w:rsidRDefault="002625B2" w:rsidP="002625B2">
      <w:pPr>
        <w:jc w:val="center"/>
      </w:pPr>
      <w:r w:rsidRPr="00AE6EDB">
        <w:rPr>
          <w:noProof/>
        </w:rPr>
        <w:drawing>
          <wp:inline distT="0" distB="0" distL="0" distR="0" wp14:anchorId="24816A75" wp14:editId="13DDDE6D">
            <wp:extent cx="5092995" cy="2881424"/>
            <wp:effectExtent l="0" t="0" r="0" b="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5B2" w:rsidRPr="00AE6EDB" w:rsidRDefault="002625B2" w:rsidP="002625B2">
      <w:pPr>
        <w:pStyle w:val="zdroj"/>
        <w:rPr>
          <w:i w:val="0"/>
        </w:rPr>
      </w:pPr>
      <w:r w:rsidRPr="00AE6EDB">
        <w:t>Zdroj: ÚPSVR</w:t>
      </w:r>
    </w:p>
    <w:p w:rsidR="002625B2" w:rsidRPr="00AE6EDB" w:rsidRDefault="002625B2" w:rsidP="002625B2">
      <w:pPr>
        <w:ind w:firstLine="431"/>
      </w:pPr>
      <w:r w:rsidRPr="00AE6EDB">
        <w:rPr>
          <w:b/>
          <w:szCs w:val="22"/>
        </w:rPr>
        <w:t>Z regionálneho hľadiska</w:t>
      </w:r>
      <w:r w:rsidRPr="00AE6EDB">
        <w:rPr>
          <w:szCs w:val="22"/>
        </w:rPr>
        <w:t xml:space="preserve"> </w:t>
      </w:r>
      <w:r w:rsidRPr="00AE6EDB">
        <w:t>bolo v troch krajoch najviac nezamestnaných evidovaných uchádzačov so základným alebo neukončeným základným vzdelaním (</w:t>
      </w:r>
      <w:r w:rsidR="00AE6EDB" w:rsidRPr="00AE6EDB">
        <w:t>stupne</w:t>
      </w:r>
      <w:r w:rsidRPr="00AE6EDB">
        <w:t xml:space="preserve"> vzdelania 10, 11). V Prešovskom kraji ich bolo 37,21</w:t>
      </w:r>
      <w:r w:rsidR="005676EF">
        <w:t> %</w:t>
      </w:r>
      <w:r w:rsidRPr="00AE6EDB">
        <w:t>, Košickom 36,70</w:t>
      </w:r>
      <w:r w:rsidR="005676EF">
        <w:t> %</w:t>
      </w:r>
      <w:r w:rsidRPr="00AE6EDB">
        <w:t xml:space="preserve"> a v Banskobystrickom kraji 36,43</w:t>
      </w:r>
      <w:r w:rsidR="005676EF">
        <w:t> %</w:t>
      </w:r>
      <w:r w:rsidRPr="00AE6EDB">
        <w:t>. V Žilinskom (38,04</w:t>
      </w:r>
      <w:r w:rsidR="005676EF">
        <w:t> %</w:t>
      </w:r>
      <w:r w:rsidRPr="00AE6EDB">
        <w:t>), Trenčianskom (37,04</w:t>
      </w:r>
      <w:r w:rsidR="005676EF">
        <w:t> %</w:t>
      </w:r>
      <w:r w:rsidRPr="00AE6EDB">
        <w:t>), Nitrianskom (35,55</w:t>
      </w:r>
      <w:r w:rsidR="005676EF">
        <w:t> %</w:t>
      </w:r>
      <w:r w:rsidRPr="00AE6EDB">
        <w:t>) a v Trnavskom kraji (35,27</w:t>
      </w:r>
      <w:r w:rsidR="005676EF">
        <w:t> %</w:t>
      </w:r>
      <w:r w:rsidRPr="00AE6EDB">
        <w:t>) sa na</w:t>
      </w:r>
      <w:r w:rsidR="0046091A" w:rsidRPr="00AE6EDB">
        <w:t> </w:t>
      </w:r>
      <w:r w:rsidRPr="00AE6EDB">
        <w:t xml:space="preserve">nezamestnanosti najvyšším počtom podieľali </w:t>
      </w:r>
      <w:proofErr w:type="spellStart"/>
      <w:r w:rsidRPr="00AE6EDB">
        <w:t>UoZ</w:t>
      </w:r>
      <w:proofErr w:type="spellEnd"/>
      <w:r w:rsidRPr="00AE6EDB">
        <w:t xml:space="preserve"> s nižším stredným a so stredným odborným vzdelaním (st</w:t>
      </w:r>
      <w:r w:rsidR="0046091A" w:rsidRPr="00AE6EDB">
        <w:t>upne</w:t>
      </w:r>
      <w:r w:rsidRPr="00AE6EDB">
        <w:t xml:space="preserve"> 12, 13). Najvyšším podielom (30,41</w:t>
      </w:r>
      <w:r w:rsidR="005676EF">
        <w:t> %</w:t>
      </w:r>
      <w:r w:rsidRPr="00AE6EDB">
        <w:t>) sa na počte evidovaných nezamestnaných uchádzačov o zamestnanie v Bratislavskom kraji podieľali stredoškolsky vzdelané osoby so st</w:t>
      </w:r>
      <w:r w:rsidR="0046091A" w:rsidRPr="00AE6EDB">
        <w:t>upňami</w:t>
      </w:r>
      <w:r w:rsidRPr="00AE6EDB">
        <w:t xml:space="preserve"> vzdelania 14 a 16, t.j. </w:t>
      </w:r>
      <w:proofErr w:type="spellStart"/>
      <w:r w:rsidRPr="00AE6EDB">
        <w:t>UoZ</w:t>
      </w:r>
      <w:proofErr w:type="spellEnd"/>
      <w:r w:rsidRPr="00AE6EDB">
        <w:t xml:space="preserve"> s úplným stredným odborným vzdelaním a vyšším odborným vzdelaním. Z hľadiska medziročného porovnania si zastúpenie jednotlivých vzdelanostných skupín </w:t>
      </w:r>
      <w:proofErr w:type="spellStart"/>
      <w:r w:rsidRPr="00AE6EDB">
        <w:t>UoZ</w:t>
      </w:r>
      <w:proofErr w:type="spellEnd"/>
      <w:r w:rsidRPr="00AE6EDB">
        <w:t xml:space="preserve"> v krajoch zachovalo rovnaké pozície. </w:t>
      </w:r>
    </w:p>
    <w:p w:rsidR="002625B2" w:rsidRPr="00AE6EDB" w:rsidRDefault="002625B2" w:rsidP="002625B2">
      <w:pPr>
        <w:ind w:firstLine="431"/>
      </w:pPr>
      <w:r w:rsidRPr="00AE6EDB">
        <w:rPr>
          <w:b/>
          <w:szCs w:val="22"/>
        </w:rPr>
        <w:lastRenderedPageBreak/>
        <w:t>Z hľadiska vekovej štruktúry</w:t>
      </w:r>
      <w:r w:rsidRPr="00AE6EDB">
        <w:rPr>
          <w:szCs w:val="22"/>
        </w:rPr>
        <w:t xml:space="preserve"> v roku 2015 boli najpočetnejšou skupinou medzi </w:t>
      </w:r>
      <w:proofErr w:type="spellStart"/>
      <w:r w:rsidRPr="00AE6EDB">
        <w:rPr>
          <w:szCs w:val="22"/>
        </w:rPr>
        <w:t>UoZ</w:t>
      </w:r>
      <w:proofErr w:type="spellEnd"/>
      <w:r w:rsidRPr="00AE6EDB">
        <w:rPr>
          <w:szCs w:val="22"/>
        </w:rPr>
        <w:t xml:space="preserve"> osoby vo veku 20 – 24 rokov (47,1 tis. osôb), pričom tvorili 13,29</w:t>
      </w:r>
      <w:r w:rsidR="005676EF">
        <w:rPr>
          <w:szCs w:val="22"/>
        </w:rPr>
        <w:t> %</w:t>
      </w:r>
      <w:r w:rsidRPr="00AE6EDB">
        <w:rPr>
          <w:szCs w:val="22"/>
        </w:rPr>
        <w:t xml:space="preserve"> zo všetkých </w:t>
      </w:r>
      <w:proofErr w:type="spellStart"/>
      <w:r w:rsidRPr="00AE6EDB">
        <w:rPr>
          <w:szCs w:val="22"/>
        </w:rPr>
        <w:t>UoZ</w:t>
      </w:r>
      <w:proofErr w:type="spellEnd"/>
      <w:r w:rsidRPr="00AE6EDB">
        <w:rPr>
          <w:szCs w:val="22"/>
        </w:rPr>
        <w:t xml:space="preserve">. Spolu s vekovou skupinou 15 – 19 ročných </w:t>
      </w:r>
      <w:proofErr w:type="spellStart"/>
      <w:r w:rsidRPr="00AE6EDB">
        <w:rPr>
          <w:szCs w:val="22"/>
        </w:rPr>
        <w:t>UoZ</w:t>
      </w:r>
      <w:proofErr w:type="spellEnd"/>
      <w:r w:rsidRPr="00AE6EDB">
        <w:rPr>
          <w:szCs w:val="22"/>
        </w:rPr>
        <w:t xml:space="preserve"> ich podiel predstavoval 16,48</w:t>
      </w:r>
      <w:r w:rsidR="005676EF">
        <w:rPr>
          <w:szCs w:val="22"/>
        </w:rPr>
        <w:t> %</w:t>
      </w:r>
      <w:r w:rsidRPr="00AE6EDB">
        <w:rPr>
          <w:szCs w:val="22"/>
        </w:rPr>
        <w:t xml:space="preserve"> (58,4 tis. osôb). Druhou najpočetnejšou skupinou s počtom 44,9 tis. osôb a podielom 12,67</w:t>
      </w:r>
      <w:r w:rsidR="005676EF">
        <w:rPr>
          <w:szCs w:val="22"/>
        </w:rPr>
        <w:t> %</w:t>
      </w:r>
      <w:r w:rsidRPr="00AE6EDB">
        <w:rPr>
          <w:szCs w:val="22"/>
        </w:rPr>
        <w:t xml:space="preserve"> boli </w:t>
      </w:r>
      <w:proofErr w:type="spellStart"/>
      <w:r w:rsidRPr="00AE6EDB">
        <w:rPr>
          <w:szCs w:val="22"/>
        </w:rPr>
        <w:t>UoZ</w:t>
      </w:r>
      <w:proofErr w:type="spellEnd"/>
      <w:r w:rsidRPr="00AE6EDB">
        <w:rPr>
          <w:szCs w:val="22"/>
        </w:rPr>
        <w:t xml:space="preserve"> vo veku 25</w:t>
      </w:r>
      <w:r w:rsidR="0046091A" w:rsidRPr="00AE6EDB">
        <w:rPr>
          <w:szCs w:val="22"/>
        </w:rPr>
        <w:t xml:space="preserve"> </w:t>
      </w:r>
      <w:r w:rsidRPr="00AE6EDB">
        <w:rPr>
          <w:color w:val="000000" w:themeColor="text1"/>
        </w:rPr>
        <w:t>–</w:t>
      </w:r>
      <w:r w:rsidR="0046091A" w:rsidRPr="00AE6EDB">
        <w:rPr>
          <w:color w:val="000000" w:themeColor="text1"/>
        </w:rPr>
        <w:t xml:space="preserve"> </w:t>
      </w:r>
      <w:r w:rsidRPr="00AE6EDB">
        <w:rPr>
          <w:szCs w:val="22"/>
        </w:rPr>
        <w:t>29 rokov, nasledovala skupina osôb vo veku 35 </w:t>
      </w:r>
      <w:r w:rsidRPr="00AE6EDB">
        <w:rPr>
          <w:color w:val="000000" w:themeColor="text1"/>
        </w:rPr>
        <w:t>– </w:t>
      </w:r>
      <w:r w:rsidRPr="00AE6EDB">
        <w:rPr>
          <w:szCs w:val="22"/>
        </w:rPr>
        <w:t>39 rokov s počtom 43,2 tis. osôb a podielom 12,20</w:t>
      </w:r>
      <w:r w:rsidR="005676EF">
        <w:rPr>
          <w:szCs w:val="22"/>
        </w:rPr>
        <w:t> %</w:t>
      </w:r>
      <w:r w:rsidRPr="00AE6EDB">
        <w:rPr>
          <w:szCs w:val="22"/>
        </w:rPr>
        <w:t xml:space="preserve">. </w:t>
      </w:r>
    </w:p>
    <w:p w:rsidR="002625B2" w:rsidRPr="00AE6EDB" w:rsidRDefault="002625B2" w:rsidP="002625B2">
      <w:pPr>
        <w:pStyle w:val="Nadpis7"/>
      </w:pPr>
      <w:r w:rsidRPr="00AE6EDB">
        <w:t>Tabuľka 2.1</w:t>
      </w:r>
      <w:r w:rsidR="004A57BA" w:rsidRPr="00AE6EDB">
        <w:t>1</w:t>
      </w:r>
      <w:r w:rsidRPr="00AE6EDB">
        <w:t xml:space="preserve"> Štruktúra uchádzačov o zamestnanie podľa veku v krajoch SR v roku 2015 (v</w:t>
      </w:r>
      <w:r w:rsidR="005676EF">
        <w:t> %</w:t>
      </w:r>
      <w:r w:rsidRPr="00AE6EDB">
        <w:t>)</w:t>
      </w:r>
    </w:p>
    <w:tbl>
      <w:tblPr>
        <w:tblStyle w:val="Mriekatabuky"/>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Look w:val="04A0" w:firstRow="1" w:lastRow="0" w:firstColumn="1" w:lastColumn="0" w:noHBand="0" w:noVBand="1"/>
      </w:tblPr>
      <w:tblGrid>
        <w:gridCol w:w="1546"/>
        <w:gridCol w:w="844"/>
        <w:gridCol w:w="844"/>
        <w:gridCol w:w="845"/>
        <w:gridCol w:w="844"/>
        <w:gridCol w:w="845"/>
        <w:gridCol w:w="844"/>
        <w:gridCol w:w="845"/>
        <w:gridCol w:w="844"/>
        <w:gridCol w:w="954"/>
      </w:tblGrid>
      <w:tr w:rsidR="002625B2" w:rsidRPr="00AE6EDB" w:rsidTr="002625B2">
        <w:trPr>
          <w:trHeight w:hRule="exact" w:val="501"/>
          <w:jc w:val="center"/>
        </w:trPr>
        <w:tc>
          <w:tcPr>
            <w:tcW w:w="1546" w:type="dxa"/>
            <w:vMerge w:val="restart"/>
            <w:tcBorders>
              <w:right w:val="nil"/>
            </w:tcBorders>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16"/>
                <w:sz w:val="22"/>
                <w:lang w:eastAsia="en-US"/>
              </w:rPr>
            </w:pPr>
            <w:r w:rsidRPr="00AE6EDB">
              <w:rPr>
                <w:b/>
                <w:color w:val="FFFFFF" w:themeColor="background1"/>
                <w:spacing w:val="-16"/>
                <w:sz w:val="22"/>
                <w:lang w:eastAsia="en-US"/>
              </w:rPr>
              <w:t>Územie</w:t>
            </w:r>
            <w:r w:rsidRPr="00AE6EDB">
              <w:rPr>
                <w:b/>
                <w:color w:val="FFFFFF" w:themeColor="background1"/>
                <w:spacing w:val="-16"/>
                <w:sz w:val="22"/>
                <w:lang w:eastAsia="en-US"/>
              </w:rPr>
              <w:br/>
              <w:t>(kraje SR)</w:t>
            </w:r>
          </w:p>
        </w:tc>
        <w:tc>
          <w:tcPr>
            <w:tcW w:w="7709" w:type="dxa"/>
            <w:gridSpan w:val="9"/>
            <w:tcBorders>
              <w:left w:val="nil"/>
            </w:tcBorders>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v tom</w:t>
            </w:r>
          </w:p>
        </w:tc>
      </w:tr>
      <w:tr w:rsidR="002625B2" w:rsidRPr="00AE6EDB" w:rsidTr="002625B2">
        <w:trPr>
          <w:trHeight w:val="427"/>
          <w:jc w:val="center"/>
        </w:trPr>
        <w:tc>
          <w:tcPr>
            <w:tcW w:w="1546" w:type="dxa"/>
            <w:vMerge/>
            <w:tcBorders>
              <w:right w:val="nil"/>
            </w:tcBorders>
            <w:shd w:val="clear" w:color="auto" w:fill="BF0000" w:themeFill="accent3" w:themeFillShade="BF"/>
            <w:vAlign w:val="center"/>
            <w:hideMark/>
          </w:tcPr>
          <w:p w:rsidR="002625B2" w:rsidRPr="00AE6EDB" w:rsidRDefault="002625B2" w:rsidP="002625B2">
            <w:pPr>
              <w:jc w:val="left"/>
              <w:rPr>
                <w:b/>
                <w:bCs/>
                <w:color w:val="FFFFFF" w:themeColor="background1"/>
                <w:spacing w:val="16"/>
                <w:szCs w:val="20"/>
                <w:lang w:eastAsia="en-US"/>
              </w:rPr>
            </w:pPr>
          </w:p>
        </w:tc>
        <w:tc>
          <w:tcPr>
            <w:tcW w:w="844"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overflowPunct/>
              <w:autoSpaceDE/>
              <w:adjustRightInd/>
              <w:ind w:firstLine="0"/>
              <w:jc w:val="right"/>
              <w:rPr>
                <w:b/>
                <w:color w:val="FFFFFF" w:themeColor="background1"/>
                <w:spacing w:val="-20"/>
                <w:sz w:val="22"/>
                <w:lang w:eastAsia="en-US"/>
              </w:rPr>
            </w:pPr>
            <w:r w:rsidRPr="00AE6EDB">
              <w:rPr>
                <w:b/>
                <w:color w:val="FFFFFF" w:themeColor="background1"/>
                <w:spacing w:val="-20"/>
                <w:sz w:val="22"/>
                <w:lang w:eastAsia="en-US"/>
              </w:rPr>
              <w:t>15-24r.</w:t>
            </w:r>
          </w:p>
        </w:tc>
        <w:tc>
          <w:tcPr>
            <w:tcW w:w="844"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25-29 r.</w:t>
            </w:r>
          </w:p>
        </w:tc>
        <w:tc>
          <w:tcPr>
            <w:tcW w:w="845"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30-34 r.</w:t>
            </w:r>
          </w:p>
        </w:tc>
        <w:tc>
          <w:tcPr>
            <w:tcW w:w="844"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35-39 r.</w:t>
            </w:r>
          </w:p>
        </w:tc>
        <w:tc>
          <w:tcPr>
            <w:tcW w:w="845"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40-44 r.</w:t>
            </w:r>
          </w:p>
        </w:tc>
        <w:tc>
          <w:tcPr>
            <w:tcW w:w="844"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45-49 r.</w:t>
            </w:r>
          </w:p>
        </w:tc>
        <w:tc>
          <w:tcPr>
            <w:tcW w:w="845"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50-54 r.</w:t>
            </w:r>
          </w:p>
        </w:tc>
        <w:tc>
          <w:tcPr>
            <w:tcW w:w="844" w:type="dxa"/>
            <w:tcBorders>
              <w:top w:val="nil"/>
              <w:left w:val="nil"/>
              <w:righ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55-59 r.</w:t>
            </w:r>
          </w:p>
        </w:tc>
        <w:tc>
          <w:tcPr>
            <w:tcW w:w="954" w:type="dxa"/>
            <w:tcBorders>
              <w:top w:val="nil"/>
              <w:left w:val="nil"/>
            </w:tcBorders>
            <w:shd w:val="clear" w:color="auto" w:fill="BF0000" w:themeFill="accent3" w:themeFillShade="BF"/>
            <w:vAlign w:val="center"/>
            <w:hideMark/>
          </w:tcPr>
          <w:p w:rsidR="002625B2" w:rsidRPr="00AE6EDB" w:rsidRDefault="002625B2" w:rsidP="002625B2">
            <w:pPr>
              <w:pStyle w:val="tabulka"/>
              <w:ind w:firstLine="0"/>
              <w:jc w:val="right"/>
              <w:rPr>
                <w:b/>
                <w:color w:val="FFFFFF" w:themeColor="background1"/>
                <w:spacing w:val="-20"/>
                <w:sz w:val="22"/>
                <w:lang w:eastAsia="en-US"/>
              </w:rPr>
            </w:pPr>
            <w:r w:rsidRPr="00AE6EDB">
              <w:rPr>
                <w:b/>
                <w:color w:val="FFFFFF" w:themeColor="background1"/>
                <w:spacing w:val="-20"/>
                <w:sz w:val="22"/>
                <w:lang w:eastAsia="en-US"/>
              </w:rPr>
              <w:t>nad 60 r.</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Bratislavský</w:t>
            </w:r>
          </w:p>
        </w:tc>
        <w:tc>
          <w:tcPr>
            <w:tcW w:w="844" w:type="dxa"/>
            <w:hideMark/>
          </w:tcPr>
          <w:p w:rsidR="002625B2" w:rsidRPr="00AE6EDB" w:rsidRDefault="002625B2" w:rsidP="002625B2">
            <w:pPr>
              <w:ind w:firstLine="0"/>
              <w:jc w:val="right"/>
            </w:pPr>
            <w:r w:rsidRPr="00AE6EDB">
              <w:t>13,68</w:t>
            </w:r>
          </w:p>
        </w:tc>
        <w:tc>
          <w:tcPr>
            <w:tcW w:w="844" w:type="dxa"/>
            <w:hideMark/>
          </w:tcPr>
          <w:p w:rsidR="002625B2" w:rsidRPr="00AE6EDB" w:rsidRDefault="002625B2" w:rsidP="002625B2">
            <w:pPr>
              <w:ind w:firstLine="0"/>
              <w:jc w:val="right"/>
            </w:pPr>
            <w:r w:rsidRPr="00AE6EDB">
              <w:t>13,84</w:t>
            </w:r>
          </w:p>
        </w:tc>
        <w:tc>
          <w:tcPr>
            <w:tcW w:w="845" w:type="dxa"/>
            <w:hideMark/>
          </w:tcPr>
          <w:p w:rsidR="002625B2" w:rsidRPr="00AE6EDB" w:rsidRDefault="002625B2" w:rsidP="002625B2">
            <w:pPr>
              <w:ind w:firstLine="0"/>
              <w:jc w:val="right"/>
            </w:pPr>
            <w:r w:rsidRPr="00AE6EDB">
              <w:t>12,80</w:t>
            </w:r>
          </w:p>
        </w:tc>
        <w:tc>
          <w:tcPr>
            <w:tcW w:w="844" w:type="dxa"/>
            <w:hideMark/>
          </w:tcPr>
          <w:p w:rsidR="002625B2" w:rsidRPr="00AE6EDB" w:rsidRDefault="002625B2" w:rsidP="002625B2">
            <w:pPr>
              <w:ind w:firstLine="0"/>
              <w:jc w:val="right"/>
            </w:pPr>
            <w:r w:rsidRPr="00AE6EDB">
              <w:t>13,69</w:t>
            </w:r>
          </w:p>
        </w:tc>
        <w:tc>
          <w:tcPr>
            <w:tcW w:w="845" w:type="dxa"/>
            <w:hideMark/>
          </w:tcPr>
          <w:p w:rsidR="002625B2" w:rsidRPr="00AE6EDB" w:rsidRDefault="002625B2" w:rsidP="002625B2">
            <w:pPr>
              <w:ind w:firstLine="0"/>
              <w:jc w:val="right"/>
            </w:pPr>
            <w:r w:rsidRPr="00AE6EDB">
              <w:t>10,70</w:t>
            </w:r>
          </w:p>
        </w:tc>
        <w:tc>
          <w:tcPr>
            <w:tcW w:w="844" w:type="dxa"/>
            <w:hideMark/>
          </w:tcPr>
          <w:p w:rsidR="002625B2" w:rsidRPr="00AE6EDB" w:rsidRDefault="002625B2" w:rsidP="002625B2">
            <w:pPr>
              <w:ind w:firstLine="0"/>
              <w:jc w:val="right"/>
            </w:pPr>
            <w:r w:rsidRPr="00AE6EDB">
              <w:t>8,58</w:t>
            </w:r>
          </w:p>
        </w:tc>
        <w:tc>
          <w:tcPr>
            <w:tcW w:w="845" w:type="dxa"/>
            <w:hideMark/>
          </w:tcPr>
          <w:p w:rsidR="002625B2" w:rsidRPr="00AE6EDB" w:rsidRDefault="002625B2" w:rsidP="002625B2">
            <w:pPr>
              <w:ind w:firstLine="0"/>
              <w:jc w:val="right"/>
            </w:pPr>
            <w:r w:rsidRPr="00AE6EDB">
              <w:t>10,48</w:t>
            </w:r>
          </w:p>
        </w:tc>
        <w:tc>
          <w:tcPr>
            <w:tcW w:w="844" w:type="dxa"/>
            <w:hideMark/>
          </w:tcPr>
          <w:p w:rsidR="002625B2" w:rsidRPr="00AE6EDB" w:rsidRDefault="002625B2" w:rsidP="002625B2">
            <w:pPr>
              <w:ind w:firstLine="0"/>
              <w:jc w:val="right"/>
            </w:pPr>
            <w:r w:rsidRPr="00AE6EDB">
              <w:t>13,01</w:t>
            </w:r>
          </w:p>
        </w:tc>
        <w:tc>
          <w:tcPr>
            <w:tcW w:w="954" w:type="dxa"/>
            <w:hideMark/>
          </w:tcPr>
          <w:p w:rsidR="002625B2" w:rsidRPr="00AE6EDB" w:rsidRDefault="002625B2" w:rsidP="002625B2">
            <w:pPr>
              <w:ind w:firstLine="0"/>
              <w:jc w:val="right"/>
            </w:pPr>
            <w:r w:rsidRPr="00AE6EDB">
              <w:t>3,22</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Trnavský</w:t>
            </w:r>
          </w:p>
        </w:tc>
        <w:tc>
          <w:tcPr>
            <w:tcW w:w="844" w:type="dxa"/>
            <w:hideMark/>
          </w:tcPr>
          <w:p w:rsidR="002625B2" w:rsidRPr="00AE6EDB" w:rsidRDefault="002625B2" w:rsidP="002625B2">
            <w:pPr>
              <w:ind w:firstLine="0"/>
              <w:jc w:val="right"/>
            </w:pPr>
            <w:r w:rsidRPr="00AE6EDB">
              <w:t>16,87</w:t>
            </w:r>
          </w:p>
        </w:tc>
        <w:tc>
          <w:tcPr>
            <w:tcW w:w="844" w:type="dxa"/>
            <w:hideMark/>
          </w:tcPr>
          <w:p w:rsidR="002625B2" w:rsidRPr="00AE6EDB" w:rsidRDefault="002625B2" w:rsidP="002625B2">
            <w:pPr>
              <w:ind w:firstLine="0"/>
              <w:jc w:val="right"/>
            </w:pPr>
            <w:r w:rsidRPr="00AE6EDB">
              <w:t>12,35</w:t>
            </w:r>
          </w:p>
        </w:tc>
        <w:tc>
          <w:tcPr>
            <w:tcW w:w="845" w:type="dxa"/>
            <w:hideMark/>
          </w:tcPr>
          <w:p w:rsidR="002625B2" w:rsidRPr="00AE6EDB" w:rsidRDefault="002625B2" w:rsidP="002625B2">
            <w:pPr>
              <w:ind w:firstLine="0"/>
              <w:jc w:val="right"/>
            </w:pPr>
            <w:r w:rsidRPr="00AE6EDB">
              <w:t>11,33</w:t>
            </w:r>
          </w:p>
        </w:tc>
        <w:tc>
          <w:tcPr>
            <w:tcW w:w="844" w:type="dxa"/>
            <w:hideMark/>
          </w:tcPr>
          <w:p w:rsidR="002625B2" w:rsidRPr="00AE6EDB" w:rsidRDefault="002625B2" w:rsidP="002625B2">
            <w:pPr>
              <w:ind w:firstLine="0"/>
              <w:jc w:val="right"/>
            </w:pPr>
            <w:r w:rsidRPr="00AE6EDB">
              <w:t>12,47</w:t>
            </w:r>
          </w:p>
        </w:tc>
        <w:tc>
          <w:tcPr>
            <w:tcW w:w="845" w:type="dxa"/>
            <w:hideMark/>
          </w:tcPr>
          <w:p w:rsidR="002625B2" w:rsidRPr="00AE6EDB" w:rsidRDefault="002625B2" w:rsidP="002625B2">
            <w:pPr>
              <w:ind w:firstLine="0"/>
              <w:jc w:val="right"/>
            </w:pPr>
            <w:r w:rsidRPr="00AE6EDB">
              <w:t>10,90</w:t>
            </w:r>
          </w:p>
        </w:tc>
        <w:tc>
          <w:tcPr>
            <w:tcW w:w="844" w:type="dxa"/>
            <w:hideMark/>
          </w:tcPr>
          <w:p w:rsidR="002625B2" w:rsidRPr="00AE6EDB" w:rsidRDefault="002625B2" w:rsidP="002625B2">
            <w:pPr>
              <w:ind w:firstLine="0"/>
              <w:jc w:val="right"/>
            </w:pPr>
            <w:r w:rsidRPr="00AE6EDB">
              <w:t>9,81</w:t>
            </w:r>
          </w:p>
        </w:tc>
        <w:tc>
          <w:tcPr>
            <w:tcW w:w="845" w:type="dxa"/>
            <w:hideMark/>
          </w:tcPr>
          <w:p w:rsidR="002625B2" w:rsidRPr="00AE6EDB" w:rsidRDefault="002625B2" w:rsidP="002625B2">
            <w:pPr>
              <w:ind w:firstLine="0"/>
              <w:jc w:val="right"/>
            </w:pPr>
            <w:r w:rsidRPr="00AE6EDB">
              <w:t>11,06</w:t>
            </w:r>
          </w:p>
        </w:tc>
        <w:tc>
          <w:tcPr>
            <w:tcW w:w="844" w:type="dxa"/>
            <w:hideMark/>
          </w:tcPr>
          <w:p w:rsidR="002625B2" w:rsidRPr="00AE6EDB" w:rsidRDefault="002625B2" w:rsidP="002625B2">
            <w:pPr>
              <w:ind w:firstLine="0"/>
              <w:jc w:val="right"/>
            </w:pPr>
            <w:r w:rsidRPr="00AE6EDB">
              <w:t>13,09</w:t>
            </w:r>
          </w:p>
        </w:tc>
        <w:tc>
          <w:tcPr>
            <w:tcW w:w="954" w:type="dxa"/>
            <w:hideMark/>
          </w:tcPr>
          <w:p w:rsidR="002625B2" w:rsidRPr="00AE6EDB" w:rsidRDefault="002625B2" w:rsidP="002625B2">
            <w:pPr>
              <w:ind w:firstLine="0"/>
              <w:jc w:val="right"/>
            </w:pPr>
            <w:r w:rsidRPr="00AE6EDB">
              <w:t>2,14</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Trenčiansky</w:t>
            </w:r>
          </w:p>
        </w:tc>
        <w:tc>
          <w:tcPr>
            <w:tcW w:w="844" w:type="dxa"/>
            <w:hideMark/>
          </w:tcPr>
          <w:p w:rsidR="002625B2" w:rsidRPr="00AE6EDB" w:rsidRDefault="002625B2" w:rsidP="002625B2">
            <w:pPr>
              <w:ind w:firstLine="0"/>
              <w:jc w:val="right"/>
            </w:pPr>
            <w:r w:rsidRPr="00AE6EDB">
              <w:t>16,57</w:t>
            </w:r>
          </w:p>
        </w:tc>
        <w:tc>
          <w:tcPr>
            <w:tcW w:w="844" w:type="dxa"/>
            <w:hideMark/>
          </w:tcPr>
          <w:p w:rsidR="002625B2" w:rsidRPr="00AE6EDB" w:rsidRDefault="002625B2" w:rsidP="002625B2">
            <w:pPr>
              <w:ind w:firstLine="0"/>
              <w:jc w:val="right"/>
            </w:pPr>
            <w:r w:rsidRPr="00AE6EDB">
              <w:t>12,88</w:t>
            </w:r>
          </w:p>
        </w:tc>
        <w:tc>
          <w:tcPr>
            <w:tcW w:w="845" w:type="dxa"/>
            <w:hideMark/>
          </w:tcPr>
          <w:p w:rsidR="002625B2" w:rsidRPr="00AE6EDB" w:rsidRDefault="002625B2" w:rsidP="002625B2">
            <w:pPr>
              <w:ind w:firstLine="0"/>
              <w:jc w:val="right"/>
            </w:pPr>
            <w:r w:rsidRPr="00AE6EDB">
              <w:t>10,51</w:t>
            </w:r>
          </w:p>
        </w:tc>
        <w:tc>
          <w:tcPr>
            <w:tcW w:w="844" w:type="dxa"/>
            <w:hideMark/>
          </w:tcPr>
          <w:p w:rsidR="002625B2" w:rsidRPr="00AE6EDB" w:rsidRDefault="002625B2" w:rsidP="002625B2">
            <w:pPr>
              <w:ind w:firstLine="0"/>
              <w:jc w:val="right"/>
            </w:pPr>
            <w:r w:rsidRPr="00AE6EDB">
              <w:t>11,48</w:t>
            </w:r>
          </w:p>
        </w:tc>
        <w:tc>
          <w:tcPr>
            <w:tcW w:w="845" w:type="dxa"/>
            <w:hideMark/>
          </w:tcPr>
          <w:p w:rsidR="002625B2" w:rsidRPr="00AE6EDB" w:rsidRDefault="002625B2" w:rsidP="002625B2">
            <w:pPr>
              <w:ind w:firstLine="0"/>
              <w:jc w:val="right"/>
            </w:pPr>
            <w:r w:rsidRPr="00AE6EDB">
              <w:t>10,27</w:t>
            </w:r>
          </w:p>
        </w:tc>
        <w:tc>
          <w:tcPr>
            <w:tcW w:w="844" w:type="dxa"/>
            <w:hideMark/>
          </w:tcPr>
          <w:p w:rsidR="002625B2" w:rsidRPr="00AE6EDB" w:rsidRDefault="002625B2" w:rsidP="002625B2">
            <w:pPr>
              <w:ind w:firstLine="0"/>
              <w:jc w:val="right"/>
            </w:pPr>
            <w:r w:rsidRPr="00AE6EDB">
              <w:t>10,06</w:t>
            </w:r>
          </w:p>
        </w:tc>
        <w:tc>
          <w:tcPr>
            <w:tcW w:w="845" w:type="dxa"/>
            <w:hideMark/>
          </w:tcPr>
          <w:p w:rsidR="002625B2" w:rsidRPr="00AE6EDB" w:rsidRDefault="002625B2" w:rsidP="002625B2">
            <w:pPr>
              <w:ind w:firstLine="0"/>
              <w:jc w:val="right"/>
            </w:pPr>
            <w:r w:rsidRPr="00AE6EDB">
              <w:t>12,03</w:t>
            </w:r>
          </w:p>
        </w:tc>
        <w:tc>
          <w:tcPr>
            <w:tcW w:w="844" w:type="dxa"/>
            <w:hideMark/>
          </w:tcPr>
          <w:p w:rsidR="002625B2" w:rsidRPr="00AE6EDB" w:rsidRDefault="002625B2" w:rsidP="002625B2">
            <w:pPr>
              <w:ind w:firstLine="0"/>
              <w:jc w:val="right"/>
            </w:pPr>
            <w:r w:rsidRPr="00AE6EDB">
              <w:t>13,90</w:t>
            </w:r>
          </w:p>
        </w:tc>
        <w:tc>
          <w:tcPr>
            <w:tcW w:w="954" w:type="dxa"/>
            <w:hideMark/>
          </w:tcPr>
          <w:p w:rsidR="002625B2" w:rsidRPr="00AE6EDB" w:rsidRDefault="002625B2" w:rsidP="002625B2">
            <w:pPr>
              <w:ind w:firstLine="0"/>
              <w:jc w:val="right"/>
            </w:pPr>
            <w:r w:rsidRPr="00AE6EDB">
              <w:t>2,29</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Nitriansky</w:t>
            </w:r>
          </w:p>
        </w:tc>
        <w:tc>
          <w:tcPr>
            <w:tcW w:w="844" w:type="dxa"/>
            <w:hideMark/>
          </w:tcPr>
          <w:p w:rsidR="002625B2" w:rsidRPr="00AE6EDB" w:rsidRDefault="002625B2" w:rsidP="002625B2">
            <w:pPr>
              <w:ind w:firstLine="0"/>
              <w:jc w:val="right"/>
            </w:pPr>
            <w:r w:rsidRPr="00AE6EDB">
              <w:t>14,39</w:t>
            </w:r>
          </w:p>
        </w:tc>
        <w:tc>
          <w:tcPr>
            <w:tcW w:w="844" w:type="dxa"/>
            <w:hideMark/>
          </w:tcPr>
          <w:p w:rsidR="002625B2" w:rsidRPr="00AE6EDB" w:rsidRDefault="002625B2" w:rsidP="002625B2">
            <w:pPr>
              <w:ind w:firstLine="0"/>
              <w:jc w:val="right"/>
            </w:pPr>
            <w:r w:rsidRPr="00AE6EDB">
              <w:t>11,35</w:t>
            </w:r>
          </w:p>
        </w:tc>
        <w:tc>
          <w:tcPr>
            <w:tcW w:w="845" w:type="dxa"/>
            <w:hideMark/>
          </w:tcPr>
          <w:p w:rsidR="002625B2" w:rsidRPr="00AE6EDB" w:rsidRDefault="002625B2" w:rsidP="002625B2">
            <w:pPr>
              <w:ind w:firstLine="0"/>
              <w:jc w:val="right"/>
            </w:pPr>
            <w:r w:rsidRPr="00AE6EDB">
              <w:t>10,91</w:t>
            </w:r>
          </w:p>
        </w:tc>
        <w:tc>
          <w:tcPr>
            <w:tcW w:w="844" w:type="dxa"/>
            <w:hideMark/>
          </w:tcPr>
          <w:p w:rsidR="002625B2" w:rsidRPr="00AE6EDB" w:rsidRDefault="002625B2" w:rsidP="002625B2">
            <w:pPr>
              <w:ind w:firstLine="0"/>
              <w:jc w:val="right"/>
            </w:pPr>
            <w:r w:rsidRPr="00AE6EDB">
              <w:t>12,61</w:t>
            </w:r>
          </w:p>
        </w:tc>
        <w:tc>
          <w:tcPr>
            <w:tcW w:w="845" w:type="dxa"/>
            <w:hideMark/>
          </w:tcPr>
          <w:p w:rsidR="002625B2" w:rsidRPr="00AE6EDB" w:rsidRDefault="002625B2" w:rsidP="002625B2">
            <w:pPr>
              <w:ind w:firstLine="0"/>
              <w:jc w:val="right"/>
            </w:pPr>
            <w:r w:rsidRPr="00AE6EDB">
              <w:t>11,46</w:t>
            </w:r>
          </w:p>
        </w:tc>
        <w:tc>
          <w:tcPr>
            <w:tcW w:w="844" w:type="dxa"/>
            <w:hideMark/>
          </w:tcPr>
          <w:p w:rsidR="002625B2" w:rsidRPr="00AE6EDB" w:rsidRDefault="002625B2" w:rsidP="002625B2">
            <w:pPr>
              <w:ind w:firstLine="0"/>
              <w:jc w:val="right"/>
            </w:pPr>
            <w:r w:rsidRPr="00AE6EDB">
              <w:t>10,75</w:t>
            </w:r>
          </w:p>
        </w:tc>
        <w:tc>
          <w:tcPr>
            <w:tcW w:w="845" w:type="dxa"/>
            <w:hideMark/>
          </w:tcPr>
          <w:p w:rsidR="002625B2" w:rsidRPr="00AE6EDB" w:rsidRDefault="002625B2" w:rsidP="002625B2">
            <w:pPr>
              <w:ind w:firstLine="0"/>
              <w:jc w:val="right"/>
            </w:pPr>
            <w:r w:rsidRPr="00AE6EDB">
              <w:t>12,28</w:t>
            </w:r>
          </w:p>
        </w:tc>
        <w:tc>
          <w:tcPr>
            <w:tcW w:w="844" w:type="dxa"/>
            <w:hideMark/>
          </w:tcPr>
          <w:p w:rsidR="002625B2" w:rsidRPr="00AE6EDB" w:rsidRDefault="002625B2" w:rsidP="002625B2">
            <w:pPr>
              <w:ind w:firstLine="0"/>
              <w:jc w:val="right"/>
            </w:pPr>
            <w:r w:rsidRPr="00AE6EDB">
              <w:t>13,96</w:t>
            </w:r>
          </w:p>
        </w:tc>
        <w:tc>
          <w:tcPr>
            <w:tcW w:w="954" w:type="dxa"/>
            <w:hideMark/>
          </w:tcPr>
          <w:p w:rsidR="002625B2" w:rsidRPr="00AE6EDB" w:rsidRDefault="002625B2" w:rsidP="002625B2">
            <w:pPr>
              <w:ind w:firstLine="0"/>
              <w:jc w:val="right"/>
            </w:pPr>
            <w:r w:rsidRPr="00AE6EDB">
              <w:t>2,28</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Žilinský</w:t>
            </w:r>
          </w:p>
        </w:tc>
        <w:tc>
          <w:tcPr>
            <w:tcW w:w="844" w:type="dxa"/>
            <w:hideMark/>
          </w:tcPr>
          <w:p w:rsidR="002625B2" w:rsidRPr="00AE6EDB" w:rsidRDefault="002625B2" w:rsidP="002625B2">
            <w:pPr>
              <w:ind w:firstLine="0"/>
              <w:jc w:val="right"/>
            </w:pPr>
            <w:r w:rsidRPr="00AE6EDB">
              <w:t>18,31</w:t>
            </w:r>
          </w:p>
        </w:tc>
        <w:tc>
          <w:tcPr>
            <w:tcW w:w="844" w:type="dxa"/>
            <w:hideMark/>
          </w:tcPr>
          <w:p w:rsidR="002625B2" w:rsidRPr="00AE6EDB" w:rsidRDefault="002625B2" w:rsidP="002625B2">
            <w:pPr>
              <w:ind w:firstLine="0"/>
              <w:jc w:val="right"/>
            </w:pPr>
            <w:r w:rsidRPr="00AE6EDB">
              <w:t>12,57</w:t>
            </w:r>
          </w:p>
        </w:tc>
        <w:tc>
          <w:tcPr>
            <w:tcW w:w="845" w:type="dxa"/>
            <w:hideMark/>
          </w:tcPr>
          <w:p w:rsidR="002625B2" w:rsidRPr="00AE6EDB" w:rsidRDefault="002625B2" w:rsidP="002625B2">
            <w:pPr>
              <w:ind w:firstLine="0"/>
              <w:jc w:val="right"/>
            </w:pPr>
            <w:r w:rsidRPr="00AE6EDB">
              <w:t>10,22</w:t>
            </w:r>
          </w:p>
        </w:tc>
        <w:tc>
          <w:tcPr>
            <w:tcW w:w="844" w:type="dxa"/>
            <w:hideMark/>
          </w:tcPr>
          <w:p w:rsidR="002625B2" w:rsidRPr="00AE6EDB" w:rsidRDefault="002625B2" w:rsidP="002625B2">
            <w:pPr>
              <w:ind w:firstLine="0"/>
              <w:jc w:val="right"/>
            </w:pPr>
            <w:r w:rsidRPr="00AE6EDB">
              <w:t>10,97</w:t>
            </w:r>
          </w:p>
        </w:tc>
        <w:tc>
          <w:tcPr>
            <w:tcW w:w="845" w:type="dxa"/>
            <w:hideMark/>
          </w:tcPr>
          <w:p w:rsidR="002625B2" w:rsidRPr="00AE6EDB" w:rsidRDefault="002625B2" w:rsidP="002625B2">
            <w:pPr>
              <w:ind w:firstLine="0"/>
              <w:jc w:val="right"/>
            </w:pPr>
            <w:r w:rsidRPr="00AE6EDB">
              <w:t>10,61</w:t>
            </w:r>
          </w:p>
        </w:tc>
        <w:tc>
          <w:tcPr>
            <w:tcW w:w="844" w:type="dxa"/>
            <w:hideMark/>
          </w:tcPr>
          <w:p w:rsidR="002625B2" w:rsidRPr="00AE6EDB" w:rsidRDefault="002625B2" w:rsidP="002625B2">
            <w:pPr>
              <w:ind w:firstLine="0"/>
              <w:jc w:val="right"/>
            </w:pPr>
            <w:r w:rsidRPr="00AE6EDB">
              <w:t>10,51</w:t>
            </w:r>
          </w:p>
        </w:tc>
        <w:tc>
          <w:tcPr>
            <w:tcW w:w="845" w:type="dxa"/>
            <w:hideMark/>
          </w:tcPr>
          <w:p w:rsidR="002625B2" w:rsidRPr="00AE6EDB" w:rsidRDefault="002625B2" w:rsidP="002625B2">
            <w:pPr>
              <w:ind w:firstLine="0"/>
              <w:jc w:val="right"/>
            </w:pPr>
            <w:r w:rsidRPr="00AE6EDB">
              <w:t>11,76</w:t>
            </w:r>
          </w:p>
        </w:tc>
        <w:tc>
          <w:tcPr>
            <w:tcW w:w="844" w:type="dxa"/>
            <w:hideMark/>
          </w:tcPr>
          <w:p w:rsidR="002625B2" w:rsidRPr="00AE6EDB" w:rsidRDefault="002625B2" w:rsidP="002625B2">
            <w:pPr>
              <w:ind w:firstLine="0"/>
              <w:jc w:val="right"/>
            </w:pPr>
            <w:r w:rsidRPr="00AE6EDB">
              <w:t>12,76</w:t>
            </w:r>
          </w:p>
        </w:tc>
        <w:tc>
          <w:tcPr>
            <w:tcW w:w="954" w:type="dxa"/>
            <w:hideMark/>
          </w:tcPr>
          <w:p w:rsidR="002625B2" w:rsidRPr="00AE6EDB" w:rsidRDefault="002625B2" w:rsidP="002625B2">
            <w:pPr>
              <w:ind w:firstLine="0"/>
              <w:jc w:val="right"/>
            </w:pPr>
            <w:r w:rsidRPr="00AE6EDB">
              <w:t>2,29</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Banskobystrický</w:t>
            </w:r>
          </w:p>
        </w:tc>
        <w:tc>
          <w:tcPr>
            <w:tcW w:w="844" w:type="dxa"/>
            <w:hideMark/>
          </w:tcPr>
          <w:p w:rsidR="002625B2" w:rsidRPr="00AE6EDB" w:rsidRDefault="002625B2" w:rsidP="002625B2">
            <w:pPr>
              <w:ind w:firstLine="0"/>
              <w:jc w:val="right"/>
            </w:pPr>
            <w:r w:rsidRPr="00AE6EDB">
              <w:t>15,29</w:t>
            </w:r>
          </w:p>
        </w:tc>
        <w:tc>
          <w:tcPr>
            <w:tcW w:w="844" w:type="dxa"/>
            <w:hideMark/>
          </w:tcPr>
          <w:p w:rsidR="002625B2" w:rsidRPr="00AE6EDB" w:rsidRDefault="002625B2" w:rsidP="002625B2">
            <w:pPr>
              <w:ind w:firstLine="0"/>
              <w:jc w:val="right"/>
            </w:pPr>
            <w:r w:rsidRPr="00AE6EDB">
              <w:t>11,93</w:t>
            </w:r>
          </w:p>
        </w:tc>
        <w:tc>
          <w:tcPr>
            <w:tcW w:w="845" w:type="dxa"/>
            <w:hideMark/>
          </w:tcPr>
          <w:p w:rsidR="002625B2" w:rsidRPr="00AE6EDB" w:rsidRDefault="002625B2" w:rsidP="002625B2">
            <w:pPr>
              <w:ind w:firstLine="0"/>
              <w:jc w:val="right"/>
            </w:pPr>
            <w:r w:rsidRPr="00AE6EDB">
              <w:t>11,34</w:t>
            </w:r>
          </w:p>
        </w:tc>
        <w:tc>
          <w:tcPr>
            <w:tcW w:w="844" w:type="dxa"/>
            <w:hideMark/>
          </w:tcPr>
          <w:p w:rsidR="002625B2" w:rsidRPr="00AE6EDB" w:rsidRDefault="002625B2" w:rsidP="002625B2">
            <w:pPr>
              <w:ind w:firstLine="0"/>
              <w:jc w:val="right"/>
            </w:pPr>
            <w:r w:rsidRPr="00AE6EDB">
              <w:t>12,44</w:t>
            </w:r>
          </w:p>
        </w:tc>
        <w:tc>
          <w:tcPr>
            <w:tcW w:w="845" w:type="dxa"/>
            <w:hideMark/>
          </w:tcPr>
          <w:p w:rsidR="002625B2" w:rsidRPr="00AE6EDB" w:rsidRDefault="002625B2" w:rsidP="002625B2">
            <w:pPr>
              <w:ind w:firstLine="0"/>
              <w:jc w:val="right"/>
            </w:pPr>
            <w:r w:rsidRPr="00AE6EDB">
              <w:t>11,57</w:t>
            </w:r>
          </w:p>
        </w:tc>
        <w:tc>
          <w:tcPr>
            <w:tcW w:w="844" w:type="dxa"/>
            <w:hideMark/>
          </w:tcPr>
          <w:p w:rsidR="002625B2" w:rsidRPr="00AE6EDB" w:rsidRDefault="002625B2" w:rsidP="002625B2">
            <w:pPr>
              <w:ind w:firstLine="0"/>
              <w:jc w:val="right"/>
            </w:pPr>
            <w:r w:rsidRPr="00AE6EDB">
              <w:t>11,16</w:t>
            </w:r>
          </w:p>
        </w:tc>
        <w:tc>
          <w:tcPr>
            <w:tcW w:w="845" w:type="dxa"/>
            <w:hideMark/>
          </w:tcPr>
          <w:p w:rsidR="002625B2" w:rsidRPr="00AE6EDB" w:rsidRDefault="002625B2" w:rsidP="002625B2">
            <w:pPr>
              <w:ind w:firstLine="0"/>
              <w:jc w:val="right"/>
            </w:pPr>
            <w:r w:rsidRPr="00AE6EDB">
              <w:t>11,99</w:t>
            </w:r>
          </w:p>
        </w:tc>
        <w:tc>
          <w:tcPr>
            <w:tcW w:w="844" w:type="dxa"/>
            <w:hideMark/>
          </w:tcPr>
          <w:p w:rsidR="002625B2" w:rsidRPr="00AE6EDB" w:rsidRDefault="002625B2" w:rsidP="002625B2">
            <w:pPr>
              <w:ind w:firstLine="0"/>
              <w:jc w:val="right"/>
            </w:pPr>
            <w:r w:rsidRPr="00AE6EDB">
              <w:t>12,43</w:t>
            </w:r>
          </w:p>
        </w:tc>
        <w:tc>
          <w:tcPr>
            <w:tcW w:w="954" w:type="dxa"/>
            <w:hideMark/>
          </w:tcPr>
          <w:p w:rsidR="002625B2" w:rsidRPr="00AE6EDB" w:rsidRDefault="002625B2" w:rsidP="002625B2">
            <w:pPr>
              <w:ind w:firstLine="0"/>
              <w:jc w:val="right"/>
            </w:pPr>
            <w:r w:rsidRPr="00AE6EDB">
              <w:t>1,86</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spacing w:val="-16"/>
                <w:sz w:val="22"/>
                <w:lang w:eastAsia="en-US"/>
              </w:rPr>
              <w:t>Prešovský</w:t>
            </w:r>
          </w:p>
        </w:tc>
        <w:tc>
          <w:tcPr>
            <w:tcW w:w="844" w:type="dxa"/>
            <w:hideMark/>
          </w:tcPr>
          <w:p w:rsidR="002625B2" w:rsidRPr="00AE6EDB" w:rsidRDefault="002625B2" w:rsidP="002625B2">
            <w:pPr>
              <w:ind w:firstLine="0"/>
              <w:jc w:val="right"/>
            </w:pPr>
            <w:r w:rsidRPr="00AE6EDB">
              <w:t>19,03</w:t>
            </w:r>
          </w:p>
        </w:tc>
        <w:tc>
          <w:tcPr>
            <w:tcW w:w="844" w:type="dxa"/>
            <w:hideMark/>
          </w:tcPr>
          <w:p w:rsidR="002625B2" w:rsidRPr="00AE6EDB" w:rsidRDefault="002625B2" w:rsidP="002625B2">
            <w:pPr>
              <w:ind w:firstLine="0"/>
              <w:jc w:val="right"/>
            </w:pPr>
            <w:r w:rsidRPr="00AE6EDB">
              <w:t>13,49</w:t>
            </w:r>
          </w:p>
        </w:tc>
        <w:tc>
          <w:tcPr>
            <w:tcW w:w="845" w:type="dxa"/>
            <w:hideMark/>
          </w:tcPr>
          <w:p w:rsidR="002625B2" w:rsidRPr="00AE6EDB" w:rsidRDefault="002625B2" w:rsidP="002625B2">
            <w:pPr>
              <w:ind w:firstLine="0"/>
              <w:jc w:val="right"/>
            </w:pPr>
            <w:r w:rsidRPr="00AE6EDB">
              <w:t>11,91</w:t>
            </w:r>
          </w:p>
        </w:tc>
        <w:tc>
          <w:tcPr>
            <w:tcW w:w="844" w:type="dxa"/>
            <w:hideMark/>
          </w:tcPr>
          <w:p w:rsidR="002625B2" w:rsidRPr="00AE6EDB" w:rsidRDefault="002625B2" w:rsidP="002625B2">
            <w:pPr>
              <w:ind w:firstLine="0"/>
              <w:jc w:val="right"/>
            </w:pPr>
            <w:r w:rsidRPr="00AE6EDB">
              <w:t>11,77</w:t>
            </w:r>
          </w:p>
        </w:tc>
        <w:tc>
          <w:tcPr>
            <w:tcW w:w="845" w:type="dxa"/>
            <w:hideMark/>
          </w:tcPr>
          <w:p w:rsidR="002625B2" w:rsidRPr="00AE6EDB" w:rsidRDefault="002625B2" w:rsidP="002625B2">
            <w:pPr>
              <w:ind w:firstLine="0"/>
              <w:jc w:val="right"/>
            </w:pPr>
            <w:r w:rsidRPr="00AE6EDB">
              <w:t>11,32</w:t>
            </w:r>
          </w:p>
        </w:tc>
        <w:tc>
          <w:tcPr>
            <w:tcW w:w="844" w:type="dxa"/>
            <w:hideMark/>
          </w:tcPr>
          <w:p w:rsidR="002625B2" w:rsidRPr="00AE6EDB" w:rsidRDefault="002625B2" w:rsidP="002625B2">
            <w:pPr>
              <w:ind w:firstLine="0"/>
              <w:jc w:val="right"/>
            </w:pPr>
            <w:r w:rsidRPr="00AE6EDB">
              <w:t>10,41</w:t>
            </w:r>
          </w:p>
        </w:tc>
        <w:tc>
          <w:tcPr>
            <w:tcW w:w="845" w:type="dxa"/>
            <w:hideMark/>
          </w:tcPr>
          <w:p w:rsidR="002625B2" w:rsidRPr="00AE6EDB" w:rsidRDefault="002625B2" w:rsidP="002625B2">
            <w:pPr>
              <w:ind w:firstLine="0"/>
              <w:jc w:val="right"/>
            </w:pPr>
            <w:r w:rsidRPr="00AE6EDB">
              <w:t>10,57</w:t>
            </w:r>
          </w:p>
        </w:tc>
        <w:tc>
          <w:tcPr>
            <w:tcW w:w="844" w:type="dxa"/>
            <w:hideMark/>
          </w:tcPr>
          <w:p w:rsidR="002625B2" w:rsidRPr="00AE6EDB" w:rsidRDefault="002625B2" w:rsidP="002625B2">
            <w:pPr>
              <w:ind w:firstLine="0"/>
              <w:jc w:val="right"/>
            </w:pPr>
            <w:r w:rsidRPr="00AE6EDB">
              <w:t>9,79</w:t>
            </w:r>
          </w:p>
        </w:tc>
        <w:tc>
          <w:tcPr>
            <w:tcW w:w="954" w:type="dxa"/>
            <w:hideMark/>
          </w:tcPr>
          <w:p w:rsidR="002625B2" w:rsidRPr="00AE6EDB" w:rsidRDefault="002625B2" w:rsidP="002625B2">
            <w:pPr>
              <w:ind w:firstLine="0"/>
              <w:jc w:val="right"/>
            </w:pPr>
            <w:r w:rsidRPr="00AE6EDB">
              <w:t>1,71</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i/>
                <w:spacing w:val="-16"/>
                <w:sz w:val="22"/>
                <w:lang w:eastAsia="en-US"/>
              </w:rPr>
            </w:pPr>
            <w:r w:rsidRPr="00AE6EDB">
              <w:rPr>
                <w:spacing w:val="-16"/>
                <w:sz w:val="22"/>
                <w:lang w:eastAsia="en-US"/>
              </w:rPr>
              <w:t>Košický</w:t>
            </w:r>
          </w:p>
        </w:tc>
        <w:tc>
          <w:tcPr>
            <w:tcW w:w="844" w:type="dxa"/>
            <w:hideMark/>
          </w:tcPr>
          <w:p w:rsidR="002625B2" w:rsidRPr="00AE6EDB" w:rsidRDefault="002625B2" w:rsidP="002625B2">
            <w:pPr>
              <w:ind w:firstLine="0"/>
              <w:jc w:val="right"/>
            </w:pPr>
            <w:r w:rsidRPr="00AE6EDB">
              <w:t>15,66</w:t>
            </w:r>
          </w:p>
        </w:tc>
        <w:tc>
          <w:tcPr>
            <w:tcW w:w="844" w:type="dxa"/>
            <w:hideMark/>
          </w:tcPr>
          <w:p w:rsidR="002625B2" w:rsidRPr="00AE6EDB" w:rsidRDefault="002625B2" w:rsidP="002625B2">
            <w:pPr>
              <w:ind w:firstLine="0"/>
              <w:jc w:val="right"/>
            </w:pPr>
            <w:r w:rsidRPr="00AE6EDB">
              <w:t>12,93</w:t>
            </w:r>
          </w:p>
        </w:tc>
        <w:tc>
          <w:tcPr>
            <w:tcW w:w="845" w:type="dxa"/>
            <w:hideMark/>
          </w:tcPr>
          <w:p w:rsidR="002625B2" w:rsidRPr="00AE6EDB" w:rsidRDefault="002625B2" w:rsidP="002625B2">
            <w:pPr>
              <w:ind w:firstLine="0"/>
              <w:jc w:val="right"/>
            </w:pPr>
            <w:r w:rsidRPr="00AE6EDB">
              <w:t>12,08</w:t>
            </w:r>
          </w:p>
        </w:tc>
        <w:tc>
          <w:tcPr>
            <w:tcW w:w="844" w:type="dxa"/>
            <w:hideMark/>
          </w:tcPr>
          <w:p w:rsidR="002625B2" w:rsidRPr="00AE6EDB" w:rsidRDefault="002625B2" w:rsidP="002625B2">
            <w:pPr>
              <w:ind w:firstLine="0"/>
              <w:jc w:val="right"/>
            </w:pPr>
            <w:r w:rsidRPr="00AE6EDB">
              <w:t>12,62</w:t>
            </w:r>
          </w:p>
        </w:tc>
        <w:tc>
          <w:tcPr>
            <w:tcW w:w="845" w:type="dxa"/>
            <w:hideMark/>
          </w:tcPr>
          <w:p w:rsidR="002625B2" w:rsidRPr="00AE6EDB" w:rsidRDefault="002625B2" w:rsidP="002625B2">
            <w:pPr>
              <w:ind w:firstLine="0"/>
              <w:jc w:val="right"/>
            </w:pPr>
            <w:r w:rsidRPr="00AE6EDB">
              <w:t>11,82</w:t>
            </w:r>
          </w:p>
        </w:tc>
        <w:tc>
          <w:tcPr>
            <w:tcW w:w="844" w:type="dxa"/>
            <w:hideMark/>
          </w:tcPr>
          <w:p w:rsidR="002625B2" w:rsidRPr="00AE6EDB" w:rsidRDefault="002625B2" w:rsidP="002625B2">
            <w:pPr>
              <w:ind w:firstLine="0"/>
              <w:jc w:val="right"/>
            </w:pPr>
            <w:r w:rsidRPr="00AE6EDB">
              <w:t>10,80</w:t>
            </w:r>
          </w:p>
        </w:tc>
        <w:tc>
          <w:tcPr>
            <w:tcW w:w="845" w:type="dxa"/>
            <w:hideMark/>
          </w:tcPr>
          <w:p w:rsidR="002625B2" w:rsidRPr="00AE6EDB" w:rsidRDefault="002625B2" w:rsidP="002625B2">
            <w:pPr>
              <w:ind w:firstLine="0"/>
              <w:jc w:val="right"/>
            </w:pPr>
            <w:r w:rsidRPr="00AE6EDB">
              <w:t>11,32</w:t>
            </w:r>
          </w:p>
        </w:tc>
        <w:tc>
          <w:tcPr>
            <w:tcW w:w="844" w:type="dxa"/>
            <w:hideMark/>
          </w:tcPr>
          <w:p w:rsidR="002625B2" w:rsidRPr="00AE6EDB" w:rsidRDefault="002625B2" w:rsidP="002625B2">
            <w:pPr>
              <w:ind w:firstLine="0"/>
              <w:jc w:val="right"/>
            </w:pPr>
            <w:r w:rsidRPr="00AE6EDB">
              <w:t>10,94</w:t>
            </w:r>
          </w:p>
        </w:tc>
        <w:tc>
          <w:tcPr>
            <w:tcW w:w="954" w:type="dxa"/>
            <w:hideMark/>
          </w:tcPr>
          <w:p w:rsidR="002625B2" w:rsidRPr="00AE6EDB" w:rsidRDefault="002625B2" w:rsidP="002625B2">
            <w:pPr>
              <w:ind w:firstLine="0"/>
              <w:jc w:val="right"/>
            </w:pPr>
            <w:r w:rsidRPr="00AE6EDB">
              <w:t>1,82</w:t>
            </w:r>
          </w:p>
        </w:tc>
      </w:tr>
      <w:tr w:rsidR="002625B2" w:rsidRPr="00AE6EDB" w:rsidTr="002625B2">
        <w:trPr>
          <w:trHeight w:val="315"/>
          <w:jc w:val="center"/>
        </w:trPr>
        <w:tc>
          <w:tcPr>
            <w:tcW w:w="1546" w:type="dxa"/>
            <w:vAlign w:val="center"/>
            <w:hideMark/>
          </w:tcPr>
          <w:p w:rsidR="002625B2" w:rsidRPr="00AE6EDB" w:rsidRDefault="002625B2" w:rsidP="002625B2">
            <w:pPr>
              <w:pStyle w:val="tabulka"/>
              <w:ind w:firstLine="0"/>
              <w:rPr>
                <w:spacing w:val="-16"/>
                <w:sz w:val="22"/>
                <w:lang w:eastAsia="en-US"/>
              </w:rPr>
            </w:pPr>
            <w:r w:rsidRPr="00AE6EDB">
              <w:rPr>
                <w:i/>
                <w:spacing w:val="-16"/>
                <w:sz w:val="22"/>
                <w:lang w:eastAsia="en-US"/>
              </w:rPr>
              <w:t>Slovensko</w:t>
            </w:r>
          </w:p>
        </w:tc>
        <w:tc>
          <w:tcPr>
            <w:tcW w:w="844" w:type="dxa"/>
            <w:hideMark/>
          </w:tcPr>
          <w:p w:rsidR="002625B2" w:rsidRPr="00AE6EDB" w:rsidRDefault="002625B2" w:rsidP="002625B2">
            <w:pPr>
              <w:ind w:firstLine="0"/>
              <w:jc w:val="right"/>
            </w:pPr>
            <w:r w:rsidRPr="00AE6EDB">
              <w:t>16,48</w:t>
            </w:r>
          </w:p>
        </w:tc>
        <w:tc>
          <w:tcPr>
            <w:tcW w:w="844" w:type="dxa"/>
            <w:hideMark/>
          </w:tcPr>
          <w:p w:rsidR="002625B2" w:rsidRPr="00AE6EDB" w:rsidRDefault="002625B2" w:rsidP="002625B2">
            <w:pPr>
              <w:ind w:firstLine="0"/>
              <w:jc w:val="right"/>
            </w:pPr>
            <w:r w:rsidRPr="00AE6EDB">
              <w:t>12,67</w:t>
            </w:r>
          </w:p>
        </w:tc>
        <w:tc>
          <w:tcPr>
            <w:tcW w:w="845" w:type="dxa"/>
            <w:hideMark/>
          </w:tcPr>
          <w:p w:rsidR="002625B2" w:rsidRPr="00AE6EDB" w:rsidRDefault="002625B2" w:rsidP="002625B2">
            <w:pPr>
              <w:ind w:firstLine="0"/>
              <w:jc w:val="right"/>
            </w:pPr>
            <w:r w:rsidRPr="00AE6EDB">
              <w:t>11,45</w:t>
            </w:r>
          </w:p>
        </w:tc>
        <w:tc>
          <w:tcPr>
            <w:tcW w:w="844" w:type="dxa"/>
            <w:hideMark/>
          </w:tcPr>
          <w:p w:rsidR="002625B2" w:rsidRPr="00AE6EDB" w:rsidRDefault="002625B2" w:rsidP="002625B2">
            <w:pPr>
              <w:ind w:firstLine="0"/>
              <w:jc w:val="right"/>
            </w:pPr>
            <w:r w:rsidRPr="00AE6EDB">
              <w:t>12,20</w:t>
            </w:r>
          </w:p>
        </w:tc>
        <w:tc>
          <w:tcPr>
            <w:tcW w:w="845" w:type="dxa"/>
            <w:hideMark/>
          </w:tcPr>
          <w:p w:rsidR="002625B2" w:rsidRPr="00AE6EDB" w:rsidRDefault="002625B2" w:rsidP="002625B2">
            <w:pPr>
              <w:ind w:firstLine="0"/>
              <w:jc w:val="right"/>
            </w:pPr>
            <w:r w:rsidRPr="00AE6EDB">
              <w:t>11,25</w:t>
            </w:r>
          </w:p>
        </w:tc>
        <w:tc>
          <w:tcPr>
            <w:tcW w:w="844" w:type="dxa"/>
            <w:hideMark/>
          </w:tcPr>
          <w:p w:rsidR="002625B2" w:rsidRPr="00AE6EDB" w:rsidRDefault="002625B2" w:rsidP="002625B2">
            <w:pPr>
              <w:ind w:firstLine="0"/>
              <w:jc w:val="right"/>
            </w:pPr>
            <w:r w:rsidRPr="00AE6EDB">
              <w:t>10,49</w:t>
            </w:r>
          </w:p>
        </w:tc>
        <w:tc>
          <w:tcPr>
            <w:tcW w:w="845" w:type="dxa"/>
            <w:hideMark/>
          </w:tcPr>
          <w:p w:rsidR="002625B2" w:rsidRPr="00AE6EDB" w:rsidRDefault="002625B2" w:rsidP="002625B2">
            <w:pPr>
              <w:ind w:firstLine="0"/>
              <w:jc w:val="right"/>
            </w:pPr>
            <w:r w:rsidRPr="00AE6EDB">
              <w:t>11,42</w:t>
            </w:r>
          </w:p>
        </w:tc>
        <w:tc>
          <w:tcPr>
            <w:tcW w:w="844" w:type="dxa"/>
            <w:hideMark/>
          </w:tcPr>
          <w:p w:rsidR="002625B2" w:rsidRPr="00AE6EDB" w:rsidRDefault="002625B2" w:rsidP="002625B2">
            <w:pPr>
              <w:ind w:firstLine="0"/>
              <w:jc w:val="right"/>
            </w:pPr>
            <w:r w:rsidRPr="00AE6EDB">
              <w:t>12,00</w:t>
            </w:r>
          </w:p>
        </w:tc>
        <w:tc>
          <w:tcPr>
            <w:tcW w:w="954" w:type="dxa"/>
            <w:hideMark/>
          </w:tcPr>
          <w:p w:rsidR="002625B2" w:rsidRPr="00AE6EDB" w:rsidRDefault="002625B2" w:rsidP="002625B2">
            <w:pPr>
              <w:ind w:firstLine="0"/>
              <w:jc w:val="right"/>
            </w:pPr>
            <w:r w:rsidRPr="00AE6EDB">
              <w:t>2,05</w:t>
            </w:r>
          </w:p>
        </w:tc>
      </w:tr>
    </w:tbl>
    <w:p w:rsidR="002625B2" w:rsidRPr="00AE6EDB" w:rsidRDefault="002625B2" w:rsidP="002625B2">
      <w:pPr>
        <w:pStyle w:val="zdroj"/>
      </w:pPr>
      <w:r w:rsidRPr="00AE6EDB">
        <w:t>Zdroj: ÚPSVR</w:t>
      </w:r>
    </w:p>
    <w:p w:rsidR="002625B2" w:rsidRPr="00AE6EDB" w:rsidRDefault="002625B2" w:rsidP="002625B2">
      <w:pPr>
        <w:ind w:firstLine="431"/>
      </w:pPr>
      <w:r w:rsidRPr="00AE6EDB">
        <w:rPr>
          <w:b/>
        </w:rPr>
        <w:t>Z hľadiska dĺžky evidencie</w:t>
      </w:r>
      <w:r w:rsidRPr="00AE6EDB">
        <w:t xml:space="preserve"> v roku 2015 dosiahol priemerný počet </w:t>
      </w:r>
      <w:proofErr w:type="spellStart"/>
      <w:r w:rsidRPr="00AE6EDB">
        <w:t>UoZ</w:t>
      </w:r>
      <w:proofErr w:type="spellEnd"/>
      <w:r w:rsidRPr="00AE6EDB">
        <w:t xml:space="preserve"> s dobou evidencie nad 12 mesiacov 18</w:t>
      </w:r>
      <w:r w:rsidR="00AC44CB">
        <w:t>9 4</w:t>
      </w:r>
      <w:r w:rsidRPr="00AE6EDB">
        <w:t>51 osôb, pričom tento počet medziročne klesol o 2</w:t>
      </w:r>
      <w:r w:rsidR="0054295F">
        <w:t>0 0</w:t>
      </w:r>
      <w:r w:rsidRPr="00AE6EDB">
        <w:t>44 osôb (o 9,57</w:t>
      </w:r>
      <w:r w:rsidR="005676EF">
        <w:t> %</w:t>
      </w:r>
      <w:r w:rsidRPr="00AE6EDB">
        <w:t xml:space="preserve">). Podiel evidovaných nad 12 mesiacov na celkovom počte </w:t>
      </w:r>
      <w:proofErr w:type="spellStart"/>
      <w:r w:rsidRPr="00AE6EDB">
        <w:t>UoZ</w:t>
      </w:r>
      <w:proofErr w:type="spellEnd"/>
      <w:r w:rsidRPr="00AE6EDB">
        <w:t xml:space="preserve"> klesol o 0,89 p. b. na 53,43</w:t>
      </w:r>
      <w:r w:rsidR="005676EF">
        <w:t> %</w:t>
      </w:r>
      <w:r w:rsidRPr="00AE6EDB">
        <w:t xml:space="preserve">, priemerný počet evidovaných </w:t>
      </w:r>
      <w:proofErr w:type="spellStart"/>
      <w:r w:rsidRPr="00AE6EDB">
        <w:t>UoZ</w:t>
      </w:r>
      <w:proofErr w:type="spellEnd"/>
      <w:r w:rsidRPr="00AE6EDB">
        <w:t xml:space="preserve"> do 12 mesiacov medziročne klesol o 1</w:t>
      </w:r>
      <w:r w:rsidR="0054295F">
        <w:t>1 0</w:t>
      </w:r>
      <w:r w:rsidRPr="00AE6EDB">
        <w:t>35 osôb (6,26</w:t>
      </w:r>
      <w:r w:rsidR="005676EF">
        <w:t> %</w:t>
      </w:r>
      <w:r w:rsidRPr="00AE6EDB">
        <w:t xml:space="preserve">). Počet </w:t>
      </w:r>
      <w:proofErr w:type="spellStart"/>
      <w:r w:rsidRPr="00AE6EDB">
        <w:t>UoZ</w:t>
      </w:r>
      <w:proofErr w:type="spellEnd"/>
      <w:r w:rsidRPr="00AE6EDB">
        <w:t xml:space="preserve"> evidovaných nad 48 mesiacov sa medziročne zvýšil o 0,64</w:t>
      </w:r>
      <w:r w:rsidR="005676EF">
        <w:t> %</w:t>
      </w:r>
      <w:r w:rsidRPr="00AE6EDB">
        <w:t xml:space="preserve"> na 7</w:t>
      </w:r>
      <w:r w:rsidR="00AC44CB">
        <w:t>5 3</w:t>
      </w:r>
      <w:r w:rsidRPr="00AE6EDB">
        <w:t>42 osôb a predstavoval 21,25</w:t>
      </w:r>
      <w:r w:rsidR="005676EF">
        <w:t> %</w:t>
      </w:r>
      <w:r w:rsidRPr="00AE6EDB">
        <w:t xml:space="preserve"> z celkového počtu </w:t>
      </w:r>
      <w:proofErr w:type="spellStart"/>
      <w:r w:rsidRPr="00AE6EDB">
        <w:t>UoZ</w:t>
      </w:r>
      <w:proofErr w:type="spellEnd"/>
      <w:r w:rsidRPr="00AE6EDB">
        <w:t xml:space="preserve">. Z evidovaných do 48 mesiacov bolo najviac </w:t>
      </w:r>
      <w:proofErr w:type="spellStart"/>
      <w:r w:rsidRPr="00AE6EDB">
        <w:t>UoZ</w:t>
      </w:r>
      <w:proofErr w:type="spellEnd"/>
      <w:r w:rsidRPr="00AE6EDB">
        <w:t xml:space="preserve"> v kategórii </w:t>
      </w:r>
      <w:r w:rsidR="0046091A" w:rsidRPr="00AE6EDB">
        <w:br/>
      </w:r>
      <w:r w:rsidRPr="00AE6EDB">
        <w:t>do 3 mesiacov, pričom predstavovali 5</w:t>
      </w:r>
      <w:r w:rsidR="00AC44CB">
        <w:t>9 8</w:t>
      </w:r>
      <w:r w:rsidRPr="00AE6EDB">
        <w:t>80 osôb, s podielom 16,89</w:t>
      </w:r>
      <w:r w:rsidR="005676EF">
        <w:t> %</w:t>
      </w:r>
      <w:r w:rsidRPr="00AE6EDB">
        <w:t xml:space="preserve">. Medziročný pokles počtu </w:t>
      </w:r>
      <w:proofErr w:type="spellStart"/>
      <w:r w:rsidRPr="00AE6EDB">
        <w:t>UoZ</w:t>
      </w:r>
      <w:proofErr w:type="spellEnd"/>
      <w:r w:rsidRPr="00AE6EDB">
        <w:t xml:space="preserve"> nastal vo všetkých skupinách </w:t>
      </w:r>
      <w:proofErr w:type="spellStart"/>
      <w:r w:rsidRPr="00AE6EDB">
        <w:t>UoZ</w:t>
      </w:r>
      <w:proofErr w:type="spellEnd"/>
      <w:r w:rsidRPr="00AE6EDB">
        <w:t xml:space="preserve"> okrem </w:t>
      </w:r>
      <w:proofErr w:type="spellStart"/>
      <w:r w:rsidRPr="00AE6EDB">
        <w:t>UoZ</w:t>
      </w:r>
      <w:proofErr w:type="spellEnd"/>
      <w:r w:rsidRPr="00AE6EDB">
        <w:t xml:space="preserve"> evidovaných nad 48 mesiacov. </w:t>
      </w:r>
    </w:p>
    <w:p w:rsidR="002625B2" w:rsidRPr="00AE6EDB" w:rsidRDefault="002625B2" w:rsidP="002625B2">
      <w:pPr>
        <w:ind w:firstLine="431"/>
        <w:rPr>
          <w:szCs w:val="22"/>
        </w:rPr>
      </w:pPr>
      <w:r w:rsidRPr="00AE6EDB">
        <w:rPr>
          <w:szCs w:val="22"/>
        </w:rPr>
        <w:t xml:space="preserve">Najvyšší priemerný počet </w:t>
      </w:r>
      <w:proofErr w:type="spellStart"/>
      <w:r w:rsidRPr="00AE6EDB">
        <w:rPr>
          <w:szCs w:val="22"/>
        </w:rPr>
        <w:t>UoZ</w:t>
      </w:r>
      <w:proofErr w:type="spellEnd"/>
      <w:r w:rsidRPr="00AE6EDB">
        <w:rPr>
          <w:szCs w:val="22"/>
        </w:rPr>
        <w:t xml:space="preserve"> žien v roku 2015 bol v skupine evidovaných nad 48 mesiacov, a to 4</w:t>
      </w:r>
      <w:r w:rsidR="0054295F">
        <w:rPr>
          <w:szCs w:val="22"/>
        </w:rPr>
        <w:t>0 7</w:t>
      </w:r>
      <w:r w:rsidRPr="00AE6EDB">
        <w:rPr>
          <w:szCs w:val="22"/>
        </w:rPr>
        <w:t>45 osôb (22,93</w:t>
      </w:r>
      <w:r w:rsidR="005676EF">
        <w:rPr>
          <w:szCs w:val="22"/>
        </w:rPr>
        <w:t> %</w:t>
      </w:r>
      <w:r w:rsidRPr="00AE6EDB">
        <w:rPr>
          <w:szCs w:val="22"/>
        </w:rPr>
        <w:t xml:space="preserve">). Druhý najvyšší počet </w:t>
      </w:r>
      <w:proofErr w:type="spellStart"/>
      <w:r w:rsidRPr="00AE6EDB">
        <w:rPr>
          <w:szCs w:val="22"/>
        </w:rPr>
        <w:t>UoZ</w:t>
      </w:r>
      <w:proofErr w:type="spellEnd"/>
      <w:r w:rsidRPr="00AE6EDB">
        <w:rPr>
          <w:szCs w:val="22"/>
        </w:rPr>
        <w:t xml:space="preserve"> žien bol dosiahnutý v skupine evidovaných </w:t>
      </w:r>
      <w:r w:rsidRPr="00AE6EDB">
        <w:rPr>
          <w:szCs w:val="22"/>
        </w:rPr>
        <w:br/>
        <w:t>do 3 mesiacov, a to 2</w:t>
      </w:r>
      <w:r w:rsidR="00AC44CB">
        <w:rPr>
          <w:szCs w:val="22"/>
        </w:rPr>
        <w:t>8 4</w:t>
      </w:r>
      <w:r w:rsidRPr="00AE6EDB">
        <w:rPr>
          <w:szCs w:val="22"/>
        </w:rPr>
        <w:t>61 osôb (16,02</w:t>
      </w:r>
      <w:r w:rsidR="005676EF">
        <w:rPr>
          <w:szCs w:val="22"/>
        </w:rPr>
        <w:t> %</w:t>
      </w:r>
      <w:r w:rsidRPr="00AE6EDB">
        <w:rPr>
          <w:szCs w:val="22"/>
        </w:rPr>
        <w:t>).</w:t>
      </w:r>
    </w:p>
    <w:p w:rsidR="002625B2" w:rsidRPr="00AE6EDB" w:rsidRDefault="002625B2" w:rsidP="002625B2">
      <w:pPr>
        <w:ind w:firstLine="431"/>
        <w:rPr>
          <w:szCs w:val="22"/>
          <w:highlight w:val="cyan"/>
        </w:rPr>
      </w:pPr>
      <w:r w:rsidRPr="00AE6EDB">
        <w:rPr>
          <w:b/>
          <w:szCs w:val="22"/>
        </w:rPr>
        <w:t xml:space="preserve">Priemerná dĺžka evidencie </w:t>
      </w:r>
      <w:proofErr w:type="spellStart"/>
      <w:r w:rsidRPr="00AE6EDB">
        <w:rPr>
          <w:szCs w:val="22"/>
        </w:rPr>
        <w:t>UoZ</w:t>
      </w:r>
      <w:proofErr w:type="spellEnd"/>
      <w:r w:rsidRPr="00AE6EDB">
        <w:rPr>
          <w:szCs w:val="22"/>
        </w:rPr>
        <w:t xml:space="preserve"> v roku 2015 v porovnaní s rokom 2014 (17,39 mesiacov) poklesla na 16,05 mesiaca.</w:t>
      </w:r>
      <w:r w:rsidRPr="00AE6EDB">
        <w:rPr>
          <w:szCs w:val="22"/>
          <w:highlight w:val="cyan"/>
        </w:rPr>
        <w:t xml:space="preserve"> </w:t>
      </w:r>
    </w:p>
    <w:p w:rsidR="002625B2" w:rsidRPr="00AE6EDB" w:rsidRDefault="002625B2" w:rsidP="002625B2">
      <w:pPr>
        <w:pStyle w:val="Nadpis7"/>
        <w:spacing w:before="120"/>
      </w:pPr>
      <w:r w:rsidRPr="00AE6EDB">
        <w:t>Tabuľka 2.1</w:t>
      </w:r>
      <w:r w:rsidR="004A57BA" w:rsidRPr="00AE6EDB">
        <w:t>2</w:t>
      </w:r>
      <w:r w:rsidRPr="00AE6EDB">
        <w:t xml:space="preserve"> Priemerný počet uchádzačov o zamestnanie podľa dĺžky evidencie v mesiacoch </w:t>
      </w:r>
      <w:r w:rsidRPr="00AE6EDB">
        <w:br/>
        <w:t>v roku 2015 podľa regiónov SR (v osobách)</w:t>
      </w:r>
    </w:p>
    <w:tbl>
      <w:tblPr>
        <w:tblStyle w:val="Mriekatabuky"/>
        <w:tblW w:w="966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45" w:type="dxa"/>
          <w:right w:w="45" w:type="dxa"/>
        </w:tblCellMar>
        <w:tblLook w:val="04A0" w:firstRow="1" w:lastRow="0" w:firstColumn="1" w:lastColumn="0" w:noHBand="0" w:noVBand="1"/>
      </w:tblPr>
      <w:tblGrid>
        <w:gridCol w:w="1361"/>
        <w:gridCol w:w="794"/>
        <w:gridCol w:w="709"/>
        <w:gridCol w:w="680"/>
        <w:gridCol w:w="680"/>
        <w:gridCol w:w="680"/>
        <w:gridCol w:w="680"/>
        <w:gridCol w:w="680"/>
        <w:gridCol w:w="680"/>
        <w:gridCol w:w="680"/>
        <w:gridCol w:w="680"/>
        <w:gridCol w:w="680"/>
        <w:gridCol w:w="680"/>
      </w:tblGrid>
      <w:tr w:rsidR="002625B2" w:rsidRPr="00AE6EDB" w:rsidTr="002625B2">
        <w:trPr>
          <w:trHeight w:val="725"/>
          <w:jc w:val="center"/>
        </w:trPr>
        <w:tc>
          <w:tcPr>
            <w:tcW w:w="1361"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Územie</w:t>
            </w:r>
          </w:p>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(kraje SR)</w:t>
            </w:r>
          </w:p>
        </w:tc>
        <w:tc>
          <w:tcPr>
            <w:tcW w:w="794"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spolu</w:t>
            </w:r>
          </w:p>
        </w:tc>
        <w:tc>
          <w:tcPr>
            <w:tcW w:w="709"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do 3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 xml:space="preserve">4-6 </w:t>
            </w:r>
            <w:r w:rsidRPr="00AE6EDB">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 xml:space="preserve">7-9 </w:t>
            </w:r>
            <w:r w:rsidRPr="00AE6EDB">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10-12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13-18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19-24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25-30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31-36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 xml:space="preserve">37-42 </w:t>
            </w:r>
            <w:r w:rsidRPr="00AE6EDB">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43-48 mes.</w:t>
            </w:r>
          </w:p>
        </w:tc>
        <w:tc>
          <w:tcPr>
            <w:tcW w:w="680" w:type="dxa"/>
            <w:shd w:val="clear" w:color="auto" w:fill="BF0000" w:themeFill="accent3" w:themeFillShade="BF"/>
            <w:vAlign w:val="center"/>
            <w:hideMark/>
          </w:tcPr>
          <w:p w:rsidR="002625B2" w:rsidRPr="00AE6EDB" w:rsidRDefault="002625B2" w:rsidP="002625B2">
            <w:pPr>
              <w:pStyle w:val="tabulka"/>
              <w:ind w:firstLine="0"/>
              <w:jc w:val="center"/>
              <w:rPr>
                <w:b/>
                <w:color w:val="FFFFFF" w:themeColor="background1"/>
                <w:spacing w:val="-20"/>
                <w:sz w:val="22"/>
                <w:lang w:eastAsia="en-US"/>
              </w:rPr>
            </w:pPr>
            <w:r w:rsidRPr="00AE6EDB">
              <w:rPr>
                <w:b/>
                <w:color w:val="FFFFFF" w:themeColor="background1"/>
                <w:spacing w:val="-20"/>
                <w:sz w:val="22"/>
                <w:lang w:eastAsia="en-US"/>
              </w:rPr>
              <w:t xml:space="preserve">nad 48 </w:t>
            </w:r>
            <w:r w:rsidRPr="00AE6EDB">
              <w:rPr>
                <w:b/>
                <w:color w:val="FFFFFF" w:themeColor="background1"/>
                <w:spacing w:val="-20"/>
                <w:sz w:val="22"/>
                <w:lang w:eastAsia="en-US"/>
              </w:rPr>
              <w:br/>
              <w:t>mes.</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Bratislavský</w:t>
            </w:r>
          </w:p>
        </w:tc>
        <w:tc>
          <w:tcPr>
            <w:tcW w:w="794" w:type="dxa"/>
            <w:hideMark/>
          </w:tcPr>
          <w:p w:rsidR="002625B2" w:rsidRPr="00AE6EDB" w:rsidRDefault="002625B2" w:rsidP="002625B2">
            <w:pPr>
              <w:ind w:firstLine="0"/>
              <w:jc w:val="right"/>
              <w:rPr>
                <w:spacing w:val="-10"/>
              </w:rPr>
            </w:pPr>
            <w:r w:rsidRPr="00AE6EDB">
              <w:rPr>
                <w:spacing w:val="-10"/>
              </w:rPr>
              <w:t>2</w:t>
            </w:r>
            <w:r w:rsidR="0054295F">
              <w:rPr>
                <w:spacing w:val="-10"/>
              </w:rPr>
              <w:t>0 8</w:t>
            </w:r>
            <w:r w:rsidRPr="00AE6EDB">
              <w:rPr>
                <w:spacing w:val="-10"/>
              </w:rPr>
              <w:t>53</w:t>
            </w:r>
          </w:p>
        </w:tc>
        <w:tc>
          <w:tcPr>
            <w:tcW w:w="709" w:type="dxa"/>
            <w:hideMark/>
          </w:tcPr>
          <w:p w:rsidR="002625B2" w:rsidRPr="00AE6EDB" w:rsidRDefault="00AC44CB" w:rsidP="002625B2">
            <w:pPr>
              <w:ind w:firstLine="0"/>
              <w:jc w:val="right"/>
              <w:rPr>
                <w:spacing w:val="-10"/>
              </w:rPr>
            </w:pPr>
            <w:r>
              <w:rPr>
                <w:spacing w:val="-10"/>
              </w:rPr>
              <w:t>4 9</w:t>
            </w:r>
            <w:r w:rsidR="002625B2" w:rsidRPr="00AE6EDB">
              <w:rPr>
                <w:spacing w:val="-10"/>
              </w:rPr>
              <w:t>12</w:t>
            </w:r>
          </w:p>
        </w:tc>
        <w:tc>
          <w:tcPr>
            <w:tcW w:w="680" w:type="dxa"/>
            <w:hideMark/>
          </w:tcPr>
          <w:p w:rsidR="002625B2" w:rsidRPr="00AE6EDB" w:rsidRDefault="0054295F" w:rsidP="002625B2">
            <w:pPr>
              <w:ind w:firstLine="0"/>
              <w:jc w:val="right"/>
              <w:rPr>
                <w:spacing w:val="-10"/>
              </w:rPr>
            </w:pPr>
            <w:r>
              <w:rPr>
                <w:spacing w:val="-10"/>
              </w:rPr>
              <w:t>4 0</w:t>
            </w:r>
            <w:r w:rsidR="002625B2" w:rsidRPr="00AE6EDB">
              <w:rPr>
                <w:spacing w:val="-10"/>
              </w:rPr>
              <w:t>52</w:t>
            </w:r>
          </w:p>
        </w:tc>
        <w:tc>
          <w:tcPr>
            <w:tcW w:w="680" w:type="dxa"/>
            <w:hideMark/>
          </w:tcPr>
          <w:p w:rsidR="002625B2" w:rsidRPr="00AE6EDB" w:rsidRDefault="0054295F" w:rsidP="002625B2">
            <w:pPr>
              <w:ind w:firstLine="0"/>
              <w:jc w:val="right"/>
              <w:rPr>
                <w:spacing w:val="-10"/>
              </w:rPr>
            </w:pPr>
            <w:r>
              <w:rPr>
                <w:spacing w:val="-10"/>
              </w:rPr>
              <w:t>2 5</w:t>
            </w:r>
            <w:r w:rsidR="002625B2" w:rsidRPr="00AE6EDB">
              <w:rPr>
                <w:spacing w:val="-10"/>
              </w:rPr>
              <w:t>35</w:t>
            </w:r>
          </w:p>
        </w:tc>
        <w:tc>
          <w:tcPr>
            <w:tcW w:w="680" w:type="dxa"/>
            <w:hideMark/>
          </w:tcPr>
          <w:p w:rsidR="002625B2" w:rsidRPr="00AE6EDB" w:rsidRDefault="0054295F" w:rsidP="002625B2">
            <w:pPr>
              <w:ind w:firstLine="0"/>
              <w:jc w:val="right"/>
              <w:rPr>
                <w:spacing w:val="-10"/>
              </w:rPr>
            </w:pPr>
            <w:r>
              <w:rPr>
                <w:spacing w:val="-10"/>
              </w:rPr>
              <w:t>1 6</w:t>
            </w:r>
            <w:r w:rsidR="002625B2" w:rsidRPr="00AE6EDB">
              <w:rPr>
                <w:spacing w:val="-10"/>
              </w:rPr>
              <w:t>91</w:t>
            </w:r>
          </w:p>
        </w:tc>
        <w:tc>
          <w:tcPr>
            <w:tcW w:w="680" w:type="dxa"/>
            <w:hideMark/>
          </w:tcPr>
          <w:p w:rsidR="002625B2" w:rsidRPr="00AE6EDB" w:rsidRDefault="0054295F" w:rsidP="002625B2">
            <w:pPr>
              <w:ind w:firstLine="0"/>
              <w:jc w:val="right"/>
              <w:rPr>
                <w:spacing w:val="-10"/>
              </w:rPr>
            </w:pPr>
            <w:r>
              <w:rPr>
                <w:spacing w:val="-10"/>
              </w:rPr>
              <w:t>2 0</w:t>
            </w:r>
            <w:r w:rsidR="002625B2" w:rsidRPr="00AE6EDB">
              <w:rPr>
                <w:spacing w:val="-10"/>
              </w:rPr>
              <w:t>85</w:t>
            </w:r>
          </w:p>
        </w:tc>
        <w:tc>
          <w:tcPr>
            <w:tcW w:w="680" w:type="dxa"/>
            <w:hideMark/>
          </w:tcPr>
          <w:p w:rsidR="002625B2" w:rsidRPr="00AE6EDB" w:rsidRDefault="0054295F" w:rsidP="002625B2">
            <w:pPr>
              <w:ind w:firstLine="0"/>
              <w:jc w:val="right"/>
              <w:rPr>
                <w:spacing w:val="-10"/>
              </w:rPr>
            </w:pPr>
            <w:r>
              <w:rPr>
                <w:spacing w:val="-10"/>
              </w:rPr>
              <w:t>1 4</w:t>
            </w:r>
            <w:r w:rsidR="002625B2" w:rsidRPr="00AE6EDB">
              <w:rPr>
                <w:spacing w:val="-10"/>
              </w:rPr>
              <w:t>33</w:t>
            </w:r>
          </w:p>
        </w:tc>
        <w:tc>
          <w:tcPr>
            <w:tcW w:w="680" w:type="dxa"/>
            <w:hideMark/>
          </w:tcPr>
          <w:p w:rsidR="002625B2" w:rsidRPr="00AE6EDB" w:rsidRDefault="0054295F" w:rsidP="002625B2">
            <w:pPr>
              <w:ind w:firstLine="0"/>
              <w:jc w:val="right"/>
              <w:rPr>
                <w:spacing w:val="-10"/>
              </w:rPr>
            </w:pPr>
            <w:r>
              <w:rPr>
                <w:spacing w:val="-10"/>
              </w:rPr>
              <w:t>1 0</w:t>
            </w:r>
            <w:r w:rsidR="002625B2" w:rsidRPr="00AE6EDB">
              <w:rPr>
                <w:spacing w:val="-10"/>
              </w:rPr>
              <w:t>33</w:t>
            </w:r>
          </w:p>
        </w:tc>
        <w:tc>
          <w:tcPr>
            <w:tcW w:w="680" w:type="dxa"/>
            <w:hideMark/>
          </w:tcPr>
          <w:p w:rsidR="002625B2" w:rsidRPr="00AE6EDB" w:rsidRDefault="002625B2" w:rsidP="002625B2">
            <w:pPr>
              <w:ind w:firstLine="0"/>
              <w:jc w:val="right"/>
              <w:rPr>
                <w:spacing w:val="-10"/>
              </w:rPr>
            </w:pPr>
            <w:r w:rsidRPr="00AE6EDB">
              <w:rPr>
                <w:spacing w:val="-10"/>
              </w:rPr>
              <w:t>792</w:t>
            </w:r>
          </w:p>
        </w:tc>
        <w:tc>
          <w:tcPr>
            <w:tcW w:w="680" w:type="dxa"/>
            <w:hideMark/>
          </w:tcPr>
          <w:p w:rsidR="002625B2" w:rsidRPr="00AE6EDB" w:rsidRDefault="002625B2" w:rsidP="002625B2">
            <w:pPr>
              <w:ind w:firstLine="0"/>
              <w:jc w:val="right"/>
              <w:rPr>
                <w:spacing w:val="-10"/>
              </w:rPr>
            </w:pPr>
            <w:r w:rsidRPr="00AE6EDB">
              <w:rPr>
                <w:spacing w:val="-10"/>
              </w:rPr>
              <w:t>577</w:t>
            </w:r>
          </w:p>
        </w:tc>
        <w:tc>
          <w:tcPr>
            <w:tcW w:w="680" w:type="dxa"/>
            <w:hideMark/>
          </w:tcPr>
          <w:p w:rsidR="002625B2" w:rsidRPr="00AE6EDB" w:rsidRDefault="002625B2" w:rsidP="002625B2">
            <w:pPr>
              <w:ind w:firstLine="0"/>
              <w:jc w:val="right"/>
              <w:rPr>
                <w:spacing w:val="-10"/>
              </w:rPr>
            </w:pPr>
            <w:r w:rsidRPr="00AE6EDB">
              <w:rPr>
                <w:spacing w:val="-10"/>
              </w:rPr>
              <w:t>455</w:t>
            </w:r>
          </w:p>
        </w:tc>
        <w:tc>
          <w:tcPr>
            <w:tcW w:w="680" w:type="dxa"/>
            <w:hideMark/>
          </w:tcPr>
          <w:p w:rsidR="002625B2" w:rsidRPr="00AE6EDB" w:rsidRDefault="0054295F" w:rsidP="002625B2">
            <w:pPr>
              <w:ind w:firstLine="0"/>
              <w:jc w:val="right"/>
              <w:rPr>
                <w:spacing w:val="-10"/>
              </w:rPr>
            </w:pPr>
            <w:r>
              <w:rPr>
                <w:spacing w:val="-10"/>
              </w:rPr>
              <w:t>1 2</w:t>
            </w:r>
            <w:r w:rsidR="002625B2" w:rsidRPr="00AE6EDB">
              <w:rPr>
                <w:spacing w:val="-10"/>
              </w:rPr>
              <w:t>88</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Trnavský</w:t>
            </w:r>
          </w:p>
        </w:tc>
        <w:tc>
          <w:tcPr>
            <w:tcW w:w="794" w:type="dxa"/>
            <w:hideMark/>
          </w:tcPr>
          <w:p w:rsidR="002625B2" w:rsidRPr="00AE6EDB" w:rsidRDefault="002625B2" w:rsidP="002625B2">
            <w:pPr>
              <w:ind w:firstLine="0"/>
              <w:jc w:val="right"/>
              <w:rPr>
                <w:spacing w:val="-10"/>
              </w:rPr>
            </w:pPr>
            <w:r w:rsidRPr="00AE6EDB">
              <w:rPr>
                <w:spacing w:val="-10"/>
              </w:rPr>
              <w:t>2</w:t>
            </w:r>
            <w:r w:rsidR="0054295F">
              <w:rPr>
                <w:spacing w:val="-10"/>
              </w:rPr>
              <w:t>4 1</w:t>
            </w:r>
            <w:r w:rsidRPr="00AE6EDB">
              <w:rPr>
                <w:spacing w:val="-10"/>
              </w:rPr>
              <w:t>30</w:t>
            </w:r>
          </w:p>
        </w:tc>
        <w:tc>
          <w:tcPr>
            <w:tcW w:w="709" w:type="dxa"/>
            <w:hideMark/>
          </w:tcPr>
          <w:p w:rsidR="002625B2" w:rsidRPr="00AE6EDB" w:rsidRDefault="00AC44CB" w:rsidP="002625B2">
            <w:pPr>
              <w:ind w:firstLine="0"/>
              <w:jc w:val="right"/>
              <w:rPr>
                <w:spacing w:val="-10"/>
              </w:rPr>
            </w:pPr>
            <w:r>
              <w:rPr>
                <w:spacing w:val="-10"/>
              </w:rPr>
              <w:t>5 6</w:t>
            </w:r>
            <w:r w:rsidR="002625B2" w:rsidRPr="00AE6EDB">
              <w:rPr>
                <w:spacing w:val="-10"/>
              </w:rPr>
              <w:t>79</w:t>
            </w:r>
          </w:p>
        </w:tc>
        <w:tc>
          <w:tcPr>
            <w:tcW w:w="680" w:type="dxa"/>
            <w:hideMark/>
          </w:tcPr>
          <w:p w:rsidR="002625B2" w:rsidRPr="00AE6EDB" w:rsidRDefault="0054295F" w:rsidP="002625B2">
            <w:pPr>
              <w:ind w:firstLine="0"/>
              <w:jc w:val="right"/>
              <w:rPr>
                <w:spacing w:val="-10"/>
              </w:rPr>
            </w:pPr>
            <w:r>
              <w:rPr>
                <w:spacing w:val="-10"/>
              </w:rPr>
              <w:t>4 3</w:t>
            </w:r>
            <w:r w:rsidR="002625B2" w:rsidRPr="00AE6EDB">
              <w:rPr>
                <w:spacing w:val="-10"/>
              </w:rPr>
              <w:t>86</w:t>
            </w:r>
          </w:p>
        </w:tc>
        <w:tc>
          <w:tcPr>
            <w:tcW w:w="680" w:type="dxa"/>
            <w:hideMark/>
          </w:tcPr>
          <w:p w:rsidR="002625B2" w:rsidRPr="00AE6EDB" w:rsidRDefault="0054295F" w:rsidP="002625B2">
            <w:pPr>
              <w:ind w:firstLine="0"/>
              <w:jc w:val="right"/>
              <w:rPr>
                <w:spacing w:val="-10"/>
              </w:rPr>
            </w:pPr>
            <w:r>
              <w:rPr>
                <w:spacing w:val="-10"/>
              </w:rPr>
              <w:t>2 7</w:t>
            </w:r>
            <w:r w:rsidR="002625B2" w:rsidRPr="00AE6EDB">
              <w:rPr>
                <w:spacing w:val="-10"/>
              </w:rPr>
              <w:t>63</w:t>
            </w:r>
          </w:p>
        </w:tc>
        <w:tc>
          <w:tcPr>
            <w:tcW w:w="680" w:type="dxa"/>
            <w:hideMark/>
          </w:tcPr>
          <w:p w:rsidR="002625B2" w:rsidRPr="00AE6EDB" w:rsidRDefault="0054295F" w:rsidP="002625B2">
            <w:pPr>
              <w:ind w:firstLine="0"/>
              <w:jc w:val="right"/>
              <w:rPr>
                <w:spacing w:val="-10"/>
              </w:rPr>
            </w:pPr>
            <w:r>
              <w:rPr>
                <w:spacing w:val="-10"/>
              </w:rPr>
              <w:t>1 8</w:t>
            </w:r>
            <w:r w:rsidR="002625B2" w:rsidRPr="00AE6EDB">
              <w:rPr>
                <w:spacing w:val="-10"/>
              </w:rPr>
              <w:t>73</w:t>
            </w:r>
          </w:p>
        </w:tc>
        <w:tc>
          <w:tcPr>
            <w:tcW w:w="680" w:type="dxa"/>
            <w:hideMark/>
          </w:tcPr>
          <w:p w:rsidR="002625B2" w:rsidRPr="00AE6EDB" w:rsidRDefault="0054295F" w:rsidP="002625B2">
            <w:pPr>
              <w:ind w:firstLine="0"/>
              <w:jc w:val="right"/>
              <w:rPr>
                <w:spacing w:val="-10"/>
              </w:rPr>
            </w:pPr>
            <w:r>
              <w:rPr>
                <w:spacing w:val="-10"/>
              </w:rPr>
              <w:t>2 3</w:t>
            </w:r>
            <w:r w:rsidR="002625B2" w:rsidRPr="00AE6EDB">
              <w:rPr>
                <w:spacing w:val="-10"/>
              </w:rPr>
              <w:t>07</w:t>
            </w:r>
          </w:p>
        </w:tc>
        <w:tc>
          <w:tcPr>
            <w:tcW w:w="680" w:type="dxa"/>
            <w:hideMark/>
          </w:tcPr>
          <w:p w:rsidR="002625B2" w:rsidRPr="00AE6EDB" w:rsidRDefault="0054295F" w:rsidP="002625B2">
            <w:pPr>
              <w:ind w:firstLine="0"/>
              <w:jc w:val="right"/>
              <w:rPr>
                <w:spacing w:val="-10"/>
              </w:rPr>
            </w:pPr>
            <w:r>
              <w:rPr>
                <w:spacing w:val="-10"/>
              </w:rPr>
              <w:t>1 5</w:t>
            </w:r>
            <w:r w:rsidR="002625B2" w:rsidRPr="00AE6EDB">
              <w:rPr>
                <w:spacing w:val="-10"/>
              </w:rPr>
              <w:t>51</w:t>
            </w:r>
          </w:p>
        </w:tc>
        <w:tc>
          <w:tcPr>
            <w:tcW w:w="680" w:type="dxa"/>
            <w:hideMark/>
          </w:tcPr>
          <w:p w:rsidR="002625B2" w:rsidRPr="00AE6EDB" w:rsidRDefault="0054295F" w:rsidP="002625B2">
            <w:pPr>
              <w:ind w:firstLine="0"/>
              <w:jc w:val="right"/>
              <w:rPr>
                <w:spacing w:val="-10"/>
              </w:rPr>
            </w:pPr>
            <w:r>
              <w:rPr>
                <w:spacing w:val="-10"/>
              </w:rPr>
              <w:t>1 1</w:t>
            </w:r>
            <w:r w:rsidR="002625B2" w:rsidRPr="00AE6EDB">
              <w:rPr>
                <w:spacing w:val="-10"/>
              </w:rPr>
              <w:t>13</w:t>
            </w:r>
          </w:p>
        </w:tc>
        <w:tc>
          <w:tcPr>
            <w:tcW w:w="680" w:type="dxa"/>
            <w:hideMark/>
          </w:tcPr>
          <w:p w:rsidR="002625B2" w:rsidRPr="00AE6EDB" w:rsidRDefault="002625B2" w:rsidP="002625B2">
            <w:pPr>
              <w:ind w:firstLine="0"/>
              <w:jc w:val="right"/>
              <w:rPr>
                <w:spacing w:val="-10"/>
              </w:rPr>
            </w:pPr>
            <w:r w:rsidRPr="00AE6EDB">
              <w:rPr>
                <w:spacing w:val="-10"/>
              </w:rPr>
              <w:t>894</w:t>
            </w:r>
          </w:p>
        </w:tc>
        <w:tc>
          <w:tcPr>
            <w:tcW w:w="680" w:type="dxa"/>
            <w:hideMark/>
          </w:tcPr>
          <w:p w:rsidR="002625B2" w:rsidRPr="00AE6EDB" w:rsidRDefault="002625B2" w:rsidP="002625B2">
            <w:pPr>
              <w:ind w:firstLine="0"/>
              <w:jc w:val="right"/>
              <w:rPr>
                <w:spacing w:val="-10"/>
              </w:rPr>
            </w:pPr>
            <w:r w:rsidRPr="00AE6EDB">
              <w:rPr>
                <w:spacing w:val="-10"/>
              </w:rPr>
              <w:t>690</w:t>
            </w:r>
          </w:p>
        </w:tc>
        <w:tc>
          <w:tcPr>
            <w:tcW w:w="680" w:type="dxa"/>
            <w:hideMark/>
          </w:tcPr>
          <w:p w:rsidR="002625B2" w:rsidRPr="00AE6EDB" w:rsidRDefault="002625B2" w:rsidP="002625B2">
            <w:pPr>
              <w:ind w:firstLine="0"/>
              <w:jc w:val="right"/>
              <w:rPr>
                <w:spacing w:val="-10"/>
              </w:rPr>
            </w:pPr>
            <w:r w:rsidRPr="00AE6EDB">
              <w:rPr>
                <w:spacing w:val="-10"/>
              </w:rPr>
              <w:t>559</w:t>
            </w:r>
          </w:p>
        </w:tc>
        <w:tc>
          <w:tcPr>
            <w:tcW w:w="680" w:type="dxa"/>
            <w:hideMark/>
          </w:tcPr>
          <w:p w:rsidR="002625B2" w:rsidRPr="00AE6EDB" w:rsidRDefault="0054295F" w:rsidP="002625B2">
            <w:pPr>
              <w:ind w:firstLine="0"/>
              <w:jc w:val="right"/>
              <w:rPr>
                <w:spacing w:val="-10"/>
              </w:rPr>
            </w:pPr>
            <w:r>
              <w:rPr>
                <w:spacing w:val="-10"/>
              </w:rPr>
              <w:t>2 3</w:t>
            </w:r>
            <w:r w:rsidR="002625B2" w:rsidRPr="00AE6EDB">
              <w:rPr>
                <w:spacing w:val="-10"/>
              </w:rPr>
              <w:t>16</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Trenčiansky</w:t>
            </w:r>
          </w:p>
        </w:tc>
        <w:tc>
          <w:tcPr>
            <w:tcW w:w="794" w:type="dxa"/>
            <w:hideMark/>
          </w:tcPr>
          <w:p w:rsidR="002625B2" w:rsidRPr="00AE6EDB" w:rsidRDefault="002625B2" w:rsidP="002625B2">
            <w:pPr>
              <w:ind w:firstLine="0"/>
              <w:jc w:val="right"/>
              <w:rPr>
                <w:spacing w:val="-10"/>
              </w:rPr>
            </w:pPr>
            <w:r w:rsidRPr="00AE6EDB">
              <w:rPr>
                <w:spacing w:val="-10"/>
              </w:rPr>
              <w:t>2</w:t>
            </w:r>
            <w:r w:rsidR="00AC44CB">
              <w:rPr>
                <w:spacing w:val="-10"/>
              </w:rPr>
              <w:t>8 9</w:t>
            </w:r>
            <w:r w:rsidRPr="00AE6EDB">
              <w:rPr>
                <w:spacing w:val="-10"/>
              </w:rPr>
              <w:t>01</w:t>
            </w:r>
          </w:p>
        </w:tc>
        <w:tc>
          <w:tcPr>
            <w:tcW w:w="709" w:type="dxa"/>
            <w:hideMark/>
          </w:tcPr>
          <w:p w:rsidR="002625B2" w:rsidRPr="00AE6EDB" w:rsidRDefault="00AC44CB" w:rsidP="002625B2">
            <w:pPr>
              <w:ind w:firstLine="0"/>
              <w:jc w:val="right"/>
              <w:rPr>
                <w:spacing w:val="-10"/>
              </w:rPr>
            </w:pPr>
            <w:r>
              <w:rPr>
                <w:spacing w:val="-10"/>
              </w:rPr>
              <w:t>6 1</w:t>
            </w:r>
            <w:r w:rsidR="002625B2" w:rsidRPr="00AE6EDB">
              <w:rPr>
                <w:spacing w:val="-10"/>
              </w:rPr>
              <w:t>47</w:t>
            </w:r>
          </w:p>
        </w:tc>
        <w:tc>
          <w:tcPr>
            <w:tcW w:w="680" w:type="dxa"/>
            <w:hideMark/>
          </w:tcPr>
          <w:p w:rsidR="002625B2" w:rsidRPr="00AE6EDB" w:rsidRDefault="0054295F" w:rsidP="002625B2">
            <w:pPr>
              <w:ind w:firstLine="0"/>
              <w:jc w:val="right"/>
              <w:rPr>
                <w:spacing w:val="-10"/>
              </w:rPr>
            </w:pPr>
            <w:r>
              <w:rPr>
                <w:spacing w:val="-10"/>
              </w:rPr>
              <w:t>4 6</w:t>
            </w:r>
            <w:r w:rsidR="002625B2" w:rsidRPr="00AE6EDB">
              <w:rPr>
                <w:spacing w:val="-10"/>
              </w:rPr>
              <w:t>31</w:t>
            </w:r>
          </w:p>
        </w:tc>
        <w:tc>
          <w:tcPr>
            <w:tcW w:w="680" w:type="dxa"/>
            <w:hideMark/>
          </w:tcPr>
          <w:p w:rsidR="002625B2" w:rsidRPr="00AE6EDB" w:rsidRDefault="0054295F" w:rsidP="002625B2">
            <w:pPr>
              <w:ind w:firstLine="0"/>
              <w:jc w:val="right"/>
              <w:rPr>
                <w:spacing w:val="-10"/>
              </w:rPr>
            </w:pPr>
            <w:r>
              <w:rPr>
                <w:spacing w:val="-10"/>
              </w:rPr>
              <w:t>2 9</w:t>
            </w:r>
            <w:r w:rsidR="002625B2" w:rsidRPr="00AE6EDB">
              <w:rPr>
                <w:spacing w:val="-10"/>
              </w:rPr>
              <w:t>60</w:t>
            </w:r>
          </w:p>
        </w:tc>
        <w:tc>
          <w:tcPr>
            <w:tcW w:w="680" w:type="dxa"/>
            <w:hideMark/>
          </w:tcPr>
          <w:p w:rsidR="002625B2" w:rsidRPr="00AE6EDB" w:rsidRDefault="0054295F" w:rsidP="002625B2">
            <w:pPr>
              <w:ind w:firstLine="0"/>
              <w:jc w:val="right"/>
              <w:rPr>
                <w:spacing w:val="-10"/>
              </w:rPr>
            </w:pPr>
            <w:r>
              <w:rPr>
                <w:spacing w:val="-10"/>
              </w:rPr>
              <w:t>2 0</w:t>
            </w:r>
            <w:r w:rsidR="002625B2" w:rsidRPr="00AE6EDB">
              <w:rPr>
                <w:spacing w:val="-10"/>
              </w:rPr>
              <w:t>53</w:t>
            </w:r>
          </w:p>
        </w:tc>
        <w:tc>
          <w:tcPr>
            <w:tcW w:w="680" w:type="dxa"/>
            <w:hideMark/>
          </w:tcPr>
          <w:p w:rsidR="002625B2" w:rsidRPr="00AE6EDB" w:rsidRDefault="0054295F" w:rsidP="002625B2">
            <w:pPr>
              <w:ind w:firstLine="0"/>
              <w:jc w:val="right"/>
              <w:rPr>
                <w:spacing w:val="-10"/>
              </w:rPr>
            </w:pPr>
            <w:r>
              <w:rPr>
                <w:spacing w:val="-10"/>
              </w:rPr>
              <w:t>2 6</w:t>
            </w:r>
            <w:r w:rsidR="002625B2" w:rsidRPr="00AE6EDB">
              <w:rPr>
                <w:spacing w:val="-10"/>
              </w:rPr>
              <w:t>61</w:t>
            </w:r>
          </w:p>
        </w:tc>
        <w:tc>
          <w:tcPr>
            <w:tcW w:w="680" w:type="dxa"/>
            <w:hideMark/>
          </w:tcPr>
          <w:p w:rsidR="002625B2" w:rsidRPr="00AE6EDB" w:rsidRDefault="0054295F" w:rsidP="002625B2">
            <w:pPr>
              <w:ind w:firstLine="0"/>
              <w:jc w:val="right"/>
              <w:rPr>
                <w:spacing w:val="-10"/>
              </w:rPr>
            </w:pPr>
            <w:r>
              <w:rPr>
                <w:spacing w:val="-10"/>
              </w:rPr>
              <w:t>1 9</w:t>
            </w:r>
            <w:r w:rsidR="002625B2" w:rsidRPr="00AE6EDB">
              <w:rPr>
                <w:spacing w:val="-10"/>
              </w:rPr>
              <w:t>59</w:t>
            </w:r>
          </w:p>
        </w:tc>
        <w:tc>
          <w:tcPr>
            <w:tcW w:w="680" w:type="dxa"/>
            <w:hideMark/>
          </w:tcPr>
          <w:p w:rsidR="002625B2" w:rsidRPr="00AE6EDB" w:rsidRDefault="0054295F" w:rsidP="002625B2">
            <w:pPr>
              <w:ind w:firstLine="0"/>
              <w:jc w:val="right"/>
              <w:rPr>
                <w:spacing w:val="-10"/>
              </w:rPr>
            </w:pPr>
            <w:r>
              <w:rPr>
                <w:spacing w:val="-10"/>
              </w:rPr>
              <w:t>1 5</w:t>
            </w:r>
            <w:r w:rsidR="002625B2" w:rsidRPr="00AE6EDB">
              <w:rPr>
                <w:spacing w:val="-10"/>
              </w:rPr>
              <w:t>29</w:t>
            </w:r>
          </w:p>
        </w:tc>
        <w:tc>
          <w:tcPr>
            <w:tcW w:w="680" w:type="dxa"/>
            <w:hideMark/>
          </w:tcPr>
          <w:p w:rsidR="002625B2" w:rsidRPr="00AE6EDB" w:rsidRDefault="0054295F" w:rsidP="002625B2">
            <w:pPr>
              <w:ind w:firstLine="0"/>
              <w:jc w:val="right"/>
              <w:rPr>
                <w:spacing w:val="-10"/>
              </w:rPr>
            </w:pPr>
            <w:r>
              <w:rPr>
                <w:spacing w:val="-10"/>
              </w:rPr>
              <w:t>1 2</w:t>
            </w:r>
            <w:r w:rsidR="002625B2" w:rsidRPr="00AE6EDB">
              <w:rPr>
                <w:spacing w:val="-10"/>
              </w:rPr>
              <w:t>67</w:t>
            </w:r>
          </w:p>
        </w:tc>
        <w:tc>
          <w:tcPr>
            <w:tcW w:w="680" w:type="dxa"/>
            <w:hideMark/>
          </w:tcPr>
          <w:p w:rsidR="002625B2" w:rsidRPr="00AE6EDB" w:rsidRDefault="0054295F" w:rsidP="002625B2">
            <w:pPr>
              <w:ind w:firstLine="0"/>
              <w:jc w:val="right"/>
              <w:rPr>
                <w:spacing w:val="-10"/>
              </w:rPr>
            </w:pPr>
            <w:r>
              <w:rPr>
                <w:spacing w:val="-10"/>
              </w:rPr>
              <w:t>1 0</w:t>
            </w:r>
            <w:r w:rsidR="002625B2" w:rsidRPr="00AE6EDB">
              <w:rPr>
                <w:spacing w:val="-10"/>
              </w:rPr>
              <w:t>15</w:t>
            </w:r>
          </w:p>
        </w:tc>
        <w:tc>
          <w:tcPr>
            <w:tcW w:w="680" w:type="dxa"/>
            <w:hideMark/>
          </w:tcPr>
          <w:p w:rsidR="002625B2" w:rsidRPr="00AE6EDB" w:rsidRDefault="002625B2" w:rsidP="002625B2">
            <w:pPr>
              <w:ind w:firstLine="0"/>
              <w:jc w:val="right"/>
              <w:rPr>
                <w:spacing w:val="-10"/>
              </w:rPr>
            </w:pPr>
            <w:r w:rsidRPr="00AE6EDB">
              <w:rPr>
                <w:spacing w:val="-10"/>
              </w:rPr>
              <w:t>825</w:t>
            </w:r>
          </w:p>
        </w:tc>
        <w:tc>
          <w:tcPr>
            <w:tcW w:w="680" w:type="dxa"/>
            <w:hideMark/>
          </w:tcPr>
          <w:p w:rsidR="002625B2" w:rsidRPr="00AE6EDB" w:rsidRDefault="0054295F" w:rsidP="002625B2">
            <w:pPr>
              <w:ind w:firstLine="0"/>
              <w:jc w:val="right"/>
              <w:rPr>
                <w:spacing w:val="-10"/>
              </w:rPr>
            </w:pPr>
            <w:r>
              <w:rPr>
                <w:spacing w:val="-10"/>
              </w:rPr>
              <w:t>3 8</w:t>
            </w:r>
            <w:r w:rsidR="002625B2" w:rsidRPr="00AE6EDB">
              <w:rPr>
                <w:spacing w:val="-10"/>
              </w:rPr>
              <w:t>54</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Nitriansky</w:t>
            </w:r>
          </w:p>
        </w:tc>
        <w:tc>
          <w:tcPr>
            <w:tcW w:w="794" w:type="dxa"/>
            <w:hideMark/>
          </w:tcPr>
          <w:p w:rsidR="002625B2" w:rsidRPr="00AE6EDB" w:rsidRDefault="002625B2" w:rsidP="002625B2">
            <w:pPr>
              <w:ind w:firstLine="0"/>
              <w:jc w:val="right"/>
              <w:rPr>
                <w:spacing w:val="-10"/>
              </w:rPr>
            </w:pPr>
            <w:r w:rsidRPr="00AE6EDB">
              <w:rPr>
                <w:spacing w:val="-10"/>
              </w:rPr>
              <w:t>4</w:t>
            </w:r>
            <w:r w:rsidR="0054295F">
              <w:rPr>
                <w:spacing w:val="-10"/>
              </w:rPr>
              <w:t>1 6</w:t>
            </w:r>
            <w:r w:rsidRPr="00AE6EDB">
              <w:rPr>
                <w:spacing w:val="-10"/>
              </w:rPr>
              <w:t>67</w:t>
            </w:r>
          </w:p>
        </w:tc>
        <w:tc>
          <w:tcPr>
            <w:tcW w:w="709" w:type="dxa"/>
            <w:hideMark/>
          </w:tcPr>
          <w:p w:rsidR="002625B2" w:rsidRPr="00AE6EDB" w:rsidRDefault="00AC44CB" w:rsidP="002625B2">
            <w:pPr>
              <w:ind w:firstLine="0"/>
              <w:jc w:val="right"/>
              <w:rPr>
                <w:spacing w:val="-10"/>
              </w:rPr>
            </w:pPr>
            <w:r>
              <w:rPr>
                <w:spacing w:val="-10"/>
              </w:rPr>
              <w:t>7 2</w:t>
            </w:r>
            <w:r w:rsidR="002625B2" w:rsidRPr="00AE6EDB">
              <w:rPr>
                <w:spacing w:val="-10"/>
              </w:rPr>
              <w:t>39</w:t>
            </w:r>
          </w:p>
        </w:tc>
        <w:tc>
          <w:tcPr>
            <w:tcW w:w="680" w:type="dxa"/>
            <w:hideMark/>
          </w:tcPr>
          <w:p w:rsidR="002625B2" w:rsidRPr="00AE6EDB" w:rsidRDefault="00AC44CB" w:rsidP="002625B2">
            <w:pPr>
              <w:ind w:firstLine="0"/>
              <w:jc w:val="right"/>
              <w:rPr>
                <w:spacing w:val="-10"/>
              </w:rPr>
            </w:pPr>
            <w:r>
              <w:rPr>
                <w:spacing w:val="-10"/>
              </w:rPr>
              <w:t>6 3</w:t>
            </w:r>
            <w:r w:rsidR="002625B2" w:rsidRPr="00AE6EDB">
              <w:rPr>
                <w:spacing w:val="-10"/>
              </w:rPr>
              <w:t>37</w:t>
            </w:r>
          </w:p>
        </w:tc>
        <w:tc>
          <w:tcPr>
            <w:tcW w:w="680" w:type="dxa"/>
            <w:hideMark/>
          </w:tcPr>
          <w:p w:rsidR="002625B2" w:rsidRPr="00AE6EDB" w:rsidRDefault="0054295F" w:rsidP="002625B2">
            <w:pPr>
              <w:ind w:firstLine="0"/>
              <w:jc w:val="right"/>
              <w:rPr>
                <w:spacing w:val="-10"/>
              </w:rPr>
            </w:pPr>
            <w:r>
              <w:rPr>
                <w:spacing w:val="-10"/>
              </w:rPr>
              <w:t>4 1</w:t>
            </w:r>
            <w:r w:rsidR="002625B2" w:rsidRPr="00AE6EDB">
              <w:rPr>
                <w:spacing w:val="-10"/>
              </w:rPr>
              <w:t>98</w:t>
            </w:r>
          </w:p>
        </w:tc>
        <w:tc>
          <w:tcPr>
            <w:tcW w:w="680" w:type="dxa"/>
            <w:hideMark/>
          </w:tcPr>
          <w:p w:rsidR="002625B2" w:rsidRPr="00AE6EDB" w:rsidRDefault="0054295F" w:rsidP="002625B2">
            <w:pPr>
              <w:ind w:firstLine="0"/>
              <w:jc w:val="right"/>
              <w:rPr>
                <w:spacing w:val="-10"/>
              </w:rPr>
            </w:pPr>
            <w:r>
              <w:rPr>
                <w:spacing w:val="-10"/>
              </w:rPr>
              <w:t>3 0</w:t>
            </w:r>
            <w:r w:rsidR="002625B2" w:rsidRPr="00AE6EDB">
              <w:rPr>
                <w:spacing w:val="-10"/>
              </w:rPr>
              <w:t>19</w:t>
            </w:r>
          </w:p>
        </w:tc>
        <w:tc>
          <w:tcPr>
            <w:tcW w:w="680" w:type="dxa"/>
            <w:hideMark/>
          </w:tcPr>
          <w:p w:rsidR="002625B2" w:rsidRPr="00AE6EDB" w:rsidRDefault="0054295F" w:rsidP="002625B2">
            <w:pPr>
              <w:ind w:firstLine="0"/>
              <w:jc w:val="right"/>
              <w:rPr>
                <w:spacing w:val="-10"/>
              </w:rPr>
            </w:pPr>
            <w:r>
              <w:rPr>
                <w:spacing w:val="-10"/>
              </w:rPr>
              <w:t>4 0</w:t>
            </w:r>
            <w:r w:rsidR="002625B2" w:rsidRPr="00AE6EDB">
              <w:rPr>
                <w:spacing w:val="-10"/>
              </w:rPr>
              <w:t>05</w:t>
            </w:r>
          </w:p>
        </w:tc>
        <w:tc>
          <w:tcPr>
            <w:tcW w:w="680" w:type="dxa"/>
            <w:hideMark/>
          </w:tcPr>
          <w:p w:rsidR="002625B2" w:rsidRPr="00AE6EDB" w:rsidRDefault="0054295F" w:rsidP="002625B2">
            <w:pPr>
              <w:ind w:firstLine="0"/>
              <w:jc w:val="right"/>
              <w:rPr>
                <w:spacing w:val="-10"/>
              </w:rPr>
            </w:pPr>
            <w:r>
              <w:rPr>
                <w:spacing w:val="-10"/>
              </w:rPr>
              <w:t>2 8</w:t>
            </w:r>
            <w:r w:rsidR="002625B2" w:rsidRPr="00AE6EDB">
              <w:rPr>
                <w:spacing w:val="-10"/>
              </w:rPr>
              <w:t>70</w:t>
            </w:r>
          </w:p>
        </w:tc>
        <w:tc>
          <w:tcPr>
            <w:tcW w:w="680" w:type="dxa"/>
            <w:hideMark/>
          </w:tcPr>
          <w:p w:rsidR="002625B2" w:rsidRPr="00AE6EDB" w:rsidRDefault="0054295F" w:rsidP="002625B2">
            <w:pPr>
              <w:ind w:firstLine="0"/>
              <w:jc w:val="right"/>
              <w:rPr>
                <w:spacing w:val="-10"/>
              </w:rPr>
            </w:pPr>
            <w:r>
              <w:rPr>
                <w:spacing w:val="-10"/>
              </w:rPr>
              <w:t>2 2</w:t>
            </w:r>
            <w:r w:rsidR="002625B2" w:rsidRPr="00AE6EDB">
              <w:rPr>
                <w:spacing w:val="-10"/>
              </w:rPr>
              <w:t>21</w:t>
            </w:r>
          </w:p>
        </w:tc>
        <w:tc>
          <w:tcPr>
            <w:tcW w:w="680" w:type="dxa"/>
            <w:hideMark/>
          </w:tcPr>
          <w:p w:rsidR="002625B2" w:rsidRPr="00AE6EDB" w:rsidRDefault="0054295F" w:rsidP="002625B2">
            <w:pPr>
              <w:ind w:firstLine="0"/>
              <w:jc w:val="right"/>
              <w:rPr>
                <w:spacing w:val="-10"/>
              </w:rPr>
            </w:pPr>
            <w:r>
              <w:rPr>
                <w:spacing w:val="-10"/>
              </w:rPr>
              <w:t>1 8</w:t>
            </w:r>
            <w:r w:rsidR="002625B2" w:rsidRPr="00AE6EDB">
              <w:rPr>
                <w:spacing w:val="-10"/>
              </w:rPr>
              <w:t>53</w:t>
            </w:r>
          </w:p>
        </w:tc>
        <w:tc>
          <w:tcPr>
            <w:tcW w:w="680" w:type="dxa"/>
            <w:hideMark/>
          </w:tcPr>
          <w:p w:rsidR="002625B2" w:rsidRPr="00AE6EDB" w:rsidRDefault="0054295F" w:rsidP="002625B2">
            <w:pPr>
              <w:ind w:firstLine="0"/>
              <w:jc w:val="right"/>
              <w:rPr>
                <w:spacing w:val="-10"/>
              </w:rPr>
            </w:pPr>
            <w:r>
              <w:rPr>
                <w:spacing w:val="-10"/>
              </w:rPr>
              <w:t>1 5</w:t>
            </w:r>
            <w:r w:rsidR="002625B2" w:rsidRPr="00AE6EDB">
              <w:rPr>
                <w:spacing w:val="-10"/>
              </w:rPr>
              <w:t>34</w:t>
            </w:r>
          </w:p>
        </w:tc>
        <w:tc>
          <w:tcPr>
            <w:tcW w:w="680" w:type="dxa"/>
            <w:hideMark/>
          </w:tcPr>
          <w:p w:rsidR="002625B2" w:rsidRPr="00AE6EDB" w:rsidRDefault="0054295F" w:rsidP="002625B2">
            <w:pPr>
              <w:ind w:firstLine="0"/>
              <w:jc w:val="right"/>
              <w:rPr>
                <w:spacing w:val="-10"/>
              </w:rPr>
            </w:pPr>
            <w:r>
              <w:rPr>
                <w:spacing w:val="-10"/>
              </w:rPr>
              <w:t>1 3</w:t>
            </w:r>
            <w:r w:rsidR="002625B2" w:rsidRPr="00AE6EDB">
              <w:rPr>
                <w:spacing w:val="-10"/>
              </w:rPr>
              <w:t>21</w:t>
            </w:r>
          </w:p>
        </w:tc>
        <w:tc>
          <w:tcPr>
            <w:tcW w:w="680" w:type="dxa"/>
            <w:hideMark/>
          </w:tcPr>
          <w:p w:rsidR="002625B2" w:rsidRPr="00AE6EDB" w:rsidRDefault="00AC44CB" w:rsidP="002625B2">
            <w:pPr>
              <w:ind w:firstLine="0"/>
              <w:jc w:val="right"/>
              <w:rPr>
                <w:spacing w:val="-10"/>
              </w:rPr>
            </w:pPr>
            <w:r>
              <w:rPr>
                <w:spacing w:val="-10"/>
              </w:rPr>
              <w:t>7 0</w:t>
            </w:r>
            <w:r w:rsidR="002625B2" w:rsidRPr="00AE6EDB">
              <w:rPr>
                <w:spacing w:val="-10"/>
              </w:rPr>
              <w:t>72</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Žilinský</w:t>
            </w:r>
          </w:p>
        </w:tc>
        <w:tc>
          <w:tcPr>
            <w:tcW w:w="794" w:type="dxa"/>
            <w:hideMark/>
          </w:tcPr>
          <w:p w:rsidR="002625B2" w:rsidRPr="00AE6EDB" w:rsidRDefault="002625B2" w:rsidP="002625B2">
            <w:pPr>
              <w:ind w:firstLine="0"/>
              <w:jc w:val="right"/>
              <w:rPr>
                <w:spacing w:val="-10"/>
              </w:rPr>
            </w:pPr>
            <w:r w:rsidRPr="00AE6EDB">
              <w:rPr>
                <w:spacing w:val="-10"/>
              </w:rPr>
              <w:t>3</w:t>
            </w:r>
            <w:r w:rsidR="00AC44CB">
              <w:rPr>
                <w:spacing w:val="-10"/>
              </w:rPr>
              <w:t>6 8</w:t>
            </w:r>
            <w:r w:rsidRPr="00AE6EDB">
              <w:rPr>
                <w:spacing w:val="-10"/>
              </w:rPr>
              <w:t>19</w:t>
            </w:r>
          </w:p>
        </w:tc>
        <w:tc>
          <w:tcPr>
            <w:tcW w:w="709" w:type="dxa"/>
            <w:hideMark/>
          </w:tcPr>
          <w:p w:rsidR="002625B2" w:rsidRPr="00AE6EDB" w:rsidRDefault="00AC44CB" w:rsidP="002625B2">
            <w:pPr>
              <w:ind w:firstLine="0"/>
              <w:jc w:val="right"/>
              <w:rPr>
                <w:spacing w:val="-10"/>
              </w:rPr>
            </w:pPr>
            <w:r>
              <w:rPr>
                <w:spacing w:val="-10"/>
              </w:rPr>
              <w:t>7 2</w:t>
            </w:r>
            <w:r w:rsidR="002625B2" w:rsidRPr="00AE6EDB">
              <w:rPr>
                <w:spacing w:val="-10"/>
              </w:rPr>
              <w:t>53</w:t>
            </w:r>
          </w:p>
        </w:tc>
        <w:tc>
          <w:tcPr>
            <w:tcW w:w="680" w:type="dxa"/>
            <w:hideMark/>
          </w:tcPr>
          <w:p w:rsidR="002625B2" w:rsidRPr="00AE6EDB" w:rsidRDefault="00AC44CB" w:rsidP="002625B2">
            <w:pPr>
              <w:ind w:firstLine="0"/>
              <w:jc w:val="right"/>
              <w:rPr>
                <w:spacing w:val="-10"/>
              </w:rPr>
            </w:pPr>
            <w:r>
              <w:rPr>
                <w:spacing w:val="-10"/>
              </w:rPr>
              <w:t>5 8</w:t>
            </w:r>
            <w:r w:rsidR="002625B2" w:rsidRPr="00AE6EDB">
              <w:rPr>
                <w:spacing w:val="-10"/>
              </w:rPr>
              <w:t>60</w:t>
            </w:r>
          </w:p>
        </w:tc>
        <w:tc>
          <w:tcPr>
            <w:tcW w:w="680" w:type="dxa"/>
            <w:hideMark/>
          </w:tcPr>
          <w:p w:rsidR="002625B2" w:rsidRPr="00AE6EDB" w:rsidRDefault="0054295F" w:rsidP="002625B2">
            <w:pPr>
              <w:ind w:firstLine="0"/>
              <w:jc w:val="right"/>
              <w:rPr>
                <w:spacing w:val="-10"/>
              </w:rPr>
            </w:pPr>
            <w:r>
              <w:rPr>
                <w:spacing w:val="-10"/>
              </w:rPr>
              <w:t>3 8</w:t>
            </w:r>
            <w:r w:rsidR="002625B2" w:rsidRPr="00AE6EDB">
              <w:rPr>
                <w:spacing w:val="-10"/>
              </w:rPr>
              <w:t>28</w:t>
            </w:r>
          </w:p>
        </w:tc>
        <w:tc>
          <w:tcPr>
            <w:tcW w:w="680" w:type="dxa"/>
            <w:hideMark/>
          </w:tcPr>
          <w:p w:rsidR="002625B2" w:rsidRPr="00AE6EDB" w:rsidRDefault="0054295F" w:rsidP="002625B2">
            <w:pPr>
              <w:ind w:firstLine="0"/>
              <w:jc w:val="right"/>
              <w:rPr>
                <w:spacing w:val="-10"/>
              </w:rPr>
            </w:pPr>
            <w:r>
              <w:rPr>
                <w:spacing w:val="-10"/>
              </w:rPr>
              <w:t>2 6</w:t>
            </w:r>
            <w:r w:rsidR="002625B2" w:rsidRPr="00AE6EDB">
              <w:rPr>
                <w:spacing w:val="-10"/>
              </w:rPr>
              <w:t>37</w:t>
            </w:r>
          </w:p>
        </w:tc>
        <w:tc>
          <w:tcPr>
            <w:tcW w:w="680" w:type="dxa"/>
            <w:hideMark/>
          </w:tcPr>
          <w:p w:rsidR="002625B2" w:rsidRPr="00AE6EDB" w:rsidRDefault="0054295F" w:rsidP="002625B2">
            <w:pPr>
              <w:ind w:firstLine="0"/>
              <w:jc w:val="right"/>
              <w:rPr>
                <w:spacing w:val="-10"/>
              </w:rPr>
            </w:pPr>
            <w:r>
              <w:rPr>
                <w:spacing w:val="-10"/>
              </w:rPr>
              <w:t>3 4</w:t>
            </w:r>
            <w:r w:rsidR="002625B2" w:rsidRPr="00AE6EDB">
              <w:rPr>
                <w:spacing w:val="-10"/>
              </w:rPr>
              <w:t>24</w:t>
            </w:r>
          </w:p>
        </w:tc>
        <w:tc>
          <w:tcPr>
            <w:tcW w:w="680" w:type="dxa"/>
            <w:hideMark/>
          </w:tcPr>
          <w:p w:rsidR="002625B2" w:rsidRPr="00AE6EDB" w:rsidRDefault="0054295F" w:rsidP="002625B2">
            <w:pPr>
              <w:ind w:firstLine="0"/>
              <w:jc w:val="right"/>
              <w:rPr>
                <w:spacing w:val="-10"/>
              </w:rPr>
            </w:pPr>
            <w:r>
              <w:rPr>
                <w:spacing w:val="-10"/>
              </w:rPr>
              <w:t>2 4</w:t>
            </w:r>
            <w:r w:rsidR="002625B2" w:rsidRPr="00AE6EDB">
              <w:rPr>
                <w:spacing w:val="-10"/>
              </w:rPr>
              <w:t>86</w:t>
            </w:r>
          </w:p>
        </w:tc>
        <w:tc>
          <w:tcPr>
            <w:tcW w:w="680" w:type="dxa"/>
            <w:hideMark/>
          </w:tcPr>
          <w:p w:rsidR="002625B2" w:rsidRPr="00AE6EDB" w:rsidRDefault="0054295F" w:rsidP="002625B2">
            <w:pPr>
              <w:ind w:firstLine="0"/>
              <w:jc w:val="right"/>
              <w:rPr>
                <w:spacing w:val="-10"/>
              </w:rPr>
            </w:pPr>
            <w:r>
              <w:rPr>
                <w:spacing w:val="-10"/>
              </w:rPr>
              <w:t>2 0</w:t>
            </w:r>
            <w:r w:rsidR="002625B2" w:rsidRPr="00AE6EDB">
              <w:rPr>
                <w:spacing w:val="-10"/>
              </w:rPr>
              <w:t>12</w:t>
            </w:r>
          </w:p>
        </w:tc>
        <w:tc>
          <w:tcPr>
            <w:tcW w:w="680" w:type="dxa"/>
            <w:hideMark/>
          </w:tcPr>
          <w:p w:rsidR="002625B2" w:rsidRPr="00AE6EDB" w:rsidRDefault="0054295F" w:rsidP="002625B2">
            <w:pPr>
              <w:ind w:firstLine="0"/>
              <w:jc w:val="right"/>
              <w:rPr>
                <w:spacing w:val="-10"/>
              </w:rPr>
            </w:pPr>
            <w:r>
              <w:rPr>
                <w:spacing w:val="-10"/>
              </w:rPr>
              <w:t>1 6</w:t>
            </w:r>
            <w:r w:rsidR="002625B2" w:rsidRPr="00AE6EDB">
              <w:rPr>
                <w:spacing w:val="-10"/>
              </w:rPr>
              <w:t>37</w:t>
            </w:r>
          </w:p>
        </w:tc>
        <w:tc>
          <w:tcPr>
            <w:tcW w:w="680" w:type="dxa"/>
            <w:hideMark/>
          </w:tcPr>
          <w:p w:rsidR="002625B2" w:rsidRPr="00AE6EDB" w:rsidRDefault="0054295F" w:rsidP="002625B2">
            <w:pPr>
              <w:ind w:firstLine="0"/>
              <w:jc w:val="right"/>
              <w:rPr>
                <w:spacing w:val="-10"/>
              </w:rPr>
            </w:pPr>
            <w:r>
              <w:rPr>
                <w:spacing w:val="-10"/>
              </w:rPr>
              <w:t>1 3</w:t>
            </w:r>
            <w:r w:rsidR="002625B2" w:rsidRPr="00AE6EDB">
              <w:rPr>
                <w:spacing w:val="-10"/>
              </w:rPr>
              <w:t>21</w:t>
            </w:r>
          </w:p>
        </w:tc>
        <w:tc>
          <w:tcPr>
            <w:tcW w:w="680" w:type="dxa"/>
            <w:hideMark/>
          </w:tcPr>
          <w:p w:rsidR="002625B2" w:rsidRPr="00AE6EDB" w:rsidRDefault="0054295F" w:rsidP="002625B2">
            <w:pPr>
              <w:ind w:firstLine="0"/>
              <w:jc w:val="right"/>
              <w:rPr>
                <w:spacing w:val="-10"/>
              </w:rPr>
            </w:pPr>
            <w:r>
              <w:rPr>
                <w:spacing w:val="-10"/>
              </w:rPr>
              <w:t>1 0</w:t>
            </w:r>
            <w:r w:rsidR="002625B2" w:rsidRPr="00AE6EDB">
              <w:rPr>
                <w:spacing w:val="-10"/>
              </w:rPr>
              <w:t>67</w:t>
            </w:r>
          </w:p>
        </w:tc>
        <w:tc>
          <w:tcPr>
            <w:tcW w:w="680" w:type="dxa"/>
            <w:hideMark/>
          </w:tcPr>
          <w:p w:rsidR="002625B2" w:rsidRPr="00AE6EDB" w:rsidRDefault="00AC44CB" w:rsidP="002625B2">
            <w:pPr>
              <w:ind w:firstLine="0"/>
              <w:jc w:val="right"/>
              <w:rPr>
                <w:spacing w:val="-10"/>
              </w:rPr>
            </w:pPr>
            <w:r>
              <w:rPr>
                <w:spacing w:val="-10"/>
              </w:rPr>
              <w:t>5 2</w:t>
            </w:r>
            <w:r w:rsidR="002625B2" w:rsidRPr="00AE6EDB">
              <w:rPr>
                <w:spacing w:val="-10"/>
              </w:rPr>
              <w:t>94</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Banskobystrický</w:t>
            </w:r>
          </w:p>
        </w:tc>
        <w:tc>
          <w:tcPr>
            <w:tcW w:w="794" w:type="dxa"/>
            <w:hideMark/>
          </w:tcPr>
          <w:p w:rsidR="002625B2" w:rsidRPr="00AE6EDB" w:rsidRDefault="002625B2" w:rsidP="002625B2">
            <w:pPr>
              <w:ind w:firstLine="0"/>
              <w:jc w:val="right"/>
              <w:rPr>
                <w:spacing w:val="-10"/>
              </w:rPr>
            </w:pPr>
            <w:r w:rsidRPr="00AE6EDB">
              <w:rPr>
                <w:spacing w:val="-10"/>
              </w:rPr>
              <w:t>6</w:t>
            </w:r>
            <w:r w:rsidR="0054295F">
              <w:rPr>
                <w:spacing w:val="-10"/>
              </w:rPr>
              <w:t>0 4</w:t>
            </w:r>
            <w:r w:rsidRPr="00AE6EDB">
              <w:rPr>
                <w:spacing w:val="-10"/>
              </w:rPr>
              <w:t>74</w:t>
            </w:r>
          </w:p>
        </w:tc>
        <w:tc>
          <w:tcPr>
            <w:tcW w:w="709" w:type="dxa"/>
            <w:hideMark/>
          </w:tcPr>
          <w:p w:rsidR="002625B2" w:rsidRPr="00AE6EDB" w:rsidRDefault="00AC44CB" w:rsidP="002625B2">
            <w:pPr>
              <w:ind w:firstLine="0"/>
              <w:jc w:val="right"/>
              <w:rPr>
                <w:spacing w:val="-10"/>
              </w:rPr>
            </w:pPr>
            <w:r>
              <w:rPr>
                <w:spacing w:val="-10"/>
              </w:rPr>
              <w:t>8 4</w:t>
            </w:r>
            <w:r w:rsidR="002625B2" w:rsidRPr="00AE6EDB">
              <w:rPr>
                <w:spacing w:val="-10"/>
              </w:rPr>
              <w:t>43</w:t>
            </w:r>
          </w:p>
        </w:tc>
        <w:tc>
          <w:tcPr>
            <w:tcW w:w="680" w:type="dxa"/>
            <w:hideMark/>
          </w:tcPr>
          <w:p w:rsidR="002625B2" w:rsidRPr="00AE6EDB" w:rsidRDefault="00AC44CB" w:rsidP="002625B2">
            <w:pPr>
              <w:ind w:firstLine="0"/>
              <w:jc w:val="right"/>
              <w:rPr>
                <w:spacing w:val="-10"/>
              </w:rPr>
            </w:pPr>
            <w:r>
              <w:rPr>
                <w:spacing w:val="-10"/>
              </w:rPr>
              <w:t>6 8</w:t>
            </w:r>
            <w:r w:rsidR="002625B2" w:rsidRPr="00AE6EDB">
              <w:rPr>
                <w:spacing w:val="-10"/>
              </w:rPr>
              <w:t>97</w:t>
            </w:r>
          </w:p>
        </w:tc>
        <w:tc>
          <w:tcPr>
            <w:tcW w:w="680" w:type="dxa"/>
            <w:hideMark/>
          </w:tcPr>
          <w:p w:rsidR="002625B2" w:rsidRPr="00AE6EDB" w:rsidRDefault="0054295F" w:rsidP="002625B2">
            <w:pPr>
              <w:ind w:firstLine="0"/>
              <w:jc w:val="right"/>
              <w:rPr>
                <w:spacing w:val="-10"/>
              </w:rPr>
            </w:pPr>
            <w:r>
              <w:rPr>
                <w:spacing w:val="-10"/>
              </w:rPr>
              <w:t>4 7</w:t>
            </w:r>
            <w:r w:rsidR="002625B2" w:rsidRPr="00AE6EDB">
              <w:rPr>
                <w:spacing w:val="-10"/>
              </w:rPr>
              <w:t>81</w:t>
            </w:r>
          </w:p>
        </w:tc>
        <w:tc>
          <w:tcPr>
            <w:tcW w:w="680" w:type="dxa"/>
            <w:hideMark/>
          </w:tcPr>
          <w:p w:rsidR="002625B2" w:rsidRPr="00AE6EDB" w:rsidRDefault="0054295F" w:rsidP="002625B2">
            <w:pPr>
              <w:ind w:firstLine="0"/>
              <w:jc w:val="right"/>
              <w:rPr>
                <w:spacing w:val="-10"/>
              </w:rPr>
            </w:pPr>
            <w:r>
              <w:rPr>
                <w:spacing w:val="-10"/>
              </w:rPr>
              <w:t>3 5</w:t>
            </w:r>
            <w:r w:rsidR="002625B2" w:rsidRPr="00AE6EDB">
              <w:rPr>
                <w:spacing w:val="-10"/>
              </w:rPr>
              <w:t>90</w:t>
            </w:r>
          </w:p>
        </w:tc>
        <w:tc>
          <w:tcPr>
            <w:tcW w:w="680" w:type="dxa"/>
            <w:hideMark/>
          </w:tcPr>
          <w:p w:rsidR="002625B2" w:rsidRPr="00AE6EDB" w:rsidRDefault="00AC44CB" w:rsidP="002625B2">
            <w:pPr>
              <w:ind w:firstLine="0"/>
              <w:jc w:val="right"/>
              <w:rPr>
                <w:spacing w:val="-10"/>
              </w:rPr>
            </w:pPr>
            <w:r>
              <w:rPr>
                <w:spacing w:val="-10"/>
              </w:rPr>
              <w:t>5 0</w:t>
            </w:r>
            <w:r w:rsidR="002625B2" w:rsidRPr="00AE6EDB">
              <w:rPr>
                <w:spacing w:val="-10"/>
              </w:rPr>
              <w:t>39</w:t>
            </w:r>
          </w:p>
        </w:tc>
        <w:tc>
          <w:tcPr>
            <w:tcW w:w="680" w:type="dxa"/>
            <w:hideMark/>
          </w:tcPr>
          <w:p w:rsidR="002625B2" w:rsidRPr="00AE6EDB" w:rsidRDefault="0054295F" w:rsidP="002625B2">
            <w:pPr>
              <w:ind w:firstLine="0"/>
              <w:jc w:val="right"/>
              <w:rPr>
                <w:spacing w:val="-10"/>
              </w:rPr>
            </w:pPr>
            <w:r>
              <w:rPr>
                <w:spacing w:val="-10"/>
              </w:rPr>
              <w:t>3 7</w:t>
            </w:r>
            <w:r w:rsidR="002625B2" w:rsidRPr="00AE6EDB">
              <w:rPr>
                <w:spacing w:val="-10"/>
              </w:rPr>
              <w:t>97</w:t>
            </w:r>
          </w:p>
        </w:tc>
        <w:tc>
          <w:tcPr>
            <w:tcW w:w="680" w:type="dxa"/>
            <w:hideMark/>
          </w:tcPr>
          <w:p w:rsidR="002625B2" w:rsidRPr="00AE6EDB" w:rsidRDefault="0054295F" w:rsidP="002625B2">
            <w:pPr>
              <w:ind w:firstLine="0"/>
              <w:jc w:val="right"/>
              <w:rPr>
                <w:spacing w:val="-10"/>
              </w:rPr>
            </w:pPr>
            <w:r>
              <w:rPr>
                <w:spacing w:val="-10"/>
              </w:rPr>
              <w:t>3 1</w:t>
            </w:r>
            <w:r w:rsidR="002625B2" w:rsidRPr="00AE6EDB">
              <w:rPr>
                <w:spacing w:val="-10"/>
              </w:rPr>
              <w:t>02</w:t>
            </w:r>
          </w:p>
        </w:tc>
        <w:tc>
          <w:tcPr>
            <w:tcW w:w="680" w:type="dxa"/>
            <w:hideMark/>
          </w:tcPr>
          <w:p w:rsidR="002625B2" w:rsidRPr="00AE6EDB" w:rsidRDefault="0054295F" w:rsidP="002625B2">
            <w:pPr>
              <w:ind w:firstLine="0"/>
              <w:jc w:val="right"/>
              <w:rPr>
                <w:spacing w:val="-10"/>
              </w:rPr>
            </w:pPr>
            <w:r>
              <w:rPr>
                <w:spacing w:val="-10"/>
              </w:rPr>
              <w:t>2 8</w:t>
            </w:r>
            <w:r w:rsidR="002625B2" w:rsidRPr="00AE6EDB">
              <w:rPr>
                <w:spacing w:val="-10"/>
              </w:rPr>
              <w:t>01</w:t>
            </w:r>
          </w:p>
        </w:tc>
        <w:tc>
          <w:tcPr>
            <w:tcW w:w="680" w:type="dxa"/>
            <w:hideMark/>
          </w:tcPr>
          <w:p w:rsidR="002625B2" w:rsidRPr="00AE6EDB" w:rsidRDefault="0054295F" w:rsidP="002625B2">
            <w:pPr>
              <w:ind w:firstLine="0"/>
              <w:jc w:val="right"/>
              <w:rPr>
                <w:spacing w:val="-10"/>
              </w:rPr>
            </w:pPr>
            <w:r>
              <w:rPr>
                <w:spacing w:val="-10"/>
              </w:rPr>
              <w:t>2 4</w:t>
            </w:r>
            <w:r w:rsidR="002625B2" w:rsidRPr="00AE6EDB">
              <w:rPr>
                <w:spacing w:val="-10"/>
              </w:rPr>
              <w:t>66</w:t>
            </w:r>
          </w:p>
        </w:tc>
        <w:tc>
          <w:tcPr>
            <w:tcW w:w="680" w:type="dxa"/>
            <w:hideMark/>
          </w:tcPr>
          <w:p w:rsidR="002625B2" w:rsidRPr="00AE6EDB" w:rsidRDefault="0054295F" w:rsidP="002625B2">
            <w:pPr>
              <w:ind w:firstLine="0"/>
              <w:jc w:val="right"/>
              <w:rPr>
                <w:spacing w:val="-10"/>
              </w:rPr>
            </w:pPr>
            <w:r>
              <w:rPr>
                <w:spacing w:val="-10"/>
              </w:rPr>
              <w:t>2 0</w:t>
            </w:r>
            <w:r w:rsidR="002625B2" w:rsidRPr="00AE6EDB">
              <w:rPr>
                <w:spacing w:val="-10"/>
              </w:rPr>
              <w:t>58</w:t>
            </w:r>
          </w:p>
        </w:tc>
        <w:tc>
          <w:tcPr>
            <w:tcW w:w="680" w:type="dxa"/>
            <w:hideMark/>
          </w:tcPr>
          <w:p w:rsidR="002625B2" w:rsidRPr="00AE6EDB" w:rsidRDefault="002625B2" w:rsidP="002625B2">
            <w:pPr>
              <w:ind w:firstLine="0"/>
              <w:jc w:val="right"/>
              <w:rPr>
                <w:spacing w:val="-10"/>
              </w:rPr>
            </w:pPr>
            <w:r w:rsidRPr="00AE6EDB">
              <w:rPr>
                <w:spacing w:val="-10"/>
              </w:rPr>
              <w:t>1</w:t>
            </w:r>
            <w:r w:rsidR="00AC44CB">
              <w:rPr>
                <w:spacing w:val="-10"/>
              </w:rPr>
              <w:t>7 5</w:t>
            </w:r>
            <w:r w:rsidRPr="00AE6EDB">
              <w:rPr>
                <w:spacing w:val="-10"/>
              </w:rPr>
              <w:t>00</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spacing w:val="-20"/>
                <w:sz w:val="22"/>
                <w:lang w:eastAsia="en-US"/>
              </w:rPr>
            </w:pPr>
            <w:r w:rsidRPr="00AE6EDB">
              <w:rPr>
                <w:spacing w:val="-20"/>
                <w:sz w:val="22"/>
                <w:lang w:eastAsia="en-US"/>
              </w:rPr>
              <w:t>Prešovský</w:t>
            </w:r>
          </w:p>
        </w:tc>
        <w:tc>
          <w:tcPr>
            <w:tcW w:w="794" w:type="dxa"/>
            <w:hideMark/>
          </w:tcPr>
          <w:p w:rsidR="002625B2" w:rsidRPr="00AE6EDB" w:rsidRDefault="002625B2" w:rsidP="002625B2">
            <w:pPr>
              <w:ind w:firstLine="0"/>
              <w:jc w:val="right"/>
              <w:rPr>
                <w:spacing w:val="-10"/>
              </w:rPr>
            </w:pPr>
            <w:r w:rsidRPr="00AE6EDB">
              <w:rPr>
                <w:spacing w:val="-10"/>
              </w:rPr>
              <w:t>7</w:t>
            </w:r>
            <w:r w:rsidR="00AC44CB">
              <w:rPr>
                <w:spacing w:val="-10"/>
              </w:rPr>
              <w:t>5 3</w:t>
            </w:r>
            <w:r w:rsidRPr="00AE6EDB">
              <w:rPr>
                <w:spacing w:val="-10"/>
              </w:rPr>
              <w:t>61</w:t>
            </w:r>
          </w:p>
        </w:tc>
        <w:tc>
          <w:tcPr>
            <w:tcW w:w="709" w:type="dxa"/>
            <w:hideMark/>
          </w:tcPr>
          <w:p w:rsidR="002625B2" w:rsidRPr="00AE6EDB" w:rsidRDefault="002625B2" w:rsidP="002625B2">
            <w:pPr>
              <w:ind w:firstLine="0"/>
              <w:jc w:val="right"/>
              <w:rPr>
                <w:spacing w:val="-10"/>
              </w:rPr>
            </w:pPr>
            <w:r w:rsidRPr="00AE6EDB">
              <w:rPr>
                <w:spacing w:val="-10"/>
              </w:rPr>
              <w:t>1</w:t>
            </w:r>
            <w:r w:rsidR="0054295F">
              <w:rPr>
                <w:spacing w:val="-10"/>
              </w:rPr>
              <w:t>0 8</w:t>
            </w:r>
            <w:r w:rsidRPr="00AE6EDB">
              <w:rPr>
                <w:spacing w:val="-10"/>
              </w:rPr>
              <w:t>20</w:t>
            </w:r>
          </w:p>
        </w:tc>
        <w:tc>
          <w:tcPr>
            <w:tcW w:w="680" w:type="dxa"/>
            <w:hideMark/>
          </w:tcPr>
          <w:p w:rsidR="002625B2" w:rsidRPr="00AE6EDB" w:rsidRDefault="00AC44CB" w:rsidP="002625B2">
            <w:pPr>
              <w:ind w:firstLine="0"/>
              <w:jc w:val="right"/>
              <w:rPr>
                <w:spacing w:val="-10"/>
              </w:rPr>
            </w:pPr>
            <w:r>
              <w:rPr>
                <w:spacing w:val="-10"/>
              </w:rPr>
              <w:t>8 8</w:t>
            </w:r>
            <w:r w:rsidR="002625B2" w:rsidRPr="00AE6EDB">
              <w:rPr>
                <w:spacing w:val="-10"/>
              </w:rPr>
              <w:t>41</w:t>
            </w:r>
          </w:p>
        </w:tc>
        <w:tc>
          <w:tcPr>
            <w:tcW w:w="680" w:type="dxa"/>
            <w:hideMark/>
          </w:tcPr>
          <w:p w:rsidR="002625B2" w:rsidRPr="00AE6EDB" w:rsidRDefault="00AC44CB" w:rsidP="002625B2">
            <w:pPr>
              <w:ind w:firstLine="0"/>
              <w:jc w:val="right"/>
              <w:rPr>
                <w:spacing w:val="-10"/>
              </w:rPr>
            </w:pPr>
            <w:r>
              <w:rPr>
                <w:spacing w:val="-10"/>
              </w:rPr>
              <w:t>6 1</w:t>
            </w:r>
            <w:r w:rsidR="002625B2" w:rsidRPr="00AE6EDB">
              <w:rPr>
                <w:spacing w:val="-10"/>
              </w:rPr>
              <w:t>93</w:t>
            </w:r>
          </w:p>
        </w:tc>
        <w:tc>
          <w:tcPr>
            <w:tcW w:w="680" w:type="dxa"/>
            <w:hideMark/>
          </w:tcPr>
          <w:p w:rsidR="002625B2" w:rsidRPr="00AE6EDB" w:rsidRDefault="0054295F" w:rsidP="002625B2">
            <w:pPr>
              <w:ind w:firstLine="0"/>
              <w:jc w:val="right"/>
              <w:rPr>
                <w:spacing w:val="-10"/>
              </w:rPr>
            </w:pPr>
            <w:r>
              <w:rPr>
                <w:spacing w:val="-10"/>
              </w:rPr>
              <w:t>4 7</w:t>
            </w:r>
            <w:r w:rsidR="002625B2" w:rsidRPr="00AE6EDB">
              <w:rPr>
                <w:spacing w:val="-10"/>
              </w:rPr>
              <w:t>40</w:t>
            </w:r>
          </w:p>
        </w:tc>
        <w:tc>
          <w:tcPr>
            <w:tcW w:w="680" w:type="dxa"/>
            <w:hideMark/>
          </w:tcPr>
          <w:p w:rsidR="002625B2" w:rsidRPr="00AE6EDB" w:rsidRDefault="00AC44CB" w:rsidP="002625B2">
            <w:pPr>
              <w:ind w:firstLine="0"/>
              <w:jc w:val="right"/>
              <w:rPr>
                <w:spacing w:val="-10"/>
              </w:rPr>
            </w:pPr>
            <w:r>
              <w:rPr>
                <w:spacing w:val="-10"/>
              </w:rPr>
              <w:t>6 4</w:t>
            </w:r>
            <w:r w:rsidR="002625B2" w:rsidRPr="00AE6EDB">
              <w:rPr>
                <w:spacing w:val="-10"/>
              </w:rPr>
              <w:t>67</w:t>
            </w:r>
          </w:p>
        </w:tc>
        <w:tc>
          <w:tcPr>
            <w:tcW w:w="680" w:type="dxa"/>
            <w:hideMark/>
          </w:tcPr>
          <w:p w:rsidR="002625B2" w:rsidRPr="00AE6EDB" w:rsidRDefault="0054295F" w:rsidP="002625B2">
            <w:pPr>
              <w:ind w:firstLine="0"/>
              <w:jc w:val="right"/>
              <w:rPr>
                <w:spacing w:val="-10"/>
              </w:rPr>
            </w:pPr>
            <w:r>
              <w:rPr>
                <w:spacing w:val="-10"/>
              </w:rPr>
              <w:t>4 7</w:t>
            </w:r>
            <w:r w:rsidR="002625B2" w:rsidRPr="00AE6EDB">
              <w:rPr>
                <w:spacing w:val="-10"/>
              </w:rPr>
              <w:t>47</w:t>
            </w:r>
          </w:p>
        </w:tc>
        <w:tc>
          <w:tcPr>
            <w:tcW w:w="680" w:type="dxa"/>
            <w:hideMark/>
          </w:tcPr>
          <w:p w:rsidR="002625B2" w:rsidRPr="00AE6EDB" w:rsidRDefault="0054295F" w:rsidP="002625B2">
            <w:pPr>
              <w:ind w:firstLine="0"/>
              <w:jc w:val="right"/>
              <w:rPr>
                <w:spacing w:val="-10"/>
              </w:rPr>
            </w:pPr>
            <w:r>
              <w:rPr>
                <w:spacing w:val="-10"/>
              </w:rPr>
              <w:t>3 8</w:t>
            </w:r>
            <w:r w:rsidR="002625B2" w:rsidRPr="00AE6EDB">
              <w:rPr>
                <w:spacing w:val="-10"/>
              </w:rPr>
              <w:t>37</w:t>
            </w:r>
          </w:p>
        </w:tc>
        <w:tc>
          <w:tcPr>
            <w:tcW w:w="680" w:type="dxa"/>
            <w:hideMark/>
          </w:tcPr>
          <w:p w:rsidR="002625B2" w:rsidRPr="00AE6EDB" w:rsidRDefault="0054295F" w:rsidP="002625B2">
            <w:pPr>
              <w:ind w:firstLine="0"/>
              <w:jc w:val="right"/>
              <w:rPr>
                <w:spacing w:val="-10"/>
              </w:rPr>
            </w:pPr>
            <w:r>
              <w:rPr>
                <w:spacing w:val="-10"/>
              </w:rPr>
              <w:t>3 5</w:t>
            </w:r>
            <w:r w:rsidR="002625B2" w:rsidRPr="00AE6EDB">
              <w:rPr>
                <w:spacing w:val="-10"/>
              </w:rPr>
              <w:t>38</w:t>
            </w:r>
          </w:p>
        </w:tc>
        <w:tc>
          <w:tcPr>
            <w:tcW w:w="680" w:type="dxa"/>
            <w:hideMark/>
          </w:tcPr>
          <w:p w:rsidR="002625B2" w:rsidRPr="00AE6EDB" w:rsidRDefault="0054295F" w:rsidP="002625B2">
            <w:pPr>
              <w:ind w:firstLine="0"/>
              <w:jc w:val="right"/>
              <w:rPr>
                <w:spacing w:val="-10"/>
              </w:rPr>
            </w:pPr>
            <w:r>
              <w:rPr>
                <w:spacing w:val="-10"/>
              </w:rPr>
              <w:t>3 2</w:t>
            </w:r>
            <w:r w:rsidR="002625B2" w:rsidRPr="00AE6EDB">
              <w:rPr>
                <w:spacing w:val="-10"/>
              </w:rPr>
              <w:t>05</w:t>
            </w:r>
          </w:p>
        </w:tc>
        <w:tc>
          <w:tcPr>
            <w:tcW w:w="680" w:type="dxa"/>
            <w:hideMark/>
          </w:tcPr>
          <w:p w:rsidR="002625B2" w:rsidRPr="00AE6EDB" w:rsidRDefault="0054295F" w:rsidP="002625B2">
            <w:pPr>
              <w:ind w:firstLine="0"/>
              <w:jc w:val="right"/>
              <w:rPr>
                <w:spacing w:val="-10"/>
              </w:rPr>
            </w:pPr>
            <w:r>
              <w:rPr>
                <w:spacing w:val="-10"/>
              </w:rPr>
              <w:t>2 6</w:t>
            </w:r>
            <w:r w:rsidR="002625B2" w:rsidRPr="00AE6EDB">
              <w:rPr>
                <w:spacing w:val="-10"/>
              </w:rPr>
              <w:t>78</w:t>
            </w:r>
          </w:p>
        </w:tc>
        <w:tc>
          <w:tcPr>
            <w:tcW w:w="680" w:type="dxa"/>
            <w:hideMark/>
          </w:tcPr>
          <w:p w:rsidR="002625B2" w:rsidRPr="00AE6EDB" w:rsidRDefault="002625B2" w:rsidP="002625B2">
            <w:pPr>
              <w:ind w:firstLine="0"/>
              <w:jc w:val="right"/>
              <w:rPr>
                <w:spacing w:val="-10"/>
              </w:rPr>
            </w:pPr>
            <w:r w:rsidRPr="00AE6EDB">
              <w:rPr>
                <w:spacing w:val="-10"/>
              </w:rPr>
              <w:t>2</w:t>
            </w:r>
            <w:r w:rsidR="0054295F">
              <w:rPr>
                <w:spacing w:val="-10"/>
              </w:rPr>
              <w:t>0 2</w:t>
            </w:r>
            <w:r w:rsidRPr="00AE6EDB">
              <w:rPr>
                <w:spacing w:val="-10"/>
              </w:rPr>
              <w:t>95</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i/>
                <w:spacing w:val="-20"/>
                <w:sz w:val="22"/>
                <w:lang w:eastAsia="en-US"/>
              </w:rPr>
            </w:pPr>
            <w:r w:rsidRPr="00AE6EDB">
              <w:rPr>
                <w:spacing w:val="-20"/>
                <w:sz w:val="22"/>
                <w:lang w:eastAsia="en-US"/>
              </w:rPr>
              <w:t>Košický</w:t>
            </w:r>
          </w:p>
        </w:tc>
        <w:tc>
          <w:tcPr>
            <w:tcW w:w="794" w:type="dxa"/>
            <w:hideMark/>
          </w:tcPr>
          <w:p w:rsidR="002625B2" w:rsidRPr="00AE6EDB" w:rsidRDefault="002625B2" w:rsidP="002625B2">
            <w:pPr>
              <w:ind w:firstLine="0"/>
              <w:jc w:val="right"/>
              <w:rPr>
                <w:spacing w:val="-10"/>
              </w:rPr>
            </w:pPr>
            <w:r w:rsidRPr="00AE6EDB">
              <w:rPr>
                <w:spacing w:val="-10"/>
              </w:rPr>
              <w:t>6</w:t>
            </w:r>
            <w:r w:rsidR="00AC44CB">
              <w:rPr>
                <w:spacing w:val="-10"/>
              </w:rPr>
              <w:t>6 3</w:t>
            </w:r>
            <w:r w:rsidRPr="00AE6EDB">
              <w:rPr>
                <w:spacing w:val="-10"/>
              </w:rPr>
              <w:t>78</w:t>
            </w:r>
          </w:p>
        </w:tc>
        <w:tc>
          <w:tcPr>
            <w:tcW w:w="709" w:type="dxa"/>
            <w:hideMark/>
          </w:tcPr>
          <w:p w:rsidR="002625B2" w:rsidRPr="00AE6EDB" w:rsidRDefault="00AC44CB" w:rsidP="002625B2">
            <w:pPr>
              <w:ind w:firstLine="0"/>
              <w:jc w:val="right"/>
              <w:rPr>
                <w:spacing w:val="-10"/>
              </w:rPr>
            </w:pPr>
            <w:r>
              <w:rPr>
                <w:spacing w:val="-10"/>
              </w:rPr>
              <w:t>9 3</w:t>
            </w:r>
            <w:r w:rsidR="002625B2" w:rsidRPr="00AE6EDB">
              <w:rPr>
                <w:spacing w:val="-10"/>
              </w:rPr>
              <w:t>87</w:t>
            </w:r>
          </w:p>
        </w:tc>
        <w:tc>
          <w:tcPr>
            <w:tcW w:w="680" w:type="dxa"/>
            <w:hideMark/>
          </w:tcPr>
          <w:p w:rsidR="002625B2" w:rsidRPr="00AE6EDB" w:rsidRDefault="00AC44CB" w:rsidP="002625B2">
            <w:pPr>
              <w:ind w:firstLine="0"/>
              <w:jc w:val="right"/>
              <w:rPr>
                <w:spacing w:val="-10"/>
              </w:rPr>
            </w:pPr>
            <w:r>
              <w:rPr>
                <w:spacing w:val="-10"/>
              </w:rPr>
              <w:t>7 6</w:t>
            </w:r>
            <w:r w:rsidR="002625B2" w:rsidRPr="00AE6EDB">
              <w:rPr>
                <w:spacing w:val="-10"/>
              </w:rPr>
              <w:t>96</w:t>
            </w:r>
          </w:p>
        </w:tc>
        <w:tc>
          <w:tcPr>
            <w:tcW w:w="680" w:type="dxa"/>
            <w:hideMark/>
          </w:tcPr>
          <w:p w:rsidR="002625B2" w:rsidRPr="00AE6EDB" w:rsidRDefault="00AC44CB" w:rsidP="002625B2">
            <w:pPr>
              <w:ind w:firstLine="0"/>
              <w:jc w:val="right"/>
              <w:rPr>
                <w:spacing w:val="-10"/>
              </w:rPr>
            </w:pPr>
            <w:r>
              <w:rPr>
                <w:spacing w:val="-10"/>
              </w:rPr>
              <w:t>5 5</w:t>
            </w:r>
            <w:r w:rsidR="002625B2" w:rsidRPr="00AE6EDB">
              <w:rPr>
                <w:spacing w:val="-10"/>
              </w:rPr>
              <w:t>02</w:t>
            </w:r>
          </w:p>
        </w:tc>
        <w:tc>
          <w:tcPr>
            <w:tcW w:w="680" w:type="dxa"/>
            <w:hideMark/>
          </w:tcPr>
          <w:p w:rsidR="002625B2" w:rsidRPr="00AE6EDB" w:rsidRDefault="0054295F" w:rsidP="002625B2">
            <w:pPr>
              <w:ind w:firstLine="0"/>
              <w:jc w:val="right"/>
              <w:rPr>
                <w:spacing w:val="-10"/>
              </w:rPr>
            </w:pPr>
            <w:r>
              <w:rPr>
                <w:spacing w:val="-10"/>
              </w:rPr>
              <w:t>4 1</w:t>
            </w:r>
            <w:r w:rsidR="002625B2" w:rsidRPr="00AE6EDB">
              <w:rPr>
                <w:spacing w:val="-10"/>
              </w:rPr>
              <w:t>87</w:t>
            </w:r>
          </w:p>
        </w:tc>
        <w:tc>
          <w:tcPr>
            <w:tcW w:w="680" w:type="dxa"/>
            <w:hideMark/>
          </w:tcPr>
          <w:p w:rsidR="002625B2" w:rsidRPr="00AE6EDB" w:rsidRDefault="00AC44CB" w:rsidP="002625B2">
            <w:pPr>
              <w:ind w:firstLine="0"/>
              <w:jc w:val="right"/>
              <w:rPr>
                <w:spacing w:val="-10"/>
              </w:rPr>
            </w:pPr>
            <w:r>
              <w:rPr>
                <w:spacing w:val="-10"/>
              </w:rPr>
              <w:t>5 7</w:t>
            </w:r>
            <w:r w:rsidR="002625B2" w:rsidRPr="00AE6EDB">
              <w:rPr>
                <w:spacing w:val="-10"/>
              </w:rPr>
              <w:t>04</w:t>
            </w:r>
          </w:p>
        </w:tc>
        <w:tc>
          <w:tcPr>
            <w:tcW w:w="680" w:type="dxa"/>
            <w:hideMark/>
          </w:tcPr>
          <w:p w:rsidR="002625B2" w:rsidRPr="00AE6EDB" w:rsidRDefault="0054295F" w:rsidP="002625B2">
            <w:pPr>
              <w:ind w:firstLine="0"/>
              <w:jc w:val="right"/>
              <w:rPr>
                <w:spacing w:val="-10"/>
              </w:rPr>
            </w:pPr>
            <w:r>
              <w:rPr>
                <w:spacing w:val="-10"/>
              </w:rPr>
              <w:t>4 3</w:t>
            </w:r>
            <w:r w:rsidR="002625B2" w:rsidRPr="00AE6EDB">
              <w:rPr>
                <w:spacing w:val="-10"/>
              </w:rPr>
              <w:t>21</w:t>
            </w:r>
          </w:p>
        </w:tc>
        <w:tc>
          <w:tcPr>
            <w:tcW w:w="680" w:type="dxa"/>
            <w:hideMark/>
          </w:tcPr>
          <w:p w:rsidR="002625B2" w:rsidRPr="00AE6EDB" w:rsidRDefault="0054295F" w:rsidP="002625B2">
            <w:pPr>
              <w:ind w:firstLine="0"/>
              <w:jc w:val="right"/>
              <w:rPr>
                <w:spacing w:val="-10"/>
              </w:rPr>
            </w:pPr>
            <w:r>
              <w:rPr>
                <w:spacing w:val="-10"/>
              </w:rPr>
              <w:t>3 5</w:t>
            </w:r>
            <w:r w:rsidR="002625B2" w:rsidRPr="00AE6EDB">
              <w:rPr>
                <w:spacing w:val="-10"/>
              </w:rPr>
              <w:t>25</w:t>
            </w:r>
          </w:p>
        </w:tc>
        <w:tc>
          <w:tcPr>
            <w:tcW w:w="680" w:type="dxa"/>
            <w:hideMark/>
          </w:tcPr>
          <w:p w:rsidR="002625B2" w:rsidRPr="00AE6EDB" w:rsidRDefault="0054295F" w:rsidP="002625B2">
            <w:pPr>
              <w:ind w:firstLine="0"/>
              <w:jc w:val="right"/>
              <w:rPr>
                <w:spacing w:val="-10"/>
              </w:rPr>
            </w:pPr>
            <w:r>
              <w:rPr>
                <w:spacing w:val="-10"/>
              </w:rPr>
              <w:t>3 1</w:t>
            </w:r>
            <w:r w:rsidR="002625B2" w:rsidRPr="00AE6EDB">
              <w:rPr>
                <w:spacing w:val="-10"/>
              </w:rPr>
              <w:t>71</w:t>
            </w:r>
          </w:p>
        </w:tc>
        <w:tc>
          <w:tcPr>
            <w:tcW w:w="680" w:type="dxa"/>
            <w:hideMark/>
          </w:tcPr>
          <w:p w:rsidR="002625B2" w:rsidRPr="00AE6EDB" w:rsidRDefault="0054295F" w:rsidP="002625B2">
            <w:pPr>
              <w:ind w:firstLine="0"/>
              <w:jc w:val="right"/>
              <w:rPr>
                <w:spacing w:val="-10"/>
              </w:rPr>
            </w:pPr>
            <w:r>
              <w:rPr>
                <w:spacing w:val="-10"/>
              </w:rPr>
              <w:t>2 7</w:t>
            </w:r>
            <w:r w:rsidR="002625B2" w:rsidRPr="00AE6EDB">
              <w:rPr>
                <w:spacing w:val="-10"/>
              </w:rPr>
              <w:t>37</w:t>
            </w:r>
          </w:p>
        </w:tc>
        <w:tc>
          <w:tcPr>
            <w:tcW w:w="680" w:type="dxa"/>
            <w:hideMark/>
          </w:tcPr>
          <w:p w:rsidR="002625B2" w:rsidRPr="00AE6EDB" w:rsidRDefault="0054295F" w:rsidP="002625B2">
            <w:pPr>
              <w:ind w:firstLine="0"/>
              <w:jc w:val="right"/>
              <w:rPr>
                <w:spacing w:val="-10"/>
              </w:rPr>
            </w:pPr>
            <w:r>
              <w:rPr>
                <w:spacing w:val="-10"/>
              </w:rPr>
              <w:t>2 4</w:t>
            </w:r>
            <w:r w:rsidR="002625B2" w:rsidRPr="00AE6EDB">
              <w:rPr>
                <w:spacing w:val="-10"/>
              </w:rPr>
              <w:t>25</w:t>
            </w:r>
          </w:p>
        </w:tc>
        <w:tc>
          <w:tcPr>
            <w:tcW w:w="680" w:type="dxa"/>
            <w:hideMark/>
          </w:tcPr>
          <w:p w:rsidR="002625B2" w:rsidRPr="00AE6EDB" w:rsidRDefault="002625B2" w:rsidP="002625B2">
            <w:pPr>
              <w:ind w:firstLine="0"/>
              <w:jc w:val="right"/>
              <w:rPr>
                <w:spacing w:val="-10"/>
              </w:rPr>
            </w:pPr>
            <w:r w:rsidRPr="00AE6EDB">
              <w:rPr>
                <w:spacing w:val="-10"/>
              </w:rPr>
              <w:t>1</w:t>
            </w:r>
            <w:r w:rsidR="00AC44CB">
              <w:rPr>
                <w:spacing w:val="-10"/>
              </w:rPr>
              <w:t>7 7</w:t>
            </w:r>
            <w:r w:rsidRPr="00AE6EDB">
              <w:rPr>
                <w:spacing w:val="-10"/>
              </w:rPr>
              <w:t>23</w:t>
            </w:r>
          </w:p>
        </w:tc>
      </w:tr>
      <w:tr w:rsidR="002625B2" w:rsidRPr="00AE6EDB" w:rsidTr="002625B2">
        <w:trPr>
          <w:trHeight w:val="297"/>
          <w:jc w:val="center"/>
        </w:trPr>
        <w:tc>
          <w:tcPr>
            <w:tcW w:w="1361" w:type="dxa"/>
            <w:vAlign w:val="center"/>
            <w:hideMark/>
          </w:tcPr>
          <w:p w:rsidR="002625B2" w:rsidRPr="00AE6EDB" w:rsidRDefault="002625B2" w:rsidP="002625B2">
            <w:pPr>
              <w:pStyle w:val="tabulka"/>
              <w:ind w:firstLine="0"/>
              <w:rPr>
                <w:b/>
                <w:spacing w:val="-20"/>
                <w:sz w:val="22"/>
                <w:lang w:eastAsia="en-US"/>
              </w:rPr>
            </w:pPr>
            <w:r w:rsidRPr="00AE6EDB">
              <w:rPr>
                <w:b/>
                <w:i/>
                <w:spacing w:val="-20"/>
                <w:sz w:val="22"/>
                <w:lang w:eastAsia="en-US"/>
              </w:rPr>
              <w:t>Slovensko</w:t>
            </w:r>
          </w:p>
        </w:tc>
        <w:tc>
          <w:tcPr>
            <w:tcW w:w="794" w:type="dxa"/>
            <w:hideMark/>
          </w:tcPr>
          <w:p w:rsidR="002625B2" w:rsidRPr="00AE6EDB" w:rsidRDefault="002625B2" w:rsidP="002625B2">
            <w:pPr>
              <w:ind w:firstLine="0"/>
              <w:jc w:val="right"/>
              <w:rPr>
                <w:spacing w:val="-10"/>
              </w:rPr>
            </w:pPr>
            <w:r w:rsidRPr="00AE6EDB">
              <w:rPr>
                <w:spacing w:val="-10"/>
              </w:rPr>
              <w:t>35</w:t>
            </w:r>
            <w:r w:rsidR="0054295F">
              <w:rPr>
                <w:spacing w:val="-10"/>
              </w:rPr>
              <w:t>4 5</w:t>
            </w:r>
            <w:r w:rsidRPr="00AE6EDB">
              <w:rPr>
                <w:spacing w:val="-10"/>
              </w:rPr>
              <w:t>82</w:t>
            </w:r>
          </w:p>
        </w:tc>
        <w:tc>
          <w:tcPr>
            <w:tcW w:w="709" w:type="dxa"/>
            <w:hideMark/>
          </w:tcPr>
          <w:p w:rsidR="002625B2" w:rsidRPr="00AE6EDB" w:rsidRDefault="002625B2" w:rsidP="002625B2">
            <w:pPr>
              <w:ind w:firstLine="0"/>
              <w:jc w:val="right"/>
              <w:rPr>
                <w:spacing w:val="-10"/>
              </w:rPr>
            </w:pPr>
            <w:r w:rsidRPr="00AE6EDB">
              <w:rPr>
                <w:spacing w:val="-10"/>
              </w:rPr>
              <w:t>5</w:t>
            </w:r>
            <w:r w:rsidR="00AC44CB">
              <w:rPr>
                <w:spacing w:val="-10"/>
              </w:rPr>
              <w:t>9 8</w:t>
            </w:r>
            <w:r w:rsidRPr="00AE6EDB">
              <w:rPr>
                <w:spacing w:val="-10"/>
              </w:rPr>
              <w:t>80</w:t>
            </w:r>
          </w:p>
        </w:tc>
        <w:tc>
          <w:tcPr>
            <w:tcW w:w="680" w:type="dxa"/>
            <w:hideMark/>
          </w:tcPr>
          <w:p w:rsidR="002625B2" w:rsidRPr="00AE6EDB" w:rsidRDefault="002625B2" w:rsidP="002625B2">
            <w:pPr>
              <w:ind w:firstLine="0"/>
              <w:jc w:val="right"/>
              <w:rPr>
                <w:spacing w:val="-10"/>
              </w:rPr>
            </w:pPr>
            <w:r w:rsidRPr="00AE6EDB">
              <w:rPr>
                <w:spacing w:val="-10"/>
              </w:rPr>
              <w:t>4</w:t>
            </w:r>
            <w:r w:rsidR="00AC44CB">
              <w:rPr>
                <w:spacing w:val="-10"/>
              </w:rPr>
              <w:t>8 7</w:t>
            </w:r>
            <w:r w:rsidRPr="00AE6EDB">
              <w:rPr>
                <w:spacing w:val="-10"/>
              </w:rPr>
              <w:t>00</w:t>
            </w:r>
          </w:p>
        </w:tc>
        <w:tc>
          <w:tcPr>
            <w:tcW w:w="680" w:type="dxa"/>
            <w:hideMark/>
          </w:tcPr>
          <w:p w:rsidR="002625B2" w:rsidRPr="00AE6EDB" w:rsidRDefault="002625B2" w:rsidP="002625B2">
            <w:pPr>
              <w:ind w:firstLine="0"/>
              <w:jc w:val="right"/>
              <w:rPr>
                <w:spacing w:val="-10"/>
              </w:rPr>
            </w:pPr>
            <w:r w:rsidRPr="00AE6EDB">
              <w:rPr>
                <w:spacing w:val="-10"/>
              </w:rPr>
              <w:t>3</w:t>
            </w:r>
            <w:r w:rsidR="0054295F">
              <w:rPr>
                <w:spacing w:val="-10"/>
              </w:rPr>
              <w:t>2 7</w:t>
            </w:r>
            <w:r w:rsidRPr="00AE6EDB">
              <w:rPr>
                <w:spacing w:val="-10"/>
              </w:rPr>
              <w:t>62</w:t>
            </w:r>
          </w:p>
        </w:tc>
        <w:tc>
          <w:tcPr>
            <w:tcW w:w="680" w:type="dxa"/>
            <w:hideMark/>
          </w:tcPr>
          <w:p w:rsidR="002625B2" w:rsidRPr="00AE6EDB" w:rsidRDefault="002625B2" w:rsidP="002625B2">
            <w:pPr>
              <w:ind w:firstLine="0"/>
              <w:jc w:val="right"/>
              <w:rPr>
                <w:spacing w:val="-10"/>
              </w:rPr>
            </w:pPr>
            <w:r w:rsidRPr="00AE6EDB">
              <w:rPr>
                <w:spacing w:val="-10"/>
              </w:rPr>
              <w:t>2</w:t>
            </w:r>
            <w:r w:rsidR="0054295F">
              <w:rPr>
                <w:spacing w:val="-10"/>
              </w:rPr>
              <w:t>3 7</w:t>
            </w:r>
            <w:r w:rsidRPr="00AE6EDB">
              <w:rPr>
                <w:spacing w:val="-10"/>
              </w:rPr>
              <w:t>89</w:t>
            </w:r>
          </w:p>
        </w:tc>
        <w:tc>
          <w:tcPr>
            <w:tcW w:w="680" w:type="dxa"/>
            <w:hideMark/>
          </w:tcPr>
          <w:p w:rsidR="002625B2" w:rsidRPr="00AE6EDB" w:rsidRDefault="002625B2" w:rsidP="002625B2">
            <w:pPr>
              <w:ind w:firstLine="0"/>
              <w:jc w:val="right"/>
              <w:rPr>
                <w:spacing w:val="-10"/>
              </w:rPr>
            </w:pPr>
            <w:r w:rsidRPr="00AE6EDB">
              <w:rPr>
                <w:spacing w:val="-10"/>
              </w:rPr>
              <w:t>3</w:t>
            </w:r>
            <w:r w:rsidR="0054295F">
              <w:rPr>
                <w:spacing w:val="-10"/>
              </w:rPr>
              <w:t>1 6</w:t>
            </w:r>
            <w:r w:rsidRPr="00AE6EDB">
              <w:rPr>
                <w:spacing w:val="-10"/>
              </w:rPr>
              <w:t>92</w:t>
            </w:r>
          </w:p>
        </w:tc>
        <w:tc>
          <w:tcPr>
            <w:tcW w:w="680" w:type="dxa"/>
            <w:hideMark/>
          </w:tcPr>
          <w:p w:rsidR="002625B2" w:rsidRPr="00AE6EDB" w:rsidRDefault="002625B2" w:rsidP="002625B2">
            <w:pPr>
              <w:ind w:firstLine="0"/>
              <w:jc w:val="right"/>
              <w:rPr>
                <w:spacing w:val="-10"/>
              </w:rPr>
            </w:pPr>
            <w:r w:rsidRPr="00AE6EDB">
              <w:rPr>
                <w:spacing w:val="-10"/>
              </w:rPr>
              <w:t>2</w:t>
            </w:r>
            <w:r w:rsidR="0054295F">
              <w:rPr>
                <w:spacing w:val="-10"/>
              </w:rPr>
              <w:t>3 1</w:t>
            </w:r>
            <w:r w:rsidRPr="00AE6EDB">
              <w:rPr>
                <w:spacing w:val="-10"/>
              </w:rPr>
              <w:t>62</w:t>
            </w:r>
          </w:p>
        </w:tc>
        <w:tc>
          <w:tcPr>
            <w:tcW w:w="680" w:type="dxa"/>
            <w:hideMark/>
          </w:tcPr>
          <w:p w:rsidR="002625B2" w:rsidRPr="00AE6EDB" w:rsidRDefault="002625B2" w:rsidP="002625B2">
            <w:pPr>
              <w:ind w:firstLine="0"/>
              <w:jc w:val="right"/>
              <w:rPr>
                <w:spacing w:val="-10"/>
              </w:rPr>
            </w:pPr>
            <w:r w:rsidRPr="00AE6EDB">
              <w:rPr>
                <w:spacing w:val="-10"/>
              </w:rPr>
              <w:t>1</w:t>
            </w:r>
            <w:r w:rsidR="00AC44CB">
              <w:rPr>
                <w:spacing w:val="-10"/>
              </w:rPr>
              <w:t>8 3</w:t>
            </w:r>
            <w:r w:rsidRPr="00AE6EDB">
              <w:rPr>
                <w:spacing w:val="-10"/>
              </w:rPr>
              <w:t>71</w:t>
            </w:r>
          </w:p>
        </w:tc>
        <w:tc>
          <w:tcPr>
            <w:tcW w:w="680" w:type="dxa"/>
            <w:hideMark/>
          </w:tcPr>
          <w:p w:rsidR="002625B2" w:rsidRPr="00AE6EDB" w:rsidRDefault="002625B2" w:rsidP="002625B2">
            <w:pPr>
              <w:ind w:firstLine="0"/>
              <w:jc w:val="right"/>
              <w:rPr>
                <w:spacing w:val="-10"/>
              </w:rPr>
            </w:pPr>
            <w:r w:rsidRPr="00AE6EDB">
              <w:rPr>
                <w:spacing w:val="-10"/>
              </w:rPr>
              <w:t>1</w:t>
            </w:r>
            <w:r w:rsidR="00AC44CB">
              <w:rPr>
                <w:spacing w:val="-10"/>
              </w:rPr>
              <w:t>5 9</w:t>
            </w:r>
            <w:r w:rsidRPr="00AE6EDB">
              <w:rPr>
                <w:spacing w:val="-10"/>
              </w:rPr>
              <w:t>51</w:t>
            </w:r>
          </w:p>
        </w:tc>
        <w:tc>
          <w:tcPr>
            <w:tcW w:w="680" w:type="dxa"/>
            <w:hideMark/>
          </w:tcPr>
          <w:p w:rsidR="002625B2" w:rsidRPr="00AE6EDB" w:rsidRDefault="002625B2" w:rsidP="002625B2">
            <w:pPr>
              <w:ind w:firstLine="0"/>
              <w:jc w:val="right"/>
              <w:rPr>
                <w:spacing w:val="-10"/>
              </w:rPr>
            </w:pPr>
            <w:r w:rsidRPr="00AE6EDB">
              <w:rPr>
                <w:spacing w:val="-10"/>
              </w:rPr>
              <w:t>1</w:t>
            </w:r>
            <w:r w:rsidR="0054295F">
              <w:rPr>
                <w:spacing w:val="-10"/>
              </w:rPr>
              <w:t>3 5</w:t>
            </w:r>
            <w:r w:rsidRPr="00AE6EDB">
              <w:rPr>
                <w:spacing w:val="-10"/>
              </w:rPr>
              <w:t>45</w:t>
            </w:r>
          </w:p>
        </w:tc>
        <w:tc>
          <w:tcPr>
            <w:tcW w:w="680" w:type="dxa"/>
            <w:hideMark/>
          </w:tcPr>
          <w:p w:rsidR="002625B2" w:rsidRPr="00AE6EDB" w:rsidRDefault="002625B2" w:rsidP="002625B2">
            <w:pPr>
              <w:ind w:firstLine="0"/>
              <w:jc w:val="right"/>
              <w:rPr>
                <w:spacing w:val="-10"/>
              </w:rPr>
            </w:pPr>
            <w:r w:rsidRPr="00AE6EDB">
              <w:rPr>
                <w:spacing w:val="-10"/>
              </w:rPr>
              <w:t>1</w:t>
            </w:r>
            <w:r w:rsidR="0054295F">
              <w:rPr>
                <w:spacing w:val="-10"/>
              </w:rPr>
              <w:t>1 3</w:t>
            </w:r>
            <w:r w:rsidRPr="00AE6EDB">
              <w:rPr>
                <w:spacing w:val="-10"/>
              </w:rPr>
              <w:t>88</w:t>
            </w:r>
          </w:p>
        </w:tc>
        <w:tc>
          <w:tcPr>
            <w:tcW w:w="680" w:type="dxa"/>
            <w:hideMark/>
          </w:tcPr>
          <w:p w:rsidR="002625B2" w:rsidRPr="00AE6EDB" w:rsidRDefault="002625B2" w:rsidP="002625B2">
            <w:pPr>
              <w:ind w:firstLine="0"/>
              <w:jc w:val="right"/>
              <w:rPr>
                <w:spacing w:val="-10"/>
              </w:rPr>
            </w:pPr>
            <w:r w:rsidRPr="00AE6EDB">
              <w:rPr>
                <w:spacing w:val="-10"/>
              </w:rPr>
              <w:t>7</w:t>
            </w:r>
            <w:r w:rsidR="00AC44CB">
              <w:rPr>
                <w:spacing w:val="-10"/>
              </w:rPr>
              <w:t>5 3</w:t>
            </w:r>
            <w:r w:rsidRPr="00AE6EDB">
              <w:rPr>
                <w:spacing w:val="-10"/>
              </w:rPr>
              <w:t>42</w:t>
            </w:r>
          </w:p>
        </w:tc>
      </w:tr>
    </w:tbl>
    <w:p w:rsidR="002625B2" w:rsidRPr="00AE6EDB" w:rsidRDefault="002625B2" w:rsidP="002625B2">
      <w:pPr>
        <w:pStyle w:val="zdroj"/>
        <w:spacing w:before="40"/>
      </w:pPr>
      <w:r w:rsidRPr="00AE6EDB">
        <w:t>Zdroj: ÚPSVR</w:t>
      </w:r>
    </w:p>
    <w:p w:rsidR="00206E08" w:rsidRDefault="002625B2" w:rsidP="002625B2">
      <w:pPr>
        <w:ind w:firstLine="431"/>
        <w:rPr>
          <w:szCs w:val="22"/>
        </w:rPr>
      </w:pPr>
      <w:r w:rsidRPr="00AE6EDB">
        <w:lastRenderedPageBreak/>
        <w:t>V roku 2015 bolo na úradoch práce, sociálnych vecí a rodiny (ďalej aj „úrady PSVR“) nahlásených v priemere mesačne</w:t>
      </w:r>
      <w:r w:rsidRPr="00AE6EDB">
        <w:rPr>
          <w:b/>
        </w:rPr>
        <w:t xml:space="preserve"> </w:t>
      </w:r>
      <w:r w:rsidRPr="00AE6EDB">
        <w:t>2</w:t>
      </w:r>
      <w:r w:rsidR="0054295F">
        <w:t>3 7</w:t>
      </w:r>
      <w:r w:rsidRPr="00AE6EDB">
        <w:t xml:space="preserve">08 </w:t>
      </w:r>
      <w:r w:rsidRPr="00AE6EDB">
        <w:rPr>
          <w:b/>
        </w:rPr>
        <w:t>voľných pracovných miest</w:t>
      </w:r>
      <w:r w:rsidRPr="00AE6EDB">
        <w:t xml:space="preserve"> </w:t>
      </w:r>
      <w:r w:rsidRPr="00AE6EDB">
        <w:rPr>
          <w:szCs w:val="22"/>
        </w:rPr>
        <w:t xml:space="preserve">(VPM) </w:t>
      </w:r>
      <w:r w:rsidRPr="00AE6EDB">
        <w:t>na trhu práce, čo predstavuje medziročný nárast o 1</w:t>
      </w:r>
      <w:r w:rsidR="00AC44CB">
        <w:t>5 3</w:t>
      </w:r>
      <w:r w:rsidRPr="00AE6EDB">
        <w:t>90 VPM mesačne.</w:t>
      </w:r>
      <w:r w:rsidRPr="00AE6EDB">
        <w:rPr>
          <w:b/>
        </w:rPr>
        <w:t xml:space="preserve"> </w:t>
      </w:r>
      <w:r w:rsidR="00206E08" w:rsidRPr="00AE6EDB">
        <w:rPr>
          <w:szCs w:val="22"/>
        </w:rPr>
        <w:t>Z regionálneho hľadiska bolo v roku 2015 v priemere za mesiac najviac VPM v </w:t>
      </w:r>
      <w:r w:rsidR="00206E08">
        <w:rPr>
          <w:szCs w:val="22"/>
        </w:rPr>
        <w:t>Bratislavskom</w:t>
      </w:r>
      <w:r w:rsidR="00206E08" w:rsidRPr="00AE6EDB">
        <w:rPr>
          <w:szCs w:val="22"/>
        </w:rPr>
        <w:t xml:space="preserve"> kraji (</w:t>
      </w:r>
      <w:r w:rsidR="00206E08">
        <w:rPr>
          <w:szCs w:val="22"/>
        </w:rPr>
        <w:t>4 614</w:t>
      </w:r>
      <w:r w:rsidR="00206E08" w:rsidRPr="00AE6EDB">
        <w:rPr>
          <w:szCs w:val="22"/>
        </w:rPr>
        <w:t xml:space="preserve"> VPM), </w:t>
      </w:r>
      <w:r w:rsidR="00206E08">
        <w:rPr>
          <w:szCs w:val="22"/>
        </w:rPr>
        <w:t>Prešovskom</w:t>
      </w:r>
      <w:r w:rsidR="00206E08" w:rsidRPr="00AE6EDB">
        <w:rPr>
          <w:szCs w:val="22"/>
        </w:rPr>
        <w:t xml:space="preserve"> kraji (</w:t>
      </w:r>
      <w:r w:rsidR="00206E08">
        <w:rPr>
          <w:szCs w:val="22"/>
        </w:rPr>
        <w:t>3 504</w:t>
      </w:r>
      <w:r w:rsidR="00206E08" w:rsidRPr="00AE6EDB">
        <w:rPr>
          <w:szCs w:val="22"/>
        </w:rPr>
        <w:t xml:space="preserve"> VPM) a </w:t>
      </w:r>
      <w:r w:rsidR="00206E08">
        <w:rPr>
          <w:szCs w:val="22"/>
        </w:rPr>
        <w:t>Trenčianskom</w:t>
      </w:r>
      <w:r w:rsidR="00206E08" w:rsidRPr="00AE6EDB">
        <w:rPr>
          <w:szCs w:val="22"/>
        </w:rPr>
        <w:t xml:space="preserve"> kraji (</w:t>
      </w:r>
      <w:r w:rsidR="00206E08">
        <w:rPr>
          <w:szCs w:val="22"/>
        </w:rPr>
        <w:t>2 984</w:t>
      </w:r>
      <w:r w:rsidR="00206E08" w:rsidRPr="00AE6EDB">
        <w:rPr>
          <w:szCs w:val="22"/>
        </w:rPr>
        <w:t xml:space="preserve"> VPM). Najmenej VPM ponúkal Košický kraj (</w:t>
      </w:r>
      <w:r w:rsidR="00206E08">
        <w:rPr>
          <w:szCs w:val="22"/>
        </w:rPr>
        <w:t>1 942</w:t>
      </w:r>
      <w:r w:rsidR="00206E08" w:rsidRPr="00AE6EDB">
        <w:rPr>
          <w:szCs w:val="22"/>
        </w:rPr>
        <w:t xml:space="preserve"> VPM). </w:t>
      </w:r>
    </w:p>
    <w:p w:rsidR="002625B2" w:rsidRPr="00AE6EDB" w:rsidRDefault="002625B2" w:rsidP="002625B2">
      <w:pPr>
        <w:ind w:firstLine="431"/>
      </w:pPr>
      <w:r w:rsidRPr="00AE6EDB">
        <w:rPr>
          <w:b/>
        </w:rPr>
        <w:t xml:space="preserve">Z pohľadu dopytu podľa ukončeného vzdelania </w:t>
      </w:r>
      <w:r w:rsidRPr="00AE6EDB">
        <w:t>bolo v roku 2015 najviac voľných pracovných miest požadujúcich stredné odborné vzdelanie (</w:t>
      </w:r>
      <w:r w:rsidR="00AC44CB">
        <w:t>7 1</w:t>
      </w:r>
      <w:r w:rsidRPr="00AE6EDB">
        <w:t>68 VPM, t. j. 30,23</w:t>
      </w:r>
      <w:r w:rsidR="005676EF">
        <w:t> %</w:t>
      </w:r>
      <w:r w:rsidRPr="00AE6EDB">
        <w:t>) a úplné stredné odborné vzdelanie (</w:t>
      </w:r>
      <w:r w:rsidR="0054295F">
        <w:t>4 4</w:t>
      </w:r>
      <w:r w:rsidRPr="00AE6EDB">
        <w:t>83 VPM, t. j. 18,91</w:t>
      </w:r>
      <w:r w:rsidR="005676EF">
        <w:t> %</w:t>
      </w:r>
      <w:r w:rsidRPr="00AE6EDB">
        <w:t xml:space="preserve">). S najnižším počtom boli k dispozícii miesta pre </w:t>
      </w:r>
      <w:proofErr w:type="spellStart"/>
      <w:r w:rsidRPr="00AE6EDB">
        <w:t>UoZ</w:t>
      </w:r>
      <w:proofErr w:type="spellEnd"/>
      <w:r w:rsidRPr="00AE6EDB">
        <w:t xml:space="preserve"> s neukončeným základným vzdelaním (86 VPM a 0,36</w:t>
      </w:r>
      <w:r w:rsidR="005676EF">
        <w:t> %</w:t>
      </w:r>
      <w:r w:rsidRPr="00AE6EDB">
        <w:t xml:space="preserve"> podiel) a s vysokoškolským vzdelaním tretieho stupňa (530 VPM a 2,24</w:t>
      </w:r>
      <w:r w:rsidR="005676EF">
        <w:t> %</w:t>
      </w:r>
      <w:r w:rsidRPr="00AE6EDB">
        <w:t xml:space="preserve"> podiel).</w:t>
      </w:r>
    </w:p>
    <w:p w:rsidR="002625B2" w:rsidRPr="00AE6EDB" w:rsidRDefault="002625B2" w:rsidP="002625B2">
      <w:pPr>
        <w:pStyle w:val="Nadpis7"/>
      </w:pPr>
      <w:r w:rsidRPr="00AE6EDB">
        <w:t>Graf 2.1</w:t>
      </w:r>
      <w:r w:rsidR="00C33FCB" w:rsidRPr="00AE6EDB">
        <w:t>4</w:t>
      </w:r>
      <w:r w:rsidRPr="00AE6EDB">
        <w:t xml:space="preserve"> Podiel VPM v roku 2015 podľa požiadaviek na vzdelanie </w:t>
      </w:r>
    </w:p>
    <w:p w:rsidR="002625B2" w:rsidRPr="00AE6EDB" w:rsidRDefault="002625B2" w:rsidP="002625B2">
      <w:pPr>
        <w:jc w:val="center"/>
      </w:pPr>
      <w:r w:rsidRPr="00AE6EDB">
        <w:rPr>
          <w:noProof/>
        </w:rPr>
        <w:drawing>
          <wp:inline distT="0" distB="0" distL="0" distR="0" wp14:anchorId="41AABFDC" wp14:editId="4E8F209B">
            <wp:extent cx="5592445" cy="4189095"/>
            <wp:effectExtent l="0" t="0" r="8255" b="1905"/>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25B2" w:rsidRPr="00AE6EDB" w:rsidRDefault="002625B2" w:rsidP="002625B2">
      <w:pPr>
        <w:pStyle w:val="zdroj"/>
      </w:pPr>
      <w:r w:rsidRPr="00AE6EDB">
        <w:t>Zdroj: ÚPSVR; Stupeň vzdelania je definovaný v poznámke pod čiarou pod číslom 1</w:t>
      </w:r>
      <w:r w:rsidR="00902150" w:rsidRPr="00AE6EDB">
        <w:t>7</w:t>
      </w:r>
    </w:p>
    <w:p w:rsidR="002625B2" w:rsidRPr="00AE6EDB" w:rsidRDefault="002625B2" w:rsidP="002625B2">
      <w:pPr>
        <w:ind w:firstLine="431"/>
      </w:pPr>
      <w:r w:rsidRPr="00AE6EDB">
        <w:t xml:space="preserve">Z regionálneho hľadiska bolo najviac VPM pre </w:t>
      </w:r>
      <w:proofErr w:type="spellStart"/>
      <w:r w:rsidRPr="00AE6EDB">
        <w:t>UoZ</w:t>
      </w:r>
      <w:proofErr w:type="spellEnd"/>
      <w:r w:rsidRPr="00AE6EDB">
        <w:t xml:space="preserve"> so stredným odborným vzdelaním v Bratislavskom kraji (</w:t>
      </w:r>
      <w:r w:rsidR="0054295F">
        <w:t>1 1</w:t>
      </w:r>
      <w:r w:rsidRPr="00AE6EDB">
        <w:t>66 VPM) a Trenčianskom kraji (</w:t>
      </w:r>
      <w:r w:rsidR="0054295F">
        <w:t>1 1</w:t>
      </w:r>
      <w:r w:rsidRPr="00AE6EDB">
        <w:t xml:space="preserve">66 VPM), najmenej v Košickom kraji (591 VPM). Najvyšší počet VPM pre </w:t>
      </w:r>
      <w:proofErr w:type="spellStart"/>
      <w:r w:rsidRPr="00AE6EDB">
        <w:t>UoZ</w:t>
      </w:r>
      <w:proofErr w:type="spellEnd"/>
      <w:r w:rsidRPr="00AE6EDB">
        <w:t xml:space="preserve"> s úplným stredným odborným vzdelaním bol v Prešovskom kraji (756 VPM), nasledoval Bratislavský kraj (715 VPM) a najmenej ich bolo v Nitrianskom kraji (341 VPM).</w:t>
      </w:r>
    </w:p>
    <w:p w:rsidR="002625B2" w:rsidRPr="00AE6EDB" w:rsidRDefault="002625B2" w:rsidP="002625B2">
      <w:pPr>
        <w:ind w:firstLine="567"/>
        <w:rPr>
          <w:highlight w:val="cyan"/>
        </w:rPr>
      </w:pPr>
    </w:p>
    <w:p w:rsidR="002625B2" w:rsidRPr="00AE6EDB" w:rsidRDefault="002625B2" w:rsidP="002625B2">
      <w:pPr>
        <w:jc w:val="left"/>
        <w:rPr>
          <w:b/>
          <w:szCs w:val="22"/>
          <w:highlight w:val="cyan"/>
        </w:rPr>
      </w:pPr>
      <w:r w:rsidRPr="00AE6EDB">
        <w:rPr>
          <w:b/>
          <w:szCs w:val="22"/>
          <w:highlight w:val="cyan"/>
        </w:rPr>
        <w:br w:type="page"/>
      </w:r>
    </w:p>
    <w:p w:rsidR="002625B2" w:rsidRPr="00AE6EDB" w:rsidRDefault="002625B2" w:rsidP="002625B2">
      <w:pPr>
        <w:ind w:firstLine="431"/>
        <w:rPr>
          <w:szCs w:val="22"/>
        </w:rPr>
      </w:pPr>
      <w:r w:rsidRPr="00AE6EDB">
        <w:rPr>
          <w:b/>
          <w:szCs w:val="22"/>
        </w:rPr>
        <w:lastRenderedPageBreak/>
        <w:t xml:space="preserve">Podľa klasifikácie </w:t>
      </w:r>
      <w:r w:rsidRPr="00AE6EDB">
        <w:rPr>
          <w:b/>
          <w:bCs/>
          <w:sz w:val="24"/>
        </w:rPr>
        <w:t>SK ISCO-08</w:t>
      </w:r>
      <w:r w:rsidRPr="00AE6EDB">
        <w:rPr>
          <w:rStyle w:val="Odkaznapoznmkupodiarou"/>
          <w:b/>
          <w:szCs w:val="22"/>
        </w:rPr>
        <w:footnoteReference w:id="18"/>
      </w:r>
      <w:r w:rsidR="005C04EB">
        <w:rPr>
          <w:b/>
          <w:bCs/>
          <w:sz w:val="24"/>
        </w:rPr>
        <w:t xml:space="preserve"> </w:t>
      </w:r>
      <w:r w:rsidRPr="00AE6EDB">
        <w:rPr>
          <w:szCs w:val="22"/>
        </w:rPr>
        <w:t xml:space="preserve">bolo v roku 2015 v priemere na úrady PSVR nahlásených najviac </w:t>
      </w:r>
      <w:r w:rsidRPr="00AE6EDB">
        <w:rPr>
          <w:b/>
          <w:szCs w:val="22"/>
        </w:rPr>
        <w:t>VPM</w:t>
      </w:r>
      <w:r w:rsidRPr="00AE6EDB">
        <w:rPr>
          <w:szCs w:val="22"/>
        </w:rPr>
        <w:t xml:space="preserve"> pre operátorov a montérov strojov a zariadení (</w:t>
      </w:r>
      <w:r w:rsidR="00AC44CB">
        <w:rPr>
          <w:szCs w:val="22"/>
        </w:rPr>
        <w:t>6 6</w:t>
      </w:r>
      <w:r w:rsidRPr="00AE6EDB">
        <w:rPr>
          <w:szCs w:val="22"/>
        </w:rPr>
        <w:t>10 VPM, t.j. 27,88</w:t>
      </w:r>
      <w:r w:rsidR="005676EF">
        <w:rPr>
          <w:szCs w:val="22"/>
        </w:rPr>
        <w:t> %</w:t>
      </w:r>
      <w:r w:rsidRPr="00AE6EDB">
        <w:rPr>
          <w:szCs w:val="22"/>
        </w:rPr>
        <w:t>), pre kvalifikovaných pracovníkov a remeselníkov (</w:t>
      </w:r>
      <w:r w:rsidR="0054295F">
        <w:rPr>
          <w:szCs w:val="22"/>
        </w:rPr>
        <w:t>4 6</w:t>
      </w:r>
      <w:r w:rsidRPr="00AE6EDB">
        <w:rPr>
          <w:szCs w:val="22"/>
        </w:rPr>
        <w:t>43 VPM, t. j. 19,58</w:t>
      </w:r>
      <w:r w:rsidR="005676EF">
        <w:rPr>
          <w:szCs w:val="22"/>
        </w:rPr>
        <w:t> %</w:t>
      </w:r>
      <w:r w:rsidRPr="00AE6EDB">
        <w:rPr>
          <w:szCs w:val="22"/>
        </w:rPr>
        <w:t>) a pre pra</w:t>
      </w:r>
      <w:r w:rsidRPr="00AE6EDB">
        <w:rPr>
          <w:szCs w:val="22"/>
        </w:rPr>
        <w:softHyphen/>
        <w:t>covníkov v službách a obchode (</w:t>
      </w:r>
      <w:r w:rsidR="0054295F">
        <w:rPr>
          <w:szCs w:val="22"/>
        </w:rPr>
        <w:t>3 5</w:t>
      </w:r>
      <w:r w:rsidRPr="00AE6EDB">
        <w:rPr>
          <w:szCs w:val="22"/>
        </w:rPr>
        <w:t>84 VPM, t.j. 15,12</w:t>
      </w:r>
      <w:r w:rsidR="005676EF">
        <w:rPr>
          <w:szCs w:val="22"/>
        </w:rPr>
        <w:t> %</w:t>
      </w:r>
      <w:r w:rsidRPr="00AE6EDB">
        <w:rPr>
          <w:szCs w:val="22"/>
        </w:rPr>
        <w:t>). Najmenej VPM bolo nahlásených pre pracovníkov skupiny príslušníkov ozbrojených síl (21 VPM, t.j. 0,09</w:t>
      </w:r>
      <w:r w:rsidR="005676EF">
        <w:rPr>
          <w:szCs w:val="22"/>
        </w:rPr>
        <w:t> %</w:t>
      </w:r>
      <w:r w:rsidRPr="00AE6EDB">
        <w:rPr>
          <w:szCs w:val="22"/>
        </w:rPr>
        <w:t>).</w:t>
      </w:r>
    </w:p>
    <w:p w:rsidR="002625B2" w:rsidRPr="00AE6EDB" w:rsidRDefault="002625B2" w:rsidP="002625B2">
      <w:pPr>
        <w:pStyle w:val="Nadpis7"/>
        <w:rPr>
          <w:bCs/>
          <w:sz w:val="24"/>
        </w:rPr>
      </w:pPr>
      <w:r w:rsidRPr="00AE6EDB">
        <w:t>Graf 2.1</w:t>
      </w:r>
      <w:r w:rsidR="00C33FCB" w:rsidRPr="00AE6EDB">
        <w:t>5</w:t>
      </w:r>
      <w:r w:rsidRPr="00AE6EDB">
        <w:t xml:space="preserve"> Podiel VPM v roku 2015 podľa </w:t>
      </w:r>
      <w:r w:rsidRPr="00AE6EDB">
        <w:rPr>
          <w:bCs/>
          <w:sz w:val="24"/>
        </w:rPr>
        <w:t>SK ISCO-08</w:t>
      </w:r>
    </w:p>
    <w:p w:rsidR="002625B2" w:rsidRPr="00AE6EDB" w:rsidRDefault="002625B2" w:rsidP="002625B2">
      <w:pPr>
        <w:ind w:left="567"/>
      </w:pPr>
      <w:r w:rsidRPr="00AE6EDB">
        <w:rPr>
          <w:noProof/>
        </w:rPr>
        <w:drawing>
          <wp:inline distT="0" distB="0" distL="0" distR="0" wp14:anchorId="63E2B14C" wp14:editId="0AB8AC65">
            <wp:extent cx="5760720" cy="3100070"/>
            <wp:effectExtent l="0" t="0" r="0" b="508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25B2" w:rsidRPr="00AE6EDB" w:rsidRDefault="002625B2" w:rsidP="002625B2">
      <w:pPr>
        <w:pStyle w:val="zdroj"/>
      </w:pPr>
      <w:r w:rsidRPr="00AE6EDB">
        <w:t xml:space="preserve">Zdroj: ÚPSVR </w:t>
      </w:r>
    </w:p>
    <w:p w:rsidR="002625B2" w:rsidRPr="00AE6EDB" w:rsidRDefault="002625B2" w:rsidP="002625B2">
      <w:pPr>
        <w:ind w:firstLine="431"/>
        <w:rPr>
          <w:szCs w:val="22"/>
        </w:rPr>
      </w:pPr>
      <w:r w:rsidRPr="00AE6EDB">
        <w:rPr>
          <w:szCs w:val="22"/>
        </w:rPr>
        <w:t>Z pohľadu požadovanej profesie, najviac VPM bolo pre operátorov a montérov strojov a zariadení, z toho najviac (</w:t>
      </w:r>
      <w:r w:rsidR="0054295F">
        <w:rPr>
          <w:szCs w:val="22"/>
        </w:rPr>
        <w:t>1 5</w:t>
      </w:r>
      <w:r w:rsidRPr="00AE6EDB">
        <w:rPr>
          <w:szCs w:val="22"/>
        </w:rPr>
        <w:t xml:space="preserve">17 VPM) v Bratislavskom kraji. Druhou najpožadovanejšou skupinou boli kvalifikovaní pracovníci a remeselníci. Z tejto skupiny najviac VPM ponúkali v Prešovskom kraji (985 VPM). Treťou najpožadovanejšou skupinou boli pracovníci v službách a obchode. Z tejto skupiny najviac VPM ponúkali v Bratislavskom kraji (936 VPM). </w:t>
      </w:r>
    </w:p>
    <w:p w:rsidR="002625B2" w:rsidRPr="00AE6EDB" w:rsidRDefault="002625B2" w:rsidP="002625B2">
      <w:pPr>
        <w:jc w:val="left"/>
        <w:rPr>
          <w:szCs w:val="22"/>
          <w:highlight w:val="cyan"/>
        </w:rPr>
      </w:pPr>
      <w:r w:rsidRPr="00AE6EDB">
        <w:rPr>
          <w:szCs w:val="22"/>
          <w:highlight w:val="cyan"/>
        </w:rPr>
        <w:br w:type="page"/>
      </w:r>
    </w:p>
    <w:p w:rsidR="002625B2" w:rsidRPr="00AE6EDB" w:rsidRDefault="002625B2" w:rsidP="002625B2">
      <w:pPr>
        <w:pStyle w:val="Nadpis7"/>
        <w:spacing w:before="0" w:after="0"/>
        <w:jc w:val="left"/>
        <w:rPr>
          <w:color w:val="E36C60" w:themeColor="accent4"/>
        </w:rPr>
      </w:pPr>
      <w:r w:rsidRPr="00AE6EDB">
        <w:rPr>
          <w:color w:val="E36C60" w:themeColor="accent4"/>
        </w:rPr>
        <w:lastRenderedPageBreak/>
        <w:t>Znevýhodnení uchádzači o zamestnanie</w:t>
      </w:r>
    </w:p>
    <w:p w:rsidR="002625B2" w:rsidRPr="00AE6EDB" w:rsidRDefault="002625B2" w:rsidP="002625B2">
      <w:pPr>
        <w:ind w:left="360"/>
      </w:pPr>
      <w:r w:rsidRPr="00AE6EDB">
        <w:t xml:space="preserve">Za znevýhodnených uchádzačov o zamestnanie sa na účely zákona č. 5/2004 Z. z. o službách zamestnanosti a o zmene a doplnení niektorých zákonov v znení neskorších predpisov považujú: </w:t>
      </w:r>
    </w:p>
    <w:p w:rsidR="002625B2" w:rsidRPr="00AE6EDB" w:rsidRDefault="002625B2" w:rsidP="002625B2">
      <w:pPr>
        <w:pStyle w:val="Odsekzoznamu"/>
        <w:numPr>
          <w:ilvl w:val="0"/>
          <w:numId w:val="35"/>
        </w:numPr>
      </w:pPr>
      <w:r w:rsidRPr="00AE6EDB">
        <w:t xml:space="preserve">občan mladší ako 26 rokov veku, ktorý ukončil príslušným stupňom vzdelania sústavnú prípravu na povolanie v dennej forme štúdia pred menej ako dvomi rokmi a pred zaradením do evidencie uchádzačov o zamestnanie nemal pravidelné platené zamestnanie </w:t>
      </w:r>
    </w:p>
    <w:p w:rsidR="002625B2" w:rsidRPr="00AE6EDB" w:rsidRDefault="002625B2" w:rsidP="002625B2">
      <w:pPr>
        <w:pStyle w:val="Odsekzoznamu"/>
        <w:numPr>
          <w:ilvl w:val="0"/>
          <w:numId w:val="35"/>
        </w:numPr>
      </w:pPr>
      <w:r w:rsidRPr="00AE6EDB">
        <w:t>občan starší ako 50 rokov veku</w:t>
      </w:r>
    </w:p>
    <w:p w:rsidR="002625B2" w:rsidRPr="00AE6EDB" w:rsidRDefault="002625B2" w:rsidP="002625B2">
      <w:pPr>
        <w:pStyle w:val="Odsekzoznamu"/>
        <w:numPr>
          <w:ilvl w:val="0"/>
          <w:numId w:val="35"/>
        </w:numPr>
      </w:pPr>
      <w:r w:rsidRPr="00AE6EDB">
        <w:t xml:space="preserve">občan vedený v evidencii uchádzačov o zamestnanie najmenej 12 po sebe nasledujúcich mesiacov </w:t>
      </w:r>
      <w:r w:rsidRPr="00AE6EDB">
        <w:rPr>
          <w:sz w:val="21"/>
          <w:szCs w:val="21"/>
        </w:rPr>
        <w:t>(ďalej len „dlhodobo nezamestnaný občan“)</w:t>
      </w:r>
    </w:p>
    <w:p w:rsidR="002625B2" w:rsidRPr="00AE6EDB" w:rsidRDefault="002625B2" w:rsidP="002625B2">
      <w:pPr>
        <w:pStyle w:val="Odsekzoznamu"/>
        <w:numPr>
          <w:ilvl w:val="0"/>
          <w:numId w:val="35"/>
        </w:numPr>
      </w:pPr>
      <w:r w:rsidRPr="00AE6EDB">
        <w:t>občan, ktorý dosiahol vzdelanie nižšie ako stredné odborné vzdelanie</w:t>
      </w:r>
    </w:p>
    <w:p w:rsidR="002625B2" w:rsidRPr="00AE6EDB" w:rsidRDefault="002625B2" w:rsidP="002625B2">
      <w:pPr>
        <w:pStyle w:val="Odsekzoznamu"/>
        <w:numPr>
          <w:ilvl w:val="0"/>
          <w:numId w:val="35"/>
        </w:numPr>
      </w:pPr>
      <w:r w:rsidRPr="00AE6EDB">
        <w:t>občan, ktorý najmenej 12 po sebe nasledujúcich kalendárnych mesiacov pred zaradením do evidencie uchádzačov o zamestnanie nemal pravidelné platené zamestnanie</w:t>
      </w:r>
    </w:p>
    <w:p w:rsidR="002625B2" w:rsidRPr="00AE6EDB" w:rsidRDefault="002625B2" w:rsidP="002625B2">
      <w:pPr>
        <w:pStyle w:val="Odsekzoznamu"/>
        <w:numPr>
          <w:ilvl w:val="0"/>
          <w:numId w:val="35"/>
        </w:numPr>
      </w:pPr>
      <w:r w:rsidRPr="00AE6EDB">
        <w:t>štátny príslušník tretej krajiny, ktorému bol udelený azyl alebo ktorému bola poskytnutá doplnková ochrana</w:t>
      </w:r>
    </w:p>
    <w:p w:rsidR="002625B2" w:rsidRPr="00AE6EDB" w:rsidRDefault="002625B2" w:rsidP="002625B2">
      <w:pPr>
        <w:pStyle w:val="Odsekzoznamu"/>
        <w:numPr>
          <w:ilvl w:val="0"/>
          <w:numId w:val="35"/>
        </w:numPr>
      </w:pPr>
      <w:r w:rsidRPr="00AE6EDB">
        <w:t>občan, ktorý žije ako osamelá dospelá osoba s jednou alebo viacerými osobami odkázanými na jeho starostlivosť alebo starajúca sa aspoň o jedno dieťa pred skončením povinnej školskej dochádzky</w:t>
      </w:r>
    </w:p>
    <w:p w:rsidR="002625B2" w:rsidRPr="00AE6EDB" w:rsidRDefault="002625B2" w:rsidP="002625B2">
      <w:pPr>
        <w:pStyle w:val="Odsekzoznamu"/>
        <w:numPr>
          <w:ilvl w:val="0"/>
          <w:numId w:val="35"/>
        </w:numPr>
      </w:pPr>
      <w:r w:rsidRPr="00AE6EDB">
        <w:t>občan so zdravotným postihnutím.</w:t>
      </w:r>
    </w:p>
    <w:p w:rsidR="002625B2" w:rsidRPr="00AE6EDB" w:rsidRDefault="002625B2" w:rsidP="002625B2">
      <w:pPr>
        <w:rPr>
          <w:highlight w:val="cyan"/>
        </w:rPr>
      </w:pPr>
    </w:p>
    <w:p w:rsidR="002625B2" w:rsidRPr="00AE6EDB" w:rsidRDefault="002625B2" w:rsidP="002625B2">
      <w:pPr>
        <w:ind w:firstLine="431"/>
      </w:pPr>
      <w:r w:rsidRPr="00AE6EDB">
        <w:t>Ide o definovanie občanov, ktorí vzhľadom na vek, dĺžku vedenia v evidencii uchádzačov o zamest</w:t>
      </w:r>
      <w:r w:rsidRPr="00AE6EDB">
        <w:softHyphen/>
        <w:t>nanie, nedostatok praxe, zdravotný stav, stratu schopnosti vykonávať svoje doterajšie zamestnanie, rodinné dôvody alebo postavenie v spoločnosti ťažšie nachádzajú uplatnenie na trhu práce a preto potrebujú zvýšenú starostlivosť.</w:t>
      </w:r>
    </w:p>
    <w:p w:rsidR="002625B2" w:rsidRPr="00AE6EDB" w:rsidRDefault="002625B2" w:rsidP="002625B2">
      <w:pPr>
        <w:pStyle w:val="Nadpis7"/>
      </w:pPr>
      <w:r w:rsidRPr="00AE6EDB">
        <w:t>Tabuľka 2.1</w:t>
      </w:r>
      <w:r w:rsidR="004A57BA" w:rsidRPr="00AE6EDB">
        <w:t>3</w:t>
      </w:r>
      <w:r w:rsidRPr="00AE6EDB">
        <w:t xml:space="preserve"> Priemerný počet znevýhodnených uchádzačov v roku 2015 podľa regiónov SR </w:t>
      </w:r>
      <w:r w:rsidRPr="00AE6EDB">
        <w:br/>
        <w:t>(v osobách)</w:t>
      </w:r>
    </w:p>
    <w:tbl>
      <w:tblPr>
        <w:tblW w:w="9840" w:type="dxa"/>
        <w:tblInd w:w="-35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2160"/>
        <w:gridCol w:w="960"/>
        <w:gridCol w:w="960"/>
        <w:gridCol w:w="960"/>
        <w:gridCol w:w="960"/>
        <w:gridCol w:w="960"/>
        <w:gridCol w:w="960"/>
        <w:gridCol w:w="960"/>
        <w:gridCol w:w="960"/>
      </w:tblGrid>
      <w:tr w:rsidR="002625B2" w:rsidRPr="00AE6EDB" w:rsidTr="00A4344B">
        <w:trPr>
          <w:trHeight w:val="400"/>
        </w:trPr>
        <w:tc>
          <w:tcPr>
            <w:tcW w:w="2160" w:type="dxa"/>
            <w:shd w:val="clear" w:color="000000" w:fill="BF0000" w:themeFill="accent3" w:themeFillShade="BF"/>
            <w:noWrap/>
            <w:vAlign w:val="center"/>
            <w:hideMark/>
          </w:tcPr>
          <w:p w:rsidR="002625B2" w:rsidRPr="00AE6EDB" w:rsidRDefault="002625B2" w:rsidP="002625B2">
            <w:pPr>
              <w:jc w:val="left"/>
              <w:rPr>
                <w:color w:val="000000"/>
              </w:rPr>
            </w:pPr>
            <w:r w:rsidRPr="00AE6EDB">
              <w:rPr>
                <w:color w:val="000000"/>
                <w:szCs w:val="22"/>
              </w:rPr>
              <w:t> </w:t>
            </w:r>
          </w:p>
        </w:tc>
        <w:tc>
          <w:tcPr>
            <w:tcW w:w="7680" w:type="dxa"/>
            <w:gridSpan w:val="8"/>
            <w:shd w:val="clear" w:color="000000" w:fill="BF0000" w:themeFill="accent3" w:themeFillShade="BF"/>
            <w:noWrap/>
            <w:vAlign w:val="center"/>
            <w:hideMark/>
          </w:tcPr>
          <w:p w:rsidR="002625B2" w:rsidRPr="00AE6EDB" w:rsidRDefault="002625B2" w:rsidP="009F115A">
            <w:pPr>
              <w:jc w:val="center"/>
              <w:rPr>
                <w:b/>
                <w:bCs/>
                <w:color w:val="FFFFFF"/>
                <w:sz w:val="24"/>
              </w:rPr>
            </w:pPr>
            <w:r w:rsidRPr="00AE6EDB">
              <w:rPr>
                <w:b/>
                <w:bCs/>
                <w:color w:val="FFFFFF"/>
                <w:sz w:val="24"/>
              </w:rPr>
              <w:t xml:space="preserve">Znevýhodnení </w:t>
            </w:r>
            <w:proofErr w:type="spellStart"/>
            <w:r w:rsidRPr="00AE6EDB">
              <w:rPr>
                <w:b/>
                <w:bCs/>
                <w:color w:val="FFFFFF"/>
                <w:sz w:val="24"/>
              </w:rPr>
              <w:t>UoZ</w:t>
            </w:r>
            <w:proofErr w:type="spellEnd"/>
            <w:r w:rsidRPr="00AE6EDB">
              <w:rPr>
                <w:b/>
                <w:bCs/>
                <w:color w:val="FFFFFF"/>
                <w:sz w:val="24"/>
              </w:rPr>
              <w:t xml:space="preserve"> podľa § 8 zák. č. 5/2004 Z.</w:t>
            </w:r>
            <w:r w:rsidR="009F115A">
              <w:rPr>
                <w:b/>
                <w:bCs/>
                <w:color w:val="FFFFFF"/>
                <w:sz w:val="24"/>
              </w:rPr>
              <w:t xml:space="preserve"> z.</w:t>
            </w:r>
          </w:p>
        </w:tc>
      </w:tr>
      <w:tr w:rsidR="002625B2" w:rsidRPr="00AE6EDB" w:rsidTr="00A4344B">
        <w:trPr>
          <w:trHeight w:val="250"/>
        </w:trPr>
        <w:tc>
          <w:tcPr>
            <w:tcW w:w="2160" w:type="dxa"/>
            <w:shd w:val="clear" w:color="000000" w:fill="BF0000" w:themeFill="accent3" w:themeFillShade="BF"/>
            <w:noWrap/>
            <w:vAlign w:val="center"/>
            <w:hideMark/>
          </w:tcPr>
          <w:p w:rsidR="002625B2" w:rsidRPr="00AE6EDB" w:rsidRDefault="002625B2" w:rsidP="002625B2">
            <w:pPr>
              <w:jc w:val="center"/>
              <w:rPr>
                <w:b/>
                <w:bCs/>
                <w:color w:val="FFFFFF"/>
              </w:rPr>
            </w:pPr>
            <w:r w:rsidRPr="00AE6EDB">
              <w:rPr>
                <w:b/>
                <w:bCs/>
                <w:color w:val="FFFFFF"/>
                <w:szCs w:val="22"/>
              </w:rPr>
              <w:t>Územie</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a)</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b)</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c)</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d)</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e)</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f)</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g)</w:t>
            </w:r>
          </w:p>
        </w:tc>
        <w:tc>
          <w:tcPr>
            <w:tcW w:w="960" w:type="dxa"/>
            <w:shd w:val="clear" w:color="000000"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písm. h)</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Bratislavský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t>1 4</w:t>
            </w:r>
            <w:r w:rsidR="002625B2" w:rsidRPr="00AE6EDB">
              <w:t>37</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5 5</w:t>
            </w:r>
            <w:r w:rsidR="002625B2" w:rsidRPr="00AE6EDB">
              <w:rPr>
                <w:color w:val="000000"/>
              </w:rPr>
              <w:t>62</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7 8</w:t>
            </w:r>
            <w:r w:rsidR="002625B2" w:rsidRPr="00AE6EDB">
              <w:rPr>
                <w:color w:val="000000"/>
              </w:rPr>
              <w:t>03</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3 5</w:t>
            </w:r>
            <w:r w:rsidR="002625B2" w:rsidRPr="00AE6EDB">
              <w:rPr>
                <w:color w:val="000000"/>
              </w:rPr>
              <w:t>62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54295F">
              <w:rPr>
                <w:color w:val="000000"/>
              </w:rPr>
              <w:t>2 2</w:t>
            </w:r>
            <w:r w:rsidRPr="00AE6EDB">
              <w:rPr>
                <w:color w:val="000000"/>
              </w:rPr>
              <w:t>71</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78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398</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Trnavský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1 8</w:t>
            </w:r>
            <w:r w:rsidR="002625B2" w:rsidRPr="00AE6EDB">
              <w:rPr>
                <w:color w:val="000000"/>
              </w:rPr>
              <w:t>48</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6 3</w:t>
            </w:r>
            <w:r w:rsidR="002625B2" w:rsidRPr="00AE6EDB">
              <w:rPr>
                <w:color w:val="000000"/>
              </w:rPr>
              <w:t>33</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9 5</w:t>
            </w:r>
            <w:r w:rsidR="002625B2" w:rsidRPr="00AE6EDB">
              <w:rPr>
                <w:color w:val="000000"/>
              </w:rPr>
              <w:t>59</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5 4</w:t>
            </w:r>
            <w:r w:rsidR="002625B2" w:rsidRPr="00AE6EDB">
              <w:rPr>
                <w:color w:val="000000"/>
              </w:rPr>
              <w:t>08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54295F">
              <w:rPr>
                <w:color w:val="000000"/>
              </w:rPr>
              <w:t>4 5</w:t>
            </w:r>
            <w:r w:rsidRPr="00AE6EDB">
              <w:rPr>
                <w:color w:val="000000"/>
              </w:rPr>
              <w:t>96</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68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815</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Trenčiansky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2 2</w:t>
            </w:r>
            <w:r w:rsidR="002625B2" w:rsidRPr="00AE6EDB">
              <w:rPr>
                <w:color w:val="000000"/>
              </w:rPr>
              <w:t>46</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8 1</w:t>
            </w:r>
            <w:r w:rsidR="002625B2" w:rsidRPr="00AE6EDB">
              <w:rPr>
                <w:color w:val="000000"/>
              </w:rPr>
              <w:t>51</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54295F">
              <w:rPr>
                <w:color w:val="000000"/>
              </w:rPr>
              <w:t>3 2</w:t>
            </w:r>
            <w:r w:rsidRPr="00AE6EDB">
              <w:rPr>
                <w:color w:val="000000"/>
              </w:rPr>
              <w:t>65</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5 3</w:t>
            </w:r>
            <w:r w:rsidR="002625B2" w:rsidRPr="00AE6EDB">
              <w:rPr>
                <w:color w:val="000000"/>
              </w:rPr>
              <w:t>90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AC44CB">
              <w:rPr>
                <w:color w:val="000000"/>
              </w:rPr>
              <w:t>7 4</w:t>
            </w:r>
            <w:r w:rsidRPr="00AE6EDB">
              <w:rPr>
                <w:color w:val="000000"/>
              </w:rPr>
              <w:t>96</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163</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1 7</w:t>
            </w:r>
            <w:r w:rsidR="002625B2" w:rsidRPr="00AE6EDB">
              <w:rPr>
                <w:color w:val="000000"/>
              </w:rPr>
              <w:t>79</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Nitriansky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2 5</w:t>
            </w:r>
            <w:r w:rsidR="002625B2" w:rsidRPr="00AE6EDB">
              <w:rPr>
                <w:color w:val="000000"/>
              </w:rPr>
              <w:t>35</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54295F">
              <w:rPr>
                <w:color w:val="000000"/>
              </w:rPr>
              <w:t>1 8</w:t>
            </w:r>
            <w:r w:rsidRPr="00AE6EDB">
              <w:rPr>
                <w:color w:val="000000"/>
              </w:rPr>
              <w:t>76</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r w:rsidR="0054295F">
              <w:rPr>
                <w:color w:val="000000"/>
              </w:rPr>
              <w:t>1 0</w:t>
            </w:r>
            <w:r w:rsidRPr="00AE6EDB">
              <w:rPr>
                <w:color w:val="000000"/>
              </w:rPr>
              <w:t>62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54295F">
              <w:rPr>
                <w:color w:val="000000"/>
              </w:rPr>
              <w:t>0 5</w:t>
            </w:r>
            <w:r w:rsidRPr="00AE6EDB">
              <w:rPr>
                <w:color w:val="000000"/>
              </w:rPr>
              <w:t>94</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r w:rsidR="00AC44CB">
              <w:rPr>
                <w:color w:val="000000"/>
              </w:rPr>
              <w:t>7 0</w:t>
            </w:r>
            <w:r w:rsidRPr="00AE6EDB">
              <w:rPr>
                <w:color w:val="000000"/>
              </w:rPr>
              <w:t>60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544</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1 0</w:t>
            </w:r>
            <w:r w:rsidR="002625B2" w:rsidRPr="00AE6EDB">
              <w:rPr>
                <w:color w:val="000000"/>
              </w:rPr>
              <w:t>99</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Žilinský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3 1</w:t>
            </w:r>
            <w:r w:rsidR="002625B2" w:rsidRPr="00AE6EDB">
              <w:rPr>
                <w:color w:val="000000"/>
              </w:rPr>
              <w:t>73</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9 8</w:t>
            </w:r>
            <w:r w:rsidR="002625B2" w:rsidRPr="00AE6EDB">
              <w:rPr>
                <w:color w:val="000000"/>
              </w:rPr>
              <w:t>55</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AC44CB">
              <w:rPr>
                <w:color w:val="000000"/>
              </w:rPr>
              <w:t>7 4</w:t>
            </w:r>
            <w:r w:rsidRPr="00AE6EDB">
              <w:rPr>
                <w:color w:val="000000"/>
              </w:rPr>
              <w:t>43</w:t>
            </w:r>
          </w:p>
        </w:tc>
        <w:tc>
          <w:tcPr>
            <w:tcW w:w="960" w:type="dxa"/>
            <w:shd w:val="clear" w:color="auto" w:fill="auto"/>
            <w:noWrap/>
            <w:vAlign w:val="center"/>
            <w:hideMark/>
          </w:tcPr>
          <w:p w:rsidR="002625B2" w:rsidRPr="00AE6EDB" w:rsidRDefault="00AC44CB" w:rsidP="002625B2">
            <w:pPr>
              <w:autoSpaceDE w:val="0"/>
              <w:autoSpaceDN w:val="0"/>
              <w:adjustRightInd w:val="0"/>
              <w:jc w:val="right"/>
              <w:rPr>
                <w:rFonts w:ascii="Calibri" w:hAnsi="Calibri" w:cs="Calibri"/>
              </w:rPr>
            </w:pPr>
            <w:r>
              <w:rPr>
                <w:color w:val="000000"/>
              </w:rPr>
              <w:t>7 0</w:t>
            </w:r>
            <w:r w:rsidR="002625B2" w:rsidRPr="00AE6EDB">
              <w:rPr>
                <w:color w:val="000000"/>
              </w:rPr>
              <w:t>58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r w:rsidR="0054295F">
              <w:rPr>
                <w:color w:val="000000"/>
              </w:rPr>
              <w:t>4 2</w:t>
            </w:r>
            <w:r w:rsidRPr="00AE6EDB">
              <w:rPr>
                <w:color w:val="000000"/>
              </w:rPr>
              <w:t>53</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87</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1 6</w:t>
            </w:r>
            <w:r w:rsidR="002625B2" w:rsidRPr="00AE6EDB">
              <w:rPr>
                <w:color w:val="000000"/>
              </w:rPr>
              <w:t>00</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Banskobystrický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2 7</w:t>
            </w:r>
            <w:r w:rsidR="002625B2" w:rsidRPr="00AE6EDB">
              <w:rPr>
                <w:color w:val="000000"/>
              </w:rPr>
              <w:t>58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AC44CB">
              <w:rPr>
                <w:color w:val="000000"/>
              </w:rPr>
              <w:t>5 8</w:t>
            </w:r>
            <w:r w:rsidRPr="00AE6EDB">
              <w:rPr>
                <w:color w:val="000000"/>
              </w:rPr>
              <w:t>75</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3</w:t>
            </w:r>
            <w:r w:rsidR="00AC44CB">
              <w:rPr>
                <w:color w:val="000000"/>
              </w:rPr>
              <w:t>6 9</w:t>
            </w:r>
            <w:r w:rsidRPr="00AE6EDB">
              <w:rPr>
                <w:color w:val="000000"/>
              </w:rPr>
              <w:t>70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r w:rsidR="0054295F">
              <w:rPr>
                <w:color w:val="000000"/>
              </w:rPr>
              <w:t>2 9</w:t>
            </w:r>
            <w:r w:rsidRPr="00AE6EDB">
              <w:rPr>
                <w:color w:val="000000"/>
              </w:rPr>
              <w:t>18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4</w:t>
            </w:r>
            <w:r w:rsidR="0054295F">
              <w:rPr>
                <w:color w:val="000000"/>
              </w:rPr>
              <w:t>2 9</w:t>
            </w:r>
            <w:r w:rsidRPr="00AE6EDB">
              <w:rPr>
                <w:color w:val="000000"/>
              </w:rPr>
              <w:t>92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404</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1 9</w:t>
            </w:r>
            <w:r w:rsidR="002625B2" w:rsidRPr="00AE6EDB">
              <w:rPr>
                <w:color w:val="000000"/>
              </w:rPr>
              <w:t>87</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Prešovský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4 7</w:t>
            </w:r>
            <w:r w:rsidR="002625B2" w:rsidRPr="00AE6EDB">
              <w:rPr>
                <w:color w:val="000000"/>
              </w:rPr>
              <w:t>30</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AC44CB">
              <w:rPr>
                <w:color w:val="000000"/>
              </w:rPr>
              <w:t>6 6</w:t>
            </w:r>
            <w:r w:rsidRPr="00AE6EDB">
              <w:rPr>
                <w:color w:val="000000"/>
              </w:rPr>
              <w:t>17</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4</w:t>
            </w:r>
            <w:r w:rsidR="00AC44CB">
              <w:rPr>
                <w:color w:val="000000"/>
              </w:rPr>
              <w:t>5 0</w:t>
            </w:r>
            <w:r w:rsidRPr="00AE6EDB">
              <w:rPr>
                <w:color w:val="000000"/>
              </w:rPr>
              <w:t>93</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3</w:t>
            </w:r>
            <w:r w:rsidR="0054295F">
              <w:rPr>
                <w:color w:val="000000"/>
              </w:rPr>
              <w:t>0 4</w:t>
            </w:r>
            <w:r w:rsidRPr="00AE6EDB">
              <w:rPr>
                <w:color w:val="000000"/>
              </w:rPr>
              <w:t>58</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5</w:t>
            </w:r>
            <w:r w:rsidR="00AC44CB">
              <w:rPr>
                <w:color w:val="000000"/>
              </w:rPr>
              <w:t>5 1</w:t>
            </w:r>
            <w:r w:rsidRPr="00AE6EDB">
              <w:rPr>
                <w:color w:val="000000"/>
              </w:rPr>
              <w:t>34</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228</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3 1</w:t>
            </w:r>
            <w:r w:rsidR="002625B2" w:rsidRPr="00AE6EDB">
              <w:rPr>
                <w:color w:val="000000"/>
              </w:rPr>
              <w:t>62</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Košický kraj</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3 5</w:t>
            </w:r>
            <w:r w:rsidR="002625B2" w:rsidRPr="00AE6EDB">
              <w:rPr>
                <w:color w:val="000000"/>
              </w:rPr>
              <w:t>03</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1</w:t>
            </w:r>
            <w:r w:rsidR="00AC44CB">
              <w:rPr>
                <w:color w:val="000000"/>
              </w:rPr>
              <w:t>5 9</w:t>
            </w:r>
            <w:r w:rsidRPr="00AE6EDB">
              <w:rPr>
                <w:color w:val="000000"/>
              </w:rPr>
              <w:t>72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3</w:t>
            </w:r>
            <w:r w:rsidR="00AC44CB">
              <w:rPr>
                <w:color w:val="000000"/>
              </w:rPr>
              <w:t>9 8</w:t>
            </w:r>
            <w:r w:rsidRPr="00AE6EDB">
              <w:rPr>
                <w:color w:val="000000"/>
              </w:rPr>
              <w:t>62</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2</w:t>
            </w:r>
            <w:r w:rsidR="00AC44CB">
              <w:rPr>
                <w:color w:val="000000"/>
              </w:rPr>
              <w:t>4 9</w:t>
            </w:r>
            <w:r w:rsidRPr="00AE6EDB">
              <w:rPr>
                <w:color w:val="000000"/>
              </w:rPr>
              <w:t>05</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4</w:t>
            </w:r>
            <w:r w:rsidR="00AC44CB">
              <w:rPr>
                <w:color w:val="000000"/>
              </w:rPr>
              <w:t>8 2</w:t>
            </w:r>
            <w:r w:rsidRPr="00AE6EDB">
              <w:rPr>
                <w:color w:val="000000"/>
              </w:rPr>
              <w:t>53</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5</w:t>
            </w:r>
          </w:p>
        </w:tc>
        <w:tc>
          <w:tcPr>
            <w:tcW w:w="960" w:type="dxa"/>
            <w:shd w:val="clear" w:color="auto" w:fill="auto"/>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color w:val="000000"/>
              </w:rPr>
              <w:t>400</w:t>
            </w:r>
          </w:p>
        </w:tc>
        <w:tc>
          <w:tcPr>
            <w:tcW w:w="960" w:type="dxa"/>
            <w:shd w:val="clear" w:color="auto" w:fill="auto"/>
            <w:noWrap/>
            <w:vAlign w:val="center"/>
            <w:hideMark/>
          </w:tcPr>
          <w:p w:rsidR="002625B2" w:rsidRPr="00AE6EDB" w:rsidRDefault="0054295F" w:rsidP="002625B2">
            <w:pPr>
              <w:autoSpaceDE w:val="0"/>
              <w:autoSpaceDN w:val="0"/>
              <w:adjustRightInd w:val="0"/>
              <w:jc w:val="right"/>
              <w:rPr>
                <w:rFonts w:ascii="Calibri" w:hAnsi="Calibri" w:cs="Calibri"/>
              </w:rPr>
            </w:pPr>
            <w:r>
              <w:rPr>
                <w:color w:val="000000"/>
              </w:rPr>
              <w:t>2 0</w:t>
            </w:r>
            <w:r w:rsidR="002625B2" w:rsidRPr="00AE6EDB">
              <w:rPr>
                <w:color w:val="000000"/>
              </w:rPr>
              <w:t>78</w:t>
            </w:r>
          </w:p>
        </w:tc>
      </w:tr>
      <w:tr w:rsidR="002625B2" w:rsidRPr="00AE6EDB" w:rsidTr="00A4344B">
        <w:trPr>
          <w:trHeight w:val="280"/>
        </w:trPr>
        <w:tc>
          <w:tcPr>
            <w:tcW w:w="2160" w:type="dxa"/>
            <w:shd w:val="clear" w:color="000000" w:fill="FFFFFF"/>
            <w:noWrap/>
            <w:vAlign w:val="center"/>
            <w:hideMark/>
          </w:tcPr>
          <w:p w:rsidR="002625B2" w:rsidRPr="00AE6EDB" w:rsidRDefault="002625B2" w:rsidP="002625B2">
            <w:pPr>
              <w:jc w:val="left"/>
              <w:rPr>
                <w:color w:val="000000"/>
              </w:rPr>
            </w:pPr>
            <w:r w:rsidRPr="00AE6EDB">
              <w:rPr>
                <w:color w:val="000000"/>
                <w:szCs w:val="22"/>
              </w:rPr>
              <w:t>Slovensko</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2</w:t>
            </w:r>
            <w:r w:rsidR="0054295F">
              <w:rPr>
                <w:b/>
                <w:bCs/>
                <w:color w:val="000000"/>
              </w:rPr>
              <w:t>2 2</w:t>
            </w:r>
            <w:r w:rsidRPr="00AE6EDB">
              <w:rPr>
                <w:b/>
                <w:bCs/>
                <w:color w:val="000000"/>
              </w:rPr>
              <w:t>30</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9</w:t>
            </w:r>
            <w:r w:rsidR="0054295F">
              <w:rPr>
                <w:b/>
                <w:bCs/>
                <w:color w:val="000000"/>
              </w:rPr>
              <w:t>0 2</w:t>
            </w:r>
            <w:r w:rsidRPr="00AE6EDB">
              <w:rPr>
                <w:b/>
                <w:bCs/>
                <w:color w:val="000000"/>
              </w:rPr>
              <w:t>42</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19</w:t>
            </w:r>
            <w:r w:rsidR="0054295F">
              <w:rPr>
                <w:b/>
                <w:bCs/>
                <w:color w:val="000000"/>
              </w:rPr>
              <w:t>1 0</w:t>
            </w:r>
            <w:r w:rsidRPr="00AE6EDB">
              <w:rPr>
                <w:b/>
                <w:bCs/>
                <w:color w:val="000000"/>
              </w:rPr>
              <w:t>55</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11</w:t>
            </w:r>
            <w:r w:rsidR="0054295F">
              <w:rPr>
                <w:b/>
                <w:bCs/>
                <w:color w:val="000000"/>
              </w:rPr>
              <w:t>0 2</w:t>
            </w:r>
            <w:r w:rsidRPr="00AE6EDB">
              <w:rPr>
                <w:b/>
                <w:bCs/>
                <w:color w:val="000000"/>
              </w:rPr>
              <w:t>92</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24</w:t>
            </w:r>
            <w:r w:rsidR="0054295F">
              <w:rPr>
                <w:b/>
                <w:bCs/>
                <w:color w:val="000000"/>
              </w:rPr>
              <w:t>2 0</w:t>
            </w:r>
            <w:r w:rsidRPr="00AE6EDB">
              <w:rPr>
                <w:b/>
                <w:bCs/>
                <w:color w:val="000000"/>
              </w:rPr>
              <w:t>55</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10</w:t>
            </w:r>
          </w:p>
        </w:tc>
        <w:tc>
          <w:tcPr>
            <w:tcW w:w="960" w:type="dxa"/>
            <w:shd w:val="clear" w:color="000000" w:fill="FFFFFF"/>
            <w:noWrap/>
            <w:vAlign w:val="center"/>
            <w:hideMark/>
          </w:tcPr>
          <w:p w:rsidR="002625B2" w:rsidRPr="00AE6EDB" w:rsidRDefault="0054295F" w:rsidP="002625B2">
            <w:pPr>
              <w:autoSpaceDE w:val="0"/>
              <w:autoSpaceDN w:val="0"/>
              <w:adjustRightInd w:val="0"/>
              <w:jc w:val="right"/>
              <w:rPr>
                <w:rFonts w:ascii="Calibri" w:hAnsi="Calibri" w:cs="Calibri"/>
              </w:rPr>
            </w:pPr>
            <w:r>
              <w:rPr>
                <w:b/>
                <w:bCs/>
                <w:color w:val="000000"/>
              </w:rPr>
              <w:t>1 9</w:t>
            </w:r>
            <w:r w:rsidR="002625B2" w:rsidRPr="00AE6EDB">
              <w:rPr>
                <w:b/>
                <w:bCs/>
                <w:color w:val="000000"/>
              </w:rPr>
              <w:t>72</w:t>
            </w:r>
          </w:p>
        </w:tc>
        <w:tc>
          <w:tcPr>
            <w:tcW w:w="960" w:type="dxa"/>
            <w:shd w:val="clear" w:color="000000" w:fill="FFFFFF"/>
            <w:noWrap/>
            <w:vAlign w:val="center"/>
            <w:hideMark/>
          </w:tcPr>
          <w:p w:rsidR="002625B2" w:rsidRPr="00AE6EDB" w:rsidRDefault="002625B2" w:rsidP="002625B2">
            <w:pPr>
              <w:autoSpaceDE w:val="0"/>
              <w:autoSpaceDN w:val="0"/>
              <w:adjustRightInd w:val="0"/>
              <w:jc w:val="right"/>
              <w:rPr>
                <w:rFonts w:ascii="Calibri" w:hAnsi="Calibri" w:cs="Calibri"/>
              </w:rPr>
            </w:pPr>
            <w:r w:rsidRPr="00AE6EDB">
              <w:rPr>
                <w:b/>
                <w:bCs/>
                <w:color w:val="000000"/>
              </w:rPr>
              <w:t>1</w:t>
            </w:r>
            <w:r w:rsidR="0054295F">
              <w:rPr>
                <w:b/>
                <w:bCs/>
                <w:color w:val="000000"/>
              </w:rPr>
              <w:t>2 9</w:t>
            </w:r>
            <w:r w:rsidRPr="00AE6EDB">
              <w:rPr>
                <w:b/>
                <w:bCs/>
                <w:color w:val="000000"/>
              </w:rPr>
              <w:t>17</w:t>
            </w:r>
          </w:p>
        </w:tc>
      </w:tr>
    </w:tbl>
    <w:p w:rsidR="002625B2" w:rsidRPr="00AE6EDB" w:rsidRDefault="00DC777B" w:rsidP="002625B2">
      <w:pPr>
        <w:pStyle w:val="zdroj"/>
      </w:pPr>
      <w:r>
        <w:rPr>
          <w:noProof/>
        </w:rPr>
        <w:pict>
          <v:rect id="Obdĺžnik 1" o:spid="_x0000_s1026" style="position:absolute;left:0;text-align:left;margin-left:303.75pt;margin-top:247.8pt;width:5pt;height:12.65pt;z-index:251659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" filled="f" stroked="f">
            <v:textbox style="mso-fit-shape-to-text:t" inset="0,0,0,0">
              <w:txbxContent>
                <w:p w:rsidR="000A4927" w:rsidRPr="00363505" w:rsidRDefault="000A4927" w:rsidP="002625B2"/>
              </w:txbxContent>
            </v:textbox>
          </v:rect>
        </w:pict>
      </w:r>
      <w:r w:rsidR="002625B2" w:rsidRPr="00AE6EDB">
        <w:t>Zdroj: ÚPSVR</w:t>
      </w:r>
    </w:p>
    <w:p w:rsidR="002625B2" w:rsidRPr="00AE6EDB" w:rsidRDefault="002625B2" w:rsidP="002625B2">
      <w:pPr>
        <w:autoSpaceDE w:val="0"/>
        <w:autoSpaceDN w:val="0"/>
        <w:adjustRightInd w:val="0"/>
        <w:ind w:firstLine="431"/>
      </w:pPr>
      <w:r w:rsidRPr="00AE6EDB">
        <w:t xml:space="preserve">Z regionálneho </w:t>
      </w:r>
      <w:r w:rsidR="00AE6EDB" w:rsidRPr="00AE6EDB">
        <w:t>hľ</w:t>
      </w:r>
      <w:r w:rsidRPr="00AE6EDB">
        <w:t xml:space="preserve">adiska bol najvyšší počet znevýhodnených </w:t>
      </w:r>
      <w:proofErr w:type="spellStart"/>
      <w:r w:rsidRPr="00AE6EDB">
        <w:t>UoZ</w:t>
      </w:r>
      <w:proofErr w:type="spellEnd"/>
      <w:r w:rsidRPr="00AE6EDB">
        <w:t xml:space="preserve"> vo všetkých skupinách (okrem písmen </w:t>
      </w:r>
      <w:r w:rsidR="008322F1" w:rsidRPr="00AE6EDB">
        <w:t xml:space="preserve">f, </w:t>
      </w:r>
      <w:r w:rsidRPr="00AE6EDB">
        <w:t xml:space="preserve">g) v Prešovskom kraji. Ďalšími regiónmi s vysokými počtami znevýhodnených </w:t>
      </w:r>
      <w:proofErr w:type="spellStart"/>
      <w:r w:rsidRPr="00AE6EDB">
        <w:t>UoZ</w:t>
      </w:r>
      <w:proofErr w:type="spellEnd"/>
      <w:r w:rsidRPr="00AE6EDB">
        <w:t xml:space="preserve"> boli Košický a Banskobystrický kraj. Vo všetkých krajoch SR bol v roku 2015 najväčší počet znevýhodnených </w:t>
      </w:r>
      <w:proofErr w:type="spellStart"/>
      <w:r w:rsidRPr="00AE6EDB">
        <w:t>UoZ</w:t>
      </w:r>
      <w:proofErr w:type="spellEnd"/>
      <w:r w:rsidRPr="00AE6EDB">
        <w:t xml:space="preserve">, ktorí 12 mesiacov pred zaradením nemali pravidelne platené zamestnanie </w:t>
      </w:r>
      <w:r w:rsidR="008322F1" w:rsidRPr="00AE6EDB">
        <w:br/>
      </w:r>
      <w:r w:rsidRPr="00AE6EDB">
        <w:t>a na druhom mieste bola skupina dlhodobo evidovaných</w:t>
      </w:r>
      <w:r w:rsidR="008322F1" w:rsidRPr="00AE6EDB">
        <w:t xml:space="preserve"> občanov</w:t>
      </w:r>
      <w:r w:rsidRPr="00AE6EDB">
        <w:t>.</w:t>
      </w:r>
    </w:p>
    <w:p w:rsidR="002625B2" w:rsidRPr="00AE6EDB" w:rsidRDefault="002625B2" w:rsidP="002625B2">
      <w:pPr>
        <w:ind w:firstLine="431"/>
        <w:rPr>
          <w:highlight w:val="cyan"/>
        </w:rPr>
      </w:pPr>
    </w:p>
    <w:p w:rsidR="002625B2" w:rsidRPr="00AE6EDB" w:rsidRDefault="002625B2" w:rsidP="002625B2">
      <w:pPr>
        <w:autoSpaceDE w:val="0"/>
        <w:autoSpaceDN w:val="0"/>
        <w:adjustRightInd w:val="0"/>
        <w:ind w:firstLine="431"/>
      </w:pPr>
      <w:r w:rsidRPr="00AE6EDB">
        <w:t xml:space="preserve">Najpočetnejšou skupinou znevýhodnených </w:t>
      </w:r>
      <w:proofErr w:type="spellStart"/>
      <w:r w:rsidRPr="00AE6EDB">
        <w:t>UoZ</w:t>
      </w:r>
      <w:proofErr w:type="spellEnd"/>
      <w:r w:rsidRPr="00AE6EDB">
        <w:t xml:space="preserve"> sú občania, ktorí najmenej </w:t>
      </w:r>
      <w:r w:rsidRPr="00AE6EDB">
        <w:rPr>
          <w:b/>
          <w:bCs/>
        </w:rPr>
        <w:t>12 po sebe nasledujúcich kalendárnych mesiacov</w:t>
      </w:r>
      <w:r w:rsidRPr="00AE6EDB">
        <w:t xml:space="preserve"> pred zaradením do </w:t>
      </w:r>
      <w:r w:rsidRPr="00AE6EDB">
        <w:rPr>
          <w:b/>
          <w:bCs/>
        </w:rPr>
        <w:t>evidencie nemali pravidelne platené zamestnanie</w:t>
      </w:r>
      <w:r w:rsidRPr="00AE6EDB">
        <w:t>, t.j. nemali zamestnanie, ktoré trvalo najmenej 6 po sebe nasledujúcich mesiacov. V roku 2015 ich bolo v priemere v evidencii 24</w:t>
      </w:r>
      <w:r w:rsidR="0054295F">
        <w:t>2 0</w:t>
      </w:r>
      <w:r w:rsidRPr="00AE6EDB">
        <w:t>55, čo predstavovalo pokles oproti roku 2014 (26</w:t>
      </w:r>
      <w:r w:rsidR="0054295F">
        <w:t>3 3</w:t>
      </w:r>
      <w:r w:rsidRPr="00AE6EDB">
        <w:t>98) o 2</w:t>
      </w:r>
      <w:r w:rsidR="0054295F">
        <w:t>1 3</w:t>
      </w:r>
      <w:r w:rsidRPr="00AE6EDB">
        <w:t xml:space="preserve">43 osôb. Podiel na celkovom priemernom počte </w:t>
      </w:r>
      <w:proofErr w:type="spellStart"/>
      <w:r w:rsidRPr="00AE6EDB">
        <w:t>UoZ</w:t>
      </w:r>
      <w:proofErr w:type="spellEnd"/>
      <w:r w:rsidRPr="00AE6EDB">
        <w:t xml:space="preserve"> predstavoval 68,27</w:t>
      </w:r>
      <w:r w:rsidR="005676EF">
        <w:t> %</w:t>
      </w:r>
      <w:r w:rsidRPr="00AE6EDB">
        <w:t>, čo v porovnaní s rokom 2014 (68,30</w:t>
      </w:r>
      <w:r w:rsidR="005676EF">
        <w:t> %</w:t>
      </w:r>
      <w:r w:rsidRPr="00AE6EDB">
        <w:t>) znamenalo pokles len o 0,03 p. b.</w:t>
      </w:r>
    </w:p>
    <w:p w:rsidR="002625B2" w:rsidRPr="00AE6EDB" w:rsidRDefault="002625B2" w:rsidP="002625B2">
      <w:pPr>
        <w:autoSpaceDE w:val="0"/>
        <w:autoSpaceDN w:val="0"/>
        <w:adjustRightInd w:val="0"/>
        <w:ind w:firstLine="431"/>
      </w:pPr>
      <w:r w:rsidRPr="00AE6EDB">
        <w:lastRenderedPageBreak/>
        <w:t xml:space="preserve">Druhou najpočetnejšou znevýhodnenou skupinou sú </w:t>
      </w:r>
      <w:r w:rsidRPr="00AE6EDB">
        <w:rPr>
          <w:b/>
        </w:rPr>
        <w:t>dlhodobo nezamestnaní občania</w:t>
      </w:r>
      <w:r w:rsidRPr="00AE6EDB">
        <w:t>. V roku 2015 </w:t>
      </w:r>
      <w:r w:rsidR="008322F1" w:rsidRPr="00AE6EDB">
        <w:t xml:space="preserve">ich </w:t>
      </w:r>
      <w:r w:rsidRPr="00AE6EDB">
        <w:t xml:space="preserve">bolo v priemere </w:t>
      </w:r>
      <w:r w:rsidRPr="00AE6EDB">
        <w:rPr>
          <w:bCs/>
        </w:rPr>
        <w:t>v evidencii</w:t>
      </w:r>
      <w:r w:rsidR="008322F1" w:rsidRPr="00AE6EDB">
        <w:t xml:space="preserve"> 19</w:t>
      </w:r>
      <w:r w:rsidR="0054295F">
        <w:t>1 0</w:t>
      </w:r>
      <w:r w:rsidR="008322F1" w:rsidRPr="00AE6EDB">
        <w:t>55</w:t>
      </w:r>
      <w:r w:rsidRPr="00AE6EDB">
        <w:t>. Ich absolútny počet v porovnaní s rokom 2014 poklesol o 2</w:t>
      </w:r>
      <w:r w:rsidR="0054295F">
        <w:t>0 3</w:t>
      </w:r>
      <w:r w:rsidRPr="00AE6EDB">
        <w:t>67 osôb (o 9,63</w:t>
      </w:r>
      <w:r w:rsidR="005676EF">
        <w:t> %</w:t>
      </w:r>
      <w:r w:rsidRPr="00AE6EDB">
        <w:t xml:space="preserve">). Podiel dlhodobo nezamestnaných </w:t>
      </w:r>
      <w:r w:rsidR="008322F1" w:rsidRPr="00AE6EDB">
        <w:t>občanov</w:t>
      </w:r>
      <w:r w:rsidRPr="00AE6EDB">
        <w:t xml:space="preserve"> na celkovom počte </w:t>
      </w:r>
      <w:proofErr w:type="spellStart"/>
      <w:r w:rsidRPr="00AE6EDB">
        <w:t>UoZ</w:t>
      </w:r>
      <w:proofErr w:type="spellEnd"/>
      <w:r w:rsidRPr="00AE6EDB">
        <w:t xml:space="preserve"> v roku 2015 predstavoval v priemere 53,88</w:t>
      </w:r>
      <w:r w:rsidR="005676EF">
        <w:t> %</w:t>
      </w:r>
      <w:r w:rsidRPr="00AE6EDB">
        <w:t>, čo v porovnaní s rokom 2014 (54,82</w:t>
      </w:r>
      <w:r w:rsidR="005676EF">
        <w:t> %</w:t>
      </w:r>
      <w:r w:rsidRPr="00AE6EDB">
        <w:t>) predstavuje pokles o 0,94 p. b.</w:t>
      </w:r>
    </w:p>
    <w:p w:rsidR="002625B2" w:rsidRPr="00AE6EDB" w:rsidRDefault="002625B2" w:rsidP="002625B2">
      <w:pPr>
        <w:pStyle w:val="Nadpis7"/>
      </w:pPr>
      <w:r w:rsidRPr="00AE6EDB">
        <w:t>Graf 2.1</w:t>
      </w:r>
      <w:r w:rsidR="00C33FCB" w:rsidRPr="00AE6EDB">
        <w:t>6</w:t>
      </w:r>
      <w:r w:rsidRPr="00AE6EDB">
        <w:t xml:space="preserve"> Vývoj počtov </w:t>
      </w:r>
      <w:proofErr w:type="spellStart"/>
      <w:r w:rsidRPr="00AE6EDB">
        <w:t>UoZ</w:t>
      </w:r>
      <w:proofErr w:type="spellEnd"/>
      <w:r w:rsidRPr="00AE6EDB">
        <w:t xml:space="preserve"> dlhodobo nezamestnaných občanov </w:t>
      </w:r>
      <w:r w:rsidRPr="00AE6EDB">
        <w:br/>
        <w:t xml:space="preserve">a ich podiel na celkovom počte </w:t>
      </w:r>
      <w:proofErr w:type="spellStart"/>
      <w:r w:rsidRPr="00AE6EDB">
        <w:t>UoZ</w:t>
      </w:r>
      <w:proofErr w:type="spellEnd"/>
    </w:p>
    <w:p w:rsidR="002625B2" w:rsidRPr="00AE6EDB" w:rsidRDefault="00607054" w:rsidP="002625B2">
      <w:r w:rsidRPr="00AE6EDB">
        <w:rPr>
          <w:noProof/>
        </w:rPr>
        <w:drawing>
          <wp:inline distT="0" distB="0" distL="0" distR="0" wp14:anchorId="69BA54DD" wp14:editId="2C5688A4">
            <wp:extent cx="5760720" cy="3313363"/>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25B2" w:rsidRPr="00AE6EDB" w:rsidRDefault="002625B2" w:rsidP="002625B2">
      <w:pPr>
        <w:pStyle w:val="zdroj"/>
      </w:pPr>
      <w:r w:rsidRPr="00AE6EDB">
        <w:t>Zdroj: ÚPSVR</w:t>
      </w:r>
    </w:p>
    <w:p w:rsidR="002625B2" w:rsidRPr="00AE6EDB" w:rsidRDefault="002625B2" w:rsidP="002625B2">
      <w:pPr>
        <w:autoSpaceDE w:val="0"/>
        <w:autoSpaceDN w:val="0"/>
        <w:adjustRightInd w:val="0"/>
        <w:ind w:firstLine="431"/>
      </w:pPr>
      <w:r w:rsidRPr="00AE6EDB">
        <w:t xml:space="preserve">Priemerný mesačný počet </w:t>
      </w:r>
      <w:proofErr w:type="spellStart"/>
      <w:r w:rsidRPr="00AE6EDB">
        <w:t>UoZ</w:t>
      </w:r>
      <w:proofErr w:type="spellEnd"/>
      <w:r w:rsidRPr="00AE6EDB">
        <w:t xml:space="preserve"> z radov </w:t>
      </w:r>
      <w:r w:rsidRPr="00AE6EDB">
        <w:rPr>
          <w:b/>
          <w:bCs/>
        </w:rPr>
        <w:t>absolventov škôl</w:t>
      </w:r>
      <w:r w:rsidRPr="00AE6EDB">
        <w:t xml:space="preserve"> v roku 2015 dosiahol 2</w:t>
      </w:r>
      <w:r w:rsidR="0054295F">
        <w:t>2 2</w:t>
      </w:r>
      <w:r w:rsidRPr="00AE6EDB">
        <w:t>30 osôb. V porovnaní s rokom 2014 (2</w:t>
      </w:r>
      <w:r w:rsidR="00AC44CB">
        <w:t>7 7</w:t>
      </w:r>
      <w:r w:rsidRPr="00AE6EDB">
        <w:t>2</w:t>
      </w:r>
      <w:r w:rsidR="00AC44CB">
        <w:t>8 5</w:t>
      </w:r>
      <w:r w:rsidRPr="00AE6EDB">
        <w:t xml:space="preserve"> </w:t>
      </w:r>
      <w:proofErr w:type="spellStart"/>
      <w:r w:rsidRPr="00AE6EDB">
        <w:t>UoZ</w:t>
      </w:r>
      <w:proofErr w:type="spellEnd"/>
      <w:r w:rsidRPr="00AE6EDB">
        <w:t>) poklesol o </w:t>
      </w:r>
      <w:r w:rsidR="00AC44CB">
        <w:t>5 4</w:t>
      </w:r>
      <w:r w:rsidRPr="00AE6EDB">
        <w:t xml:space="preserve">98 osôb. Podiel na celkovom priemernom počte </w:t>
      </w:r>
      <w:proofErr w:type="spellStart"/>
      <w:r w:rsidRPr="00AE6EDB">
        <w:t>UoZ</w:t>
      </w:r>
      <w:proofErr w:type="spellEnd"/>
      <w:r w:rsidRPr="00AE6EDB">
        <w:t xml:space="preserve"> v porovnaní s rokom 2014 poklesol o 0,92 p. b., zo 7,19</w:t>
      </w:r>
      <w:r w:rsidR="005676EF">
        <w:t> %</w:t>
      </w:r>
      <w:r w:rsidRPr="00AE6EDB">
        <w:t xml:space="preserve"> na 6,27</w:t>
      </w:r>
      <w:r w:rsidR="005676EF">
        <w:t> %</w:t>
      </w:r>
      <w:r w:rsidRPr="00AE6EDB">
        <w:t xml:space="preserve"> v roku 2015.</w:t>
      </w:r>
    </w:p>
    <w:p w:rsidR="002625B2" w:rsidRPr="00AE6EDB" w:rsidRDefault="002625B2" w:rsidP="002625B2">
      <w:pPr>
        <w:autoSpaceDE w:val="0"/>
        <w:autoSpaceDN w:val="0"/>
        <w:adjustRightInd w:val="0"/>
        <w:ind w:firstLine="431"/>
      </w:pPr>
      <w:r w:rsidRPr="00AE6EDB">
        <w:t xml:space="preserve">Vývoj stavov </w:t>
      </w:r>
      <w:proofErr w:type="spellStart"/>
      <w:r w:rsidRPr="00AE6EDB">
        <w:t>UoZ</w:t>
      </w:r>
      <w:proofErr w:type="spellEnd"/>
      <w:r w:rsidRPr="00AE6EDB">
        <w:t xml:space="preserve"> absolventov má cyklický charakter a 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nastáva v júni kvôli prílevu absolventov vysokých škôl. Odtok je výraznejší v septembri, a to kvôli nástupu časti absolventov na sústavnú prípravu na povolanie.</w:t>
      </w:r>
    </w:p>
    <w:p w:rsidR="002625B2" w:rsidRPr="00AE6EDB" w:rsidRDefault="002625B2" w:rsidP="002625B2">
      <w:pPr>
        <w:autoSpaceDE w:val="0"/>
        <w:autoSpaceDN w:val="0"/>
        <w:adjustRightInd w:val="0"/>
        <w:ind w:firstLine="431"/>
      </w:pPr>
      <w:r w:rsidRPr="00AE6EDB">
        <w:t>Ku koncu roka 2015 bolo v evidencii na úradoch PSVR 1</w:t>
      </w:r>
      <w:r w:rsidR="00AC44CB">
        <w:t>9 3</w:t>
      </w:r>
      <w:r w:rsidRPr="00AE6EDB">
        <w:t>80 nezamestnaných absolventov škôl denného štúdia, čo predstavovalo 5,8</w:t>
      </w:r>
      <w:r w:rsidR="005676EF">
        <w:t> %</w:t>
      </w:r>
      <w:r w:rsidRPr="00AE6EDB">
        <w:t xml:space="preserve"> na celkovom počte všetkých </w:t>
      </w:r>
      <w:proofErr w:type="spellStart"/>
      <w:r w:rsidRPr="00AE6EDB">
        <w:t>UoZ</w:t>
      </w:r>
      <w:proofErr w:type="spellEnd"/>
      <w:r w:rsidRPr="00AE6EDB">
        <w:t>. V porovnaní s rovnakým obdobím minulého roka (2</w:t>
      </w:r>
      <w:r w:rsidR="00AC44CB">
        <w:t>6 4</w:t>
      </w:r>
      <w:r w:rsidRPr="00AE6EDB">
        <w:t>17 osôb) to znamenalo pokles o </w:t>
      </w:r>
      <w:r w:rsidR="00AC44CB">
        <w:t>7 0</w:t>
      </w:r>
      <w:r w:rsidRPr="00AE6EDB">
        <w:t>37 absolventov (relatívne o 26,64</w:t>
      </w:r>
      <w:r w:rsidR="005676EF">
        <w:t> %</w:t>
      </w:r>
      <w:r w:rsidRPr="00AE6EDB">
        <w:t>). Percentuálny podiel na celkových počtoch ku koncu roka 2014 predstavoval 7,06</w:t>
      </w:r>
      <w:r w:rsidR="005676EF">
        <w:t> %</w:t>
      </w:r>
      <w:r w:rsidRPr="00AE6EDB">
        <w:t>.</w:t>
      </w:r>
    </w:p>
    <w:p w:rsidR="002625B2" w:rsidRPr="00AE6EDB" w:rsidRDefault="002625B2" w:rsidP="002625B2">
      <w:pPr>
        <w:autoSpaceDE w:val="0"/>
        <w:autoSpaceDN w:val="0"/>
        <w:adjustRightInd w:val="0"/>
        <w:ind w:firstLine="431"/>
      </w:pPr>
      <w:r w:rsidRPr="00AE6EDB">
        <w:t xml:space="preserve"> Z hľadiska vzdelanostnej štruktúry najpočetnejšiu skupinu v roku 2015 tvorili absolventi s úplným stredným odborným vzdelaním, ktoré získali na SOŠ, v počte </w:t>
      </w:r>
      <w:r w:rsidR="00AC44CB">
        <w:t>8 8</w:t>
      </w:r>
      <w:r w:rsidRPr="00AE6EDB">
        <w:t>97 osôb (45,9</w:t>
      </w:r>
      <w:r w:rsidR="005676EF">
        <w:t> %</w:t>
      </w:r>
      <w:r w:rsidRPr="00AE6EDB">
        <w:t xml:space="preserve"> zo</w:t>
      </w:r>
      <w:r w:rsidR="00A4344B">
        <w:t> </w:t>
      </w:r>
      <w:r w:rsidRPr="00AE6EDB">
        <w:t>všetkých evidovaných absolventov). Špecifickú skupin</w:t>
      </w:r>
      <w:r w:rsidR="008100CC">
        <w:t xml:space="preserve">u reprezentovali absolventi </w:t>
      </w:r>
      <w:r w:rsidRPr="00AE6EDB">
        <w:t>s vysoko</w:t>
      </w:r>
      <w:r w:rsidR="008100CC">
        <w:softHyphen/>
      </w:r>
      <w:r w:rsidRPr="00AE6EDB">
        <w:t xml:space="preserve">školským vzdelaním II. stupňa s počtom </w:t>
      </w:r>
      <w:r w:rsidR="0054295F">
        <w:t>4 0</w:t>
      </w:r>
      <w:r w:rsidRPr="00AE6EDB">
        <w:t>43 a podielom 20,9</w:t>
      </w:r>
      <w:r w:rsidR="005676EF">
        <w:t> %</w:t>
      </w:r>
      <w:r w:rsidRPr="00AE6EDB">
        <w:t xml:space="preserve"> na celkovom počte evidovaných absolventov škôl (príloha ku kapitole 2 tabuľka 4). </w:t>
      </w:r>
    </w:p>
    <w:p w:rsidR="002625B2" w:rsidRPr="00AE6EDB" w:rsidRDefault="002625B2" w:rsidP="002625B2">
      <w:pPr>
        <w:autoSpaceDE w:val="0"/>
        <w:autoSpaceDN w:val="0"/>
        <w:adjustRightInd w:val="0"/>
        <w:ind w:firstLine="431"/>
      </w:pPr>
      <w:r w:rsidRPr="00AE6EDB">
        <w:t>Z pohľadu študijného odboru, najväčší podiel (54,8</w:t>
      </w:r>
      <w:r w:rsidR="005676EF">
        <w:t> %</w:t>
      </w:r>
      <w:r w:rsidRPr="00AE6EDB">
        <w:t>) tvorili absolventi v oblasti „Spoločenské vedy, náuky a služby“, a to v počte 1</w:t>
      </w:r>
      <w:r w:rsidR="0054295F">
        <w:t>0 6</w:t>
      </w:r>
      <w:r w:rsidRPr="00AE6EDB">
        <w:t>25 osôb. Táto skupina zaznamenala ku koncu roka 2015 medziročný pokles absolventov o </w:t>
      </w:r>
      <w:r w:rsidR="0054295F">
        <w:t>3 5</w:t>
      </w:r>
      <w:r w:rsidRPr="00AE6EDB">
        <w:t>39 osôb, pričom percentuálny podiel vzrástol medziročne o 1,2 p.</w:t>
      </w:r>
      <w:r w:rsidR="00AE6EDB">
        <w:t> </w:t>
      </w:r>
      <w:r w:rsidRPr="00AE6EDB">
        <w:t xml:space="preserve">b. Druhou najpočetnejšou skupinou boli absolventi v odbore „Technické vedy a náuky“, v počte </w:t>
      </w:r>
      <w:r w:rsidR="00AC44CB">
        <w:t>6 2</w:t>
      </w:r>
      <w:r w:rsidRPr="00AE6EDB">
        <w:t>90 osôb a s podielom 32,5</w:t>
      </w:r>
      <w:r w:rsidR="005676EF">
        <w:t> %</w:t>
      </w:r>
      <w:r w:rsidRPr="00AE6EDB">
        <w:t>.</w:t>
      </w:r>
    </w:p>
    <w:p w:rsidR="002625B2" w:rsidRPr="00AE6EDB" w:rsidRDefault="002625B2" w:rsidP="002625B2">
      <w:pPr>
        <w:autoSpaceDE w:val="0"/>
        <w:autoSpaceDN w:val="0"/>
        <w:adjustRightInd w:val="0"/>
        <w:ind w:firstLine="431"/>
      </w:pPr>
      <w:r w:rsidRPr="00AE6EDB">
        <w:lastRenderedPageBreak/>
        <w:t>V roku 2015 bolo priemerne</w:t>
      </w:r>
      <w:r w:rsidRPr="00AE6EDB">
        <w:rPr>
          <w:b/>
          <w:bCs/>
        </w:rPr>
        <w:t xml:space="preserve"> </w:t>
      </w:r>
      <w:r w:rsidRPr="00AE6EDB">
        <w:t>mesačne evidovaných 9</w:t>
      </w:r>
      <w:r w:rsidR="0054295F">
        <w:t>0 2</w:t>
      </w:r>
      <w:r w:rsidRPr="00AE6EDB">
        <w:t xml:space="preserve">42 </w:t>
      </w:r>
      <w:proofErr w:type="spellStart"/>
      <w:r w:rsidRPr="00AE6EDB">
        <w:t>UoZ</w:t>
      </w:r>
      <w:proofErr w:type="spellEnd"/>
      <w:r w:rsidRPr="00AE6EDB">
        <w:t xml:space="preserve"> </w:t>
      </w:r>
      <w:r w:rsidRPr="00AE6EDB">
        <w:rPr>
          <w:b/>
          <w:bCs/>
        </w:rPr>
        <w:t>starších ako 50 rokov</w:t>
      </w:r>
      <w:r w:rsidRPr="00AE6EDB">
        <w:t>. V porovnaní s rokom 2014 (9</w:t>
      </w:r>
      <w:r w:rsidR="0054295F">
        <w:t>4 2</w:t>
      </w:r>
      <w:r w:rsidRPr="00AE6EDB">
        <w:t>15 osôb) to predstavovalo pokles o </w:t>
      </w:r>
      <w:r w:rsidR="0054295F">
        <w:t>3 9</w:t>
      </w:r>
      <w:r w:rsidRPr="00AE6EDB">
        <w:t>73 osôb (o 4,22</w:t>
      </w:r>
      <w:r w:rsidR="005676EF">
        <w:t> %</w:t>
      </w:r>
      <w:r w:rsidRPr="00AE6EDB">
        <w:t xml:space="preserve">). Na celkovom počte </w:t>
      </w:r>
      <w:proofErr w:type="spellStart"/>
      <w:r w:rsidRPr="00AE6EDB">
        <w:t>UoZ</w:t>
      </w:r>
      <w:proofErr w:type="spellEnd"/>
      <w:r w:rsidRPr="00AE6EDB">
        <w:t xml:space="preserve"> predstavoval podiel </w:t>
      </w:r>
      <w:proofErr w:type="spellStart"/>
      <w:r w:rsidRPr="00AE6EDB">
        <w:t>UoZ</w:t>
      </w:r>
      <w:proofErr w:type="spellEnd"/>
      <w:r w:rsidRPr="00AE6EDB">
        <w:t xml:space="preserve"> starších ako 50 rokov 25,45</w:t>
      </w:r>
      <w:r w:rsidR="005676EF">
        <w:t> %</w:t>
      </w:r>
      <w:r w:rsidRPr="00AE6EDB">
        <w:t>, čo bol v porovnaní s rokom 2014 (24,43</w:t>
      </w:r>
      <w:r w:rsidR="005676EF">
        <w:t> %</w:t>
      </w:r>
      <w:r w:rsidRPr="00AE6EDB">
        <w:t>) nárast o1,02 p. b.</w:t>
      </w:r>
    </w:p>
    <w:p w:rsidR="002625B2" w:rsidRPr="00AE6EDB" w:rsidRDefault="002625B2" w:rsidP="002625B2">
      <w:pPr>
        <w:autoSpaceDE w:val="0"/>
        <w:autoSpaceDN w:val="0"/>
        <w:adjustRightInd w:val="0"/>
        <w:ind w:firstLine="431"/>
      </w:pPr>
      <w:r w:rsidRPr="00AE6EDB">
        <w:t>V roku 2015 bolo v evidencii v priemere 1</w:t>
      </w:r>
      <w:r w:rsidR="0054295F">
        <w:t>2 9</w:t>
      </w:r>
      <w:r w:rsidRPr="00AE6EDB">
        <w:t xml:space="preserve">17 </w:t>
      </w:r>
      <w:r w:rsidRPr="00AE6EDB">
        <w:rPr>
          <w:b/>
          <w:bCs/>
        </w:rPr>
        <w:t>občanov so zdravotným postihnutím</w:t>
      </w:r>
      <w:r w:rsidRPr="00AE6EDB">
        <w:t xml:space="preserve"> a ich počet medziročne vzrástol o 117 osôb. Podiel </w:t>
      </w:r>
      <w:proofErr w:type="spellStart"/>
      <w:r w:rsidRPr="00AE6EDB">
        <w:t>UoZ</w:t>
      </w:r>
      <w:proofErr w:type="spellEnd"/>
      <w:r w:rsidRPr="00AE6EDB">
        <w:t xml:space="preserve"> so zdravotným postihnutím na celkovom počte </w:t>
      </w:r>
      <w:proofErr w:type="spellStart"/>
      <w:r w:rsidRPr="00AE6EDB">
        <w:t>UoZ</w:t>
      </w:r>
      <w:proofErr w:type="spellEnd"/>
      <w:r w:rsidRPr="00AE6EDB">
        <w:t xml:space="preserve"> v roku 2015 predstavoval 3,64</w:t>
      </w:r>
      <w:r w:rsidR="005676EF">
        <w:t> %</w:t>
      </w:r>
      <w:r w:rsidRPr="00AE6EDB">
        <w:t xml:space="preserve">, pričom v porovnaní s predchádzajúcim rokom vzrástol o 0,32 p. b. </w:t>
      </w:r>
    </w:p>
    <w:p w:rsidR="002625B2" w:rsidRPr="00AE6EDB" w:rsidRDefault="002625B2" w:rsidP="002625B2">
      <w:pPr>
        <w:ind w:firstLine="431"/>
        <w:rPr>
          <w:szCs w:val="22"/>
          <w:highlight w:val="cyan"/>
        </w:rPr>
      </w:pPr>
      <w:r w:rsidRPr="00AE6EDB">
        <w:t xml:space="preserve">Podiel uchádzačov o zamestnanie, ktorí žili ako osamelé dospelé osoby s jednou alebo viacerými osobami odkázanými na ich starostlivosť alebo starajúce sa aspoň o jedno dieťa pred skončením povinnej školskej dochádzky na celkovom počte </w:t>
      </w:r>
      <w:proofErr w:type="spellStart"/>
      <w:r w:rsidRPr="00AE6EDB">
        <w:t>UoZ</w:t>
      </w:r>
      <w:proofErr w:type="spellEnd"/>
      <w:r w:rsidRPr="00AE6EDB">
        <w:t xml:space="preserve"> v roku 2015 narástol o 0,6 p. b. na 0,56</w:t>
      </w:r>
      <w:r w:rsidR="005676EF">
        <w:t> %</w:t>
      </w:r>
      <w:r w:rsidRPr="00AE6EDB">
        <w:t xml:space="preserve">. V roku 2015 bolo v evidencii v priemere </w:t>
      </w:r>
      <w:r w:rsidR="0054295F">
        <w:t>1 9</w:t>
      </w:r>
      <w:r w:rsidRPr="00AE6EDB">
        <w:t xml:space="preserve">72 týchto uchádzačov o zamestnanie, čo bolo </w:t>
      </w:r>
      <w:r w:rsidRPr="00AE6EDB">
        <w:br/>
        <w:t>o 22 osôb viac ako v roku 2014.</w:t>
      </w:r>
      <w:r w:rsidRPr="00AE6EDB">
        <w:rPr>
          <w:szCs w:val="22"/>
          <w:highlight w:val="cyan"/>
        </w:rPr>
        <w:t xml:space="preserve"> </w:t>
      </w:r>
    </w:p>
    <w:p w:rsidR="002625B2" w:rsidRPr="00AE6EDB" w:rsidRDefault="002625B2" w:rsidP="002625B2">
      <w:pPr>
        <w:pStyle w:val="Nadpis7"/>
      </w:pPr>
      <w:r w:rsidRPr="00AE6EDB">
        <w:t>Tabuľka 2.1</w:t>
      </w:r>
      <w:r w:rsidR="004A57BA" w:rsidRPr="00AE6EDB">
        <w:t>4</w:t>
      </w:r>
      <w:r w:rsidRPr="00AE6EDB">
        <w:t xml:space="preserve"> Podiel vybraných znevýhodnených skupín uchádzačov o zamestnanie </w:t>
      </w:r>
      <w:r w:rsidRPr="00AE6EDB">
        <w:br/>
        <w:t>na celkovom počte uchádzačov o zamestnanie (v</w:t>
      </w:r>
      <w:r w:rsidR="005676EF">
        <w:t> %</w:t>
      </w:r>
      <w:r w:rsidRPr="00AE6EDB">
        <w:t>)</w:t>
      </w:r>
    </w:p>
    <w:tbl>
      <w:tblPr>
        <w:tblW w:w="7572"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3508"/>
        <w:gridCol w:w="1401"/>
        <w:gridCol w:w="1276"/>
        <w:gridCol w:w="1387"/>
      </w:tblGrid>
      <w:tr w:rsidR="002625B2" w:rsidRPr="00AE6EDB" w:rsidTr="002625B2">
        <w:trPr>
          <w:trHeight w:val="567"/>
          <w:jc w:val="center"/>
        </w:trPr>
        <w:tc>
          <w:tcPr>
            <w:tcW w:w="3508" w:type="dxa"/>
            <w:vMerge w:val="restart"/>
            <w:shd w:val="clear" w:color="auto" w:fill="BF0000" w:themeFill="accent3" w:themeFillShade="BF"/>
            <w:vAlign w:val="center"/>
            <w:hideMark/>
          </w:tcPr>
          <w:p w:rsidR="002625B2" w:rsidRPr="00AE6EDB" w:rsidRDefault="002625B2" w:rsidP="002625B2">
            <w:pPr>
              <w:jc w:val="left"/>
              <w:rPr>
                <w:b/>
                <w:bCs/>
                <w:color w:val="FFFFFF"/>
              </w:rPr>
            </w:pPr>
            <w:r w:rsidRPr="00AE6EDB">
              <w:rPr>
                <w:b/>
                <w:bCs/>
                <w:color w:val="FFFFFF"/>
                <w:szCs w:val="22"/>
              </w:rPr>
              <w:t>Znevýhodnení uchádzači o zamestnanie</w:t>
            </w:r>
          </w:p>
        </w:tc>
        <w:tc>
          <w:tcPr>
            <w:tcW w:w="1401" w:type="dxa"/>
            <w:vMerge w:val="restart"/>
            <w:shd w:val="clear" w:color="auto"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2014</w:t>
            </w:r>
          </w:p>
        </w:tc>
        <w:tc>
          <w:tcPr>
            <w:tcW w:w="1276" w:type="dxa"/>
            <w:vMerge w:val="restart"/>
            <w:shd w:val="clear" w:color="auto"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2015</w:t>
            </w:r>
          </w:p>
        </w:tc>
        <w:tc>
          <w:tcPr>
            <w:tcW w:w="1387" w:type="dxa"/>
            <w:vMerge w:val="restart"/>
            <w:shd w:val="clear" w:color="auto" w:fill="BF0000" w:themeFill="accent3" w:themeFillShade="BF"/>
            <w:vAlign w:val="center"/>
            <w:hideMark/>
          </w:tcPr>
          <w:p w:rsidR="002625B2" w:rsidRPr="00AE6EDB" w:rsidRDefault="002625B2" w:rsidP="002625B2">
            <w:pPr>
              <w:jc w:val="center"/>
              <w:rPr>
                <w:b/>
                <w:bCs/>
                <w:color w:val="FFFFFF"/>
              </w:rPr>
            </w:pPr>
            <w:r w:rsidRPr="00AE6EDB">
              <w:rPr>
                <w:b/>
                <w:bCs/>
                <w:color w:val="FFFFFF"/>
                <w:szCs w:val="22"/>
              </w:rPr>
              <w:t>medziročný rast/pokles (p.</w:t>
            </w:r>
            <w:r w:rsidR="00AE6EDB">
              <w:rPr>
                <w:b/>
                <w:bCs/>
                <w:color w:val="FFFFFF"/>
                <w:szCs w:val="22"/>
              </w:rPr>
              <w:t> </w:t>
            </w:r>
            <w:r w:rsidRPr="00AE6EDB">
              <w:rPr>
                <w:b/>
                <w:bCs/>
                <w:color w:val="FFFFFF"/>
                <w:szCs w:val="22"/>
              </w:rPr>
              <w:t>b.)</w:t>
            </w:r>
          </w:p>
        </w:tc>
      </w:tr>
      <w:tr w:rsidR="002625B2" w:rsidRPr="00AE6EDB" w:rsidTr="002625B2">
        <w:trPr>
          <w:trHeight w:val="253"/>
          <w:jc w:val="center"/>
        </w:trPr>
        <w:tc>
          <w:tcPr>
            <w:tcW w:w="3508" w:type="dxa"/>
            <w:vMerge/>
            <w:shd w:val="clear" w:color="auto" w:fill="BF0000" w:themeFill="accent3" w:themeFillShade="BF"/>
            <w:vAlign w:val="center"/>
            <w:hideMark/>
          </w:tcPr>
          <w:p w:rsidR="002625B2" w:rsidRPr="00AE6EDB" w:rsidRDefault="002625B2" w:rsidP="002625B2">
            <w:pPr>
              <w:jc w:val="left"/>
              <w:rPr>
                <w:b/>
                <w:bCs/>
                <w:color w:val="FFFFFF"/>
              </w:rPr>
            </w:pPr>
          </w:p>
        </w:tc>
        <w:tc>
          <w:tcPr>
            <w:tcW w:w="1401" w:type="dxa"/>
            <w:vMerge/>
            <w:shd w:val="clear" w:color="auto" w:fill="BF0000" w:themeFill="accent3" w:themeFillShade="BF"/>
            <w:vAlign w:val="center"/>
            <w:hideMark/>
          </w:tcPr>
          <w:p w:rsidR="002625B2" w:rsidRPr="00AE6EDB" w:rsidRDefault="002625B2" w:rsidP="002625B2">
            <w:pPr>
              <w:jc w:val="left"/>
              <w:rPr>
                <w:b/>
                <w:bCs/>
                <w:color w:val="FFFFFF"/>
              </w:rPr>
            </w:pPr>
          </w:p>
        </w:tc>
        <w:tc>
          <w:tcPr>
            <w:tcW w:w="1276" w:type="dxa"/>
            <w:vMerge/>
            <w:shd w:val="clear" w:color="auto" w:fill="BF0000" w:themeFill="accent3" w:themeFillShade="BF"/>
            <w:vAlign w:val="center"/>
            <w:hideMark/>
          </w:tcPr>
          <w:p w:rsidR="002625B2" w:rsidRPr="00AE6EDB" w:rsidRDefault="002625B2" w:rsidP="002625B2">
            <w:pPr>
              <w:jc w:val="left"/>
              <w:rPr>
                <w:b/>
                <w:bCs/>
                <w:color w:val="FFFFFF"/>
              </w:rPr>
            </w:pPr>
          </w:p>
        </w:tc>
        <w:tc>
          <w:tcPr>
            <w:tcW w:w="1387" w:type="dxa"/>
            <w:vMerge/>
            <w:shd w:val="clear" w:color="auto" w:fill="BF0000" w:themeFill="accent3" w:themeFillShade="BF"/>
            <w:vAlign w:val="center"/>
            <w:hideMark/>
          </w:tcPr>
          <w:p w:rsidR="002625B2" w:rsidRPr="00AE6EDB" w:rsidRDefault="002625B2" w:rsidP="002625B2">
            <w:pPr>
              <w:jc w:val="left"/>
              <w:rPr>
                <w:b/>
                <w:bCs/>
                <w:color w:val="FFFFFF"/>
              </w:rPr>
            </w:pPr>
          </w:p>
        </w:tc>
      </w:tr>
      <w:tr w:rsidR="002625B2" w:rsidRPr="00AE6EDB" w:rsidTr="002625B2">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2625B2" w:rsidRPr="00AE6EDB" w:rsidRDefault="002625B2" w:rsidP="002625B2">
            <w:pPr>
              <w:jc w:val="left"/>
              <w:rPr>
                <w:color w:val="000000"/>
              </w:rPr>
            </w:pPr>
            <w:r w:rsidRPr="00AE6EDB">
              <w:rPr>
                <w:color w:val="000000"/>
              </w:rPr>
              <w:t>Absolventi škôl</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2625B2" w:rsidRPr="00AE6EDB" w:rsidRDefault="002625B2" w:rsidP="002625B2">
            <w:pPr>
              <w:jc w:val="right"/>
              <w:rPr>
                <w:color w:val="000000"/>
              </w:rPr>
            </w:pPr>
            <w:r w:rsidRPr="00AE6EDB">
              <w:rPr>
                <w:color w:val="000000"/>
              </w:rPr>
              <w:t>7,19</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2625B2" w:rsidRPr="00AE6EDB" w:rsidRDefault="002625B2" w:rsidP="002625B2">
            <w:pPr>
              <w:jc w:val="right"/>
              <w:rPr>
                <w:color w:val="000000"/>
              </w:rPr>
            </w:pPr>
            <w:r w:rsidRPr="00AE6EDB">
              <w:rPr>
                <w:color w:val="000000"/>
              </w:rPr>
              <w:t>6,27</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2625B2" w:rsidRPr="00AE6EDB" w:rsidRDefault="002625B2" w:rsidP="002625B2">
            <w:pPr>
              <w:jc w:val="right"/>
              <w:rPr>
                <w:color w:val="000000"/>
              </w:rPr>
            </w:pPr>
            <w:r w:rsidRPr="00AE6EDB">
              <w:rPr>
                <w:color w:val="000000"/>
              </w:rPr>
              <w:t>- 0,92</w:t>
            </w:r>
          </w:p>
        </w:tc>
      </w:tr>
      <w:tr w:rsidR="002625B2" w:rsidRPr="00AE6EDB" w:rsidTr="002625B2">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2625B2" w:rsidRPr="00AE6EDB" w:rsidRDefault="002625B2" w:rsidP="002625B2">
            <w:pPr>
              <w:jc w:val="left"/>
              <w:rPr>
                <w:color w:val="000000"/>
              </w:rPr>
            </w:pPr>
            <w:proofErr w:type="spellStart"/>
            <w:r w:rsidRPr="00AE6EDB">
              <w:rPr>
                <w:color w:val="000000"/>
              </w:rPr>
              <w:t>UoZ</w:t>
            </w:r>
            <w:proofErr w:type="spellEnd"/>
            <w:r w:rsidRPr="00AE6EDB">
              <w:rPr>
                <w:color w:val="000000"/>
              </w:rPr>
              <w:t xml:space="preserve"> starší ako 50 rokov</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2625B2" w:rsidRPr="00AE6EDB" w:rsidRDefault="002625B2" w:rsidP="002625B2">
            <w:pPr>
              <w:jc w:val="right"/>
              <w:rPr>
                <w:color w:val="000000"/>
              </w:rPr>
            </w:pPr>
            <w:r w:rsidRPr="00AE6EDB">
              <w:rPr>
                <w:color w:val="000000"/>
              </w:rPr>
              <w:t>24,43</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2625B2" w:rsidRPr="00AE6EDB" w:rsidRDefault="002625B2" w:rsidP="002625B2">
            <w:pPr>
              <w:jc w:val="right"/>
              <w:rPr>
                <w:color w:val="000000"/>
              </w:rPr>
            </w:pPr>
            <w:r w:rsidRPr="00AE6EDB">
              <w:rPr>
                <w:color w:val="000000"/>
              </w:rPr>
              <w:t>25,45</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2625B2" w:rsidRPr="00AE6EDB" w:rsidRDefault="002625B2" w:rsidP="002625B2">
            <w:pPr>
              <w:jc w:val="right"/>
              <w:rPr>
                <w:color w:val="000000"/>
              </w:rPr>
            </w:pPr>
            <w:r w:rsidRPr="00AE6EDB">
              <w:rPr>
                <w:color w:val="000000"/>
              </w:rPr>
              <w:t>1,02</w:t>
            </w:r>
          </w:p>
        </w:tc>
      </w:tr>
      <w:tr w:rsidR="002625B2" w:rsidRPr="00AE6EDB" w:rsidTr="002625B2">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2625B2" w:rsidRPr="00AE6EDB" w:rsidRDefault="008322F1" w:rsidP="002625B2">
            <w:pPr>
              <w:jc w:val="left"/>
              <w:rPr>
                <w:color w:val="000000"/>
              </w:rPr>
            </w:pPr>
            <w:r w:rsidRPr="00AE6EDB">
              <w:rPr>
                <w:color w:val="000000"/>
              </w:rPr>
              <w:t>D</w:t>
            </w:r>
            <w:r w:rsidR="002625B2" w:rsidRPr="00AE6EDB">
              <w:rPr>
                <w:color w:val="000000"/>
              </w:rPr>
              <w:t>lhodobo nezamestnaní občania</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2625B2" w:rsidRPr="00AE6EDB" w:rsidRDefault="002625B2" w:rsidP="002625B2">
            <w:pPr>
              <w:jc w:val="right"/>
              <w:rPr>
                <w:color w:val="000000"/>
              </w:rPr>
            </w:pPr>
            <w:r w:rsidRPr="00AE6EDB">
              <w:rPr>
                <w:color w:val="000000"/>
              </w:rPr>
              <w:t>54,82</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2625B2" w:rsidRPr="00AE6EDB" w:rsidRDefault="002625B2" w:rsidP="002625B2">
            <w:pPr>
              <w:jc w:val="right"/>
              <w:rPr>
                <w:color w:val="000000"/>
              </w:rPr>
            </w:pPr>
            <w:r w:rsidRPr="00AE6EDB">
              <w:rPr>
                <w:color w:val="000000"/>
              </w:rPr>
              <w:t>53,88</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2625B2" w:rsidRPr="00AE6EDB" w:rsidRDefault="002625B2" w:rsidP="002625B2">
            <w:pPr>
              <w:jc w:val="right"/>
              <w:rPr>
                <w:color w:val="000000"/>
              </w:rPr>
            </w:pPr>
            <w:r w:rsidRPr="00AE6EDB">
              <w:rPr>
                <w:color w:val="000000"/>
              </w:rPr>
              <w:t>- 0,94</w:t>
            </w:r>
          </w:p>
        </w:tc>
      </w:tr>
      <w:tr w:rsidR="002625B2" w:rsidRPr="00AE6EDB" w:rsidTr="002625B2">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2625B2" w:rsidRPr="00AE6EDB" w:rsidRDefault="002625B2" w:rsidP="002625B2">
            <w:pPr>
              <w:jc w:val="left"/>
              <w:rPr>
                <w:color w:val="000000"/>
              </w:rPr>
            </w:pPr>
            <w:proofErr w:type="spellStart"/>
            <w:r w:rsidRPr="00AE6EDB">
              <w:rPr>
                <w:color w:val="000000"/>
              </w:rPr>
              <w:t>UoZ</w:t>
            </w:r>
            <w:proofErr w:type="spellEnd"/>
            <w:r w:rsidRPr="00AE6EDB">
              <w:rPr>
                <w:color w:val="000000"/>
              </w:rPr>
              <w:t xml:space="preserve"> so zdravotným postihnutím</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2625B2" w:rsidRPr="00AE6EDB" w:rsidRDefault="002625B2" w:rsidP="002625B2">
            <w:pPr>
              <w:jc w:val="right"/>
              <w:rPr>
                <w:color w:val="000000"/>
              </w:rPr>
            </w:pPr>
            <w:r w:rsidRPr="00AE6EDB">
              <w:rPr>
                <w:color w:val="000000"/>
              </w:rPr>
              <w:t>3,32</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2625B2" w:rsidRPr="00AE6EDB" w:rsidRDefault="002625B2" w:rsidP="002625B2">
            <w:pPr>
              <w:jc w:val="right"/>
              <w:rPr>
                <w:color w:val="000000"/>
              </w:rPr>
            </w:pPr>
            <w:r w:rsidRPr="00AE6EDB">
              <w:rPr>
                <w:color w:val="000000"/>
              </w:rPr>
              <w:t>3,64</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2625B2" w:rsidRPr="00AE6EDB" w:rsidRDefault="002625B2" w:rsidP="002625B2">
            <w:pPr>
              <w:jc w:val="right"/>
              <w:rPr>
                <w:color w:val="000000"/>
              </w:rPr>
            </w:pPr>
            <w:r w:rsidRPr="00AE6EDB">
              <w:rPr>
                <w:color w:val="000000"/>
              </w:rPr>
              <w:t>0,32</w:t>
            </w:r>
          </w:p>
        </w:tc>
      </w:tr>
    </w:tbl>
    <w:p w:rsidR="002625B2" w:rsidRPr="00AE6EDB" w:rsidRDefault="002625B2" w:rsidP="002625B2">
      <w:pPr>
        <w:pStyle w:val="zdroj"/>
      </w:pPr>
      <w:r w:rsidRPr="00AE6EDB">
        <w:t xml:space="preserve">Zdroj: ÚPSVR </w:t>
      </w:r>
    </w:p>
    <w:p w:rsidR="00A8066C" w:rsidRPr="00AE6EDB" w:rsidRDefault="00A8066C">
      <w:pPr>
        <w:jc w:val="left"/>
        <w:rPr>
          <w:b/>
          <w:color w:val="E78A80" w:themeColor="accent2" w:themeTint="99"/>
          <w:szCs w:val="22"/>
        </w:rPr>
      </w:pPr>
      <w:r w:rsidRPr="00AE6EDB">
        <w:br w:type="page"/>
      </w:r>
    </w:p>
    <w:p w:rsidR="002625B2" w:rsidRPr="00AE6EDB" w:rsidRDefault="002625B2" w:rsidP="002625B2">
      <w:pPr>
        <w:pStyle w:val="Nadpis41"/>
      </w:pPr>
      <w:r w:rsidRPr="00AE6EDB">
        <w:lastRenderedPageBreak/>
        <w:t>Nezamestnanosť podľa výberového zisťovania pracovných síl ŠÚ SR</w:t>
      </w:r>
    </w:p>
    <w:p w:rsidR="002625B2" w:rsidRPr="00AE6EDB" w:rsidRDefault="002625B2" w:rsidP="002625B2">
      <w:pPr>
        <w:ind w:firstLine="567"/>
      </w:pPr>
      <w:r w:rsidRPr="00AE6EDB">
        <w:t>Počas celého roku 2015 pokračoval pokles nezamestnanosti z predchádzajúceho roku. Medziročné tempo poklesu počtu nezamestnaných vo všetkých štvrťrokoch ro</w:t>
      </w:r>
      <w:r w:rsidR="00CD5A09">
        <w:t>ku 2015 prekročilo hranicu 10</w:t>
      </w:r>
      <w:r w:rsidR="005676EF">
        <w:t> %</w:t>
      </w:r>
      <w:r w:rsidRPr="00AE6EDB">
        <w:t>. V 4. štvrťroku 2015 bol počet nezamestnaných najnižší od 3. štvrťroka 2009 a priblížil sa k hranici 300 tis. osôb.</w:t>
      </w:r>
    </w:p>
    <w:p w:rsidR="002625B2" w:rsidRPr="00AE6EDB" w:rsidRDefault="002625B2" w:rsidP="002625B2">
      <w:pPr>
        <w:pStyle w:val="Normlnysozarkami2"/>
        <w:ind w:firstLine="567"/>
      </w:pPr>
      <w:r w:rsidRPr="00AE6EDB">
        <w:t xml:space="preserve">V priemere za rok 2015 sa </w:t>
      </w:r>
      <w:r w:rsidRPr="00AE6EDB">
        <w:rPr>
          <w:b/>
        </w:rPr>
        <w:t>počet nezamestnaných</w:t>
      </w:r>
      <w:r w:rsidRPr="00AE6EDB">
        <w:t xml:space="preserve"> </w:t>
      </w:r>
      <w:r w:rsidRPr="00AE6EDB">
        <w:rPr>
          <w:b/>
        </w:rPr>
        <w:t>v SR</w:t>
      </w:r>
      <w:r w:rsidRPr="00AE6EDB">
        <w:t xml:space="preserve"> medziročne znížil o 44,</w:t>
      </w:r>
      <w:r w:rsidR="00B65D95">
        <w:t>4</w:t>
      </w:r>
      <w:r w:rsidRPr="00AE6EDB">
        <w:t xml:space="preserve"> tis. osôb, resp. o 12,4</w:t>
      </w:r>
      <w:r w:rsidR="005676EF">
        <w:t> %</w:t>
      </w:r>
      <w:r w:rsidRPr="00AE6EDB">
        <w:t xml:space="preserve"> na 314,3 tis. osôb. Medziročný pokles počtu nezamestnaných bol intenzívnejší u mužov, keď </w:t>
      </w:r>
      <w:r w:rsidR="008322F1" w:rsidRPr="00AE6EDB">
        <w:t xml:space="preserve">sa </w:t>
      </w:r>
      <w:r w:rsidRPr="00AE6EDB">
        <w:t>ich počet medziročne znížil o 19,8</w:t>
      </w:r>
      <w:r w:rsidR="005676EF">
        <w:t> %</w:t>
      </w:r>
      <w:r w:rsidRPr="00AE6EDB">
        <w:t>, resp. o 38,3 tis. osôb. Počet nezamestnaných žien za rovnaké obdobie poklesol o 3,8</w:t>
      </w:r>
      <w:r w:rsidR="005676EF">
        <w:t> %</w:t>
      </w:r>
      <w:r w:rsidRPr="00AE6EDB">
        <w:t>, resp. o 6,2 tis. osôb.</w:t>
      </w:r>
    </w:p>
    <w:p w:rsidR="002625B2" w:rsidRPr="00AE6EDB" w:rsidRDefault="002625B2" w:rsidP="002625B2">
      <w:pPr>
        <w:ind w:firstLine="567"/>
      </w:pPr>
      <w:r w:rsidRPr="00AE6EDB">
        <w:rPr>
          <w:b/>
        </w:rPr>
        <w:t xml:space="preserve">Priemerná miera nezamestnanosti </w:t>
      </w:r>
      <w:r w:rsidRPr="00AE6EDB">
        <w:t>dosiahla úroveň 11,5</w:t>
      </w:r>
      <w:r w:rsidR="005676EF">
        <w:t> %</w:t>
      </w:r>
      <w:r w:rsidRPr="00AE6EDB">
        <w:t xml:space="preserve"> (u mužov 10,3</w:t>
      </w:r>
      <w:r w:rsidR="005676EF">
        <w:t> %</w:t>
      </w:r>
      <w:r w:rsidRPr="00AE6EDB">
        <w:t xml:space="preserve"> a u žien 12,9</w:t>
      </w:r>
      <w:r w:rsidR="005676EF">
        <w:t> %</w:t>
      </w:r>
      <w:r w:rsidRPr="00AE6EDB">
        <w:t>) a medziročne bola nižšia o 1,7 p. b. (u mužov o 2,6 p. b. a u žien o 0,7 p. b.). To spôsobilo, že rozdiel v úrovni miery nezamestnanosti medzi mužmi a ženami sa oproti predchádzajúcemu roku zvýšil na 2,6 p. b., kým v roku 2014 bol tento rozdiel 0,7 p. b.</w:t>
      </w:r>
    </w:p>
    <w:p w:rsidR="002625B2" w:rsidRPr="00AE6EDB" w:rsidRDefault="002625B2" w:rsidP="002625B2">
      <w:pPr>
        <w:pStyle w:val="Normlnysozarkami2"/>
        <w:ind w:firstLine="567"/>
      </w:pPr>
      <w:r w:rsidRPr="00AE6EDB">
        <w:t xml:space="preserve">Špecifická </w:t>
      </w:r>
      <w:r w:rsidRPr="00AE6EDB">
        <w:rPr>
          <w:b/>
          <w:i/>
        </w:rPr>
        <w:t xml:space="preserve">miera nezamestnanosti mladých ľudí vo veku 15 </w:t>
      </w:r>
      <w:r w:rsidRPr="00AE6EDB">
        <w:rPr>
          <w:i/>
          <w:color w:val="000000" w:themeColor="text1"/>
        </w:rPr>
        <w:t>–</w:t>
      </w:r>
      <w:r w:rsidRPr="00AE6EDB">
        <w:rPr>
          <w:b/>
          <w:i/>
        </w:rPr>
        <w:t xml:space="preserve"> 24 rokov</w:t>
      </w:r>
      <w:r w:rsidRPr="00AE6EDB">
        <w:t xml:space="preserve"> sa medziročne znížila o 3,3 p. b. na 26,4</w:t>
      </w:r>
      <w:r w:rsidR="005676EF">
        <w:t> %</w:t>
      </w:r>
      <w:r w:rsidRPr="00AE6EDB">
        <w:t>, pričom jej pokles bol výraznejší u mužov (o 3,7 p. b. na 25,8</w:t>
      </w:r>
      <w:r w:rsidR="005676EF">
        <w:t> %</w:t>
      </w:r>
      <w:r w:rsidRPr="00AE6EDB">
        <w:t>) ako u žien (o</w:t>
      </w:r>
      <w:r w:rsidR="00A8066C" w:rsidRPr="00AE6EDB">
        <w:t> </w:t>
      </w:r>
      <w:r w:rsidRPr="00AE6EDB">
        <w:t>2,6 p. b. na 27,5</w:t>
      </w:r>
      <w:r w:rsidR="005676EF">
        <w:t> %</w:t>
      </w:r>
      <w:r w:rsidRPr="00AE6EDB">
        <w:t xml:space="preserve">). </w:t>
      </w:r>
    </w:p>
    <w:p w:rsidR="002625B2" w:rsidRPr="00AE6EDB" w:rsidRDefault="002625B2" w:rsidP="002625B2">
      <w:pPr>
        <w:ind w:firstLine="431"/>
        <w:rPr>
          <w:highlight w:val="cyan"/>
        </w:rPr>
      </w:pPr>
      <w:r w:rsidRPr="00AE6EDB">
        <w:t xml:space="preserve">Špecifická </w:t>
      </w:r>
      <w:r w:rsidRPr="00AE6EDB">
        <w:rPr>
          <w:b/>
          <w:i/>
        </w:rPr>
        <w:t xml:space="preserve">miera nezamestnanosti starších osôb (vo veku 55 </w:t>
      </w:r>
      <w:r w:rsidRPr="00AE6EDB">
        <w:rPr>
          <w:i/>
          <w:color w:val="000000" w:themeColor="text1"/>
        </w:rPr>
        <w:t>–</w:t>
      </w:r>
      <w:r w:rsidRPr="00AE6EDB">
        <w:rPr>
          <w:b/>
          <w:i/>
        </w:rPr>
        <w:t xml:space="preserve"> 64 rokov)</w:t>
      </w:r>
      <w:r w:rsidRPr="00AE6EDB">
        <w:t xml:space="preserve"> bola medziročne nižšia o 1,2 p. b., keď dosiahla 9,4</w:t>
      </w:r>
      <w:r w:rsidR="005676EF">
        <w:t> %</w:t>
      </w:r>
      <w:r w:rsidRPr="00AE6EDB">
        <w:t>, pričom poklesla u oboch pohlaví (u mužov 1,5 p. b. na 8,2</w:t>
      </w:r>
      <w:r w:rsidR="005676EF">
        <w:t> %</w:t>
      </w:r>
      <w:r w:rsidRPr="00AE6EDB">
        <w:t>, u žien o</w:t>
      </w:r>
      <w:r w:rsidR="00A8066C" w:rsidRPr="00AE6EDB">
        <w:t> </w:t>
      </w:r>
      <w:r w:rsidRPr="00AE6EDB">
        <w:t>1,2 p. b. na 10,6</w:t>
      </w:r>
      <w:r w:rsidR="005676EF">
        <w:t> %</w:t>
      </w:r>
      <w:r w:rsidRPr="00AE6EDB">
        <w:t>).</w:t>
      </w:r>
      <w:r w:rsidRPr="00AE6EDB">
        <w:rPr>
          <w:highlight w:val="cyan"/>
        </w:rPr>
        <w:t xml:space="preserve"> </w:t>
      </w:r>
    </w:p>
    <w:p w:rsidR="002625B2" w:rsidRPr="00AE6EDB" w:rsidRDefault="002625B2" w:rsidP="002625B2">
      <w:pPr>
        <w:pStyle w:val="Nadpis7"/>
      </w:pPr>
      <w:r w:rsidRPr="00AE6EDB">
        <w:t>Tabuľka 2.1</w:t>
      </w:r>
      <w:r w:rsidR="004A57BA" w:rsidRPr="00AE6EDB">
        <w:t>5</w:t>
      </w:r>
      <w:r w:rsidRPr="00AE6EDB">
        <w:t xml:space="preserve"> Nezamestnanosť podľa veku v roku 2015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2625B2" w:rsidRPr="00AE6EDB" w:rsidTr="002625B2">
        <w:trPr>
          <w:trHeight w:val="300"/>
          <w:jc w:val="center"/>
        </w:trPr>
        <w:tc>
          <w:tcPr>
            <w:tcW w:w="1750" w:type="dxa"/>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Kraj</w:t>
            </w:r>
          </w:p>
        </w:tc>
        <w:tc>
          <w:tcPr>
            <w:tcW w:w="4130" w:type="dxa"/>
            <w:gridSpan w:val="3"/>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Nezamestnaní</w:t>
            </w:r>
          </w:p>
        </w:tc>
        <w:tc>
          <w:tcPr>
            <w:tcW w:w="2693" w:type="dxa"/>
            <w:gridSpan w:val="2"/>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Miera nezamestnanosti</w:t>
            </w:r>
          </w:p>
        </w:tc>
      </w:tr>
      <w:tr w:rsidR="002625B2" w:rsidRPr="00AE6EDB" w:rsidTr="002625B2">
        <w:trPr>
          <w:trHeight w:val="510"/>
          <w:jc w:val="center"/>
        </w:trPr>
        <w:tc>
          <w:tcPr>
            <w:tcW w:w="1750" w:type="dxa"/>
            <w:vMerge/>
            <w:shd w:val="clear" w:color="auto" w:fill="BF0000" w:themeFill="accent3" w:themeFillShade="BF"/>
            <w:vAlign w:val="center"/>
          </w:tcPr>
          <w:p w:rsidR="002625B2" w:rsidRPr="00AE6EDB" w:rsidRDefault="002625B2" w:rsidP="002625B2">
            <w:pPr>
              <w:jc w:val="center"/>
              <w:rPr>
                <w:b/>
                <w:color w:val="FFFFFF" w:themeColor="background1"/>
              </w:rPr>
            </w:pPr>
          </w:p>
        </w:tc>
        <w:tc>
          <w:tcPr>
            <w:tcW w:w="1295"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 tis. osôb</w:t>
            </w:r>
          </w:p>
        </w:tc>
        <w:tc>
          <w:tcPr>
            <w:tcW w:w="1559"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Podiel</w:t>
            </w:r>
          </w:p>
          <w:p w:rsidR="002625B2" w:rsidRPr="00AE6EDB" w:rsidRDefault="002625B2" w:rsidP="002625B2">
            <w:pPr>
              <w:jc w:val="center"/>
              <w:rPr>
                <w:b/>
                <w:color w:val="FFFFFF" w:themeColor="background1"/>
              </w:rPr>
            </w:pPr>
            <w:r w:rsidRPr="00AE6EDB">
              <w:rPr>
                <w:b/>
                <w:color w:val="FFFFFF" w:themeColor="background1"/>
              </w:rPr>
              <w:t>na SR (v</w:t>
            </w:r>
            <w:r w:rsidR="005676EF">
              <w:rPr>
                <w:b/>
                <w:color w:val="FFFFFF" w:themeColor="background1"/>
              </w:rPr>
              <w:t> %</w:t>
            </w:r>
            <w:r w:rsidRPr="00AE6EDB">
              <w:rPr>
                <w:b/>
                <w:color w:val="FFFFFF" w:themeColor="background1"/>
              </w:rPr>
              <w:t>)</w:t>
            </w:r>
          </w:p>
        </w:tc>
        <w:tc>
          <w:tcPr>
            <w:tcW w:w="1276"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c>
          <w:tcPr>
            <w:tcW w:w="1134"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p>
        </w:tc>
        <w:tc>
          <w:tcPr>
            <w:tcW w:w="1559"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Zmena oproti</w:t>
            </w:r>
          </w:p>
          <w:p w:rsidR="002625B2" w:rsidRPr="00AE6EDB" w:rsidRDefault="002625B2" w:rsidP="002625B2">
            <w:pPr>
              <w:jc w:val="center"/>
              <w:rPr>
                <w:b/>
                <w:color w:val="FFFFFF" w:themeColor="background1"/>
              </w:rPr>
            </w:pPr>
            <w:r w:rsidRPr="00AE6EDB">
              <w:rPr>
                <w:b/>
                <w:color w:val="FFFFFF" w:themeColor="background1"/>
              </w:rPr>
              <w:t>2014 (v p. b.)</w:t>
            </w:r>
          </w:p>
        </w:tc>
      </w:tr>
      <w:tr w:rsidR="002625B2" w:rsidRPr="00AE6EDB" w:rsidTr="002625B2">
        <w:trPr>
          <w:trHeight w:val="259"/>
          <w:jc w:val="center"/>
        </w:trPr>
        <w:tc>
          <w:tcPr>
            <w:tcW w:w="1750" w:type="dxa"/>
            <w:noWrap/>
            <w:vAlign w:val="center"/>
          </w:tcPr>
          <w:p w:rsidR="002625B2" w:rsidRPr="00AE6EDB" w:rsidRDefault="002625B2" w:rsidP="002625B2">
            <w:pPr>
              <w:rPr>
                <w:b/>
              </w:rPr>
            </w:pPr>
            <w:r w:rsidRPr="00AE6EDB">
              <w:rPr>
                <w:b/>
              </w:rPr>
              <w:t>SR spolu</w:t>
            </w:r>
          </w:p>
        </w:tc>
        <w:tc>
          <w:tcPr>
            <w:tcW w:w="1295" w:type="dxa"/>
            <w:noWrap/>
            <w:vAlign w:val="center"/>
          </w:tcPr>
          <w:p w:rsidR="002625B2" w:rsidRPr="00AE6EDB" w:rsidRDefault="002625B2" w:rsidP="002625B2">
            <w:pPr>
              <w:ind w:right="226"/>
              <w:jc w:val="right"/>
              <w:rPr>
                <w:b/>
              </w:rPr>
            </w:pPr>
            <w:r w:rsidRPr="00AE6EDB">
              <w:rPr>
                <w:b/>
              </w:rPr>
              <w:t>314,3</w:t>
            </w:r>
          </w:p>
        </w:tc>
        <w:tc>
          <w:tcPr>
            <w:tcW w:w="1559" w:type="dxa"/>
            <w:noWrap/>
            <w:vAlign w:val="center"/>
          </w:tcPr>
          <w:p w:rsidR="002625B2" w:rsidRPr="00AE6EDB" w:rsidRDefault="002625B2" w:rsidP="002625B2">
            <w:pPr>
              <w:ind w:right="226"/>
              <w:jc w:val="right"/>
              <w:rPr>
                <w:b/>
              </w:rPr>
            </w:pPr>
            <w:r w:rsidRPr="00AE6EDB">
              <w:rPr>
                <w:b/>
              </w:rPr>
              <w:t>100,0</w:t>
            </w:r>
          </w:p>
        </w:tc>
        <w:tc>
          <w:tcPr>
            <w:tcW w:w="1276" w:type="dxa"/>
            <w:noWrap/>
            <w:vAlign w:val="center"/>
          </w:tcPr>
          <w:p w:rsidR="002625B2" w:rsidRPr="00AE6EDB" w:rsidRDefault="002625B2" w:rsidP="002625B2">
            <w:pPr>
              <w:ind w:right="226"/>
              <w:jc w:val="right"/>
              <w:rPr>
                <w:b/>
              </w:rPr>
            </w:pPr>
            <w:r w:rsidRPr="00AE6EDB">
              <w:rPr>
                <w:b/>
              </w:rPr>
              <w:t>87,8</w:t>
            </w:r>
          </w:p>
        </w:tc>
        <w:tc>
          <w:tcPr>
            <w:tcW w:w="1134" w:type="dxa"/>
            <w:noWrap/>
            <w:vAlign w:val="center"/>
          </w:tcPr>
          <w:p w:rsidR="002625B2" w:rsidRPr="00AE6EDB" w:rsidRDefault="002625B2" w:rsidP="002625B2">
            <w:pPr>
              <w:ind w:right="214"/>
              <w:jc w:val="right"/>
              <w:rPr>
                <w:b/>
              </w:rPr>
            </w:pPr>
            <w:r w:rsidRPr="00AE6EDB">
              <w:rPr>
                <w:b/>
              </w:rPr>
              <w:t>11,5</w:t>
            </w:r>
          </w:p>
        </w:tc>
        <w:tc>
          <w:tcPr>
            <w:tcW w:w="1559" w:type="dxa"/>
            <w:noWrap/>
            <w:vAlign w:val="center"/>
          </w:tcPr>
          <w:p w:rsidR="002625B2" w:rsidRPr="00AE6EDB" w:rsidRDefault="002625B2" w:rsidP="002625B2">
            <w:pPr>
              <w:ind w:right="214"/>
              <w:jc w:val="right"/>
              <w:rPr>
                <w:b/>
              </w:rPr>
            </w:pPr>
            <w:r w:rsidRPr="00AE6EDB">
              <w:rPr>
                <w:b/>
              </w:rPr>
              <w:t>-1,7</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v tom veková skupina:</w:t>
            </w:r>
          </w:p>
        </w:tc>
        <w:tc>
          <w:tcPr>
            <w:tcW w:w="1295" w:type="dxa"/>
            <w:noWrap/>
            <w:vAlign w:val="center"/>
          </w:tcPr>
          <w:p w:rsidR="002625B2" w:rsidRPr="00AE6EDB" w:rsidRDefault="002625B2" w:rsidP="002625B2">
            <w:pPr>
              <w:ind w:right="226"/>
              <w:jc w:val="right"/>
            </w:pPr>
          </w:p>
        </w:tc>
        <w:tc>
          <w:tcPr>
            <w:tcW w:w="1559" w:type="dxa"/>
            <w:noWrap/>
            <w:vAlign w:val="center"/>
          </w:tcPr>
          <w:p w:rsidR="002625B2" w:rsidRPr="00AE6EDB" w:rsidRDefault="002625B2" w:rsidP="002625B2">
            <w:pPr>
              <w:ind w:right="226"/>
              <w:jc w:val="right"/>
            </w:pPr>
          </w:p>
        </w:tc>
        <w:tc>
          <w:tcPr>
            <w:tcW w:w="1276" w:type="dxa"/>
            <w:noWrap/>
            <w:vAlign w:val="center"/>
          </w:tcPr>
          <w:p w:rsidR="002625B2" w:rsidRPr="00AE6EDB" w:rsidRDefault="002625B2" w:rsidP="002625B2">
            <w:pPr>
              <w:ind w:right="226"/>
              <w:jc w:val="right"/>
            </w:pPr>
          </w:p>
        </w:tc>
        <w:tc>
          <w:tcPr>
            <w:tcW w:w="1134" w:type="dxa"/>
            <w:noWrap/>
            <w:vAlign w:val="center"/>
          </w:tcPr>
          <w:p w:rsidR="002625B2" w:rsidRPr="00AE6EDB" w:rsidRDefault="002625B2" w:rsidP="002625B2">
            <w:pPr>
              <w:ind w:right="214"/>
              <w:jc w:val="right"/>
            </w:pPr>
          </w:p>
        </w:tc>
        <w:tc>
          <w:tcPr>
            <w:tcW w:w="1559" w:type="dxa"/>
            <w:noWrap/>
            <w:vAlign w:val="center"/>
          </w:tcPr>
          <w:p w:rsidR="002625B2" w:rsidRPr="00AE6EDB" w:rsidRDefault="002625B2" w:rsidP="002625B2">
            <w:pPr>
              <w:ind w:right="529"/>
              <w:jc w:val="right"/>
            </w:pP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15 </w:t>
            </w:r>
            <w:r w:rsidRPr="00AE6EDB">
              <w:rPr>
                <w:color w:val="000000" w:themeColor="text1"/>
                <w:sz w:val="20"/>
                <w:szCs w:val="20"/>
              </w:rPr>
              <w:t>–</w:t>
            </w:r>
            <w:r w:rsidRPr="00AE6EDB">
              <w:rPr>
                <w:sz w:val="20"/>
                <w:szCs w:val="20"/>
              </w:rPr>
              <w:t xml:space="preserve"> 19 rokov</w:t>
            </w:r>
          </w:p>
        </w:tc>
        <w:tc>
          <w:tcPr>
            <w:tcW w:w="1295" w:type="dxa"/>
            <w:noWrap/>
            <w:vAlign w:val="center"/>
          </w:tcPr>
          <w:p w:rsidR="002625B2" w:rsidRPr="00AE6EDB" w:rsidRDefault="002625B2" w:rsidP="002625B2">
            <w:pPr>
              <w:ind w:right="226"/>
              <w:jc w:val="right"/>
            </w:pPr>
            <w:r w:rsidRPr="00AE6EDB">
              <w:t>9,8</w:t>
            </w:r>
          </w:p>
        </w:tc>
        <w:tc>
          <w:tcPr>
            <w:tcW w:w="1559" w:type="dxa"/>
            <w:noWrap/>
            <w:vAlign w:val="center"/>
          </w:tcPr>
          <w:p w:rsidR="002625B2" w:rsidRPr="00AE6EDB" w:rsidRDefault="002625B2" w:rsidP="002625B2">
            <w:pPr>
              <w:ind w:right="226"/>
              <w:jc w:val="right"/>
            </w:pPr>
            <w:r w:rsidRPr="00AE6EDB">
              <w:t>3,1</w:t>
            </w:r>
          </w:p>
        </w:tc>
        <w:tc>
          <w:tcPr>
            <w:tcW w:w="1276" w:type="dxa"/>
            <w:noWrap/>
            <w:vAlign w:val="center"/>
          </w:tcPr>
          <w:p w:rsidR="002625B2" w:rsidRPr="00AE6EDB" w:rsidRDefault="002625B2" w:rsidP="002625B2">
            <w:pPr>
              <w:ind w:right="226"/>
              <w:jc w:val="right"/>
            </w:pPr>
            <w:r w:rsidRPr="00AE6EDB">
              <w:t>90,7</w:t>
            </w:r>
          </w:p>
        </w:tc>
        <w:tc>
          <w:tcPr>
            <w:tcW w:w="1134" w:type="dxa"/>
            <w:noWrap/>
            <w:vAlign w:val="center"/>
          </w:tcPr>
          <w:p w:rsidR="002625B2" w:rsidRPr="00AE6EDB" w:rsidRDefault="002625B2" w:rsidP="002625B2">
            <w:pPr>
              <w:ind w:right="226"/>
              <w:jc w:val="right"/>
            </w:pPr>
            <w:r w:rsidRPr="00AE6EDB">
              <w:t>53,2</w:t>
            </w:r>
          </w:p>
        </w:tc>
        <w:tc>
          <w:tcPr>
            <w:tcW w:w="1559" w:type="dxa"/>
            <w:noWrap/>
            <w:vAlign w:val="center"/>
          </w:tcPr>
          <w:p w:rsidR="002625B2" w:rsidRPr="00AE6EDB" w:rsidRDefault="002625B2" w:rsidP="002625B2">
            <w:pPr>
              <w:ind w:right="226"/>
              <w:jc w:val="right"/>
            </w:pPr>
            <w:r w:rsidRPr="00AE6EDB">
              <w:t>-2,8</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20 </w:t>
            </w:r>
            <w:r w:rsidRPr="00AE6EDB">
              <w:rPr>
                <w:color w:val="000000" w:themeColor="text1"/>
                <w:sz w:val="20"/>
                <w:szCs w:val="20"/>
              </w:rPr>
              <w:t>–</w:t>
            </w:r>
            <w:r w:rsidRPr="00AE6EDB">
              <w:rPr>
                <w:sz w:val="20"/>
                <w:szCs w:val="20"/>
              </w:rPr>
              <w:t xml:space="preserve"> 24 rokov</w:t>
            </w:r>
          </w:p>
        </w:tc>
        <w:tc>
          <w:tcPr>
            <w:tcW w:w="1295" w:type="dxa"/>
            <w:noWrap/>
            <w:vAlign w:val="center"/>
          </w:tcPr>
          <w:p w:rsidR="002625B2" w:rsidRPr="00AE6EDB" w:rsidRDefault="002625B2" w:rsidP="002625B2">
            <w:pPr>
              <w:ind w:right="226"/>
              <w:jc w:val="right"/>
            </w:pPr>
            <w:r w:rsidRPr="00AE6EDB">
              <w:t>45,5</w:t>
            </w:r>
          </w:p>
        </w:tc>
        <w:tc>
          <w:tcPr>
            <w:tcW w:w="1559" w:type="dxa"/>
            <w:noWrap/>
            <w:vAlign w:val="center"/>
          </w:tcPr>
          <w:p w:rsidR="002625B2" w:rsidRPr="00AE6EDB" w:rsidRDefault="002625B2" w:rsidP="002625B2">
            <w:pPr>
              <w:ind w:right="226"/>
              <w:jc w:val="right"/>
            </w:pPr>
            <w:r w:rsidRPr="00AE6EDB">
              <w:t>14,5</w:t>
            </w:r>
          </w:p>
        </w:tc>
        <w:tc>
          <w:tcPr>
            <w:tcW w:w="1276" w:type="dxa"/>
            <w:noWrap/>
            <w:vAlign w:val="center"/>
          </w:tcPr>
          <w:p w:rsidR="002625B2" w:rsidRPr="00AE6EDB" w:rsidRDefault="002625B2" w:rsidP="002625B2">
            <w:pPr>
              <w:ind w:right="226"/>
              <w:jc w:val="right"/>
            </w:pPr>
            <w:r w:rsidRPr="00AE6EDB">
              <w:t>87,7</w:t>
            </w:r>
          </w:p>
        </w:tc>
        <w:tc>
          <w:tcPr>
            <w:tcW w:w="1134" w:type="dxa"/>
            <w:noWrap/>
            <w:vAlign w:val="center"/>
          </w:tcPr>
          <w:p w:rsidR="002625B2" w:rsidRPr="00AE6EDB" w:rsidRDefault="002625B2" w:rsidP="002625B2">
            <w:pPr>
              <w:ind w:right="226"/>
              <w:jc w:val="right"/>
            </w:pPr>
            <w:r w:rsidRPr="00AE6EDB">
              <w:t>23,9</w:t>
            </w:r>
          </w:p>
        </w:tc>
        <w:tc>
          <w:tcPr>
            <w:tcW w:w="1559" w:type="dxa"/>
            <w:noWrap/>
            <w:vAlign w:val="center"/>
          </w:tcPr>
          <w:p w:rsidR="002625B2" w:rsidRPr="00AE6EDB" w:rsidRDefault="002625B2" w:rsidP="002625B2">
            <w:pPr>
              <w:ind w:right="226"/>
              <w:jc w:val="right"/>
            </w:pPr>
            <w:r w:rsidRPr="00AE6EDB">
              <w:t>-3,2</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25 </w:t>
            </w:r>
            <w:r w:rsidRPr="00AE6EDB">
              <w:rPr>
                <w:color w:val="000000" w:themeColor="text1"/>
                <w:sz w:val="20"/>
                <w:szCs w:val="20"/>
              </w:rPr>
              <w:t>–</w:t>
            </w:r>
            <w:r w:rsidRPr="00AE6EDB">
              <w:rPr>
                <w:sz w:val="20"/>
                <w:szCs w:val="20"/>
              </w:rPr>
              <w:t xml:space="preserve"> 29 rokov</w:t>
            </w:r>
          </w:p>
        </w:tc>
        <w:tc>
          <w:tcPr>
            <w:tcW w:w="1295" w:type="dxa"/>
            <w:noWrap/>
            <w:vAlign w:val="center"/>
          </w:tcPr>
          <w:p w:rsidR="002625B2" w:rsidRPr="00AE6EDB" w:rsidRDefault="002625B2" w:rsidP="002625B2">
            <w:pPr>
              <w:ind w:right="226"/>
              <w:jc w:val="right"/>
            </w:pPr>
            <w:r w:rsidRPr="00AE6EDB">
              <w:t>41,4</w:t>
            </w:r>
          </w:p>
        </w:tc>
        <w:tc>
          <w:tcPr>
            <w:tcW w:w="1559" w:type="dxa"/>
            <w:noWrap/>
            <w:vAlign w:val="center"/>
          </w:tcPr>
          <w:p w:rsidR="002625B2" w:rsidRPr="00AE6EDB" w:rsidRDefault="002625B2" w:rsidP="002625B2">
            <w:pPr>
              <w:ind w:right="226"/>
              <w:jc w:val="right"/>
            </w:pPr>
            <w:r w:rsidRPr="00AE6EDB">
              <w:t>13,2</w:t>
            </w:r>
          </w:p>
        </w:tc>
        <w:tc>
          <w:tcPr>
            <w:tcW w:w="1276" w:type="dxa"/>
            <w:noWrap/>
            <w:vAlign w:val="center"/>
          </w:tcPr>
          <w:p w:rsidR="002625B2" w:rsidRPr="00AE6EDB" w:rsidRDefault="002625B2" w:rsidP="002625B2">
            <w:pPr>
              <w:ind w:right="226"/>
              <w:jc w:val="right"/>
            </w:pPr>
            <w:r w:rsidRPr="00AE6EDB">
              <w:t>75,4</w:t>
            </w:r>
          </w:p>
        </w:tc>
        <w:tc>
          <w:tcPr>
            <w:tcW w:w="1134" w:type="dxa"/>
            <w:noWrap/>
            <w:vAlign w:val="center"/>
          </w:tcPr>
          <w:p w:rsidR="002625B2" w:rsidRPr="00AE6EDB" w:rsidRDefault="002625B2" w:rsidP="002625B2">
            <w:pPr>
              <w:ind w:right="226"/>
              <w:jc w:val="right"/>
            </w:pPr>
            <w:r w:rsidRPr="00AE6EDB">
              <w:t>12,2</w:t>
            </w:r>
          </w:p>
        </w:tc>
        <w:tc>
          <w:tcPr>
            <w:tcW w:w="1559" w:type="dxa"/>
            <w:noWrap/>
            <w:vAlign w:val="center"/>
          </w:tcPr>
          <w:p w:rsidR="002625B2" w:rsidRPr="00AE6EDB" w:rsidRDefault="002625B2" w:rsidP="002625B2">
            <w:pPr>
              <w:ind w:right="226"/>
              <w:jc w:val="right"/>
            </w:pPr>
            <w:r w:rsidRPr="00AE6EDB">
              <w:t>-3,9</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30 </w:t>
            </w:r>
            <w:r w:rsidRPr="00AE6EDB">
              <w:rPr>
                <w:color w:val="000000" w:themeColor="text1"/>
                <w:sz w:val="20"/>
                <w:szCs w:val="20"/>
              </w:rPr>
              <w:t>–</w:t>
            </w:r>
            <w:r w:rsidRPr="00AE6EDB">
              <w:rPr>
                <w:sz w:val="20"/>
                <w:szCs w:val="20"/>
              </w:rPr>
              <w:t xml:space="preserve"> 34 rokov</w:t>
            </w:r>
          </w:p>
        </w:tc>
        <w:tc>
          <w:tcPr>
            <w:tcW w:w="1295" w:type="dxa"/>
            <w:noWrap/>
            <w:vAlign w:val="center"/>
          </w:tcPr>
          <w:p w:rsidR="002625B2" w:rsidRPr="00AE6EDB" w:rsidRDefault="002625B2" w:rsidP="002625B2">
            <w:pPr>
              <w:ind w:right="226"/>
              <w:jc w:val="right"/>
            </w:pPr>
            <w:r w:rsidRPr="00AE6EDB">
              <w:t>42,6</w:t>
            </w:r>
          </w:p>
        </w:tc>
        <w:tc>
          <w:tcPr>
            <w:tcW w:w="1559" w:type="dxa"/>
            <w:noWrap/>
            <w:vAlign w:val="center"/>
          </w:tcPr>
          <w:p w:rsidR="002625B2" w:rsidRPr="00AE6EDB" w:rsidRDefault="002625B2" w:rsidP="002625B2">
            <w:pPr>
              <w:ind w:right="226"/>
              <w:jc w:val="right"/>
            </w:pPr>
            <w:r w:rsidRPr="00AE6EDB">
              <w:t>13,6</w:t>
            </w:r>
          </w:p>
        </w:tc>
        <w:tc>
          <w:tcPr>
            <w:tcW w:w="1276" w:type="dxa"/>
            <w:noWrap/>
            <w:vAlign w:val="center"/>
          </w:tcPr>
          <w:p w:rsidR="002625B2" w:rsidRPr="00AE6EDB" w:rsidRDefault="002625B2" w:rsidP="002625B2">
            <w:pPr>
              <w:ind w:right="226"/>
              <w:jc w:val="right"/>
            </w:pPr>
            <w:r w:rsidRPr="00AE6EDB">
              <w:t>74,9</w:t>
            </w:r>
          </w:p>
        </w:tc>
        <w:tc>
          <w:tcPr>
            <w:tcW w:w="1134" w:type="dxa"/>
            <w:noWrap/>
            <w:vAlign w:val="center"/>
          </w:tcPr>
          <w:p w:rsidR="002625B2" w:rsidRPr="00AE6EDB" w:rsidRDefault="002625B2" w:rsidP="002625B2">
            <w:pPr>
              <w:ind w:right="226"/>
              <w:jc w:val="right"/>
            </w:pPr>
            <w:r w:rsidRPr="00AE6EDB">
              <w:t>11,8</w:t>
            </w:r>
          </w:p>
        </w:tc>
        <w:tc>
          <w:tcPr>
            <w:tcW w:w="1559" w:type="dxa"/>
            <w:noWrap/>
            <w:vAlign w:val="center"/>
          </w:tcPr>
          <w:p w:rsidR="002625B2" w:rsidRPr="00AE6EDB" w:rsidRDefault="002625B2" w:rsidP="002625B2">
            <w:pPr>
              <w:ind w:right="226"/>
              <w:jc w:val="right"/>
            </w:pPr>
            <w:r w:rsidRPr="00AE6EDB">
              <w:t>-3,6</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35 </w:t>
            </w:r>
            <w:r w:rsidRPr="00AE6EDB">
              <w:rPr>
                <w:color w:val="000000" w:themeColor="text1"/>
                <w:sz w:val="20"/>
                <w:szCs w:val="20"/>
              </w:rPr>
              <w:t>–</w:t>
            </w:r>
            <w:r w:rsidRPr="00AE6EDB">
              <w:rPr>
                <w:sz w:val="20"/>
                <w:szCs w:val="20"/>
              </w:rPr>
              <w:t xml:space="preserve"> 39 rokov</w:t>
            </w:r>
          </w:p>
        </w:tc>
        <w:tc>
          <w:tcPr>
            <w:tcW w:w="1295" w:type="dxa"/>
            <w:noWrap/>
            <w:vAlign w:val="center"/>
          </w:tcPr>
          <w:p w:rsidR="002625B2" w:rsidRPr="00AE6EDB" w:rsidRDefault="002625B2" w:rsidP="002625B2">
            <w:pPr>
              <w:ind w:right="226"/>
              <w:jc w:val="right"/>
            </w:pPr>
            <w:r w:rsidRPr="00AE6EDB">
              <w:t>38,2</w:t>
            </w:r>
          </w:p>
        </w:tc>
        <w:tc>
          <w:tcPr>
            <w:tcW w:w="1559" w:type="dxa"/>
            <w:noWrap/>
            <w:vAlign w:val="center"/>
          </w:tcPr>
          <w:p w:rsidR="002625B2" w:rsidRPr="00AE6EDB" w:rsidRDefault="002625B2" w:rsidP="002625B2">
            <w:pPr>
              <w:ind w:right="226"/>
              <w:jc w:val="right"/>
            </w:pPr>
            <w:r w:rsidRPr="00AE6EDB">
              <w:t>12,2</w:t>
            </w:r>
          </w:p>
        </w:tc>
        <w:tc>
          <w:tcPr>
            <w:tcW w:w="1276" w:type="dxa"/>
            <w:noWrap/>
            <w:vAlign w:val="center"/>
          </w:tcPr>
          <w:p w:rsidR="002625B2" w:rsidRPr="00AE6EDB" w:rsidRDefault="002625B2" w:rsidP="002625B2">
            <w:pPr>
              <w:ind w:right="226"/>
              <w:jc w:val="right"/>
            </w:pPr>
            <w:r w:rsidRPr="00AE6EDB">
              <w:t>97,2</w:t>
            </w:r>
          </w:p>
        </w:tc>
        <w:tc>
          <w:tcPr>
            <w:tcW w:w="1134" w:type="dxa"/>
            <w:noWrap/>
            <w:vAlign w:val="center"/>
          </w:tcPr>
          <w:p w:rsidR="002625B2" w:rsidRPr="00AE6EDB" w:rsidRDefault="002625B2" w:rsidP="002625B2">
            <w:pPr>
              <w:ind w:right="226"/>
              <w:jc w:val="right"/>
            </w:pPr>
            <w:r w:rsidRPr="00AE6EDB">
              <w:t>9,5</w:t>
            </w:r>
          </w:p>
        </w:tc>
        <w:tc>
          <w:tcPr>
            <w:tcW w:w="1559" w:type="dxa"/>
            <w:noWrap/>
            <w:vAlign w:val="center"/>
          </w:tcPr>
          <w:p w:rsidR="002625B2" w:rsidRPr="00AE6EDB" w:rsidRDefault="002625B2" w:rsidP="002625B2">
            <w:pPr>
              <w:ind w:right="226"/>
              <w:jc w:val="right"/>
            </w:pPr>
            <w:r w:rsidRPr="00AE6EDB">
              <w:t>-0,2</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40 </w:t>
            </w:r>
            <w:r w:rsidRPr="00AE6EDB">
              <w:rPr>
                <w:color w:val="000000" w:themeColor="text1"/>
                <w:sz w:val="20"/>
                <w:szCs w:val="20"/>
              </w:rPr>
              <w:t>–</w:t>
            </w:r>
            <w:r w:rsidRPr="00AE6EDB">
              <w:rPr>
                <w:sz w:val="20"/>
                <w:szCs w:val="20"/>
              </w:rPr>
              <w:t xml:space="preserve"> 44 rokov</w:t>
            </w:r>
          </w:p>
        </w:tc>
        <w:tc>
          <w:tcPr>
            <w:tcW w:w="1295" w:type="dxa"/>
            <w:noWrap/>
            <w:vAlign w:val="center"/>
          </w:tcPr>
          <w:p w:rsidR="002625B2" w:rsidRPr="00AE6EDB" w:rsidRDefault="002625B2" w:rsidP="002625B2">
            <w:pPr>
              <w:ind w:right="226"/>
              <w:jc w:val="right"/>
            </w:pPr>
            <w:r w:rsidRPr="00AE6EDB">
              <w:t>36,9</w:t>
            </w:r>
          </w:p>
        </w:tc>
        <w:tc>
          <w:tcPr>
            <w:tcW w:w="1559" w:type="dxa"/>
            <w:noWrap/>
            <w:vAlign w:val="center"/>
          </w:tcPr>
          <w:p w:rsidR="002625B2" w:rsidRPr="00AE6EDB" w:rsidRDefault="002625B2" w:rsidP="002625B2">
            <w:pPr>
              <w:ind w:right="226"/>
              <w:jc w:val="right"/>
            </w:pPr>
            <w:r w:rsidRPr="00AE6EDB">
              <w:t>11,7</w:t>
            </w:r>
          </w:p>
        </w:tc>
        <w:tc>
          <w:tcPr>
            <w:tcW w:w="1276" w:type="dxa"/>
            <w:noWrap/>
            <w:vAlign w:val="center"/>
          </w:tcPr>
          <w:p w:rsidR="002625B2" w:rsidRPr="00AE6EDB" w:rsidRDefault="002625B2" w:rsidP="002625B2">
            <w:pPr>
              <w:ind w:right="226"/>
              <w:jc w:val="right"/>
            </w:pPr>
            <w:r w:rsidRPr="00AE6EDB">
              <w:t>109,2</w:t>
            </w:r>
          </w:p>
        </w:tc>
        <w:tc>
          <w:tcPr>
            <w:tcW w:w="1134" w:type="dxa"/>
            <w:noWrap/>
            <w:vAlign w:val="center"/>
          </w:tcPr>
          <w:p w:rsidR="002625B2" w:rsidRPr="00AE6EDB" w:rsidRDefault="002625B2" w:rsidP="002625B2">
            <w:pPr>
              <w:ind w:right="226"/>
              <w:jc w:val="right"/>
            </w:pPr>
            <w:r w:rsidRPr="00AE6EDB">
              <w:t>9,9</w:t>
            </w:r>
          </w:p>
        </w:tc>
        <w:tc>
          <w:tcPr>
            <w:tcW w:w="1559" w:type="dxa"/>
            <w:noWrap/>
            <w:vAlign w:val="center"/>
          </w:tcPr>
          <w:p w:rsidR="002625B2" w:rsidRPr="00AE6EDB" w:rsidRDefault="002625B2" w:rsidP="002625B2">
            <w:pPr>
              <w:ind w:right="226"/>
              <w:jc w:val="right"/>
            </w:pPr>
            <w:r w:rsidRPr="00AE6EDB">
              <w:t>0,5</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45 </w:t>
            </w:r>
            <w:r w:rsidRPr="00AE6EDB">
              <w:rPr>
                <w:color w:val="000000" w:themeColor="text1"/>
                <w:sz w:val="20"/>
                <w:szCs w:val="20"/>
              </w:rPr>
              <w:t>–</w:t>
            </w:r>
            <w:r w:rsidRPr="00AE6EDB">
              <w:rPr>
                <w:sz w:val="20"/>
                <w:szCs w:val="20"/>
              </w:rPr>
              <w:t xml:space="preserve"> 49 rokov</w:t>
            </w:r>
          </w:p>
        </w:tc>
        <w:tc>
          <w:tcPr>
            <w:tcW w:w="1295" w:type="dxa"/>
            <w:noWrap/>
            <w:vAlign w:val="center"/>
          </w:tcPr>
          <w:p w:rsidR="002625B2" w:rsidRPr="00AE6EDB" w:rsidRDefault="002625B2" w:rsidP="002625B2">
            <w:pPr>
              <w:ind w:right="226"/>
              <w:jc w:val="right"/>
            </w:pPr>
            <w:r w:rsidRPr="00AE6EDB">
              <w:t>29,9</w:t>
            </w:r>
          </w:p>
        </w:tc>
        <w:tc>
          <w:tcPr>
            <w:tcW w:w="1559" w:type="dxa"/>
            <w:noWrap/>
            <w:vAlign w:val="center"/>
          </w:tcPr>
          <w:p w:rsidR="002625B2" w:rsidRPr="00AE6EDB" w:rsidRDefault="002625B2" w:rsidP="002625B2">
            <w:pPr>
              <w:ind w:right="226"/>
              <w:jc w:val="right"/>
            </w:pPr>
            <w:r w:rsidRPr="00AE6EDB">
              <w:t>9,5</w:t>
            </w:r>
          </w:p>
        </w:tc>
        <w:tc>
          <w:tcPr>
            <w:tcW w:w="1276" w:type="dxa"/>
            <w:noWrap/>
            <w:vAlign w:val="center"/>
          </w:tcPr>
          <w:p w:rsidR="002625B2" w:rsidRPr="00AE6EDB" w:rsidRDefault="002625B2" w:rsidP="002625B2">
            <w:pPr>
              <w:ind w:right="226"/>
              <w:jc w:val="right"/>
            </w:pPr>
            <w:r w:rsidRPr="00AE6EDB">
              <w:t>89,0</w:t>
            </w:r>
          </w:p>
        </w:tc>
        <w:tc>
          <w:tcPr>
            <w:tcW w:w="1134" w:type="dxa"/>
            <w:noWrap/>
            <w:vAlign w:val="center"/>
          </w:tcPr>
          <w:p w:rsidR="002625B2" w:rsidRPr="00AE6EDB" w:rsidRDefault="002625B2" w:rsidP="002625B2">
            <w:pPr>
              <w:ind w:right="226"/>
              <w:jc w:val="right"/>
            </w:pPr>
            <w:r w:rsidRPr="00AE6EDB">
              <w:t>9,3</w:t>
            </w:r>
          </w:p>
        </w:tc>
        <w:tc>
          <w:tcPr>
            <w:tcW w:w="1559" w:type="dxa"/>
            <w:noWrap/>
            <w:vAlign w:val="center"/>
          </w:tcPr>
          <w:p w:rsidR="002625B2" w:rsidRPr="00AE6EDB" w:rsidRDefault="002625B2" w:rsidP="002625B2">
            <w:pPr>
              <w:ind w:right="226"/>
              <w:jc w:val="right"/>
            </w:pPr>
            <w:r w:rsidRPr="00AE6EDB">
              <w:t>-0,9</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 xml:space="preserve">50 </w:t>
            </w:r>
            <w:r w:rsidRPr="00AE6EDB">
              <w:rPr>
                <w:color w:val="000000" w:themeColor="text1"/>
                <w:sz w:val="20"/>
                <w:szCs w:val="20"/>
              </w:rPr>
              <w:t>–</w:t>
            </w:r>
            <w:r w:rsidRPr="00AE6EDB">
              <w:rPr>
                <w:sz w:val="20"/>
                <w:szCs w:val="20"/>
              </w:rPr>
              <w:t xml:space="preserve"> 54 rokov</w:t>
            </w:r>
          </w:p>
        </w:tc>
        <w:tc>
          <w:tcPr>
            <w:tcW w:w="1295" w:type="dxa"/>
            <w:noWrap/>
            <w:vAlign w:val="center"/>
          </w:tcPr>
          <w:p w:rsidR="002625B2" w:rsidRPr="00AE6EDB" w:rsidRDefault="002625B2" w:rsidP="002625B2">
            <w:pPr>
              <w:ind w:right="226"/>
              <w:jc w:val="right"/>
            </w:pPr>
            <w:r w:rsidRPr="00AE6EDB">
              <w:t>33,7</w:t>
            </w:r>
          </w:p>
        </w:tc>
        <w:tc>
          <w:tcPr>
            <w:tcW w:w="1559" w:type="dxa"/>
            <w:noWrap/>
            <w:vAlign w:val="center"/>
          </w:tcPr>
          <w:p w:rsidR="002625B2" w:rsidRPr="00AE6EDB" w:rsidRDefault="002625B2" w:rsidP="002625B2">
            <w:pPr>
              <w:ind w:right="226"/>
              <w:jc w:val="right"/>
            </w:pPr>
            <w:r w:rsidRPr="00AE6EDB">
              <w:t>10,7</w:t>
            </w:r>
          </w:p>
        </w:tc>
        <w:tc>
          <w:tcPr>
            <w:tcW w:w="1276" w:type="dxa"/>
            <w:noWrap/>
            <w:vAlign w:val="center"/>
          </w:tcPr>
          <w:p w:rsidR="002625B2" w:rsidRPr="00AE6EDB" w:rsidRDefault="002625B2" w:rsidP="002625B2">
            <w:pPr>
              <w:ind w:right="226"/>
              <w:jc w:val="right"/>
            </w:pPr>
            <w:r w:rsidRPr="00AE6EDB">
              <w:t>89,4</w:t>
            </w:r>
          </w:p>
        </w:tc>
        <w:tc>
          <w:tcPr>
            <w:tcW w:w="1134" w:type="dxa"/>
            <w:noWrap/>
            <w:vAlign w:val="center"/>
          </w:tcPr>
          <w:p w:rsidR="002625B2" w:rsidRPr="00AE6EDB" w:rsidRDefault="002625B2" w:rsidP="002625B2">
            <w:pPr>
              <w:ind w:right="226"/>
              <w:jc w:val="right"/>
            </w:pPr>
            <w:r w:rsidRPr="00AE6EDB">
              <w:t>10,5</w:t>
            </w:r>
          </w:p>
        </w:tc>
        <w:tc>
          <w:tcPr>
            <w:tcW w:w="1559" w:type="dxa"/>
            <w:noWrap/>
            <w:vAlign w:val="center"/>
          </w:tcPr>
          <w:p w:rsidR="002625B2" w:rsidRPr="00AE6EDB" w:rsidRDefault="002625B2" w:rsidP="002625B2">
            <w:pPr>
              <w:ind w:right="226"/>
              <w:jc w:val="right"/>
            </w:pPr>
            <w:r w:rsidRPr="00AE6EDB">
              <w:t>-1,3</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55 – 59 rokov</w:t>
            </w:r>
          </w:p>
        </w:tc>
        <w:tc>
          <w:tcPr>
            <w:tcW w:w="1295" w:type="dxa"/>
            <w:noWrap/>
            <w:vAlign w:val="center"/>
          </w:tcPr>
          <w:p w:rsidR="002625B2" w:rsidRPr="00AE6EDB" w:rsidRDefault="002625B2" w:rsidP="002625B2">
            <w:pPr>
              <w:ind w:right="226"/>
              <w:jc w:val="right"/>
            </w:pPr>
            <w:r w:rsidRPr="00AE6EDB">
              <w:t>29,5</w:t>
            </w:r>
          </w:p>
        </w:tc>
        <w:tc>
          <w:tcPr>
            <w:tcW w:w="1559" w:type="dxa"/>
            <w:noWrap/>
            <w:vAlign w:val="center"/>
          </w:tcPr>
          <w:p w:rsidR="002625B2" w:rsidRPr="00AE6EDB" w:rsidRDefault="002625B2" w:rsidP="002625B2">
            <w:pPr>
              <w:ind w:right="226"/>
              <w:jc w:val="right"/>
            </w:pPr>
            <w:r w:rsidRPr="00AE6EDB">
              <w:t>9,4</w:t>
            </w:r>
          </w:p>
        </w:tc>
        <w:tc>
          <w:tcPr>
            <w:tcW w:w="1276" w:type="dxa"/>
            <w:noWrap/>
            <w:vAlign w:val="center"/>
          </w:tcPr>
          <w:p w:rsidR="002625B2" w:rsidRPr="00AE6EDB" w:rsidRDefault="002625B2" w:rsidP="002625B2">
            <w:pPr>
              <w:ind w:right="226"/>
              <w:jc w:val="right"/>
            </w:pPr>
            <w:r w:rsidRPr="00AE6EDB">
              <w:t>86,0</w:t>
            </w:r>
          </w:p>
        </w:tc>
        <w:tc>
          <w:tcPr>
            <w:tcW w:w="1134" w:type="dxa"/>
            <w:noWrap/>
            <w:vAlign w:val="center"/>
          </w:tcPr>
          <w:p w:rsidR="002625B2" w:rsidRPr="00AE6EDB" w:rsidRDefault="002625B2" w:rsidP="002625B2">
            <w:pPr>
              <w:ind w:right="226"/>
              <w:jc w:val="right"/>
            </w:pPr>
            <w:r w:rsidRPr="00AE6EDB">
              <w:t>10,0</w:t>
            </w:r>
          </w:p>
        </w:tc>
        <w:tc>
          <w:tcPr>
            <w:tcW w:w="1559" w:type="dxa"/>
            <w:noWrap/>
            <w:vAlign w:val="center"/>
          </w:tcPr>
          <w:p w:rsidR="002625B2" w:rsidRPr="00AE6EDB" w:rsidRDefault="002625B2" w:rsidP="002625B2">
            <w:pPr>
              <w:ind w:right="226"/>
              <w:jc w:val="right"/>
            </w:pPr>
            <w:r w:rsidRPr="00AE6EDB">
              <w:t>-1,9</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60 – 64 rokov</w:t>
            </w:r>
          </w:p>
        </w:tc>
        <w:tc>
          <w:tcPr>
            <w:tcW w:w="1295" w:type="dxa"/>
            <w:noWrap/>
            <w:vAlign w:val="center"/>
          </w:tcPr>
          <w:p w:rsidR="002625B2" w:rsidRPr="00AE6EDB" w:rsidRDefault="002625B2" w:rsidP="002625B2">
            <w:pPr>
              <w:ind w:right="226"/>
              <w:jc w:val="right"/>
            </w:pPr>
            <w:r w:rsidRPr="00AE6EDB">
              <w:t>6,1</w:t>
            </w:r>
          </w:p>
        </w:tc>
        <w:tc>
          <w:tcPr>
            <w:tcW w:w="1559" w:type="dxa"/>
            <w:noWrap/>
            <w:vAlign w:val="center"/>
          </w:tcPr>
          <w:p w:rsidR="002625B2" w:rsidRPr="00AE6EDB" w:rsidRDefault="002625B2" w:rsidP="002625B2">
            <w:pPr>
              <w:ind w:right="226"/>
              <w:jc w:val="right"/>
            </w:pPr>
            <w:r w:rsidRPr="00AE6EDB">
              <w:t>1,9</w:t>
            </w:r>
          </w:p>
        </w:tc>
        <w:tc>
          <w:tcPr>
            <w:tcW w:w="1276" w:type="dxa"/>
            <w:noWrap/>
            <w:vAlign w:val="center"/>
          </w:tcPr>
          <w:p w:rsidR="002625B2" w:rsidRPr="00AE6EDB" w:rsidRDefault="002625B2" w:rsidP="002625B2">
            <w:pPr>
              <w:ind w:right="226"/>
              <w:jc w:val="right"/>
            </w:pPr>
            <w:r w:rsidRPr="00AE6EDB">
              <w:t>129,8</w:t>
            </w:r>
          </w:p>
        </w:tc>
        <w:tc>
          <w:tcPr>
            <w:tcW w:w="1134" w:type="dxa"/>
            <w:noWrap/>
            <w:vAlign w:val="center"/>
          </w:tcPr>
          <w:p w:rsidR="002625B2" w:rsidRPr="00AE6EDB" w:rsidRDefault="002625B2" w:rsidP="00B65D95">
            <w:pPr>
              <w:ind w:right="226"/>
              <w:jc w:val="right"/>
            </w:pPr>
            <w:r w:rsidRPr="00AE6EDB">
              <w:t>7,</w:t>
            </w:r>
            <w:r w:rsidR="00B65D95">
              <w:t>0</w:t>
            </w:r>
          </w:p>
        </w:tc>
        <w:tc>
          <w:tcPr>
            <w:tcW w:w="1559" w:type="dxa"/>
            <w:noWrap/>
            <w:vAlign w:val="center"/>
          </w:tcPr>
          <w:p w:rsidR="002625B2" w:rsidRPr="00AE6EDB" w:rsidRDefault="002625B2" w:rsidP="002625B2">
            <w:pPr>
              <w:ind w:right="226"/>
              <w:jc w:val="right"/>
            </w:pPr>
            <w:r w:rsidRPr="00AE6EDB">
              <w:t>1,0</w:t>
            </w:r>
          </w:p>
        </w:tc>
      </w:tr>
      <w:tr w:rsidR="002625B2" w:rsidRPr="00AE6EDB" w:rsidTr="002625B2">
        <w:trPr>
          <w:trHeight w:val="259"/>
          <w:jc w:val="center"/>
        </w:trPr>
        <w:tc>
          <w:tcPr>
            <w:tcW w:w="1750" w:type="dxa"/>
            <w:noWrap/>
            <w:vAlign w:val="center"/>
          </w:tcPr>
          <w:p w:rsidR="002625B2" w:rsidRPr="00AE6EDB" w:rsidRDefault="002625B2" w:rsidP="002625B2">
            <w:pPr>
              <w:jc w:val="left"/>
              <w:rPr>
                <w:sz w:val="20"/>
                <w:szCs w:val="20"/>
              </w:rPr>
            </w:pPr>
            <w:r w:rsidRPr="00AE6EDB">
              <w:rPr>
                <w:sz w:val="20"/>
                <w:szCs w:val="20"/>
              </w:rPr>
              <w:t>65 a viac rokov</w:t>
            </w:r>
          </w:p>
        </w:tc>
        <w:tc>
          <w:tcPr>
            <w:tcW w:w="1295" w:type="dxa"/>
            <w:noWrap/>
            <w:vAlign w:val="center"/>
          </w:tcPr>
          <w:p w:rsidR="002625B2" w:rsidRPr="00AE6EDB" w:rsidRDefault="002625B2" w:rsidP="002625B2">
            <w:pPr>
              <w:ind w:right="226"/>
              <w:jc w:val="right"/>
            </w:pPr>
            <w:r w:rsidRPr="00AE6EDB">
              <w:t>0,5</w:t>
            </w:r>
          </w:p>
        </w:tc>
        <w:tc>
          <w:tcPr>
            <w:tcW w:w="1559" w:type="dxa"/>
            <w:noWrap/>
            <w:vAlign w:val="center"/>
          </w:tcPr>
          <w:p w:rsidR="002625B2" w:rsidRPr="00AE6EDB" w:rsidRDefault="002625B2" w:rsidP="002625B2">
            <w:pPr>
              <w:ind w:right="226"/>
              <w:jc w:val="right"/>
            </w:pPr>
            <w:r w:rsidRPr="00AE6EDB">
              <w:t>0,2</w:t>
            </w:r>
          </w:p>
        </w:tc>
        <w:tc>
          <w:tcPr>
            <w:tcW w:w="1276" w:type="dxa"/>
            <w:noWrap/>
            <w:vAlign w:val="center"/>
          </w:tcPr>
          <w:p w:rsidR="002625B2" w:rsidRPr="00AE6EDB" w:rsidRDefault="002625B2" w:rsidP="002625B2">
            <w:pPr>
              <w:ind w:right="226"/>
              <w:jc w:val="right"/>
            </w:pPr>
            <w:r w:rsidRPr="00AE6EDB">
              <w:t>55,6</w:t>
            </w:r>
          </w:p>
        </w:tc>
        <w:tc>
          <w:tcPr>
            <w:tcW w:w="1134" w:type="dxa"/>
            <w:noWrap/>
            <w:vAlign w:val="center"/>
          </w:tcPr>
          <w:p w:rsidR="002625B2" w:rsidRPr="00AE6EDB" w:rsidRDefault="002625B2" w:rsidP="002625B2">
            <w:pPr>
              <w:ind w:right="226"/>
              <w:jc w:val="right"/>
            </w:pPr>
            <w:r w:rsidRPr="00AE6EDB">
              <w:t>2,7</w:t>
            </w:r>
          </w:p>
        </w:tc>
        <w:tc>
          <w:tcPr>
            <w:tcW w:w="1559" w:type="dxa"/>
            <w:noWrap/>
            <w:vAlign w:val="center"/>
          </w:tcPr>
          <w:p w:rsidR="002625B2" w:rsidRPr="00AE6EDB" w:rsidRDefault="002625B2" w:rsidP="002625B2">
            <w:pPr>
              <w:ind w:right="226"/>
              <w:jc w:val="right"/>
            </w:pPr>
            <w:r w:rsidRPr="00AE6EDB">
              <w:t>-3,8</w:t>
            </w:r>
          </w:p>
        </w:tc>
      </w:tr>
    </w:tbl>
    <w:p w:rsidR="002625B2" w:rsidRPr="00AE6EDB" w:rsidRDefault="002625B2" w:rsidP="002625B2">
      <w:pPr>
        <w:pStyle w:val="zdroj"/>
      </w:pPr>
      <w:r w:rsidRPr="00AE6EDB">
        <w:t>Zdroj: ŠÚ SR, VZPS</w:t>
      </w:r>
    </w:p>
    <w:p w:rsidR="002625B2" w:rsidRPr="00AE6EDB" w:rsidRDefault="002625B2" w:rsidP="002625B2">
      <w:pPr>
        <w:pStyle w:val="Normlnysozarkami2"/>
        <w:ind w:firstLine="567"/>
      </w:pPr>
      <w:r w:rsidRPr="00AE6EDB">
        <w:rPr>
          <w:b/>
          <w:i/>
        </w:rPr>
        <w:t>Z hľadiska vzdelania</w:t>
      </w:r>
      <w:r w:rsidRPr="00AE6EDB">
        <w:t xml:space="preserve"> najvyššiu mieru nezamestnanosti mali osoby so základným vzdelaním (38,5</w:t>
      </w:r>
      <w:r w:rsidR="005676EF">
        <w:t> %</w:t>
      </w:r>
      <w:r w:rsidRPr="00AE6EDB">
        <w:t xml:space="preserve">), ktorá viac ako trojnásobne prevyšovala mieru celkovej nezamestnanosti. Jej úroveň sa však v porovnaní s rokom 2014 výrazne nadpriemerne znížila (o 5,9 p. b., v priemere za SR o 1,7 p. b.). Naopak, najnižšia bola u osôb s vysokoškolským vzdelaním, ktorej úroveň </w:t>
      </w:r>
      <w:r w:rsidR="00A8066C" w:rsidRPr="00AE6EDB">
        <w:t>(6,0</w:t>
      </w:r>
      <w:r w:rsidR="005676EF">
        <w:t> %</w:t>
      </w:r>
      <w:r w:rsidR="00A8066C" w:rsidRPr="00AE6EDB">
        <w:t xml:space="preserve">) </w:t>
      </w:r>
      <w:r w:rsidRPr="00AE6EDB">
        <w:t>bola takmer o polovicu nižšia ako bol priemer za SR. Miera nezamestnanosti pod úrovňou SR bola aj u osôb s vyšším odborným vzdelaním, s</w:t>
      </w:r>
      <w:r w:rsidR="00B65D95">
        <w:t xml:space="preserve"> úplným</w:t>
      </w:r>
      <w:r w:rsidRPr="00AE6EDB">
        <w:t xml:space="preserve"> stredným odborným vzdelaním a úplným stredným odborným (učňovským) vzdelaním s maturitou (príloha ku kapitole 2, tabuľka </w:t>
      </w:r>
      <w:r w:rsidR="00681702" w:rsidRPr="00AE6EDB">
        <w:t>3</w:t>
      </w:r>
      <w:r w:rsidRPr="00AE6EDB">
        <w:t>).</w:t>
      </w:r>
    </w:p>
    <w:p w:rsidR="002625B2" w:rsidRPr="00AE6EDB" w:rsidRDefault="002625B2" w:rsidP="002625B2">
      <w:pPr>
        <w:autoSpaceDE w:val="0"/>
        <w:autoSpaceDN w:val="0"/>
        <w:adjustRightInd w:val="0"/>
        <w:ind w:firstLine="567"/>
      </w:pPr>
      <w:r w:rsidRPr="00AE6EDB">
        <w:t xml:space="preserve">V roku 2015 počet nezamestnaných klesol vo všetkých </w:t>
      </w:r>
      <w:r w:rsidRPr="00AE6EDB">
        <w:rPr>
          <w:i/>
        </w:rPr>
        <w:t>krajoch</w:t>
      </w:r>
      <w:r w:rsidRPr="00AE6EDB">
        <w:t xml:space="preserve"> v rozsahu od 3,5</w:t>
      </w:r>
      <w:r w:rsidR="005676EF">
        <w:t> %</w:t>
      </w:r>
      <w:r w:rsidRPr="00AE6EDB">
        <w:t xml:space="preserve"> </w:t>
      </w:r>
      <w:r w:rsidRPr="00AE6EDB">
        <w:br/>
        <w:t>v Bratislavskom kraji do 22,8</w:t>
      </w:r>
      <w:r w:rsidR="005676EF">
        <w:t> %</w:t>
      </w:r>
      <w:r w:rsidRPr="00AE6EDB">
        <w:t xml:space="preserve"> v Žilinskom kraji. Najviac nezamestnaných sa dlhodobo koncentruje v krajoch východného Slovenska (Prešovský a Košický) a juhu stredného Slovenska (Banskobystrický), ktoré súčasne vyk</w:t>
      </w:r>
      <w:r w:rsidR="00A8066C" w:rsidRPr="00AE6EDB">
        <w:t>azu</w:t>
      </w:r>
      <w:r w:rsidRPr="00AE6EDB">
        <w:t xml:space="preserve">jú aj najvyššiu úroveň miery nezamestnanosti. Miera nezamestnanosti pod priemerom SR bola v piatich krajoch (Bratislavskom, Trnavskom, Trenčianskom, Nitrianskom, Žilinskom kraji). V porovnaní s rokom 2014 sa rozdiel medzi najvyššou </w:t>
      </w:r>
      <w:r w:rsidRPr="00AE6EDB">
        <w:lastRenderedPageBreak/>
        <w:t>a najnižšou mierou nezamestnanosti medzi krajmi znížil. Kým v roku 2014 tento rozdiel predstavoval 12,3 p. b., v roku 2015 sa znížil na 11,2 p. b.</w:t>
      </w:r>
    </w:p>
    <w:p w:rsidR="002625B2" w:rsidRPr="00AE6EDB" w:rsidRDefault="002625B2" w:rsidP="00927BFE">
      <w:pPr>
        <w:autoSpaceDE w:val="0"/>
        <w:autoSpaceDN w:val="0"/>
        <w:adjustRightInd w:val="0"/>
        <w:ind w:firstLine="567"/>
      </w:pPr>
      <w:r w:rsidRPr="00AE6EDB">
        <w:t>Vyššia tvorba pracovných miest a integrácia znevýhodnených osôb na trh práce sa v roku 2015 premietla vo vývoji miery nezamestnanosti, ktorá bola vo všetkých krajoch nižšia ako pred rokom. Pokračoval výrazný (nadpriemerný) pokles miery nezamestnanosti aj v regiónoch s dlhodobo najvyššou mierou nezamestnanosti (kraje Košický a Banskobystrický).</w:t>
      </w:r>
    </w:p>
    <w:p w:rsidR="002625B2" w:rsidRPr="00AE6EDB" w:rsidRDefault="002625B2" w:rsidP="002625B2">
      <w:pPr>
        <w:pStyle w:val="Nadpis7"/>
      </w:pPr>
      <w:r w:rsidRPr="00AE6EDB">
        <w:t>Tabuľka 2.1</w:t>
      </w:r>
      <w:r w:rsidR="004A57BA" w:rsidRPr="00AE6EDB">
        <w:t>6</w:t>
      </w:r>
      <w:r w:rsidRPr="00AE6EDB">
        <w:t xml:space="preserve"> Nezamestnanosť podľa krajov v roku 2015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2625B2" w:rsidRPr="00AE6EDB" w:rsidTr="002625B2">
        <w:trPr>
          <w:trHeight w:val="300"/>
          <w:jc w:val="center"/>
        </w:trPr>
        <w:tc>
          <w:tcPr>
            <w:tcW w:w="1750" w:type="dxa"/>
            <w:vMerge w:val="restart"/>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Kraj</w:t>
            </w:r>
          </w:p>
        </w:tc>
        <w:tc>
          <w:tcPr>
            <w:tcW w:w="4130" w:type="dxa"/>
            <w:gridSpan w:val="3"/>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Nezamestnaní</w:t>
            </w:r>
          </w:p>
        </w:tc>
        <w:tc>
          <w:tcPr>
            <w:tcW w:w="2693" w:type="dxa"/>
            <w:gridSpan w:val="2"/>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Miera nezamestnanosti</w:t>
            </w:r>
          </w:p>
        </w:tc>
      </w:tr>
      <w:tr w:rsidR="002625B2" w:rsidRPr="00AE6EDB" w:rsidTr="002625B2">
        <w:trPr>
          <w:trHeight w:val="510"/>
          <w:jc w:val="center"/>
        </w:trPr>
        <w:tc>
          <w:tcPr>
            <w:tcW w:w="1750" w:type="dxa"/>
            <w:vMerge/>
            <w:shd w:val="clear" w:color="auto" w:fill="BF0000" w:themeFill="accent3" w:themeFillShade="BF"/>
            <w:vAlign w:val="center"/>
          </w:tcPr>
          <w:p w:rsidR="002625B2" w:rsidRPr="00AE6EDB" w:rsidRDefault="002625B2" w:rsidP="002625B2">
            <w:pPr>
              <w:jc w:val="center"/>
              <w:rPr>
                <w:b/>
                <w:color w:val="FFFFFF" w:themeColor="background1"/>
              </w:rPr>
            </w:pPr>
          </w:p>
        </w:tc>
        <w:tc>
          <w:tcPr>
            <w:tcW w:w="1295"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 tis. osôb</w:t>
            </w:r>
          </w:p>
        </w:tc>
        <w:tc>
          <w:tcPr>
            <w:tcW w:w="1559"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Podiel</w:t>
            </w:r>
          </w:p>
          <w:p w:rsidR="002625B2" w:rsidRPr="00AE6EDB" w:rsidRDefault="002625B2" w:rsidP="002625B2">
            <w:pPr>
              <w:jc w:val="center"/>
              <w:rPr>
                <w:b/>
                <w:color w:val="FFFFFF" w:themeColor="background1"/>
              </w:rPr>
            </w:pPr>
            <w:r w:rsidRPr="00AE6EDB">
              <w:rPr>
                <w:b/>
                <w:color w:val="FFFFFF" w:themeColor="background1"/>
              </w:rPr>
              <w:t>na SR (v</w:t>
            </w:r>
            <w:r w:rsidR="005676EF">
              <w:rPr>
                <w:b/>
                <w:color w:val="FFFFFF" w:themeColor="background1"/>
              </w:rPr>
              <w:t> %</w:t>
            </w:r>
            <w:r w:rsidRPr="00AE6EDB">
              <w:rPr>
                <w:b/>
                <w:color w:val="FFFFFF" w:themeColor="background1"/>
              </w:rPr>
              <w:t>)</w:t>
            </w:r>
          </w:p>
        </w:tc>
        <w:tc>
          <w:tcPr>
            <w:tcW w:w="1276"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c>
          <w:tcPr>
            <w:tcW w:w="1134"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v</w:t>
            </w:r>
            <w:r w:rsidR="005676EF">
              <w:rPr>
                <w:b/>
                <w:color w:val="FFFFFF" w:themeColor="background1"/>
              </w:rPr>
              <w:t> %</w:t>
            </w:r>
          </w:p>
        </w:tc>
        <w:tc>
          <w:tcPr>
            <w:tcW w:w="1559" w:type="dxa"/>
            <w:shd w:val="clear" w:color="auto" w:fill="BF0000" w:themeFill="accent3" w:themeFillShade="BF"/>
            <w:noWrap/>
            <w:vAlign w:val="center"/>
          </w:tcPr>
          <w:p w:rsidR="002625B2" w:rsidRPr="00AE6EDB" w:rsidRDefault="002625B2" w:rsidP="002625B2">
            <w:pPr>
              <w:jc w:val="center"/>
              <w:rPr>
                <w:b/>
                <w:color w:val="FFFFFF" w:themeColor="background1"/>
              </w:rPr>
            </w:pPr>
            <w:r w:rsidRPr="00AE6EDB">
              <w:rPr>
                <w:b/>
                <w:color w:val="FFFFFF" w:themeColor="background1"/>
              </w:rPr>
              <w:t>Zmena oproti</w:t>
            </w:r>
          </w:p>
          <w:p w:rsidR="002625B2" w:rsidRPr="00AE6EDB" w:rsidRDefault="002625B2" w:rsidP="002625B2">
            <w:pPr>
              <w:jc w:val="center"/>
              <w:rPr>
                <w:b/>
                <w:color w:val="FFFFFF" w:themeColor="background1"/>
              </w:rPr>
            </w:pPr>
            <w:r w:rsidRPr="00AE6EDB">
              <w:rPr>
                <w:b/>
                <w:color w:val="FFFFFF" w:themeColor="background1"/>
              </w:rPr>
              <w:t>2014 (v p. b.)</w:t>
            </w:r>
          </w:p>
        </w:tc>
      </w:tr>
      <w:tr w:rsidR="002625B2" w:rsidRPr="00AE6EDB" w:rsidTr="002625B2">
        <w:trPr>
          <w:trHeight w:val="259"/>
          <w:jc w:val="center"/>
        </w:trPr>
        <w:tc>
          <w:tcPr>
            <w:tcW w:w="1750" w:type="dxa"/>
            <w:noWrap/>
            <w:vAlign w:val="center"/>
          </w:tcPr>
          <w:p w:rsidR="002625B2" w:rsidRPr="00AE6EDB" w:rsidRDefault="002625B2" w:rsidP="002625B2">
            <w:pPr>
              <w:rPr>
                <w:b/>
              </w:rPr>
            </w:pPr>
            <w:r w:rsidRPr="00AE6EDB">
              <w:rPr>
                <w:b/>
              </w:rPr>
              <w:t>SR spolu</w:t>
            </w:r>
          </w:p>
        </w:tc>
        <w:tc>
          <w:tcPr>
            <w:tcW w:w="1295" w:type="dxa"/>
            <w:noWrap/>
            <w:vAlign w:val="center"/>
          </w:tcPr>
          <w:p w:rsidR="002625B2" w:rsidRPr="00AE6EDB" w:rsidRDefault="002625B2" w:rsidP="002625B2">
            <w:pPr>
              <w:ind w:right="226"/>
              <w:jc w:val="right"/>
              <w:rPr>
                <w:b/>
              </w:rPr>
            </w:pPr>
            <w:r w:rsidRPr="00AE6EDB">
              <w:rPr>
                <w:b/>
              </w:rPr>
              <w:t>314,3</w:t>
            </w:r>
          </w:p>
        </w:tc>
        <w:tc>
          <w:tcPr>
            <w:tcW w:w="1559" w:type="dxa"/>
            <w:noWrap/>
            <w:vAlign w:val="center"/>
          </w:tcPr>
          <w:p w:rsidR="002625B2" w:rsidRPr="00AE6EDB" w:rsidRDefault="002625B2" w:rsidP="002625B2">
            <w:pPr>
              <w:ind w:right="226"/>
              <w:jc w:val="right"/>
              <w:rPr>
                <w:b/>
              </w:rPr>
            </w:pPr>
            <w:r w:rsidRPr="00AE6EDB">
              <w:rPr>
                <w:b/>
              </w:rPr>
              <w:t>100,0</w:t>
            </w:r>
          </w:p>
        </w:tc>
        <w:tc>
          <w:tcPr>
            <w:tcW w:w="1276" w:type="dxa"/>
            <w:noWrap/>
            <w:vAlign w:val="center"/>
          </w:tcPr>
          <w:p w:rsidR="002625B2" w:rsidRPr="00AE6EDB" w:rsidRDefault="002625B2" w:rsidP="002625B2">
            <w:pPr>
              <w:ind w:right="226"/>
              <w:jc w:val="right"/>
              <w:rPr>
                <w:b/>
              </w:rPr>
            </w:pPr>
            <w:r w:rsidRPr="00AE6EDB">
              <w:rPr>
                <w:b/>
              </w:rPr>
              <w:t>87,6</w:t>
            </w:r>
          </w:p>
        </w:tc>
        <w:tc>
          <w:tcPr>
            <w:tcW w:w="1134" w:type="dxa"/>
            <w:noWrap/>
            <w:vAlign w:val="center"/>
          </w:tcPr>
          <w:p w:rsidR="002625B2" w:rsidRPr="00AE6EDB" w:rsidRDefault="002625B2" w:rsidP="002625B2">
            <w:pPr>
              <w:ind w:right="214"/>
              <w:jc w:val="right"/>
              <w:rPr>
                <w:b/>
              </w:rPr>
            </w:pPr>
            <w:r w:rsidRPr="00AE6EDB">
              <w:rPr>
                <w:b/>
              </w:rPr>
              <w:t>11,5</w:t>
            </w:r>
          </w:p>
        </w:tc>
        <w:tc>
          <w:tcPr>
            <w:tcW w:w="1559" w:type="dxa"/>
            <w:noWrap/>
            <w:vAlign w:val="center"/>
          </w:tcPr>
          <w:p w:rsidR="002625B2" w:rsidRPr="00AE6EDB" w:rsidRDefault="002625B2" w:rsidP="002625B2">
            <w:pPr>
              <w:ind w:right="226"/>
              <w:jc w:val="right"/>
              <w:rPr>
                <w:b/>
              </w:rPr>
            </w:pPr>
            <w:r w:rsidRPr="00AE6EDB">
              <w:rPr>
                <w:b/>
              </w:rPr>
              <w:t>-1,7</w:t>
            </w:r>
          </w:p>
        </w:tc>
      </w:tr>
      <w:tr w:rsidR="002625B2" w:rsidRPr="00AE6EDB" w:rsidTr="002625B2">
        <w:trPr>
          <w:trHeight w:val="259"/>
          <w:jc w:val="center"/>
        </w:trPr>
        <w:tc>
          <w:tcPr>
            <w:tcW w:w="1750" w:type="dxa"/>
            <w:noWrap/>
            <w:vAlign w:val="center"/>
          </w:tcPr>
          <w:p w:rsidR="002625B2" w:rsidRPr="00AE6EDB" w:rsidRDefault="002625B2" w:rsidP="002625B2">
            <w:r w:rsidRPr="00AE6EDB">
              <w:t>v tom:</w:t>
            </w:r>
          </w:p>
        </w:tc>
        <w:tc>
          <w:tcPr>
            <w:tcW w:w="1295" w:type="dxa"/>
            <w:noWrap/>
            <w:vAlign w:val="center"/>
          </w:tcPr>
          <w:p w:rsidR="002625B2" w:rsidRPr="00AE6EDB" w:rsidRDefault="002625B2" w:rsidP="002625B2">
            <w:pPr>
              <w:ind w:right="226"/>
              <w:jc w:val="right"/>
            </w:pPr>
          </w:p>
        </w:tc>
        <w:tc>
          <w:tcPr>
            <w:tcW w:w="1559" w:type="dxa"/>
            <w:noWrap/>
            <w:vAlign w:val="center"/>
          </w:tcPr>
          <w:p w:rsidR="002625B2" w:rsidRPr="00AE6EDB" w:rsidRDefault="002625B2" w:rsidP="002625B2">
            <w:pPr>
              <w:ind w:right="226"/>
              <w:jc w:val="right"/>
            </w:pPr>
          </w:p>
        </w:tc>
        <w:tc>
          <w:tcPr>
            <w:tcW w:w="1276" w:type="dxa"/>
            <w:noWrap/>
            <w:vAlign w:val="center"/>
          </w:tcPr>
          <w:p w:rsidR="002625B2" w:rsidRPr="00AE6EDB" w:rsidRDefault="002625B2" w:rsidP="002625B2">
            <w:pPr>
              <w:ind w:right="226"/>
              <w:jc w:val="right"/>
            </w:pPr>
          </w:p>
        </w:tc>
        <w:tc>
          <w:tcPr>
            <w:tcW w:w="1134" w:type="dxa"/>
            <w:noWrap/>
            <w:vAlign w:val="center"/>
          </w:tcPr>
          <w:p w:rsidR="002625B2" w:rsidRPr="00AE6EDB" w:rsidRDefault="002625B2" w:rsidP="002625B2">
            <w:pPr>
              <w:ind w:right="214"/>
              <w:jc w:val="right"/>
            </w:pPr>
          </w:p>
        </w:tc>
        <w:tc>
          <w:tcPr>
            <w:tcW w:w="1559" w:type="dxa"/>
            <w:noWrap/>
            <w:vAlign w:val="center"/>
          </w:tcPr>
          <w:p w:rsidR="002625B2" w:rsidRPr="00AE6EDB" w:rsidRDefault="002625B2" w:rsidP="002625B2">
            <w:pPr>
              <w:ind w:right="529"/>
              <w:jc w:val="right"/>
            </w:pPr>
          </w:p>
        </w:tc>
      </w:tr>
      <w:tr w:rsidR="002625B2" w:rsidRPr="00AE6EDB" w:rsidTr="002625B2">
        <w:trPr>
          <w:trHeight w:val="259"/>
          <w:jc w:val="center"/>
        </w:trPr>
        <w:tc>
          <w:tcPr>
            <w:tcW w:w="1750" w:type="dxa"/>
            <w:noWrap/>
            <w:vAlign w:val="center"/>
          </w:tcPr>
          <w:p w:rsidR="002625B2" w:rsidRPr="00AE6EDB" w:rsidRDefault="002625B2" w:rsidP="002625B2">
            <w:r w:rsidRPr="00AE6EDB">
              <w:t>Bratislavský</w:t>
            </w:r>
          </w:p>
        </w:tc>
        <w:tc>
          <w:tcPr>
            <w:tcW w:w="1295" w:type="dxa"/>
            <w:noWrap/>
            <w:vAlign w:val="bottom"/>
          </w:tcPr>
          <w:p w:rsidR="002625B2" w:rsidRPr="00AE6EDB" w:rsidRDefault="002625B2" w:rsidP="002625B2">
            <w:pPr>
              <w:ind w:right="226"/>
              <w:jc w:val="right"/>
            </w:pPr>
            <w:r w:rsidRPr="00AE6EDB">
              <w:t xml:space="preserve">19,3 </w:t>
            </w:r>
          </w:p>
        </w:tc>
        <w:tc>
          <w:tcPr>
            <w:tcW w:w="1559" w:type="dxa"/>
            <w:noWrap/>
            <w:vAlign w:val="bottom"/>
          </w:tcPr>
          <w:p w:rsidR="002625B2" w:rsidRPr="00AE6EDB" w:rsidRDefault="002625B2" w:rsidP="002625B2">
            <w:pPr>
              <w:ind w:right="226"/>
              <w:jc w:val="right"/>
            </w:pPr>
            <w:r w:rsidRPr="00AE6EDB">
              <w:t xml:space="preserve">6,1 </w:t>
            </w:r>
          </w:p>
        </w:tc>
        <w:tc>
          <w:tcPr>
            <w:tcW w:w="1276" w:type="dxa"/>
            <w:noWrap/>
            <w:vAlign w:val="bottom"/>
          </w:tcPr>
          <w:p w:rsidR="002625B2" w:rsidRPr="00AE6EDB" w:rsidRDefault="002625B2" w:rsidP="002625B2">
            <w:pPr>
              <w:ind w:right="226"/>
              <w:jc w:val="right"/>
            </w:pPr>
            <w:r w:rsidRPr="00AE6EDB">
              <w:t xml:space="preserve">96,5 </w:t>
            </w:r>
          </w:p>
        </w:tc>
        <w:tc>
          <w:tcPr>
            <w:tcW w:w="1134" w:type="dxa"/>
            <w:noWrap/>
            <w:vAlign w:val="bottom"/>
          </w:tcPr>
          <w:p w:rsidR="002625B2" w:rsidRPr="00AE6EDB" w:rsidRDefault="002625B2" w:rsidP="002625B2">
            <w:pPr>
              <w:ind w:right="226"/>
              <w:jc w:val="right"/>
            </w:pPr>
            <w:r w:rsidRPr="00AE6EDB">
              <w:t xml:space="preserve">5,7 </w:t>
            </w:r>
          </w:p>
        </w:tc>
        <w:tc>
          <w:tcPr>
            <w:tcW w:w="1559" w:type="dxa"/>
            <w:noWrap/>
            <w:vAlign w:val="bottom"/>
          </w:tcPr>
          <w:p w:rsidR="002625B2" w:rsidRPr="00AE6EDB" w:rsidRDefault="002625B2" w:rsidP="002625B2">
            <w:pPr>
              <w:ind w:right="226"/>
              <w:jc w:val="right"/>
            </w:pPr>
            <w:r w:rsidRPr="00AE6EDB">
              <w:t xml:space="preserve">-0,3 </w:t>
            </w:r>
          </w:p>
        </w:tc>
      </w:tr>
      <w:tr w:rsidR="002625B2" w:rsidRPr="00AE6EDB" w:rsidTr="002625B2">
        <w:trPr>
          <w:trHeight w:val="259"/>
          <w:jc w:val="center"/>
        </w:trPr>
        <w:tc>
          <w:tcPr>
            <w:tcW w:w="1750" w:type="dxa"/>
            <w:noWrap/>
            <w:vAlign w:val="center"/>
          </w:tcPr>
          <w:p w:rsidR="002625B2" w:rsidRPr="00AE6EDB" w:rsidRDefault="002625B2" w:rsidP="002625B2">
            <w:r w:rsidRPr="00AE6EDB">
              <w:t>Trnavský</w:t>
            </w:r>
          </w:p>
        </w:tc>
        <w:tc>
          <w:tcPr>
            <w:tcW w:w="1295" w:type="dxa"/>
            <w:noWrap/>
            <w:vAlign w:val="bottom"/>
          </w:tcPr>
          <w:p w:rsidR="002625B2" w:rsidRPr="00AE6EDB" w:rsidRDefault="002625B2" w:rsidP="002625B2">
            <w:pPr>
              <w:ind w:right="226"/>
              <w:jc w:val="right"/>
            </w:pPr>
            <w:r w:rsidRPr="00AE6EDB">
              <w:t xml:space="preserve">33,3 </w:t>
            </w:r>
          </w:p>
        </w:tc>
        <w:tc>
          <w:tcPr>
            <w:tcW w:w="1559" w:type="dxa"/>
            <w:noWrap/>
            <w:vAlign w:val="bottom"/>
          </w:tcPr>
          <w:p w:rsidR="002625B2" w:rsidRPr="00AE6EDB" w:rsidRDefault="002625B2" w:rsidP="002625B2">
            <w:pPr>
              <w:ind w:right="226"/>
              <w:jc w:val="right"/>
            </w:pPr>
            <w:r w:rsidRPr="00AE6EDB">
              <w:t xml:space="preserve">10,6 </w:t>
            </w:r>
          </w:p>
        </w:tc>
        <w:tc>
          <w:tcPr>
            <w:tcW w:w="1276" w:type="dxa"/>
            <w:noWrap/>
            <w:vAlign w:val="bottom"/>
          </w:tcPr>
          <w:p w:rsidR="002625B2" w:rsidRPr="00AE6EDB" w:rsidRDefault="002625B2" w:rsidP="002625B2">
            <w:pPr>
              <w:ind w:right="226"/>
              <w:jc w:val="right"/>
            </w:pPr>
            <w:r w:rsidRPr="00AE6EDB">
              <w:t xml:space="preserve">90,2 </w:t>
            </w:r>
          </w:p>
        </w:tc>
        <w:tc>
          <w:tcPr>
            <w:tcW w:w="1134" w:type="dxa"/>
            <w:noWrap/>
            <w:vAlign w:val="bottom"/>
          </w:tcPr>
          <w:p w:rsidR="002625B2" w:rsidRPr="00AE6EDB" w:rsidRDefault="002625B2" w:rsidP="002625B2">
            <w:pPr>
              <w:ind w:right="226"/>
              <w:jc w:val="right"/>
            </w:pPr>
            <w:r w:rsidRPr="00AE6EDB">
              <w:t xml:space="preserve">11,0 </w:t>
            </w:r>
          </w:p>
        </w:tc>
        <w:tc>
          <w:tcPr>
            <w:tcW w:w="1559" w:type="dxa"/>
            <w:noWrap/>
            <w:vAlign w:val="bottom"/>
          </w:tcPr>
          <w:p w:rsidR="002625B2" w:rsidRPr="00AE6EDB" w:rsidRDefault="002625B2" w:rsidP="002625B2">
            <w:pPr>
              <w:ind w:right="226"/>
              <w:jc w:val="right"/>
            </w:pPr>
            <w:r w:rsidRPr="00AE6EDB">
              <w:t xml:space="preserve">-1,4 </w:t>
            </w:r>
          </w:p>
        </w:tc>
      </w:tr>
      <w:tr w:rsidR="002625B2" w:rsidRPr="00AE6EDB" w:rsidTr="002625B2">
        <w:trPr>
          <w:trHeight w:val="259"/>
          <w:jc w:val="center"/>
        </w:trPr>
        <w:tc>
          <w:tcPr>
            <w:tcW w:w="1750" w:type="dxa"/>
            <w:noWrap/>
            <w:vAlign w:val="center"/>
          </w:tcPr>
          <w:p w:rsidR="002625B2" w:rsidRPr="00AE6EDB" w:rsidRDefault="002625B2" w:rsidP="002625B2">
            <w:r w:rsidRPr="00AE6EDB">
              <w:t>Trenčiansky</w:t>
            </w:r>
          </w:p>
        </w:tc>
        <w:tc>
          <w:tcPr>
            <w:tcW w:w="1295" w:type="dxa"/>
            <w:noWrap/>
            <w:vAlign w:val="bottom"/>
          </w:tcPr>
          <w:p w:rsidR="002625B2" w:rsidRPr="00AE6EDB" w:rsidRDefault="002625B2" w:rsidP="002625B2">
            <w:pPr>
              <w:ind w:right="226"/>
              <w:jc w:val="right"/>
            </w:pPr>
            <w:r w:rsidRPr="00AE6EDB">
              <w:t xml:space="preserve">21,1 </w:t>
            </w:r>
          </w:p>
        </w:tc>
        <w:tc>
          <w:tcPr>
            <w:tcW w:w="1559" w:type="dxa"/>
            <w:noWrap/>
            <w:vAlign w:val="bottom"/>
          </w:tcPr>
          <w:p w:rsidR="002625B2" w:rsidRPr="00AE6EDB" w:rsidRDefault="002625B2" w:rsidP="002625B2">
            <w:pPr>
              <w:ind w:right="226"/>
              <w:jc w:val="right"/>
            </w:pPr>
            <w:r w:rsidRPr="00AE6EDB">
              <w:t xml:space="preserve">6,7 </w:t>
            </w:r>
          </w:p>
        </w:tc>
        <w:tc>
          <w:tcPr>
            <w:tcW w:w="1276" w:type="dxa"/>
            <w:noWrap/>
            <w:vAlign w:val="bottom"/>
          </w:tcPr>
          <w:p w:rsidR="002625B2" w:rsidRPr="00AE6EDB" w:rsidRDefault="002625B2" w:rsidP="002625B2">
            <w:pPr>
              <w:ind w:right="226"/>
              <w:jc w:val="right"/>
            </w:pPr>
            <w:r w:rsidRPr="00AE6EDB">
              <w:t xml:space="preserve">83,4 </w:t>
            </w:r>
          </w:p>
        </w:tc>
        <w:tc>
          <w:tcPr>
            <w:tcW w:w="1134" w:type="dxa"/>
            <w:noWrap/>
            <w:vAlign w:val="bottom"/>
          </w:tcPr>
          <w:p w:rsidR="002625B2" w:rsidRPr="00AE6EDB" w:rsidRDefault="002625B2" w:rsidP="002625B2">
            <w:pPr>
              <w:ind w:right="226"/>
              <w:jc w:val="right"/>
            </w:pPr>
            <w:r w:rsidRPr="00AE6EDB">
              <w:t xml:space="preserve">7,2 </w:t>
            </w:r>
          </w:p>
        </w:tc>
        <w:tc>
          <w:tcPr>
            <w:tcW w:w="1559" w:type="dxa"/>
            <w:noWrap/>
            <w:vAlign w:val="bottom"/>
          </w:tcPr>
          <w:p w:rsidR="002625B2" w:rsidRPr="00AE6EDB" w:rsidRDefault="002625B2" w:rsidP="002625B2">
            <w:pPr>
              <w:ind w:right="226"/>
              <w:jc w:val="right"/>
            </w:pPr>
            <w:r w:rsidRPr="00AE6EDB">
              <w:t xml:space="preserve">-1,4 </w:t>
            </w:r>
          </w:p>
        </w:tc>
      </w:tr>
      <w:tr w:rsidR="002625B2" w:rsidRPr="00AE6EDB" w:rsidTr="002625B2">
        <w:trPr>
          <w:trHeight w:val="259"/>
          <w:jc w:val="center"/>
        </w:trPr>
        <w:tc>
          <w:tcPr>
            <w:tcW w:w="1750" w:type="dxa"/>
            <w:noWrap/>
            <w:vAlign w:val="center"/>
          </w:tcPr>
          <w:p w:rsidR="002625B2" w:rsidRPr="00AE6EDB" w:rsidRDefault="002625B2" w:rsidP="002625B2">
            <w:r w:rsidRPr="00AE6EDB">
              <w:t>Nitriansky</w:t>
            </w:r>
          </w:p>
        </w:tc>
        <w:tc>
          <w:tcPr>
            <w:tcW w:w="1295" w:type="dxa"/>
            <w:noWrap/>
            <w:vAlign w:val="bottom"/>
          </w:tcPr>
          <w:p w:rsidR="002625B2" w:rsidRPr="00AE6EDB" w:rsidRDefault="002625B2" w:rsidP="002625B2">
            <w:pPr>
              <w:ind w:right="226"/>
              <w:jc w:val="right"/>
            </w:pPr>
            <w:r w:rsidRPr="00AE6EDB">
              <w:t xml:space="preserve">37,4 </w:t>
            </w:r>
          </w:p>
        </w:tc>
        <w:tc>
          <w:tcPr>
            <w:tcW w:w="1559" w:type="dxa"/>
            <w:noWrap/>
            <w:vAlign w:val="bottom"/>
          </w:tcPr>
          <w:p w:rsidR="002625B2" w:rsidRPr="00AE6EDB" w:rsidRDefault="002625B2" w:rsidP="002625B2">
            <w:pPr>
              <w:ind w:right="226"/>
              <w:jc w:val="right"/>
            </w:pPr>
            <w:r w:rsidRPr="00AE6EDB">
              <w:t xml:space="preserve">11,9 </w:t>
            </w:r>
          </w:p>
        </w:tc>
        <w:tc>
          <w:tcPr>
            <w:tcW w:w="1276" w:type="dxa"/>
            <w:noWrap/>
            <w:vAlign w:val="bottom"/>
          </w:tcPr>
          <w:p w:rsidR="002625B2" w:rsidRPr="00AE6EDB" w:rsidRDefault="002625B2" w:rsidP="002625B2">
            <w:pPr>
              <w:ind w:right="226"/>
              <w:jc w:val="right"/>
            </w:pPr>
            <w:r w:rsidRPr="00AE6EDB">
              <w:t xml:space="preserve">90,8 </w:t>
            </w:r>
          </w:p>
        </w:tc>
        <w:tc>
          <w:tcPr>
            <w:tcW w:w="1134" w:type="dxa"/>
            <w:noWrap/>
            <w:vAlign w:val="bottom"/>
          </w:tcPr>
          <w:p w:rsidR="002625B2" w:rsidRPr="00AE6EDB" w:rsidRDefault="002625B2" w:rsidP="002625B2">
            <w:pPr>
              <w:ind w:right="226"/>
              <w:jc w:val="right"/>
            </w:pPr>
            <w:r w:rsidRPr="00AE6EDB">
              <w:t xml:space="preserve">10,8 </w:t>
            </w:r>
          </w:p>
        </w:tc>
        <w:tc>
          <w:tcPr>
            <w:tcW w:w="1559" w:type="dxa"/>
            <w:noWrap/>
            <w:vAlign w:val="bottom"/>
          </w:tcPr>
          <w:p w:rsidR="002625B2" w:rsidRPr="00AE6EDB" w:rsidRDefault="002625B2" w:rsidP="002625B2">
            <w:pPr>
              <w:ind w:right="226"/>
              <w:jc w:val="right"/>
            </w:pPr>
            <w:r w:rsidRPr="00AE6EDB">
              <w:t xml:space="preserve">-1,1 </w:t>
            </w:r>
          </w:p>
        </w:tc>
      </w:tr>
      <w:tr w:rsidR="002625B2" w:rsidRPr="00AE6EDB" w:rsidTr="002625B2">
        <w:trPr>
          <w:trHeight w:val="259"/>
          <w:jc w:val="center"/>
        </w:trPr>
        <w:tc>
          <w:tcPr>
            <w:tcW w:w="1750" w:type="dxa"/>
            <w:noWrap/>
            <w:vAlign w:val="center"/>
          </w:tcPr>
          <w:p w:rsidR="002625B2" w:rsidRPr="00AE6EDB" w:rsidRDefault="002625B2" w:rsidP="002625B2">
            <w:r w:rsidRPr="00AE6EDB">
              <w:t>Žilinský</w:t>
            </w:r>
          </w:p>
        </w:tc>
        <w:tc>
          <w:tcPr>
            <w:tcW w:w="1295" w:type="dxa"/>
            <w:noWrap/>
            <w:vAlign w:val="bottom"/>
          </w:tcPr>
          <w:p w:rsidR="002625B2" w:rsidRPr="00AE6EDB" w:rsidRDefault="002625B2" w:rsidP="002625B2">
            <w:pPr>
              <w:ind w:right="226"/>
              <w:jc w:val="right"/>
            </w:pPr>
            <w:r w:rsidRPr="00AE6EDB">
              <w:t xml:space="preserve">35,5 </w:t>
            </w:r>
          </w:p>
        </w:tc>
        <w:tc>
          <w:tcPr>
            <w:tcW w:w="1559" w:type="dxa"/>
            <w:noWrap/>
            <w:vAlign w:val="bottom"/>
          </w:tcPr>
          <w:p w:rsidR="002625B2" w:rsidRPr="00AE6EDB" w:rsidRDefault="002625B2" w:rsidP="002625B2">
            <w:pPr>
              <w:ind w:right="226"/>
              <w:jc w:val="right"/>
            </w:pPr>
            <w:r w:rsidRPr="00AE6EDB">
              <w:t xml:space="preserve">11,3 </w:t>
            </w:r>
          </w:p>
        </w:tc>
        <w:tc>
          <w:tcPr>
            <w:tcW w:w="1276" w:type="dxa"/>
            <w:noWrap/>
            <w:vAlign w:val="bottom"/>
          </w:tcPr>
          <w:p w:rsidR="002625B2" w:rsidRPr="00AE6EDB" w:rsidRDefault="002625B2" w:rsidP="002625B2">
            <w:pPr>
              <w:ind w:right="226"/>
              <w:jc w:val="right"/>
            </w:pPr>
            <w:r w:rsidRPr="00AE6EDB">
              <w:t xml:space="preserve">77,2 </w:t>
            </w:r>
          </w:p>
        </w:tc>
        <w:tc>
          <w:tcPr>
            <w:tcW w:w="1134" w:type="dxa"/>
            <w:noWrap/>
            <w:vAlign w:val="bottom"/>
          </w:tcPr>
          <w:p w:rsidR="002625B2" w:rsidRPr="00AE6EDB" w:rsidRDefault="002625B2" w:rsidP="002625B2">
            <w:pPr>
              <w:ind w:right="226"/>
              <w:jc w:val="right"/>
            </w:pPr>
            <w:r w:rsidRPr="00AE6EDB">
              <w:t xml:space="preserve">10,3 </w:t>
            </w:r>
          </w:p>
        </w:tc>
        <w:tc>
          <w:tcPr>
            <w:tcW w:w="1559" w:type="dxa"/>
            <w:noWrap/>
            <w:vAlign w:val="bottom"/>
          </w:tcPr>
          <w:p w:rsidR="002625B2" w:rsidRPr="00AE6EDB" w:rsidRDefault="002625B2" w:rsidP="002625B2">
            <w:pPr>
              <w:ind w:right="226"/>
              <w:jc w:val="right"/>
            </w:pPr>
            <w:r w:rsidRPr="00AE6EDB">
              <w:t xml:space="preserve">-3,3 </w:t>
            </w:r>
          </w:p>
        </w:tc>
      </w:tr>
      <w:tr w:rsidR="002625B2" w:rsidRPr="00AE6EDB" w:rsidTr="002625B2">
        <w:trPr>
          <w:trHeight w:val="259"/>
          <w:jc w:val="center"/>
        </w:trPr>
        <w:tc>
          <w:tcPr>
            <w:tcW w:w="1750" w:type="dxa"/>
            <w:noWrap/>
            <w:vAlign w:val="center"/>
          </w:tcPr>
          <w:p w:rsidR="002625B2" w:rsidRPr="00AE6EDB" w:rsidRDefault="002625B2" w:rsidP="002625B2">
            <w:r w:rsidRPr="00AE6EDB">
              <w:t>Banskobystrický</w:t>
            </w:r>
          </w:p>
        </w:tc>
        <w:tc>
          <w:tcPr>
            <w:tcW w:w="1295" w:type="dxa"/>
            <w:noWrap/>
            <w:vAlign w:val="bottom"/>
          </w:tcPr>
          <w:p w:rsidR="002625B2" w:rsidRPr="00AE6EDB" w:rsidRDefault="002625B2" w:rsidP="002625B2">
            <w:pPr>
              <w:ind w:right="226"/>
              <w:jc w:val="right"/>
            </w:pPr>
            <w:r w:rsidRPr="00AE6EDB">
              <w:t xml:space="preserve">52,2 </w:t>
            </w:r>
          </w:p>
        </w:tc>
        <w:tc>
          <w:tcPr>
            <w:tcW w:w="1559" w:type="dxa"/>
            <w:noWrap/>
            <w:vAlign w:val="bottom"/>
          </w:tcPr>
          <w:p w:rsidR="002625B2" w:rsidRPr="00AE6EDB" w:rsidRDefault="002625B2" w:rsidP="002625B2">
            <w:pPr>
              <w:ind w:right="226"/>
              <w:jc w:val="right"/>
            </w:pPr>
            <w:r w:rsidRPr="00AE6EDB">
              <w:t xml:space="preserve">16,6 </w:t>
            </w:r>
          </w:p>
        </w:tc>
        <w:tc>
          <w:tcPr>
            <w:tcW w:w="1276" w:type="dxa"/>
            <w:noWrap/>
            <w:vAlign w:val="bottom"/>
          </w:tcPr>
          <w:p w:rsidR="002625B2" w:rsidRPr="00AE6EDB" w:rsidRDefault="002625B2" w:rsidP="002625B2">
            <w:pPr>
              <w:ind w:right="226"/>
              <w:jc w:val="right"/>
            </w:pPr>
            <w:r w:rsidRPr="00AE6EDB">
              <w:t xml:space="preserve">84,6 </w:t>
            </w:r>
          </w:p>
        </w:tc>
        <w:tc>
          <w:tcPr>
            <w:tcW w:w="1134" w:type="dxa"/>
            <w:noWrap/>
            <w:vAlign w:val="bottom"/>
          </w:tcPr>
          <w:p w:rsidR="002625B2" w:rsidRPr="00AE6EDB" w:rsidRDefault="002625B2" w:rsidP="002625B2">
            <w:pPr>
              <w:ind w:right="226"/>
              <w:jc w:val="right"/>
            </w:pPr>
            <w:r w:rsidRPr="00AE6EDB">
              <w:t xml:space="preserve">15,3 </w:t>
            </w:r>
          </w:p>
        </w:tc>
        <w:tc>
          <w:tcPr>
            <w:tcW w:w="1559" w:type="dxa"/>
            <w:noWrap/>
            <w:vAlign w:val="bottom"/>
          </w:tcPr>
          <w:p w:rsidR="002625B2" w:rsidRPr="00AE6EDB" w:rsidRDefault="002625B2" w:rsidP="002625B2">
            <w:pPr>
              <w:ind w:right="226"/>
              <w:jc w:val="right"/>
            </w:pPr>
            <w:r w:rsidRPr="00AE6EDB">
              <w:t xml:space="preserve">-3,0 </w:t>
            </w:r>
          </w:p>
        </w:tc>
      </w:tr>
      <w:tr w:rsidR="002625B2" w:rsidRPr="00AE6EDB" w:rsidTr="002625B2">
        <w:trPr>
          <w:trHeight w:val="259"/>
          <w:jc w:val="center"/>
        </w:trPr>
        <w:tc>
          <w:tcPr>
            <w:tcW w:w="1750" w:type="dxa"/>
            <w:noWrap/>
            <w:vAlign w:val="center"/>
          </w:tcPr>
          <w:p w:rsidR="002625B2" w:rsidRPr="00AE6EDB" w:rsidRDefault="002625B2" w:rsidP="002625B2">
            <w:r w:rsidRPr="00AE6EDB">
              <w:t>Prešovský</w:t>
            </w:r>
          </w:p>
        </w:tc>
        <w:tc>
          <w:tcPr>
            <w:tcW w:w="1295" w:type="dxa"/>
            <w:noWrap/>
            <w:vAlign w:val="bottom"/>
          </w:tcPr>
          <w:p w:rsidR="002625B2" w:rsidRPr="00AE6EDB" w:rsidRDefault="002625B2" w:rsidP="002625B2">
            <w:pPr>
              <w:ind w:right="226"/>
              <w:jc w:val="right"/>
            </w:pPr>
            <w:r w:rsidRPr="00AE6EDB">
              <w:t xml:space="preserve">66,7 </w:t>
            </w:r>
          </w:p>
        </w:tc>
        <w:tc>
          <w:tcPr>
            <w:tcW w:w="1559" w:type="dxa"/>
            <w:noWrap/>
            <w:vAlign w:val="bottom"/>
          </w:tcPr>
          <w:p w:rsidR="002625B2" w:rsidRPr="00AE6EDB" w:rsidRDefault="002625B2" w:rsidP="002625B2">
            <w:pPr>
              <w:ind w:right="226"/>
              <w:jc w:val="right"/>
            </w:pPr>
            <w:r w:rsidRPr="00AE6EDB">
              <w:t xml:space="preserve">21,2 </w:t>
            </w:r>
          </w:p>
        </w:tc>
        <w:tc>
          <w:tcPr>
            <w:tcW w:w="1276" w:type="dxa"/>
            <w:noWrap/>
            <w:vAlign w:val="bottom"/>
          </w:tcPr>
          <w:p w:rsidR="002625B2" w:rsidRPr="00AE6EDB" w:rsidRDefault="002625B2" w:rsidP="002625B2">
            <w:pPr>
              <w:ind w:right="226"/>
              <w:jc w:val="right"/>
            </w:pPr>
            <w:r w:rsidRPr="00AE6EDB">
              <w:t xml:space="preserve">96,4 </w:t>
            </w:r>
          </w:p>
        </w:tc>
        <w:tc>
          <w:tcPr>
            <w:tcW w:w="1134" w:type="dxa"/>
            <w:noWrap/>
            <w:vAlign w:val="bottom"/>
          </w:tcPr>
          <w:p w:rsidR="002625B2" w:rsidRPr="00AE6EDB" w:rsidRDefault="002625B2" w:rsidP="002625B2">
            <w:pPr>
              <w:ind w:right="226"/>
              <w:jc w:val="right"/>
            </w:pPr>
            <w:r w:rsidRPr="00AE6EDB">
              <w:t xml:space="preserve">16,9 </w:t>
            </w:r>
          </w:p>
        </w:tc>
        <w:tc>
          <w:tcPr>
            <w:tcW w:w="1559" w:type="dxa"/>
            <w:noWrap/>
            <w:vAlign w:val="bottom"/>
          </w:tcPr>
          <w:p w:rsidR="002625B2" w:rsidRPr="00AE6EDB" w:rsidRDefault="002625B2" w:rsidP="002625B2">
            <w:pPr>
              <w:ind w:right="226"/>
              <w:jc w:val="right"/>
            </w:pPr>
            <w:r w:rsidRPr="00AE6EDB">
              <w:t xml:space="preserve">-0,6 </w:t>
            </w:r>
          </w:p>
        </w:tc>
      </w:tr>
      <w:tr w:rsidR="002625B2" w:rsidRPr="00AE6EDB" w:rsidTr="002625B2">
        <w:trPr>
          <w:trHeight w:val="259"/>
          <w:jc w:val="center"/>
        </w:trPr>
        <w:tc>
          <w:tcPr>
            <w:tcW w:w="1750" w:type="dxa"/>
            <w:noWrap/>
            <w:vAlign w:val="center"/>
          </w:tcPr>
          <w:p w:rsidR="002625B2" w:rsidRPr="00AE6EDB" w:rsidRDefault="002625B2" w:rsidP="002625B2">
            <w:r w:rsidRPr="00AE6EDB">
              <w:t>Košický</w:t>
            </w:r>
          </w:p>
        </w:tc>
        <w:tc>
          <w:tcPr>
            <w:tcW w:w="1295" w:type="dxa"/>
            <w:noWrap/>
            <w:vAlign w:val="bottom"/>
          </w:tcPr>
          <w:p w:rsidR="002625B2" w:rsidRPr="00AE6EDB" w:rsidRDefault="002625B2" w:rsidP="002625B2">
            <w:pPr>
              <w:ind w:right="226"/>
              <w:jc w:val="right"/>
            </w:pPr>
            <w:r w:rsidRPr="00AE6EDB">
              <w:t xml:space="preserve">48,9 </w:t>
            </w:r>
          </w:p>
        </w:tc>
        <w:tc>
          <w:tcPr>
            <w:tcW w:w="1559" w:type="dxa"/>
            <w:noWrap/>
            <w:vAlign w:val="bottom"/>
          </w:tcPr>
          <w:p w:rsidR="002625B2" w:rsidRPr="00AE6EDB" w:rsidRDefault="002625B2" w:rsidP="002625B2">
            <w:pPr>
              <w:ind w:right="226"/>
              <w:jc w:val="right"/>
            </w:pPr>
            <w:r w:rsidRPr="00AE6EDB">
              <w:t xml:space="preserve">15,6 </w:t>
            </w:r>
          </w:p>
        </w:tc>
        <w:tc>
          <w:tcPr>
            <w:tcW w:w="1276" w:type="dxa"/>
            <w:noWrap/>
            <w:vAlign w:val="bottom"/>
          </w:tcPr>
          <w:p w:rsidR="002625B2" w:rsidRPr="00AE6EDB" w:rsidRDefault="002625B2" w:rsidP="002625B2">
            <w:pPr>
              <w:ind w:right="226"/>
              <w:jc w:val="right"/>
            </w:pPr>
            <w:r w:rsidRPr="00AE6EDB">
              <w:t xml:space="preserve">83,7 </w:t>
            </w:r>
          </w:p>
        </w:tc>
        <w:tc>
          <w:tcPr>
            <w:tcW w:w="1134" w:type="dxa"/>
            <w:noWrap/>
            <w:vAlign w:val="bottom"/>
          </w:tcPr>
          <w:p w:rsidR="002625B2" w:rsidRPr="00AE6EDB" w:rsidRDefault="002625B2" w:rsidP="002625B2">
            <w:pPr>
              <w:ind w:right="226"/>
              <w:jc w:val="right"/>
            </w:pPr>
            <w:r w:rsidRPr="00AE6EDB">
              <w:t xml:space="preserve">13,1 </w:t>
            </w:r>
          </w:p>
        </w:tc>
        <w:tc>
          <w:tcPr>
            <w:tcW w:w="1559" w:type="dxa"/>
            <w:noWrap/>
            <w:vAlign w:val="bottom"/>
          </w:tcPr>
          <w:p w:rsidR="002625B2" w:rsidRPr="00AE6EDB" w:rsidRDefault="002625B2" w:rsidP="002625B2">
            <w:pPr>
              <w:ind w:right="226"/>
              <w:jc w:val="right"/>
            </w:pPr>
            <w:r w:rsidRPr="00AE6EDB">
              <w:t xml:space="preserve">-2,5 </w:t>
            </w:r>
          </w:p>
        </w:tc>
      </w:tr>
    </w:tbl>
    <w:p w:rsidR="002625B2" w:rsidRPr="00AE6EDB" w:rsidRDefault="002625B2" w:rsidP="002625B2">
      <w:pPr>
        <w:pStyle w:val="zdroj"/>
      </w:pPr>
      <w:r w:rsidRPr="00AE6EDB">
        <w:t>Zdroj: ŠÚ SR, VZPS</w:t>
      </w:r>
    </w:p>
    <w:p w:rsidR="002625B2" w:rsidRPr="00AE6EDB" w:rsidRDefault="002625B2" w:rsidP="002625B2">
      <w:pPr>
        <w:ind w:firstLine="567"/>
      </w:pPr>
      <w:r w:rsidRPr="00AE6EDB">
        <w:t xml:space="preserve">Pokles nezamestnanosti ovplyvnila predovšetkým </w:t>
      </w:r>
      <w:r w:rsidRPr="00AE6EDB">
        <w:rPr>
          <w:b/>
          <w:i/>
        </w:rPr>
        <w:t>dlhodobá nezamestnanosť</w:t>
      </w:r>
      <w:r w:rsidRPr="00AE6EDB">
        <w:t xml:space="preserve"> (osoby nezamestnané dlhšie ako 1 rok). </w:t>
      </w:r>
      <w:r w:rsidRPr="00AE6EDB">
        <w:rPr>
          <w:rFonts w:cs="Calibri"/>
          <w:szCs w:val="22"/>
        </w:rPr>
        <w:t>V roku 2015 došlo vo vývoji dlhodobo nezamestnaných k obratu, keď počet dlhodobo nezamestnaných zaznamenal rýchlejší pokles (o 18,3</w:t>
      </w:r>
      <w:r w:rsidR="005676EF">
        <w:rPr>
          <w:rFonts w:cs="Calibri"/>
          <w:szCs w:val="22"/>
        </w:rPr>
        <w:t> %</w:t>
      </w:r>
      <w:r w:rsidRPr="00AE6EDB">
        <w:rPr>
          <w:rFonts w:cs="Calibri"/>
          <w:szCs w:val="22"/>
        </w:rPr>
        <w:t>) ako bol pokles celkového počtu nezamestnaných (12,4</w:t>
      </w:r>
      <w:r w:rsidR="005676EF">
        <w:rPr>
          <w:rFonts w:cs="Calibri"/>
          <w:szCs w:val="22"/>
        </w:rPr>
        <w:t> %</w:t>
      </w:r>
      <w:r w:rsidRPr="00AE6EDB">
        <w:rPr>
          <w:rFonts w:cs="Calibri"/>
          <w:szCs w:val="22"/>
        </w:rPr>
        <w:t>). Priemerný počet dlhodobo nezamestnaných v roku 2015 sa medziročne znížil o takmer 44 tis</w:t>
      </w:r>
      <w:r w:rsidR="00A8066C" w:rsidRPr="00AE6EDB">
        <w:rPr>
          <w:rFonts w:cs="Calibri"/>
          <w:szCs w:val="22"/>
        </w:rPr>
        <w:t>.</w:t>
      </w:r>
      <w:r w:rsidRPr="00AE6EDB">
        <w:rPr>
          <w:rFonts w:cs="Calibri"/>
          <w:szCs w:val="22"/>
        </w:rPr>
        <w:t xml:space="preserve"> osôb a dostal sa pod hranicu 200 tis. osôb, keď dosiahol </w:t>
      </w:r>
      <w:r w:rsidR="00A8066C" w:rsidRPr="00AE6EDB">
        <w:rPr>
          <w:rFonts w:cs="Calibri"/>
          <w:szCs w:val="22"/>
        </w:rPr>
        <w:t xml:space="preserve">hodnotu </w:t>
      </w:r>
      <w:r w:rsidRPr="00AE6EDB">
        <w:rPr>
          <w:rFonts w:cs="Calibri"/>
          <w:szCs w:val="22"/>
        </w:rPr>
        <w:t>195,</w:t>
      </w:r>
      <w:r w:rsidR="00B65D95">
        <w:rPr>
          <w:rFonts w:cs="Calibri"/>
          <w:szCs w:val="22"/>
        </w:rPr>
        <w:t>7</w:t>
      </w:r>
      <w:r w:rsidRPr="00AE6EDB">
        <w:rPr>
          <w:rFonts w:cs="Calibri"/>
          <w:szCs w:val="22"/>
        </w:rPr>
        <w:t xml:space="preserve"> tis.</w:t>
      </w:r>
      <w:r w:rsidRPr="00AE6EDB">
        <w:rPr>
          <w:rFonts w:cs="Calibri"/>
          <w:sz w:val="24"/>
        </w:rPr>
        <w:t xml:space="preserve"> </w:t>
      </w:r>
    </w:p>
    <w:p w:rsidR="002625B2" w:rsidRPr="00AE6EDB" w:rsidRDefault="002625B2" w:rsidP="002625B2">
      <w:pPr>
        <w:ind w:firstLine="431"/>
      </w:pPr>
      <w:r w:rsidRPr="00AE6EDB">
        <w:t>Vysoký podiel dlhodobo nezamestnaných na celkovom počte nezamestnaných v SR (viac ako 60</w:t>
      </w:r>
      <w:r w:rsidR="005676EF">
        <w:t> %</w:t>
      </w:r>
      <w:r w:rsidRPr="00AE6EDB">
        <w:rPr>
          <w:i/>
        </w:rPr>
        <w:t>)</w:t>
      </w:r>
      <w:r w:rsidRPr="00AE6EDB">
        <w:t xml:space="preserve"> však naďalej pretrvával. Veľmi dlhodobá nezamestnanosť (nezamestnaní viac ako 2 roky) tvorila 45,3</w:t>
      </w:r>
      <w:r w:rsidR="005676EF">
        <w:t> %</w:t>
      </w:r>
      <w:r w:rsidRPr="00AE6EDB">
        <w:t xml:space="preserve"> z celkovej nezamestnanosti v SR a takmer 73</w:t>
      </w:r>
      <w:r w:rsidR="005676EF">
        <w:t> %</w:t>
      </w:r>
      <w:r w:rsidRPr="00AE6EDB">
        <w:t xml:space="preserve"> z celkového počtu dlhodobo nezamestnaných.</w:t>
      </w:r>
    </w:p>
    <w:p w:rsidR="002625B2" w:rsidRPr="00AE6EDB" w:rsidRDefault="002625B2" w:rsidP="002625B2">
      <w:pPr>
        <w:pStyle w:val="Nadpis7"/>
      </w:pPr>
      <w:r w:rsidRPr="00AE6EDB">
        <w:t>Tabuľka 2.1</w:t>
      </w:r>
      <w:r w:rsidR="004A57BA" w:rsidRPr="00AE6EDB">
        <w:t>7</w:t>
      </w:r>
      <w:r w:rsidRPr="00AE6EDB">
        <w:t xml:space="preserve"> Nezamestnanosť podľa dĺžky trvania nezamestnanosti v roku 2015 </w:t>
      </w:r>
      <w:r w:rsidRPr="00AE6EDB">
        <w:br/>
        <w:t xml:space="preserve">(priemer za rok) </w:t>
      </w:r>
    </w:p>
    <w:tbl>
      <w:tblPr>
        <w:tblW w:w="914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2910"/>
        <w:gridCol w:w="2342"/>
        <w:gridCol w:w="2440"/>
        <w:gridCol w:w="1453"/>
      </w:tblGrid>
      <w:tr w:rsidR="002625B2" w:rsidRPr="00AE6EDB" w:rsidTr="002625B2">
        <w:trPr>
          <w:jc w:val="center"/>
        </w:trPr>
        <w:tc>
          <w:tcPr>
            <w:tcW w:w="2910"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Trvanie nezamestnanosti</w:t>
            </w:r>
          </w:p>
        </w:tc>
        <w:tc>
          <w:tcPr>
            <w:tcW w:w="2342"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Počet nezamestnaných</w:t>
            </w:r>
          </w:p>
          <w:p w:rsidR="002625B2" w:rsidRPr="00AE6EDB" w:rsidRDefault="002625B2" w:rsidP="002625B2">
            <w:pPr>
              <w:jc w:val="center"/>
              <w:rPr>
                <w:b/>
                <w:color w:val="FFFFFF" w:themeColor="background1"/>
              </w:rPr>
            </w:pPr>
            <w:r w:rsidRPr="00AE6EDB">
              <w:rPr>
                <w:b/>
                <w:color w:val="FFFFFF" w:themeColor="background1"/>
              </w:rPr>
              <w:t>(v tis. osôb)</w:t>
            </w:r>
          </w:p>
        </w:tc>
        <w:tc>
          <w:tcPr>
            <w:tcW w:w="2440"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Podiel z celkového počtu nezamestnaných (v</w:t>
            </w:r>
            <w:r w:rsidR="005676EF">
              <w:rPr>
                <w:b/>
                <w:color w:val="FFFFFF" w:themeColor="background1"/>
              </w:rPr>
              <w:t> %</w:t>
            </w:r>
            <w:r w:rsidRPr="00AE6EDB">
              <w:rPr>
                <w:b/>
                <w:color w:val="FFFFFF" w:themeColor="background1"/>
              </w:rPr>
              <w:t>)</w:t>
            </w:r>
          </w:p>
        </w:tc>
        <w:tc>
          <w:tcPr>
            <w:tcW w:w="1453"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Index</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55"/>
          <w:jc w:val="center"/>
        </w:trPr>
        <w:tc>
          <w:tcPr>
            <w:tcW w:w="2910" w:type="dxa"/>
            <w:vAlign w:val="center"/>
          </w:tcPr>
          <w:p w:rsidR="002625B2" w:rsidRPr="00AE6EDB" w:rsidRDefault="002625B2" w:rsidP="002625B2">
            <w:pPr>
              <w:jc w:val="left"/>
              <w:rPr>
                <w:b/>
              </w:rPr>
            </w:pPr>
            <w:r w:rsidRPr="00AE6EDB">
              <w:rPr>
                <w:b/>
              </w:rPr>
              <w:t>Spolu</w:t>
            </w:r>
          </w:p>
        </w:tc>
        <w:tc>
          <w:tcPr>
            <w:tcW w:w="2342" w:type="dxa"/>
            <w:vAlign w:val="center"/>
          </w:tcPr>
          <w:p w:rsidR="002625B2" w:rsidRPr="00AE6EDB" w:rsidRDefault="002625B2" w:rsidP="002625B2">
            <w:pPr>
              <w:ind w:right="672"/>
              <w:jc w:val="right"/>
              <w:rPr>
                <w:b/>
              </w:rPr>
            </w:pPr>
            <w:r w:rsidRPr="00AE6EDB">
              <w:rPr>
                <w:b/>
              </w:rPr>
              <w:t>314,3</w:t>
            </w:r>
          </w:p>
        </w:tc>
        <w:tc>
          <w:tcPr>
            <w:tcW w:w="2440" w:type="dxa"/>
            <w:vAlign w:val="center"/>
          </w:tcPr>
          <w:p w:rsidR="002625B2" w:rsidRPr="00AE6EDB" w:rsidRDefault="002625B2" w:rsidP="002625B2">
            <w:pPr>
              <w:ind w:right="672"/>
              <w:jc w:val="right"/>
              <w:rPr>
                <w:b/>
              </w:rPr>
            </w:pPr>
            <w:r w:rsidRPr="00AE6EDB">
              <w:rPr>
                <w:b/>
              </w:rPr>
              <w:t>100,0</w:t>
            </w:r>
          </w:p>
        </w:tc>
        <w:tc>
          <w:tcPr>
            <w:tcW w:w="1453" w:type="dxa"/>
            <w:vAlign w:val="center"/>
          </w:tcPr>
          <w:p w:rsidR="002625B2" w:rsidRPr="00AE6EDB" w:rsidRDefault="002625B2" w:rsidP="002625B2">
            <w:pPr>
              <w:tabs>
                <w:tab w:val="left" w:pos="681"/>
              </w:tabs>
              <w:ind w:right="454"/>
              <w:jc w:val="right"/>
              <w:rPr>
                <w:b/>
              </w:rPr>
            </w:pPr>
            <w:r w:rsidRPr="00AE6EDB">
              <w:rPr>
                <w:b/>
              </w:rPr>
              <w:t>87,6</w:t>
            </w: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v tom:</w:t>
            </w:r>
          </w:p>
        </w:tc>
        <w:tc>
          <w:tcPr>
            <w:tcW w:w="2342" w:type="dxa"/>
            <w:vAlign w:val="center"/>
          </w:tcPr>
          <w:p w:rsidR="002625B2" w:rsidRPr="00AE6EDB" w:rsidRDefault="002625B2" w:rsidP="002625B2">
            <w:pPr>
              <w:ind w:right="672"/>
              <w:jc w:val="right"/>
            </w:pPr>
          </w:p>
        </w:tc>
        <w:tc>
          <w:tcPr>
            <w:tcW w:w="2440" w:type="dxa"/>
            <w:vAlign w:val="center"/>
          </w:tcPr>
          <w:p w:rsidR="002625B2" w:rsidRPr="00AE6EDB" w:rsidRDefault="002625B2" w:rsidP="002625B2">
            <w:pPr>
              <w:ind w:right="672"/>
              <w:jc w:val="right"/>
            </w:pPr>
          </w:p>
        </w:tc>
        <w:tc>
          <w:tcPr>
            <w:tcW w:w="1453" w:type="dxa"/>
            <w:vAlign w:val="center"/>
          </w:tcPr>
          <w:p w:rsidR="002625B2" w:rsidRPr="00AE6EDB" w:rsidRDefault="002625B2" w:rsidP="002625B2">
            <w:pPr>
              <w:tabs>
                <w:tab w:val="left" w:pos="681"/>
              </w:tabs>
              <w:ind w:right="454"/>
              <w:jc w:val="right"/>
              <w:rPr>
                <w:b/>
              </w:rPr>
            </w:pP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do 1 mesiaca</w:t>
            </w:r>
          </w:p>
        </w:tc>
        <w:tc>
          <w:tcPr>
            <w:tcW w:w="2342" w:type="dxa"/>
            <w:vAlign w:val="bottom"/>
          </w:tcPr>
          <w:p w:rsidR="002625B2" w:rsidRPr="00AE6EDB" w:rsidRDefault="002625B2" w:rsidP="002625B2">
            <w:pPr>
              <w:ind w:right="672"/>
              <w:jc w:val="right"/>
            </w:pPr>
            <w:r w:rsidRPr="00AE6EDB">
              <w:t xml:space="preserve">31,1 </w:t>
            </w:r>
          </w:p>
        </w:tc>
        <w:tc>
          <w:tcPr>
            <w:tcW w:w="2440" w:type="dxa"/>
            <w:vAlign w:val="bottom"/>
          </w:tcPr>
          <w:p w:rsidR="002625B2" w:rsidRPr="00AE6EDB" w:rsidRDefault="002625B2" w:rsidP="002625B2">
            <w:pPr>
              <w:ind w:right="672"/>
              <w:jc w:val="right"/>
            </w:pPr>
            <w:r w:rsidRPr="00AE6EDB">
              <w:t>9,9</w:t>
            </w:r>
          </w:p>
        </w:tc>
        <w:tc>
          <w:tcPr>
            <w:tcW w:w="1453" w:type="dxa"/>
            <w:vAlign w:val="center"/>
          </w:tcPr>
          <w:p w:rsidR="002625B2" w:rsidRPr="00AE6EDB" w:rsidRDefault="002625B2" w:rsidP="002625B2">
            <w:pPr>
              <w:tabs>
                <w:tab w:val="left" w:pos="681"/>
              </w:tabs>
              <w:ind w:right="454"/>
              <w:jc w:val="right"/>
            </w:pPr>
            <w:r w:rsidRPr="00AE6EDB">
              <w:t xml:space="preserve">135,2 </w:t>
            </w: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od 1 mesiaca do 3 mesiacov</w:t>
            </w:r>
          </w:p>
        </w:tc>
        <w:tc>
          <w:tcPr>
            <w:tcW w:w="2342" w:type="dxa"/>
            <w:vAlign w:val="bottom"/>
          </w:tcPr>
          <w:p w:rsidR="002625B2" w:rsidRPr="00AE6EDB" w:rsidRDefault="002625B2" w:rsidP="002625B2">
            <w:pPr>
              <w:ind w:right="672"/>
              <w:jc w:val="right"/>
            </w:pPr>
            <w:r w:rsidRPr="00AE6EDB">
              <w:t xml:space="preserve">23,7 </w:t>
            </w:r>
          </w:p>
        </w:tc>
        <w:tc>
          <w:tcPr>
            <w:tcW w:w="2440" w:type="dxa"/>
            <w:vAlign w:val="bottom"/>
          </w:tcPr>
          <w:p w:rsidR="002625B2" w:rsidRPr="00AE6EDB" w:rsidRDefault="002625B2" w:rsidP="002625B2">
            <w:pPr>
              <w:ind w:right="672"/>
              <w:jc w:val="right"/>
            </w:pPr>
            <w:r w:rsidRPr="00AE6EDB">
              <w:t>7,5</w:t>
            </w:r>
          </w:p>
        </w:tc>
        <w:tc>
          <w:tcPr>
            <w:tcW w:w="1453" w:type="dxa"/>
            <w:vAlign w:val="center"/>
          </w:tcPr>
          <w:p w:rsidR="002625B2" w:rsidRPr="00AE6EDB" w:rsidRDefault="002625B2" w:rsidP="002625B2">
            <w:pPr>
              <w:tabs>
                <w:tab w:val="left" w:pos="681"/>
              </w:tabs>
              <w:ind w:right="454"/>
              <w:jc w:val="right"/>
            </w:pPr>
            <w:r w:rsidRPr="00AE6EDB">
              <w:t xml:space="preserve">106,8 </w:t>
            </w: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od 3 mesiacov do 6 mesiacov</w:t>
            </w:r>
          </w:p>
        </w:tc>
        <w:tc>
          <w:tcPr>
            <w:tcW w:w="2342" w:type="dxa"/>
            <w:vAlign w:val="bottom"/>
          </w:tcPr>
          <w:p w:rsidR="002625B2" w:rsidRPr="00AE6EDB" w:rsidRDefault="002625B2" w:rsidP="002625B2">
            <w:pPr>
              <w:ind w:right="672"/>
              <w:jc w:val="right"/>
            </w:pPr>
            <w:r w:rsidRPr="00AE6EDB">
              <w:t xml:space="preserve">26,5 </w:t>
            </w:r>
          </w:p>
        </w:tc>
        <w:tc>
          <w:tcPr>
            <w:tcW w:w="2440" w:type="dxa"/>
            <w:vAlign w:val="bottom"/>
          </w:tcPr>
          <w:p w:rsidR="002625B2" w:rsidRPr="00AE6EDB" w:rsidRDefault="002625B2" w:rsidP="002625B2">
            <w:pPr>
              <w:ind w:right="672"/>
              <w:jc w:val="right"/>
            </w:pPr>
            <w:r w:rsidRPr="00AE6EDB">
              <w:t>8,4</w:t>
            </w:r>
          </w:p>
        </w:tc>
        <w:tc>
          <w:tcPr>
            <w:tcW w:w="1453" w:type="dxa"/>
            <w:vAlign w:val="center"/>
          </w:tcPr>
          <w:p w:rsidR="002625B2" w:rsidRPr="00AE6EDB" w:rsidRDefault="002625B2" w:rsidP="002625B2">
            <w:pPr>
              <w:tabs>
                <w:tab w:val="left" w:pos="681"/>
              </w:tabs>
              <w:ind w:right="454"/>
              <w:jc w:val="right"/>
            </w:pPr>
            <w:r w:rsidRPr="00AE6EDB">
              <w:t xml:space="preserve">99,3 </w:t>
            </w: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od 6 mesiacov do 1 roka</w:t>
            </w:r>
          </w:p>
        </w:tc>
        <w:tc>
          <w:tcPr>
            <w:tcW w:w="2342" w:type="dxa"/>
            <w:vAlign w:val="bottom"/>
          </w:tcPr>
          <w:p w:rsidR="002625B2" w:rsidRPr="00AE6EDB" w:rsidRDefault="002625B2" w:rsidP="002625B2">
            <w:pPr>
              <w:ind w:right="672"/>
              <w:jc w:val="right"/>
            </w:pPr>
            <w:r w:rsidRPr="00AE6EDB">
              <w:t xml:space="preserve">37,3 </w:t>
            </w:r>
          </w:p>
        </w:tc>
        <w:tc>
          <w:tcPr>
            <w:tcW w:w="2440" w:type="dxa"/>
            <w:vAlign w:val="bottom"/>
          </w:tcPr>
          <w:p w:rsidR="002625B2" w:rsidRPr="00AE6EDB" w:rsidRDefault="002625B2" w:rsidP="002625B2">
            <w:pPr>
              <w:ind w:right="672"/>
              <w:jc w:val="right"/>
            </w:pPr>
            <w:r w:rsidRPr="00AE6EDB">
              <w:t>11,9</w:t>
            </w:r>
          </w:p>
        </w:tc>
        <w:tc>
          <w:tcPr>
            <w:tcW w:w="1453" w:type="dxa"/>
            <w:vAlign w:val="center"/>
          </w:tcPr>
          <w:p w:rsidR="002625B2" w:rsidRPr="00AE6EDB" w:rsidRDefault="002625B2" w:rsidP="002625B2">
            <w:pPr>
              <w:tabs>
                <w:tab w:val="left" w:pos="681"/>
              </w:tabs>
              <w:ind w:right="454"/>
              <w:jc w:val="right"/>
            </w:pPr>
            <w:r w:rsidRPr="00AE6EDB">
              <w:t xml:space="preserve">78,9 </w:t>
            </w:r>
          </w:p>
        </w:tc>
      </w:tr>
      <w:tr w:rsidR="002625B2" w:rsidRPr="00AE6EDB" w:rsidTr="002625B2">
        <w:trPr>
          <w:trHeight w:val="255"/>
          <w:jc w:val="center"/>
        </w:trPr>
        <w:tc>
          <w:tcPr>
            <w:tcW w:w="2910" w:type="dxa"/>
            <w:vAlign w:val="center"/>
          </w:tcPr>
          <w:p w:rsidR="002625B2" w:rsidRPr="00AE6EDB" w:rsidRDefault="002625B2" w:rsidP="002625B2">
            <w:pPr>
              <w:jc w:val="left"/>
            </w:pPr>
            <w:r w:rsidRPr="00AE6EDB">
              <w:t>od 1 roka spolu, v tom:</w:t>
            </w:r>
          </w:p>
        </w:tc>
        <w:tc>
          <w:tcPr>
            <w:tcW w:w="2342" w:type="dxa"/>
            <w:vAlign w:val="bottom"/>
          </w:tcPr>
          <w:p w:rsidR="002625B2" w:rsidRPr="00AE6EDB" w:rsidRDefault="002625B2" w:rsidP="002625B2">
            <w:pPr>
              <w:ind w:right="672"/>
              <w:jc w:val="right"/>
            </w:pPr>
            <w:r w:rsidRPr="00AE6EDB">
              <w:t>195,8</w:t>
            </w:r>
          </w:p>
        </w:tc>
        <w:tc>
          <w:tcPr>
            <w:tcW w:w="2440" w:type="dxa"/>
            <w:vAlign w:val="bottom"/>
          </w:tcPr>
          <w:p w:rsidR="002625B2" w:rsidRPr="00AE6EDB" w:rsidRDefault="002625B2" w:rsidP="002625B2">
            <w:pPr>
              <w:ind w:right="672"/>
              <w:jc w:val="right"/>
            </w:pPr>
            <w:r w:rsidRPr="00AE6EDB">
              <w:t>62,3</w:t>
            </w:r>
          </w:p>
        </w:tc>
        <w:tc>
          <w:tcPr>
            <w:tcW w:w="1453" w:type="dxa"/>
            <w:vAlign w:val="center"/>
          </w:tcPr>
          <w:p w:rsidR="002625B2" w:rsidRPr="00AE6EDB" w:rsidRDefault="002625B2" w:rsidP="002625B2">
            <w:pPr>
              <w:tabs>
                <w:tab w:val="left" w:pos="681"/>
              </w:tabs>
              <w:ind w:right="454"/>
              <w:jc w:val="right"/>
            </w:pPr>
            <w:r w:rsidRPr="00AE6EDB">
              <w:t>81,7</w:t>
            </w:r>
          </w:p>
        </w:tc>
      </w:tr>
      <w:tr w:rsidR="002625B2" w:rsidRPr="00AE6EDB" w:rsidTr="002625B2">
        <w:trPr>
          <w:trHeight w:val="255"/>
          <w:jc w:val="center"/>
        </w:trPr>
        <w:tc>
          <w:tcPr>
            <w:tcW w:w="2910" w:type="dxa"/>
            <w:vAlign w:val="center"/>
          </w:tcPr>
          <w:p w:rsidR="002625B2" w:rsidRPr="00AE6EDB" w:rsidRDefault="002625B2" w:rsidP="002625B2">
            <w:pPr>
              <w:ind w:firstLine="316"/>
              <w:jc w:val="left"/>
            </w:pPr>
            <w:r w:rsidRPr="00AE6EDB">
              <w:t>od 1do 2 rokov</w:t>
            </w:r>
          </w:p>
        </w:tc>
        <w:tc>
          <w:tcPr>
            <w:tcW w:w="2342" w:type="dxa"/>
            <w:vAlign w:val="bottom"/>
          </w:tcPr>
          <w:p w:rsidR="002625B2" w:rsidRPr="00AE6EDB" w:rsidRDefault="002625B2" w:rsidP="002625B2">
            <w:pPr>
              <w:ind w:right="672"/>
              <w:jc w:val="right"/>
            </w:pPr>
            <w:r w:rsidRPr="00AE6EDB">
              <w:t xml:space="preserve">53,5 </w:t>
            </w:r>
          </w:p>
        </w:tc>
        <w:tc>
          <w:tcPr>
            <w:tcW w:w="2440" w:type="dxa"/>
            <w:vAlign w:val="bottom"/>
          </w:tcPr>
          <w:p w:rsidR="002625B2" w:rsidRPr="00AE6EDB" w:rsidRDefault="002625B2" w:rsidP="002625B2">
            <w:pPr>
              <w:ind w:right="672"/>
              <w:jc w:val="right"/>
            </w:pPr>
            <w:r w:rsidRPr="00AE6EDB">
              <w:t>17,0</w:t>
            </w:r>
          </w:p>
        </w:tc>
        <w:tc>
          <w:tcPr>
            <w:tcW w:w="1453" w:type="dxa"/>
            <w:vAlign w:val="center"/>
          </w:tcPr>
          <w:p w:rsidR="002625B2" w:rsidRPr="00AE6EDB" w:rsidRDefault="002625B2" w:rsidP="002625B2">
            <w:pPr>
              <w:tabs>
                <w:tab w:val="left" w:pos="681"/>
              </w:tabs>
              <w:ind w:right="454"/>
              <w:jc w:val="right"/>
            </w:pPr>
            <w:r w:rsidRPr="00AE6EDB">
              <w:t xml:space="preserve">82,9 </w:t>
            </w:r>
          </w:p>
        </w:tc>
      </w:tr>
      <w:tr w:rsidR="002625B2" w:rsidRPr="00AE6EDB" w:rsidTr="002625B2">
        <w:trPr>
          <w:trHeight w:val="255"/>
          <w:jc w:val="center"/>
        </w:trPr>
        <w:tc>
          <w:tcPr>
            <w:tcW w:w="2910" w:type="dxa"/>
            <w:vAlign w:val="center"/>
          </w:tcPr>
          <w:p w:rsidR="002625B2" w:rsidRPr="00AE6EDB" w:rsidRDefault="002625B2" w:rsidP="002625B2">
            <w:pPr>
              <w:ind w:firstLine="316"/>
              <w:jc w:val="left"/>
            </w:pPr>
            <w:r w:rsidRPr="00AE6EDB">
              <w:t>viac ako 2 roky</w:t>
            </w:r>
          </w:p>
        </w:tc>
        <w:tc>
          <w:tcPr>
            <w:tcW w:w="2342" w:type="dxa"/>
            <w:vAlign w:val="bottom"/>
          </w:tcPr>
          <w:p w:rsidR="002625B2" w:rsidRPr="00AE6EDB" w:rsidRDefault="002625B2" w:rsidP="002625B2">
            <w:pPr>
              <w:ind w:right="672"/>
              <w:jc w:val="right"/>
            </w:pPr>
            <w:r w:rsidRPr="00AE6EDB">
              <w:t xml:space="preserve">142,3 </w:t>
            </w:r>
          </w:p>
        </w:tc>
        <w:tc>
          <w:tcPr>
            <w:tcW w:w="2440" w:type="dxa"/>
            <w:vAlign w:val="bottom"/>
          </w:tcPr>
          <w:p w:rsidR="002625B2" w:rsidRPr="00AE6EDB" w:rsidRDefault="002625B2" w:rsidP="002625B2">
            <w:pPr>
              <w:ind w:right="672"/>
              <w:jc w:val="right"/>
            </w:pPr>
            <w:r w:rsidRPr="00AE6EDB">
              <w:t>45,3</w:t>
            </w:r>
          </w:p>
        </w:tc>
        <w:tc>
          <w:tcPr>
            <w:tcW w:w="1453" w:type="dxa"/>
            <w:vAlign w:val="center"/>
          </w:tcPr>
          <w:p w:rsidR="002625B2" w:rsidRPr="00AE6EDB" w:rsidRDefault="002625B2" w:rsidP="002625B2">
            <w:pPr>
              <w:tabs>
                <w:tab w:val="left" w:pos="681"/>
              </w:tabs>
              <w:ind w:right="454"/>
              <w:jc w:val="right"/>
            </w:pPr>
            <w:r w:rsidRPr="00AE6EDB">
              <w:t xml:space="preserve">81,3 </w:t>
            </w:r>
          </w:p>
        </w:tc>
      </w:tr>
    </w:tbl>
    <w:p w:rsidR="002625B2" w:rsidRPr="00AE6EDB" w:rsidRDefault="002625B2" w:rsidP="002625B2">
      <w:pPr>
        <w:pStyle w:val="zdroj"/>
      </w:pPr>
      <w:r w:rsidRPr="00AE6EDB">
        <w:t>Zdroj: ŠÚ SR, VZPS</w:t>
      </w:r>
    </w:p>
    <w:p w:rsidR="002625B2" w:rsidRPr="00AE6EDB" w:rsidRDefault="002625B2" w:rsidP="002625B2">
      <w:pPr>
        <w:jc w:val="left"/>
        <w:rPr>
          <w:i/>
          <w:color w:val="000000"/>
          <w:sz w:val="20"/>
          <w:szCs w:val="20"/>
          <w:highlight w:val="cyan"/>
        </w:rPr>
      </w:pPr>
      <w:r w:rsidRPr="00AE6EDB">
        <w:rPr>
          <w:highlight w:val="cyan"/>
        </w:rPr>
        <w:br w:type="page"/>
      </w:r>
    </w:p>
    <w:p w:rsidR="002625B2" w:rsidRPr="00AE6EDB" w:rsidRDefault="002625B2" w:rsidP="002625B2">
      <w:pPr>
        <w:pStyle w:val="Nadpis6"/>
      </w:pPr>
      <w:bookmarkStart w:id="108" w:name="_Toc422233407"/>
      <w:bookmarkStart w:id="109" w:name="_Toc452469864"/>
      <w:r w:rsidRPr="00AE6EDB">
        <w:lastRenderedPageBreak/>
        <w:t>Aktívne opatrenia na trhu práce</w:t>
      </w:r>
      <w:bookmarkEnd w:id="108"/>
      <w:bookmarkEnd w:id="109"/>
    </w:p>
    <w:p w:rsidR="002625B2" w:rsidRPr="00AE6EDB" w:rsidRDefault="002625B2" w:rsidP="002625B2">
      <w:pPr>
        <w:pStyle w:val="Nadpis41"/>
      </w:pPr>
      <w:r w:rsidRPr="00AE6EDB">
        <w:t>Vyhodnotenie zmien právnych predpisov v oblasti služieb zamestnanosti v roku 2015</w:t>
      </w:r>
    </w:p>
    <w:p w:rsidR="002625B2" w:rsidRPr="00AE6EDB" w:rsidRDefault="002625B2" w:rsidP="002625B2">
      <w:pPr>
        <w:ind w:firstLine="567"/>
        <w:rPr>
          <w:b/>
          <w:szCs w:val="22"/>
        </w:rPr>
      </w:pPr>
      <w:r w:rsidRPr="00AE6EDB">
        <w:rPr>
          <w:b/>
          <w:szCs w:val="22"/>
        </w:rPr>
        <w:t>Zákon o službách zamestnanosti</w:t>
      </w:r>
    </w:p>
    <w:p w:rsidR="002625B2" w:rsidRPr="00AE6EDB" w:rsidRDefault="002625B2" w:rsidP="002625B2">
      <w:pPr>
        <w:ind w:firstLine="567"/>
        <w:rPr>
          <w:b/>
          <w:szCs w:val="22"/>
          <w:highlight w:val="cyan"/>
        </w:rPr>
      </w:pPr>
    </w:p>
    <w:p w:rsidR="002625B2" w:rsidRPr="00AE6EDB" w:rsidRDefault="002625B2" w:rsidP="002625B2">
      <w:pPr>
        <w:ind w:firstLine="567"/>
      </w:pPr>
      <w:r w:rsidRPr="00AE6EDB">
        <w:t xml:space="preserve">Na trhu práce v roku 2015 pôsobili aktívne opatrenia s cieľom podporiť motiváciu zamestnávateľov pri vytváraní nových pracovných miest pre uchádzačov o zamestnanie, podporiť vytváranie reálnych pracovných miest na miestnej a regionálnej úrovni a podporiť udržanie zamestnanosti v malých podnikoch alebo stredných podnikoch. </w:t>
      </w:r>
    </w:p>
    <w:p w:rsidR="002625B2" w:rsidRPr="00AE6EDB" w:rsidRDefault="002625B2" w:rsidP="002625B2">
      <w:pPr>
        <w:pStyle w:val="Default"/>
        <w:ind w:firstLine="567"/>
        <w:jc w:val="both"/>
        <w:rPr>
          <w:rFonts w:ascii="Times New Roman" w:hAnsi="Times New Roman" w:cs="Times New Roman"/>
          <w:color w:val="auto"/>
          <w:sz w:val="22"/>
        </w:rPr>
      </w:pPr>
      <w:r w:rsidRPr="00AE6EDB">
        <w:rPr>
          <w:rFonts w:ascii="Times New Roman" w:hAnsi="Times New Roman" w:cs="Times New Roman"/>
          <w:color w:val="auto"/>
          <w:sz w:val="22"/>
        </w:rPr>
        <w:t xml:space="preserve">V roku 2015 sa zaviedli do praxe viaceré nové alebo modifikované opatrenia aktívnej politiky trhu práce financovaných z ESF na podporu širšej skupiny znevýhodnených </w:t>
      </w:r>
      <w:proofErr w:type="spellStart"/>
      <w:r w:rsidRPr="00AE6EDB">
        <w:rPr>
          <w:rFonts w:ascii="Times New Roman" w:hAnsi="Times New Roman" w:cs="Times New Roman"/>
          <w:color w:val="auto"/>
          <w:sz w:val="22"/>
        </w:rPr>
        <w:t>UoZ</w:t>
      </w:r>
      <w:proofErr w:type="spellEnd"/>
      <w:r w:rsidRPr="00AE6EDB">
        <w:rPr>
          <w:rFonts w:ascii="Times New Roman" w:hAnsi="Times New Roman" w:cs="Times New Roman"/>
          <w:color w:val="auto"/>
          <w:sz w:val="22"/>
        </w:rPr>
        <w:t>, ale aj špecifických skupín mladých do 29 rokov, dlhodobo nezamestnaných a starších nad 50 rokov.</w:t>
      </w:r>
    </w:p>
    <w:p w:rsidR="002625B2" w:rsidRPr="00AE6EDB" w:rsidRDefault="002625B2" w:rsidP="002625B2">
      <w:pPr>
        <w:pStyle w:val="Normlnysozarkami1"/>
        <w:rPr>
          <w:b/>
        </w:rPr>
      </w:pPr>
    </w:p>
    <w:p w:rsidR="002625B2" w:rsidRPr="00AE6EDB" w:rsidRDefault="002625B2" w:rsidP="002625B2">
      <w:pPr>
        <w:pStyle w:val="Normlnysozarkami1"/>
      </w:pPr>
      <w:r w:rsidRPr="00AE6EDB">
        <w:rPr>
          <w:b/>
        </w:rPr>
        <w:t xml:space="preserve">Aktívne opatrenia na trhu práce </w:t>
      </w:r>
      <w:r w:rsidRPr="00AE6EDB">
        <w:t>(ďalej aj „AOTP") v hodnotenom období boli realizované najmä uplatňovaním zákona č. 5/2004 Z. z. o službách zamestnanosti a o zmene a doplnení niektorých zákonov v znení neskorších predpisov (zákon o službách zamestnanosti), ktorý bol novelizovaný:</w:t>
      </w:r>
    </w:p>
    <w:p w:rsidR="002625B2" w:rsidRPr="00AE6EDB" w:rsidRDefault="00A8066C" w:rsidP="002625B2">
      <w:pPr>
        <w:pStyle w:val="Odsekzoznamu"/>
        <w:numPr>
          <w:ilvl w:val="0"/>
          <w:numId w:val="21"/>
        </w:numPr>
        <w:tabs>
          <w:tab w:val="left" w:pos="567"/>
        </w:tabs>
        <w:adjustRightInd w:val="0"/>
        <w:ind w:left="567" w:hanging="283"/>
      </w:pPr>
      <w:r w:rsidRPr="00AE6EDB">
        <w:rPr>
          <w:bCs/>
        </w:rPr>
        <w:t xml:space="preserve">s účinnosťou od 1. januára 2015 </w:t>
      </w:r>
      <w:r w:rsidR="002625B2" w:rsidRPr="00AE6EDB">
        <w:rPr>
          <w:b/>
          <w:bCs/>
        </w:rPr>
        <w:t xml:space="preserve">zákonom č. 310/2014 Z. z., </w:t>
      </w:r>
      <w:r w:rsidR="002625B2" w:rsidRPr="00AE6EDB">
        <w:rPr>
          <w:bCs/>
        </w:rPr>
        <w:t xml:space="preserve">ktorým sa mení a dopĺňa zákon </w:t>
      </w:r>
      <w:r w:rsidRPr="00AE6EDB">
        <w:rPr>
          <w:bCs/>
        </w:rPr>
        <w:br/>
      </w:r>
      <w:r w:rsidR="002625B2" w:rsidRPr="00AE6EDB">
        <w:rPr>
          <w:bCs/>
        </w:rPr>
        <w:t>č. 453/2003 Z. z. o</w:t>
      </w:r>
      <w:r w:rsidRPr="00AE6EDB">
        <w:rPr>
          <w:bCs/>
        </w:rPr>
        <w:t xml:space="preserve"> orgánoch štátnej správy v oblasti sociálnych vecí, rodiny a služieb zamestnanosti </w:t>
      </w:r>
      <w:r w:rsidR="002625B2" w:rsidRPr="00AE6EDB">
        <w:rPr>
          <w:bCs/>
        </w:rPr>
        <w:t xml:space="preserve">a o zmene a doplnení niektorých zákonov v znení neskorších predpisov a ktorým sa menia a dopĺňajú niektoré zákony, ktorým </w:t>
      </w:r>
      <w:r w:rsidR="002625B2" w:rsidRPr="00AE6EDB">
        <w:t xml:space="preserve">sa Ústredie práce, sociálnych vecí a rodiny ustanovilo za služobný úrad štátnych zamestnancov, ktorí vykonávajú štátnu službu na Ústredí práce, sociálnych vecí a rodiny a na úradoch práce, sociálnych vecí a rodiny </w:t>
      </w:r>
      <w:r w:rsidR="00CB6A2D" w:rsidRPr="00AE6EDB">
        <w:br/>
      </w:r>
      <w:r w:rsidR="002625B2" w:rsidRPr="00AE6EDB">
        <w:t>a za zamestnávateľa zamestnancov, ktorí vykonávajú prácu na Ústredí práce, sociálnych vecí a rodiny a na úradoch práce, sociálnych vecí a rodiny.</w:t>
      </w:r>
    </w:p>
    <w:p w:rsidR="002625B2" w:rsidRPr="00AE6EDB" w:rsidRDefault="002625B2" w:rsidP="002625B2">
      <w:pPr>
        <w:tabs>
          <w:tab w:val="left" w:pos="567"/>
        </w:tabs>
        <w:ind w:left="567"/>
      </w:pPr>
      <w:r w:rsidRPr="00AE6EDB">
        <w:t>Novelou nadväzne na zrušenie právnej subjektivity úradov práce, sociálnych vecí a rodiny a zmenu kompetencií Ústredia práce, sociálnych vecí a rodiny a úradov práce, sociálnych vecí a rodiny, upravené v čl. I tohto zákona, sa v zákone o službách zamestnanosti:</w:t>
      </w:r>
    </w:p>
    <w:p w:rsidR="002625B2" w:rsidRPr="00AE6EDB" w:rsidRDefault="002625B2" w:rsidP="002625B2">
      <w:pPr>
        <w:pStyle w:val="Odsekzoznamu"/>
        <w:numPr>
          <w:ilvl w:val="0"/>
          <w:numId w:val="49"/>
        </w:numPr>
        <w:adjustRightInd w:val="0"/>
        <w:ind w:left="851" w:hanging="284"/>
      </w:pPr>
      <w:r w:rsidRPr="00AE6EDB">
        <w:t>upravili účastníci, ktorí uzatvárajú dohody na účely poskytovania odborných poradenských služieb, uplatňovania aktívnych opatrení na trhu práce, vykonávania sprostredkovania zamestnania alebo zabezpečovania vzdelávania a prípravy pre trh práce,</w:t>
      </w:r>
    </w:p>
    <w:p w:rsidR="002625B2" w:rsidRPr="00AE6EDB" w:rsidRDefault="002625B2" w:rsidP="002625B2">
      <w:pPr>
        <w:pStyle w:val="Odsekzoznamu"/>
        <w:numPr>
          <w:ilvl w:val="0"/>
          <w:numId w:val="49"/>
        </w:numPr>
        <w:adjustRightInd w:val="0"/>
        <w:ind w:left="851" w:hanging="284"/>
      </w:pPr>
      <w:r w:rsidRPr="00AE6EDB">
        <w:t xml:space="preserve">doplnila pôsobnosť Ústredia práce, sociálnych vecí a rodiny zriaďovať agentúry dočasného zamestnávania a agentúry podporovaného zamestnávania a </w:t>
      </w:r>
      <w:r w:rsidRPr="00AE6EDB">
        <w:rPr>
          <w:rStyle w:val="Textzstupnhosymbolu"/>
          <w:color w:val="000000"/>
        </w:rPr>
        <w:t>pracov</w:t>
      </w:r>
      <w:r w:rsidR="00CB6A2D" w:rsidRPr="00AE6EDB">
        <w:rPr>
          <w:rStyle w:val="Textzstupnhosymbolu"/>
          <w:color w:val="000000"/>
        </w:rPr>
        <w:t>iská</w:t>
      </w:r>
      <w:r w:rsidRPr="00AE6EDB">
        <w:rPr>
          <w:rStyle w:val="Textzstupnhosymbolu"/>
          <w:color w:val="000000"/>
        </w:rPr>
        <w:t xml:space="preserve"> úradu </w:t>
      </w:r>
      <w:r w:rsidRPr="00AE6EDB">
        <w:t>práce, sociálnych vecí a rodiny,</w:t>
      </w:r>
    </w:p>
    <w:p w:rsidR="002625B2" w:rsidRPr="00AE6EDB" w:rsidRDefault="002625B2" w:rsidP="002625B2">
      <w:pPr>
        <w:pStyle w:val="Odsekzoznamu"/>
        <w:numPr>
          <w:ilvl w:val="0"/>
          <w:numId w:val="49"/>
        </w:numPr>
        <w:adjustRightInd w:val="0"/>
        <w:ind w:left="851" w:hanging="284"/>
      </w:pPr>
      <w:r w:rsidRPr="00AE6EDB">
        <w:t xml:space="preserve">zrušila pôsobnosť úradu práce, sociálnych vecí a rodiny v oblasti </w:t>
      </w:r>
    </w:p>
    <w:p w:rsidR="002625B2" w:rsidRPr="00AE6EDB" w:rsidRDefault="002625B2" w:rsidP="002625B2">
      <w:pPr>
        <w:numPr>
          <w:ilvl w:val="1"/>
          <w:numId w:val="48"/>
        </w:numPr>
        <w:adjustRightInd w:val="0"/>
        <w:ind w:left="1418" w:hanging="283"/>
        <w:rPr>
          <w:rStyle w:val="Textzstupnhosymbolu"/>
          <w:color w:val="000000"/>
        </w:rPr>
      </w:pPr>
      <w:r w:rsidRPr="00AE6EDB">
        <w:rPr>
          <w:rStyle w:val="Textzstupnhosymbolu"/>
          <w:color w:val="000000"/>
        </w:rPr>
        <w:t>vyhlasovania verejného obstarávania,</w:t>
      </w:r>
    </w:p>
    <w:p w:rsidR="002625B2" w:rsidRPr="00AE6EDB" w:rsidRDefault="002625B2" w:rsidP="002625B2">
      <w:pPr>
        <w:numPr>
          <w:ilvl w:val="1"/>
          <w:numId w:val="48"/>
        </w:numPr>
        <w:adjustRightInd w:val="0"/>
        <w:ind w:left="1418" w:hanging="283"/>
        <w:rPr>
          <w:rStyle w:val="Textzstupnhosymbolu"/>
          <w:color w:val="000000"/>
        </w:rPr>
      </w:pPr>
      <w:r w:rsidRPr="00AE6EDB">
        <w:rPr>
          <w:rStyle w:val="Textzstupnhosymbolu"/>
          <w:color w:val="000000"/>
        </w:rPr>
        <w:t>zriaďovania agentúry dočasného zamestnávania a agentúry podporovaného zamestnávania,</w:t>
      </w:r>
    </w:p>
    <w:p w:rsidR="002625B2" w:rsidRPr="00AE6EDB" w:rsidRDefault="002625B2" w:rsidP="002625B2">
      <w:pPr>
        <w:numPr>
          <w:ilvl w:val="1"/>
          <w:numId w:val="48"/>
        </w:numPr>
        <w:adjustRightInd w:val="0"/>
        <w:ind w:left="1418" w:hanging="283"/>
        <w:rPr>
          <w:rStyle w:val="Textzstupnhosymbolu"/>
          <w:color w:val="000000"/>
        </w:rPr>
      </w:pPr>
      <w:r w:rsidRPr="00AE6EDB">
        <w:rPr>
          <w:rStyle w:val="Textzstupnhosymbolu"/>
          <w:color w:val="000000"/>
        </w:rPr>
        <w:t>zabezpečovania ďalšieho vzdelávania zamestnancov,</w:t>
      </w:r>
    </w:p>
    <w:p w:rsidR="002625B2" w:rsidRPr="00AE6EDB" w:rsidRDefault="002625B2" w:rsidP="002625B2">
      <w:pPr>
        <w:numPr>
          <w:ilvl w:val="1"/>
          <w:numId w:val="48"/>
        </w:numPr>
        <w:adjustRightInd w:val="0"/>
        <w:ind w:left="1418" w:hanging="283"/>
        <w:rPr>
          <w:rStyle w:val="Textzstupnhosymbolu"/>
          <w:color w:val="000000"/>
        </w:rPr>
      </w:pPr>
      <w:r w:rsidRPr="00AE6EDB">
        <w:rPr>
          <w:rStyle w:val="Textzstupnhosymbolu"/>
          <w:color w:val="000000"/>
        </w:rPr>
        <w:t>zriaďovania špeciálnych organizačných útvarov na integráciu občanov so zdravotným postihnutím.</w:t>
      </w:r>
    </w:p>
    <w:p w:rsidR="00CB6A2D" w:rsidRPr="00AE6EDB" w:rsidRDefault="00CB6A2D" w:rsidP="00CB6A2D">
      <w:pPr>
        <w:pStyle w:val="Odsekzoznamu"/>
        <w:numPr>
          <w:ilvl w:val="0"/>
          <w:numId w:val="21"/>
        </w:numPr>
        <w:ind w:left="567"/>
      </w:pPr>
      <w:r w:rsidRPr="00AE6EDB">
        <w:rPr>
          <w:bCs/>
        </w:rPr>
        <w:t xml:space="preserve">s účinnosťou od 1. januára 2015 </w:t>
      </w:r>
      <w:r w:rsidR="002625B2" w:rsidRPr="00AE6EDB">
        <w:rPr>
          <w:b/>
          <w:bCs/>
        </w:rPr>
        <w:t xml:space="preserve">zákonom č. 311/2014 Z. z., </w:t>
      </w:r>
      <w:r w:rsidR="002625B2" w:rsidRPr="00AE6EDB">
        <w:rPr>
          <w:bCs/>
        </w:rPr>
        <w:t xml:space="preserve">ktorým sa mení a dopĺňa zákon </w:t>
      </w:r>
      <w:r w:rsidRPr="00AE6EDB">
        <w:rPr>
          <w:bCs/>
        </w:rPr>
        <w:br/>
      </w:r>
      <w:r w:rsidR="002625B2" w:rsidRPr="00AE6EDB">
        <w:rPr>
          <w:bCs/>
        </w:rPr>
        <w:t>č. 5/2004 Z. z. o službách zamestnanosti a o zmene a doplnení niektorých zákonov v znení neskorších predpisov</w:t>
      </w:r>
      <w:r w:rsidR="002625B2" w:rsidRPr="00AE6EDB">
        <w:t>.</w:t>
      </w:r>
    </w:p>
    <w:p w:rsidR="002625B2" w:rsidRPr="00AE6EDB" w:rsidRDefault="002625B2" w:rsidP="00CB6A2D">
      <w:pPr>
        <w:pStyle w:val="Odsekzoznamu"/>
        <w:numPr>
          <w:ilvl w:val="0"/>
          <w:numId w:val="0"/>
        </w:numPr>
        <w:ind w:left="567"/>
      </w:pPr>
      <w:r w:rsidRPr="00AE6EDB">
        <w:t>Novelou sa:</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spresnilo vymedzenie znevýhodneného uchádzača o zamestnanie - absolventa školy na účely zákona o službách zamestnanosti,</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rozšíril okruh programov v rámci vzdelávania a prípravy pre trh práce o programy vzdelávania na získanie praktických skúseností na vykonávanie pracovných činností na</w:t>
      </w:r>
      <w:r w:rsidR="00CB6A2D" w:rsidRPr="00AE6EDB">
        <w:rPr>
          <w:rStyle w:val="Textzstupnhosymbolu"/>
          <w:color w:val="000000"/>
        </w:rPr>
        <w:t> </w:t>
      </w:r>
      <w:r w:rsidRPr="00AE6EDB">
        <w:rPr>
          <w:rStyle w:val="Textzstupnhosymbolu"/>
          <w:color w:val="000000"/>
        </w:rPr>
        <w:t>pracovných miestach na trhu práce,</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jednoznačne vymedzili podmienky na poskytovanie príspevku na vzdelávanie a prípravu pre</w:t>
      </w:r>
      <w:r w:rsidR="00CB6A2D" w:rsidRPr="00AE6EDB">
        <w:rPr>
          <w:rStyle w:val="Textzstupnhosymbolu"/>
          <w:color w:val="000000"/>
        </w:rPr>
        <w:t> </w:t>
      </w:r>
      <w:r w:rsidRPr="00AE6EDB">
        <w:rPr>
          <w:rStyle w:val="Textzstupnhosymbolu"/>
          <w:color w:val="000000"/>
        </w:rPr>
        <w:t>trh práce občanovi, ktorý bol uchádzačom o zamestnanie a predmetné vzdelávanie a prípravu pre trh práce si zabezpečil z vlastnej iniciatívy,</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 xml:space="preserve">ustanovilo, že zamestnávateľ, ktorému úrad práce, sociálnych vecí a rodiny poskytne príspevok na vzdelávanie a prípravu pre trh práce, je povinný výber dodávateľa služby </w:t>
      </w:r>
      <w:r w:rsidRPr="00AE6EDB">
        <w:rPr>
          <w:rStyle w:val="Textzstupnhosymbolu"/>
          <w:color w:val="000000"/>
        </w:rPr>
        <w:lastRenderedPageBreak/>
        <w:t xml:space="preserve">vzdelávania a prípravy pre trh práce uskutočniť podľa zákona č. 25/2006 Z. z. o verejnom obstarávaní a o zmene a doplnení niektorých zákonov v znení neskorších predpisov, </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spresnilo vymedzenie skupín znevýhodnených uchádzačov o zamestnanie, na podporu zamestnávania ktorých môže úrad práce, sociálnych vecí a rodiny zamestnávateľovi poskytnúť príspevok na podporu rozvoja miestnej a regionálnej zamestnanosti.,</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zaviedlo nové aktívne opatrenie na trhu práce Príspevok na podporu vytvorenia pracovného miesta v prvom pravidelne platenom zamestnaní (§ 51a) ako nástroj podpory a pomoci účastníkom na trhu práce špecificky zameraný na podporu prvého pracovného uplatnenia mladých ľudí na trhu práce,</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 xml:space="preserve">zosúladil zákon o službách zamestnanosti s nariadením vlády Slovenskej republiky č. 186/2014 Z. z., ktorým sa mení a dopĺňa nariadenie vlády Slovenskej republiky </w:t>
      </w:r>
      <w:r w:rsidRPr="00AE6EDB">
        <w:rPr>
          <w:rStyle w:val="Textzstupnhosymbolu"/>
          <w:color w:val="000000"/>
        </w:rPr>
        <w:br/>
        <w:t xml:space="preserve">č. 481/2011 Z. z., ktorým sa ustanovuje maximálna intenzita investičnej pomoci a výška investičnej pomoci podľa formy investičnej pomoci a miery nezamestnanosti v okresoch podľa jednotlivých regiónov Slovenskej republiky v znení nariadenia vlády Slovenskej republiky č. 43/2013 Z. z., ktoré nadobudlo účinnosť 1. júla 2014. </w:t>
      </w:r>
    </w:p>
    <w:p w:rsidR="002625B2" w:rsidRPr="00AE6EDB" w:rsidRDefault="002625B2" w:rsidP="002625B2">
      <w:pPr>
        <w:pStyle w:val="Odsekzoznamu"/>
        <w:numPr>
          <w:ilvl w:val="0"/>
          <w:numId w:val="21"/>
        </w:numPr>
        <w:ind w:left="567"/>
        <w:rPr>
          <w:bCs/>
        </w:rPr>
      </w:pPr>
      <w:r w:rsidRPr="00AE6EDB">
        <w:rPr>
          <w:b/>
        </w:rPr>
        <w:t>zákonom č</w:t>
      </w:r>
      <w:r w:rsidR="00CB6A2D" w:rsidRPr="00AE6EDB">
        <w:rPr>
          <w:b/>
        </w:rPr>
        <w:t>.</w:t>
      </w:r>
      <w:r w:rsidRPr="00AE6EDB">
        <w:rPr>
          <w:b/>
        </w:rPr>
        <w:t xml:space="preserve"> 14/2015 Z. z., </w:t>
      </w:r>
      <w:r w:rsidRPr="00AE6EDB">
        <w:t xml:space="preserve">ktorým sa mení a dopĺňa zákon č. 311/2001 Z. z. Zákonník práce v znení neskorších predpisov a ktorým sa menia a dopĺňajú niektoré zákony, </w:t>
      </w:r>
      <w:r w:rsidRPr="00AE6EDB">
        <w:rPr>
          <w:bCs/>
        </w:rPr>
        <w:t xml:space="preserve">sa v čl. III novelizoval </w:t>
      </w:r>
      <w:r w:rsidRPr="00AE6EDB">
        <w:t>zákon č. 5/2004 Z. z. o službách zamestnanosti a o zmene a doplnení niektorých zákonov v znení neskorších predpisov,</w:t>
      </w:r>
      <w:r w:rsidRPr="00AE6EDB">
        <w:rPr>
          <w:b/>
        </w:rPr>
        <w:t xml:space="preserve"> </w:t>
      </w:r>
      <w:r w:rsidRPr="00AE6EDB">
        <w:t>sa s účinnosťou od 1. marca 2015:</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presunula právna úprava dočasného pridelenia zo zákona o službách zamestnanosti do</w:t>
      </w:r>
      <w:r w:rsidR="00CB6A2D" w:rsidRPr="00AE6EDB">
        <w:rPr>
          <w:rStyle w:val="Textzstupnhosymbolu"/>
          <w:color w:val="000000"/>
        </w:rPr>
        <w:t> </w:t>
      </w:r>
      <w:r w:rsidRPr="00AE6EDB">
        <w:rPr>
          <w:rStyle w:val="Textzstupnhosymbolu"/>
          <w:color w:val="000000"/>
        </w:rPr>
        <w:t>Zákonníka práce,</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 xml:space="preserve">ustanovila osobitná pokuta vo výške od </w:t>
      </w:r>
      <w:r w:rsidR="00AC44CB">
        <w:rPr>
          <w:rStyle w:val="Textzstupnhosymbolu"/>
          <w:color w:val="000000"/>
        </w:rPr>
        <w:t>5 0</w:t>
      </w:r>
      <w:r w:rsidRPr="00AE6EDB">
        <w:rPr>
          <w:rStyle w:val="Textzstupnhosymbolu"/>
          <w:color w:val="000000"/>
        </w:rPr>
        <w:t>00</w:t>
      </w:r>
      <w:r w:rsidR="0054295F">
        <w:rPr>
          <w:rStyle w:val="Textzstupnhosymbolu"/>
          <w:color w:val="000000"/>
        </w:rPr>
        <w:t> eur</w:t>
      </w:r>
      <w:r w:rsidRPr="00AE6EDB">
        <w:rPr>
          <w:rStyle w:val="Textzstupnhosymbolu"/>
          <w:color w:val="000000"/>
        </w:rPr>
        <w:t xml:space="preserve"> do 10</w:t>
      </w:r>
      <w:r w:rsidR="0054295F">
        <w:rPr>
          <w:rStyle w:val="Textzstupnhosymbolu"/>
          <w:color w:val="000000"/>
        </w:rPr>
        <w:t>0 0</w:t>
      </w:r>
      <w:r w:rsidRPr="00AE6EDB">
        <w:rPr>
          <w:rStyle w:val="Textzstupnhosymbolu"/>
          <w:color w:val="000000"/>
        </w:rPr>
        <w:t>00</w:t>
      </w:r>
      <w:r w:rsidR="0054295F">
        <w:rPr>
          <w:rStyle w:val="Textzstupnhosymbolu"/>
          <w:color w:val="000000"/>
        </w:rPr>
        <w:t> eur</w:t>
      </w:r>
      <w:r w:rsidRPr="00AE6EDB">
        <w:rPr>
          <w:rStyle w:val="Textzstupnhosymbolu"/>
          <w:color w:val="000000"/>
        </w:rPr>
        <w:t> pre konanie právnických osôb a fyzických osôb, ktoré vykonávajú činnosť agentúry dočasného zamestnávania bez</w:t>
      </w:r>
      <w:r w:rsidR="00CB6A2D" w:rsidRPr="00AE6EDB">
        <w:rPr>
          <w:rStyle w:val="Textzstupnhosymbolu"/>
          <w:color w:val="000000"/>
        </w:rPr>
        <w:t> </w:t>
      </w:r>
      <w:r w:rsidRPr="00AE6EDB">
        <w:rPr>
          <w:rStyle w:val="Textzstupnhosymbolu"/>
          <w:color w:val="000000"/>
        </w:rPr>
        <w:t>povolenia na túto činnosť.</w:t>
      </w:r>
    </w:p>
    <w:p w:rsidR="002625B2" w:rsidRPr="00AE6EDB" w:rsidRDefault="002625B2" w:rsidP="002625B2">
      <w:pPr>
        <w:pStyle w:val="Odsekzoznamu"/>
        <w:numPr>
          <w:ilvl w:val="0"/>
          <w:numId w:val="21"/>
        </w:numPr>
        <w:ind w:left="567"/>
        <w:rPr>
          <w:bCs/>
        </w:rPr>
      </w:pPr>
      <w:r w:rsidRPr="00AE6EDB">
        <w:rPr>
          <w:b/>
        </w:rPr>
        <w:t xml:space="preserve">zákonom č. 336/2015 Z. z. </w:t>
      </w:r>
      <w:r w:rsidRPr="00AE6EDB">
        <w:t xml:space="preserve">o podpore najmenej rozvinutých okresov a o zmene a doplnení niektorých zákonov sa v čl. </w:t>
      </w:r>
      <w:r w:rsidRPr="00AE6EDB">
        <w:rPr>
          <w:bCs/>
        </w:rPr>
        <w:t xml:space="preserve">III novelizoval </w:t>
      </w:r>
      <w:r w:rsidRPr="00AE6EDB">
        <w:t>zákon č. 5/2004 Z. z. o službách zamestnanosti a o zmene a doplnení niektorých zákonov v znení neskorších predpisov, sa s účinnosťou od 15. decembra 2015:</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 xml:space="preserve">zaviedla definícia subjektu sociálnej ekonomiky, ktorá vychádza z vymedzenia „kvalifikovaného portfóliového podniku“ v nariadení Európskeho parlamentu a Rady </w:t>
      </w:r>
      <w:r w:rsidRPr="00AE6EDB">
        <w:rPr>
          <w:rStyle w:val="Textzstupnhosymbolu"/>
          <w:color w:val="000000"/>
        </w:rPr>
        <w:br/>
        <w:t xml:space="preserve">č. 346/2013 o európskych fondoch sociálneho podnikania. Jeho zavedením sa odstránil terminologický nedostatok, ktorý na Slovensku neprípustne zužuje pojem „sociálny podnik“, a jednak sa uľahčila do budúcnosti komunikácia so zahraničnými či európskymi inštitúciami, vrátane Európskej komisie. K subjektom sociálnej ekonomiky podľa tejto definície môžu patriť najmä sociálne podniky pracovnej integrácie, družstvá, chránené dielne alebo chránené pracoviská, občianske združenia, neziskové organizácie, či nadácie. Subjektmi sociálnej ekonomiky môžu byť aj spoločnosti s ručením obmedzeným či akciové spoločnosti, ale iba v prípade, že napĺňajú znaky subjektu sociálnej ekonomiky, teda že majú za svoj prvotný cieľ merateľné pozitívne sociálne vplyvy v súlade so svojimi zakladajúcimi </w:t>
      </w:r>
      <w:proofErr w:type="spellStart"/>
      <w:r w:rsidRPr="00AE6EDB">
        <w:rPr>
          <w:rStyle w:val="Textzstupnhosymbolu"/>
          <w:color w:val="000000"/>
        </w:rPr>
        <w:t>dokument</w:t>
      </w:r>
      <w:r w:rsidR="005C04EB">
        <w:rPr>
          <w:rStyle w:val="Textzstupnhosymbolu"/>
          <w:color w:val="000000"/>
        </w:rPr>
        <w:t>a</w:t>
      </w:r>
      <w:r w:rsidRPr="00AE6EDB">
        <w:rPr>
          <w:rStyle w:val="Textzstupnhosymbolu"/>
          <w:color w:val="000000"/>
        </w:rPr>
        <w:t>mi</w:t>
      </w:r>
      <w:proofErr w:type="spellEnd"/>
      <w:r w:rsidRPr="00AE6EDB">
        <w:rPr>
          <w:rStyle w:val="Textzstupnhosymbolu"/>
          <w:color w:val="000000"/>
        </w:rPr>
        <w:t xml:space="preserve"> a napĺňajú aj ostatné ustanovené podmienky.</w:t>
      </w:r>
    </w:p>
    <w:p w:rsidR="002625B2" w:rsidRPr="00AE6EDB" w:rsidRDefault="002625B2" w:rsidP="002625B2">
      <w:pPr>
        <w:numPr>
          <w:ilvl w:val="0"/>
          <w:numId w:val="19"/>
        </w:numPr>
        <w:ind w:left="851" w:hanging="284"/>
        <w:rPr>
          <w:rStyle w:val="Textzstupnhosymbolu"/>
          <w:color w:val="000000"/>
        </w:rPr>
      </w:pPr>
      <w:r w:rsidRPr="00AE6EDB">
        <w:rPr>
          <w:rStyle w:val="Textzstupnhosymbolu"/>
          <w:color w:val="000000"/>
        </w:rPr>
        <w:t>vymedzilo, v záujme právnej istoty, že sociálne podniky, ktorým bolo priznané postavenie sociálnych podnikov do nadobudnutia účinnosti tohto zákona, sa od účinnosti zákona považujú za sociálne podniky pracovnej integrácie.</w:t>
      </w:r>
    </w:p>
    <w:p w:rsidR="002625B2" w:rsidRPr="00AE6EDB" w:rsidRDefault="002625B2" w:rsidP="002625B2">
      <w:pPr>
        <w:pStyle w:val="Odsekzoznamu"/>
        <w:numPr>
          <w:ilvl w:val="0"/>
          <w:numId w:val="0"/>
        </w:numPr>
        <w:ind w:left="567"/>
        <w:rPr>
          <w:rStyle w:val="Textzstupnhosymbolu"/>
          <w:color w:val="000000"/>
        </w:rPr>
      </w:pPr>
    </w:p>
    <w:p w:rsidR="002625B2" w:rsidRPr="00AE6EDB" w:rsidRDefault="002625B2" w:rsidP="002625B2">
      <w:pPr>
        <w:pStyle w:val="Nadpis41"/>
      </w:pPr>
      <w:r w:rsidRPr="00AE6EDB">
        <w:t xml:space="preserve">AOTP na podporu </w:t>
      </w:r>
      <w:proofErr w:type="spellStart"/>
      <w:r w:rsidRPr="00AE6EDB">
        <w:t>zamestnateľnosti</w:t>
      </w:r>
      <w:proofErr w:type="spellEnd"/>
      <w:r w:rsidRPr="00AE6EDB">
        <w:t xml:space="preserve"> a zvyšovanie zamestnanosti a ich uplatňovanie v roku 2015</w:t>
      </w:r>
    </w:p>
    <w:p w:rsidR="002625B2" w:rsidRPr="00AE6EDB" w:rsidRDefault="002625B2" w:rsidP="002625B2">
      <w:pPr>
        <w:ind w:firstLine="431"/>
      </w:pPr>
      <w:r w:rsidRPr="00AE6EDB">
        <w:t xml:space="preserve">Podľa zákona o službách zamestnanosti boli v roku 2015 </w:t>
      </w:r>
      <w:proofErr w:type="spellStart"/>
      <w:r w:rsidRPr="00AE6EDB">
        <w:t>UoZ</w:t>
      </w:r>
      <w:proofErr w:type="spellEnd"/>
      <w:r w:rsidRPr="00AE6EDB">
        <w:t>, záujemcom o zamestnanie (ďalej len „</w:t>
      </w:r>
      <w:proofErr w:type="spellStart"/>
      <w:r w:rsidRPr="00AE6EDB">
        <w:t>ZoZ</w:t>
      </w:r>
      <w:proofErr w:type="spellEnd"/>
      <w:r w:rsidRPr="00AE6EDB">
        <w:t xml:space="preserve">“), zamestnancom za účelom ich umiestnenia a udržania na trhu práce a zamestnávateľom zabezpečené tieto AOTP: </w:t>
      </w:r>
    </w:p>
    <w:p w:rsidR="002625B2" w:rsidRPr="00AE6EDB" w:rsidRDefault="002625B2" w:rsidP="002625B2">
      <w:pPr>
        <w:rPr>
          <w:b/>
        </w:rPr>
      </w:pPr>
      <w:r w:rsidRPr="00AE6EDB">
        <w:rPr>
          <w:b/>
          <w:bCs/>
        </w:rPr>
        <w:t xml:space="preserve">a) podpora zvyšovania </w:t>
      </w:r>
      <w:proofErr w:type="spellStart"/>
      <w:r w:rsidRPr="00AE6EDB">
        <w:rPr>
          <w:b/>
          <w:bCs/>
        </w:rPr>
        <w:t>zamestnateľnosti</w:t>
      </w:r>
      <w:proofErr w:type="spellEnd"/>
      <w:r w:rsidRPr="00AE6EDB">
        <w:rPr>
          <w:b/>
          <w:bCs/>
        </w:rPr>
        <w:t xml:space="preserve"> </w:t>
      </w:r>
      <w:proofErr w:type="spellStart"/>
      <w:r w:rsidRPr="00AE6EDB">
        <w:rPr>
          <w:b/>
        </w:rPr>
        <w:t>UoZ</w:t>
      </w:r>
      <w:proofErr w:type="spellEnd"/>
      <w:r w:rsidRPr="00AE6EDB">
        <w:rPr>
          <w:b/>
        </w:rPr>
        <w:t xml:space="preserve"> a </w:t>
      </w:r>
      <w:proofErr w:type="spellStart"/>
      <w:r w:rsidRPr="00AE6EDB">
        <w:rPr>
          <w:b/>
        </w:rPr>
        <w:t>ZoZ</w:t>
      </w:r>
      <w:proofErr w:type="spellEnd"/>
    </w:p>
    <w:p w:rsidR="002625B2" w:rsidRPr="00AE6EDB" w:rsidRDefault="00CB6A2D" w:rsidP="002625B2">
      <w:pPr>
        <w:pStyle w:val="bullet1"/>
        <w:ind w:hanging="76"/>
      </w:pPr>
      <w:r w:rsidRPr="00AE6EDB">
        <w:t xml:space="preserve"> </w:t>
      </w:r>
      <w:r w:rsidR="002625B2" w:rsidRPr="00AE6EDB">
        <w:t>informačné a poradenské služby (§ 42)</w:t>
      </w:r>
    </w:p>
    <w:p w:rsidR="002625B2" w:rsidRPr="00AE6EDB" w:rsidRDefault="00CB6A2D" w:rsidP="002625B2">
      <w:pPr>
        <w:pStyle w:val="bullet1"/>
        <w:ind w:hanging="76"/>
      </w:pPr>
      <w:r w:rsidRPr="00AE6EDB">
        <w:t xml:space="preserve"> </w:t>
      </w:r>
      <w:r w:rsidR="002625B2" w:rsidRPr="00AE6EDB">
        <w:t>odborné poradenské služby (§ 43)</w:t>
      </w:r>
    </w:p>
    <w:p w:rsidR="002625B2" w:rsidRPr="00AE6EDB" w:rsidRDefault="00CB6A2D" w:rsidP="002625B2">
      <w:pPr>
        <w:pStyle w:val="bullet1"/>
        <w:ind w:hanging="76"/>
      </w:pPr>
      <w:r w:rsidRPr="00AE6EDB">
        <w:t xml:space="preserve"> </w:t>
      </w:r>
      <w:r w:rsidR="002625B2" w:rsidRPr="00AE6EDB">
        <w:t>vzdelávanie a príprava pre trh práce uchádzača o zamestnanie (§ 46)</w:t>
      </w:r>
    </w:p>
    <w:p w:rsidR="002625B2" w:rsidRPr="00AE6EDB" w:rsidRDefault="00CB6A2D" w:rsidP="002625B2">
      <w:pPr>
        <w:pStyle w:val="bullet1"/>
        <w:ind w:hanging="76"/>
      </w:pPr>
      <w:r w:rsidRPr="00AE6EDB">
        <w:lastRenderedPageBreak/>
        <w:t xml:space="preserve"> </w:t>
      </w:r>
      <w:r w:rsidR="002625B2" w:rsidRPr="00AE6EDB">
        <w:t>príspevok na vykonávanie absolventskej praxe (§ 51)</w:t>
      </w:r>
    </w:p>
    <w:p w:rsidR="002625B2" w:rsidRPr="00AE6EDB" w:rsidRDefault="00CB6A2D" w:rsidP="002625B2">
      <w:pPr>
        <w:pStyle w:val="bullet1"/>
        <w:ind w:hanging="76"/>
      </w:pPr>
      <w:r w:rsidRPr="00AE6EDB">
        <w:t xml:space="preserve"> </w:t>
      </w:r>
      <w:r w:rsidR="002625B2" w:rsidRPr="00AE6EDB">
        <w:t>príspevok na aktivačnú činnosť formou menších obecných služieb pre obec alebo formou menších služieb pre samosprávny kraj</w:t>
      </w:r>
      <w:r w:rsidRPr="00AE6EDB">
        <w:t xml:space="preserve"> </w:t>
      </w:r>
      <w:r w:rsidR="002625B2" w:rsidRPr="00AE6EDB">
        <w:t>(§ 52)</w:t>
      </w:r>
    </w:p>
    <w:p w:rsidR="002625B2" w:rsidRPr="00AE6EDB" w:rsidRDefault="00CB6A2D" w:rsidP="002625B2">
      <w:pPr>
        <w:pStyle w:val="bullet1"/>
        <w:ind w:hanging="76"/>
      </w:pPr>
      <w:r w:rsidRPr="00AE6EDB">
        <w:t xml:space="preserve"> </w:t>
      </w:r>
      <w:r w:rsidR="002625B2" w:rsidRPr="00AE6EDB">
        <w:t>príspevok na aktivačnú činnosť formou dobrovoľníckej služby (§ 52a)</w:t>
      </w:r>
    </w:p>
    <w:p w:rsidR="002625B2" w:rsidRPr="00AE6EDB" w:rsidRDefault="002625B2" w:rsidP="002625B2">
      <w:pPr>
        <w:spacing w:before="120"/>
        <w:rPr>
          <w:b/>
        </w:rPr>
      </w:pPr>
      <w:r w:rsidRPr="00AE6EDB">
        <w:rPr>
          <w:b/>
        </w:rPr>
        <w:t xml:space="preserve">b) podpora zamestnanosti, vytvárania a udržania pracovných miest </w:t>
      </w:r>
    </w:p>
    <w:p w:rsidR="002625B2" w:rsidRPr="00AE6EDB" w:rsidRDefault="00CB6A2D" w:rsidP="002625B2">
      <w:pPr>
        <w:pStyle w:val="bullet1"/>
        <w:ind w:hanging="76"/>
      </w:pPr>
      <w:r w:rsidRPr="00AE6EDB">
        <w:t xml:space="preserve"> </w:t>
      </w:r>
      <w:r w:rsidR="002625B2" w:rsidRPr="00AE6EDB">
        <w:t>sprostredkovanie zamestnania (§ 32)</w:t>
      </w:r>
    </w:p>
    <w:p w:rsidR="002625B2" w:rsidRPr="00AE6EDB" w:rsidRDefault="00CB6A2D" w:rsidP="002625B2">
      <w:pPr>
        <w:pStyle w:val="bullet1"/>
        <w:ind w:hanging="76"/>
      </w:pPr>
      <w:r w:rsidRPr="00AE6EDB">
        <w:t xml:space="preserve"> </w:t>
      </w:r>
      <w:r w:rsidR="002625B2" w:rsidRPr="00AE6EDB">
        <w:t>vzdelávanie a príprava pre trh práce zamestnanca (§ 47)</w:t>
      </w:r>
    </w:p>
    <w:p w:rsidR="002625B2" w:rsidRPr="00AE6EDB" w:rsidRDefault="00CB6A2D" w:rsidP="002625B2">
      <w:pPr>
        <w:pStyle w:val="bullet1"/>
        <w:ind w:hanging="76"/>
      </w:pPr>
      <w:r w:rsidRPr="00AE6EDB">
        <w:t xml:space="preserve"> </w:t>
      </w:r>
      <w:r w:rsidR="002625B2" w:rsidRPr="00AE6EDB">
        <w:t>príspevok na samostatnú zárobkovú činnosť (§ 49)</w:t>
      </w:r>
    </w:p>
    <w:p w:rsidR="002625B2" w:rsidRPr="00AE6EDB" w:rsidRDefault="00CB6A2D" w:rsidP="002625B2">
      <w:pPr>
        <w:pStyle w:val="bullet1"/>
        <w:ind w:hanging="76"/>
      </w:pPr>
      <w:r w:rsidRPr="00AE6EDB">
        <w:t xml:space="preserve"> </w:t>
      </w:r>
      <w:r w:rsidR="002625B2" w:rsidRPr="00AE6EDB">
        <w:t xml:space="preserve">príspevok na podporu zamestnávania znevýhodneného uchádzača o zamestnanie (§ 50) </w:t>
      </w:r>
    </w:p>
    <w:p w:rsidR="002625B2" w:rsidRPr="00AE6EDB" w:rsidRDefault="00CB6A2D" w:rsidP="002625B2">
      <w:pPr>
        <w:pStyle w:val="bullet1"/>
        <w:ind w:hanging="76"/>
      </w:pPr>
      <w:r w:rsidRPr="00AE6EDB">
        <w:t xml:space="preserve"> </w:t>
      </w:r>
      <w:r w:rsidR="002625B2" w:rsidRPr="00AE6EDB">
        <w:t>integrácia znevýhodnených uchádzačov o zamestnanie v sociálnom podniku (§ 50b) – účinný do</w:t>
      </w:r>
      <w:r w:rsidRPr="00AE6EDB">
        <w:t> </w:t>
      </w:r>
      <w:r w:rsidR="002625B2" w:rsidRPr="00AE6EDB">
        <w:t>14. 12. 2015</w:t>
      </w:r>
    </w:p>
    <w:p w:rsidR="002625B2" w:rsidRPr="00AE6EDB" w:rsidRDefault="00CB6A2D" w:rsidP="002625B2">
      <w:pPr>
        <w:pStyle w:val="bullet1"/>
        <w:ind w:hanging="76"/>
      </w:pPr>
      <w:r w:rsidRPr="00AE6EDB">
        <w:t xml:space="preserve"> </w:t>
      </w:r>
      <w:r w:rsidR="002625B2" w:rsidRPr="00AE6EDB">
        <w:t>integrácia znevýhodnených uchádzačov o zamestnanie v sociálnom podniku pracovnej integrácie (§ 50b) – účinný od 15. 12. 2015</w:t>
      </w:r>
    </w:p>
    <w:p w:rsidR="002625B2" w:rsidRPr="00AE6EDB" w:rsidRDefault="00CB6A2D" w:rsidP="002625B2">
      <w:pPr>
        <w:pStyle w:val="bullet1"/>
        <w:ind w:hanging="76"/>
      </w:pPr>
      <w:r w:rsidRPr="00AE6EDB">
        <w:t xml:space="preserve"> </w:t>
      </w:r>
      <w:r w:rsidR="002625B2" w:rsidRPr="00AE6EDB">
        <w:t xml:space="preserve">príspevok na podporu rozvoja miestnej a regionálnej zamestnanosti (§ 50j) </w:t>
      </w:r>
    </w:p>
    <w:p w:rsidR="002625B2" w:rsidRPr="00AE6EDB" w:rsidRDefault="00CB6A2D" w:rsidP="002625B2">
      <w:pPr>
        <w:pStyle w:val="bullet1"/>
        <w:ind w:hanging="76"/>
      </w:pPr>
      <w:r w:rsidRPr="00AE6EDB">
        <w:t xml:space="preserve"> </w:t>
      </w:r>
      <w:r w:rsidR="002625B2" w:rsidRPr="00AE6EDB">
        <w:t xml:space="preserve">príspevok na podporu udržania pracovných miest (§ 50k) </w:t>
      </w:r>
    </w:p>
    <w:p w:rsidR="002625B2" w:rsidRPr="00AE6EDB" w:rsidRDefault="00CB6A2D" w:rsidP="002625B2">
      <w:pPr>
        <w:pStyle w:val="bullet1"/>
        <w:ind w:hanging="76"/>
      </w:pPr>
      <w:r w:rsidRPr="00AE6EDB">
        <w:t xml:space="preserve"> </w:t>
      </w:r>
      <w:r w:rsidR="002625B2" w:rsidRPr="00AE6EDB">
        <w:t>príspevok na podporu vytvorenie pracovného miesta v prvom pravidelne platenom zamestnaní (§ 51a)</w:t>
      </w:r>
    </w:p>
    <w:p w:rsidR="002625B2" w:rsidRPr="00AE6EDB" w:rsidRDefault="00CB6A2D" w:rsidP="002625B2">
      <w:pPr>
        <w:pStyle w:val="bullet1"/>
        <w:ind w:hanging="76"/>
      </w:pPr>
      <w:r w:rsidRPr="00AE6EDB">
        <w:t xml:space="preserve"> </w:t>
      </w:r>
      <w:r w:rsidR="002625B2" w:rsidRPr="00AE6EDB">
        <w:t>príspevok na dochádzku za prácou (§ 53)</w:t>
      </w:r>
    </w:p>
    <w:p w:rsidR="002625B2" w:rsidRPr="00AE6EDB" w:rsidRDefault="00CB6A2D" w:rsidP="002625B2">
      <w:pPr>
        <w:pStyle w:val="bullet1"/>
        <w:ind w:hanging="76"/>
      </w:pPr>
      <w:r w:rsidRPr="00AE6EDB">
        <w:t xml:space="preserve"> </w:t>
      </w:r>
      <w:r w:rsidR="002625B2" w:rsidRPr="00AE6EDB">
        <w:t>príspevok na presťahovanie za prácou (§ 53a)</w:t>
      </w:r>
    </w:p>
    <w:p w:rsidR="002625B2" w:rsidRPr="00AE6EDB" w:rsidRDefault="00CB6A2D" w:rsidP="002625B2">
      <w:pPr>
        <w:pStyle w:val="bullet1"/>
        <w:ind w:hanging="76"/>
      </w:pPr>
      <w:r w:rsidRPr="00AE6EDB">
        <w:t xml:space="preserve"> </w:t>
      </w:r>
      <w:r w:rsidR="002625B2" w:rsidRPr="00AE6EDB">
        <w:t>príspevok na dopravu do zamestnania (§ 53b)</w:t>
      </w:r>
    </w:p>
    <w:p w:rsidR="002625B2" w:rsidRPr="00AE6EDB" w:rsidRDefault="00CB6A2D" w:rsidP="002625B2">
      <w:pPr>
        <w:pStyle w:val="bullet1"/>
        <w:ind w:hanging="76"/>
      </w:pPr>
      <w:r w:rsidRPr="00AE6EDB">
        <w:t xml:space="preserve"> </w:t>
      </w:r>
      <w:r w:rsidR="002625B2" w:rsidRPr="00AE6EDB">
        <w:t>príspevok na vytvorenie nového pracovného miesta (§ 53d)</w:t>
      </w:r>
    </w:p>
    <w:p w:rsidR="002625B2" w:rsidRPr="00AE6EDB" w:rsidRDefault="00CB6A2D" w:rsidP="002625B2">
      <w:pPr>
        <w:pStyle w:val="bullet1"/>
        <w:ind w:hanging="76"/>
      </w:pPr>
      <w:r w:rsidRPr="00AE6EDB">
        <w:t xml:space="preserve"> </w:t>
      </w:r>
      <w:r w:rsidR="002625B2" w:rsidRPr="00AE6EDB">
        <w:t>finančná pomoc na podporu udržania zamestnanosti v malých podnikoch alebo stredných podnikoch (§ 53e)</w:t>
      </w:r>
    </w:p>
    <w:p w:rsidR="002625B2" w:rsidRPr="00AE6EDB" w:rsidRDefault="00CB6A2D" w:rsidP="002625B2">
      <w:pPr>
        <w:pStyle w:val="bullet1"/>
        <w:ind w:hanging="76"/>
      </w:pPr>
      <w:r w:rsidRPr="00AE6EDB">
        <w:t xml:space="preserve"> </w:t>
      </w:r>
      <w:r w:rsidR="002625B2" w:rsidRPr="00AE6EDB">
        <w:t xml:space="preserve">projekty a programy (§ 54) </w:t>
      </w:r>
    </w:p>
    <w:p w:rsidR="002625B2" w:rsidRPr="00AE6EDB" w:rsidRDefault="00CB6A2D" w:rsidP="002625B2">
      <w:pPr>
        <w:pStyle w:val="bullet1"/>
        <w:ind w:hanging="76"/>
      </w:pPr>
      <w:r w:rsidRPr="00AE6EDB">
        <w:t xml:space="preserve"> </w:t>
      </w:r>
      <w:r w:rsidR="002625B2" w:rsidRPr="00AE6EDB">
        <w:t>príspevok na zriadenie chránenej dielne alebo chráneného pracoviska (§ 56)</w:t>
      </w:r>
    </w:p>
    <w:p w:rsidR="002625B2" w:rsidRPr="00AE6EDB" w:rsidRDefault="00CB6A2D" w:rsidP="002625B2">
      <w:pPr>
        <w:pStyle w:val="bullet1"/>
        <w:ind w:hanging="76"/>
      </w:pPr>
      <w:r w:rsidRPr="00AE6EDB">
        <w:t xml:space="preserve"> </w:t>
      </w:r>
      <w:r w:rsidR="002625B2" w:rsidRPr="00AE6EDB">
        <w:t>príspevok na udržanie občana so zdravotným postihnutím v zamestnaní (§ 56a)</w:t>
      </w:r>
    </w:p>
    <w:p w:rsidR="002625B2" w:rsidRPr="00AE6EDB" w:rsidRDefault="00CB6A2D" w:rsidP="002625B2">
      <w:pPr>
        <w:pStyle w:val="bullet1"/>
        <w:ind w:hanging="76"/>
      </w:pPr>
      <w:r w:rsidRPr="00AE6EDB">
        <w:t xml:space="preserve"> </w:t>
      </w:r>
      <w:r w:rsidR="002625B2" w:rsidRPr="00AE6EDB">
        <w:t xml:space="preserve">príspevok občanovi so zdravotným postihnutím na samostatnú zárobkovú činnosť (§ 57) </w:t>
      </w:r>
    </w:p>
    <w:p w:rsidR="002625B2" w:rsidRPr="00AE6EDB" w:rsidRDefault="00CB6A2D" w:rsidP="002625B2">
      <w:pPr>
        <w:pStyle w:val="bullet1"/>
        <w:ind w:hanging="76"/>
        <w:rPr>
          <w:b/>
          <w:bCs/>
        </w:rPr>
      </w:pPr>
      <w:r w:rsidRPr="00AE6EDB">
        <w:t xml:space="preserve"> </w:t>
      </w:r>
      <w:r w:rsidR="002625B2" w:rsidRPr="00AE6EDB">
        <w:t>príspevok na činnosť pracovného asistenta (§ 59)</w:t>
      </w:r>
    </w:p>
    <w:p w:rsidR="002625B2" w:rsidRPr="00AE6EDB" w:rsidRDefault="00CB6A2D" w:rsidP="002625B2">
      <w:pPr>
        <w:pStyle w:val="bullet1"/>
        <w:ind w:hanging="76"/>
        <w:rPr>
          <w:b/>
          <w:bCs/>
        </w:rPr>
      </w:pPr>
      <w:r w:rsidRPr="00AE6EDB">
        <w:t xml:space="preserve"> </w:t>
      </w:r>
      <w:r w:rsidR="002625B2" w:rsidRPr="00AE6EDB">
        <w:t>príspevok na úhradu prevádzkových nákladov chránenej dielne alebo chráneného pracoviska a na úhradu nákladov na dopravu zamestnancov (§ 60).</w:t>
      </w:r>
    </w:p>
    <w:p w:rsidR="002625B2" w:rsidRPr="00AE6EDB" w:rsidRDefault="002625B2" w:rsidP="002625B2">
      <w:pPr>
        <w:pStyle w:val="bullet1"/>
        <w:numPr>
          <w:ilvl w:val="0"/>
          <w:numId w:val="0"/>
        </w:numPr>
        <w:ind w:left="360"/>
        <w:rPr>
          <w:b/>
          <w:bCs/>
          <w:highlight w:val="cyan"/>
        </w:rPr>
      </w:pPr>
    </w:p>
    <w:p w:rsidR="002625B2" w:rsidRPr="00AE6EDB" w:rsidRDefault="002625B2" w:rsidP="002625B2">
      <w:pPr>
        <w:pStyle w:val="Normlnysozarkami12"/>
        <w:ind w:firstLine="567"/>
      </w:pPr>
      <w:r w:rsidRPr="00AE6EDB">
        <w:t>Väčšina z AOTP sa realizovala prostredníctvom národných projektov, ktoré sú financované zo zdrojov Európskeho sociálneho fondu a spolufinancované zo zdrojov štátneho rozpočtu. V roku 2015 bolo podporených celkovo 7</w:t>
      </w:r>
      <w:r w:rsidR="00DF585E">
        <w:t>65 909</w:t>
      </w:r>
      <w:r w:rsidRPr="00AE6EDB">
        <w:t xml:space="preserve"> </w:t>
      </w:r>
      <w:proofErr w:type="spellStart"/>
      <w:r w:rsidRPr="00AE6EDB">
        <w:t>UoZ</w:t>
      </w:r>
      <w:proofErr w:type="spellEnd"/>
      <w:r w:rsidRPr="00AE6EDB">
        <w:t xml:space="preserve">, </w:t>
      </w:r>
      <w:proofErr w:type="spellStart"/>
      <w:r w:rsidRPr="00AE6EDB">
        <w:t>ZoZ</w:t>
      </w:r>
      <w:proofErr w:type="spellEnd"/>
      <w:r w:rsidRPr="00AE6EDB">
        <w:t>, resp. zamestnancov/pracovných miest v celkovej sume finančných prostriedkov vo výške viac ako 135 mil.</w:t>
      </w:r>
      <w:r w:rsidR="0054295F">
        <w:t> eur</w:t>
      </w:r>
      <w:r w:rsidRPr="00AE6EDB">
        <w:t xml:space="preserve">. Prehľad o uplatňovaní jednotlivých AOTP v roku 2015 je uvedený v prílohe ku kapitole 2 </w:t>
      </w:r>
      <w:r w:rsidRPr="00AE6EDB">
        <w:rPr>
          <w:color w:val="000000" w:themeColor="text1"/>
        </w:rPr>
        <w:t>–</w:t>
      </w:r>
      <w:r w:rsidRPr="00AE6EDB">
        <w:t xml:space="preserve"> Prehľad realizácie aktívnych opatrení na trhu práce a v tabuľke 5.</w:t>
      </w:r>
    </w:p>
    <w:p w:rsidR="002625B2" w:rsidRPr="00AE6EDB" w:rsidRDefault="002625B2" w:rsidP="002625B2">
      <w:pPr>
        <w:ind w:firstLine="567"/>
        <w:rPr>
          <w:b/>
          <w:highlight w:val="cyan"/>
        </w:rPr>
      </w:pPr>
    </w:p>
    <w:p w:rsidR="002625B2" w:rsidRPr="00AE6EDB" w:rsidRDefault="002625B2" w:rsidP="002625B2">
      <w:pPr>
        <w:pStyle w:val="nadpis2"/>
      </w:pPr>
      <w:bookmarkStart w:id="110" w:name="_Toc422233408"/>
      <w:bookmarkStart w:id="111" w:name="_Toc452469865"/>
      <w:r w:rsidRPr="00AE6EDB">
        <w:t>Mzdy a pracovné podmienky</w:t>
      </w:r>
      <w:bookmarkEnd w:id="110"/>
      <w:bookmarkEnd w:id="111"/>
    </w:p>
    <w:p w:rsidR="002625B2" w:rsidRPr="00AE6EDB" w:rsidRDefault="002625B2" w:rsidP="002625B2">
      <w:pPr>
        <w:pStyle w:val="Nadpis7"/>
      </w:pPr>
      <w:r w:rsidRPr="00AE6EDB">
        <w:t xml:space="preserve">Vyhodnotenie zmien právnych predpisov v roku 2015 v oblasti miezd a pracovných podmienok </w:t>
      </w:r>
    </w:p>
    <w:p w:rsidR="002625B2" w:rsidRPr="00AE6EDB" w:rsidRDefault="002625B2" w:rsidP="002625B2">
      <w:pPr>
        <w:numPr>
          <w:ilvl w:val="0"/>
          <w:numId w:val="15"/>
        </w:numPr>
        <w:tabs>
          <w:tab w:val="left" w:pos="426"/>
        </w:tabs>
        <w:ind w:left="0" w:firstLine="0"/>
        <w:rPr>
          <w:b/>
        </w:rPr>
      </w:pPr>
      <w:r w:rsidRPr="00AE6EDB">
        <w:rPr>
          <w:b/>
        </w:rPr>
        <w:t>Minimálna mzda</w:t>
      </w:r>
      <w:bookmarkStart w:id="112" w:name="_Toc313878470"/>
    </w:p>
    <w:p w:rsidR="002625B2" w:rsidRPr="00AE6EDB" w:rsidRDefault="002625B2" w:rsidP="002625B2">
      <w:pPr>
        <w:tabs>
          <w:tab w:val="left" w:pos="426"/>
        </w:tabs>
        <w:rPr>
          <w:b/>
          <w:highlight w:val="cyan"/>
        </w:rPr>
      </w:pPr>
    </w:p>
    <w:p w:rsidR="002625B2" w:rsidRPr="00AE6EDB" w:rsidRDefault="002625B2" w:rsidP="002625B2">
      <w:pPr>
        <w:ind w:firstLine="708"/>
      </w:pPr>
      <w:r w:rsidRPr="00AE6EDB">
        <w:t xml:space="preserve">Vláda Slovenskej republiky v súlade so splnomocňovacím ustanovením zákona </w:t>
      </w:r>
      <w:r w:rsidR="00CB6A2D" w:rsidRPr="00AE6EDB">
        <w:br/>
      </w:r>
      <w:r w:rsidRPr="00AE6EDB">
        <w:t xml:space="preserve">č. 663/2007 Z. z. o minimálnej mzde v znení neskorších predpisov dňa 15. októbra 2014 s účinnosťou </w:t>
      </w:r>
      <w:r w:rsidRPr="00AE6EDB">
        <w:rPr>
          <w:b/>
          <w:bCs/>
        </w:rPr>
        <w:t xml:space="preserve">od 1. januára 2015 </w:t>
      </w:r>
      <w:r w:rsidRPr="00AE6EDB">
        <w:t xml:space="preserve">schválila nariadenie vlády SR č. 297/2014 Z. z., ktorým sa ustanovuje suma minimálnej mzdy na rok 2015, a to na úrovni </w:t>
      </w:r>
      <w:r w:rsidRPr="00AE6EDB">
        <w:rPr>
          <w:b/>
          <w:bCs/>
        </w:rPr>
        <w:t>380,00</w:t>
      </w:r>
      <w:r w:rsidR="0054295F">
        <w:rPr>
          <w:b/>
          <w:bCs/>
        </w:rPr>
        <w:t> eur</w:t>
      </w:r>
      <w:r w:rsidRPr="00AE6EDB">
        <w:rPr>
          <w:b/>
          <w:bCs/>
        </w:rPr>
        <w:t xml:space="preserve"> za mesiac</w:t>
      </w:r>
      <w:r w:rsidRPr="00AE6EDB">
        <w:t xml:space="preserve"> pre zamestnanca odmeňovaného mesačnou mzdou a </w:t>
      </w:r>
      <w:r w:rsidRPr="00AE6EDB">
        <w:rPr>
          <w:b/>
          <w:bCs/>
        </w:rPr>
        <w:t>2,184</w:t>
      </w:r>
      <w:r w:rsidR="0054295F">
        <w:rPr>
          <w:b/>
          <w:bCs/>
        </w:rPr>
        <w:t> eur</w:t>
      </w:r>
      <w:r w:rsidRPr="00AE6EDB">
        <w:rPr>
          <w:b/>
          <w:bCs/>
        </w:rPr>
        <w:t>a za hodinu</w:t>
      </w:r>
      <w:r w:rsidRPr="00AE6EDB">
        <w:t xml:space="preserve"> odpracovanú zamestnancom pre ostatných zamestnancov. </w:t>
      </w:r>
    </w:p>
    <w:p w:rsidR="002625B2" w:rsidRPr="00AE6EDB" w:rsidRDefault="002625B2" w:rsidP="002625B2">
      <w:pPr>
        <w:ind w:firstLine="708"/>
      </w:pPr>
      <w:r w:rsidRPr="00AE6EDB">
        <w:t>Medziročné zvýšenie sumy minimálnej mzdy na rok 2015 oproti sume minimálnej mzdy 352,00</w:t>
      </w:r>
      <w:r w:rsidR="0054295F">
        <w:t> eur</w:t>
      </w:r>
      <w:r w:rsidRPr="00AE6EDB">
        <w:t xml:space="preserve">, ustanovenej na rok 2014 nariadením vlády Slovenskej republiky č. 321/2013 Z. z., </w:t>
      </w:r>
      <w:r w:rsidRPr="00AE6EDB">
        <w:lastRenderedPageBreak/>
        <w:t xml:space="preserve">predstavovalo </w:t>
      </w:r>
      <w:r w:rsidRPr="00AE6EDB">
        <w:rPr>
          <w:b/>
        </w:rPr>
        <w:t>7,95</w:t>
      </w:r>
      <w:r w:rsidR="005676EF">
        <w:rPr>
          <w:b/>
        </w:rPr>
        <w:t> %</w:t>
      </w:r>
      <w:r w:rsidRPr="00AE6EDB">
        <w:t>.</w:t>
      </w:r>
      <w:r w:rsidRPr="00AE6EDB">
        <w:rPr>
          <w:rStyle w:val="Odkaznapoznmkupodiarou"/>
          <w:bCs/>
        </w:rPr>
        <w:footnoteReference w:id="19"/>
      </w:r>
      <w:r w:rsidRPr="00AE6EDB">
        <w:rPr>
          <w:bCs/>
        </w:rPr>
        <w:t xml:space="preserve"> Prípadný negatívny dopad zvýšenia sumy minimálnej mzdy na náklady zamestnávateľov bol kompenzovaný zavedením odvodovej odpočítateľnej položky do oblasti zdravotného poistenia. Zavedenie odvodovej odpočítateľnej položky zároveň znamenalo, že čistá suma minimálnej mzdy vzrástla o 11,24</w:t>
      </w:r>
      <w:r w:rsidR="005676EF">
        <w:rPr>
          <w:bCs/>
        </w:rPr>
        <w:t> %</w:t>
      </w:r>
      <w:r w:rsidRPr="00AE6EDB">
        <w:rPr>
          <w:bCs/>
        </w:rPr>
        <w:t>, nakoľko zo sumy 380</w:t>
      </w:r>
      <w:r w:rsidR="0054295F">
        <w:rPr>
          <w:bCs/>
        </w:rPr>
        <w:t> eur</w:t>
      </w:r>
      <w:r w:rsidRPr="00AE6EDB">
        <w:rPr>
          <w:bCs/>
        </w:rPr>
        <w:t xml:space="preserve"> ani zamestnanec neodvádzal odvody na zdravotné poistenie.</w:t>
      </w:r>
    </w:p>
    <w:p w:rsidR="002625B2" w:rsidRPr="00AE6EDB" w:rsidRDefault="002625B2" w:rsidP="002625B2">
      <w:pPr>
        <w:ind w:firstLine="709"/>
        <w:rPr>
          <w:highlight w:val="cyan"/>
        </w:rPr>
      </w:pPr>
    </w:p>
    <w:p w:rsidR="002625B2" w:rsidRPr="00AE6EDB" w:rsidRDefault="002625B2" w:rsidP="002625B2">
      <w:pPr>
        <w:tabs>
          <w:tab w:val="left" w:pos="426"/>
        </w:tabs>
        <w:rPr>
          <w:b/>
        </w:rPr>
      </w:pPr>
      <w:r w:rsidRPr="00AE6EDB">
        <w:rPr>
          <w:b/>
        </w:rPr>
        <w:t>b)</w:t>
      </w:r>
      <w:r w:rsidRPr="00AE6EDB">
        <w:rPr>
          <w:b/>
        </w:rPr>
        <w:tab/>
        <w:t>Zákonník práce</w:t>
      </w:r>
    </w:p>
    <w:p w:rsidR="002625B2" w:rsidRPr="00AE6EDB" w:rsidRDefault="002625B2" w:rsidP="002625B2">
      <w:pPr>
        <w:ind w:firstLine="709"/>
        <w:rPr>
          <w:highlight w:val="cyan"/>
        </w:rPr>
      </w:pPr>
    </w:p>
    <w:p w:rsidR="002625B2" w:rsidRPr="00AE6EDB" w:rsidRDefault="002625B2" w:rsidP="002625B2">
      <w:pPr>
        <w:ind w:firstLine="644"/>
        <w:rPr>
          <w:bCs/>
        </w:rPr>
      </w:pPr>
      <w:r w:rsidRPr="00AE6EDB">
        <w:rPr>
          <w:bCs/>
        </w:rPr>
        <w:t xml:space="preserve">Od l. januára 2015 nadobudol účinnosť </w:t>
      </w:r>
      <w:r w:rsidRPr="00AE6EDB">
        <w:rPr>
          <w:b/>
          <w:bCs/>
        </w:rPr>
        <w:t>článok II zákona č. 307/2014 Z. z. o niektorých opatreniach súvisiacich s oznamovaním protispoločenskej činnosti</w:t>
      </w:r>
      <w:r w:rsidRPr="00AE6EDB">
        <w:rPr>
          <w:bCs/>
        </w:rPr>
        <w:t xml:space="preserve">, ktorým sa menil a dopĺňal zákon č. 311/2001 Z. z. Zákonník práce v znení neskorších predpisov. Novelou sa do Zákonníka doplnil aj zákaz diskriminácie zamestnancov v pracovnoprávnych vzťahoch z dôvodu oznámenia kriminality alebo inej protispoločenskej činnosti. Taktiež z dôvodu jednoznačnosti právnej úpravy sa doplnilo, že nikto nesmie byť na pracovisku v súvislosti s výkonom pracovnoprávnych vzťahov prenasledovaný ani inak postihovaný za to, že podá žalobu, návrh na začatie trestného stíhania alebo iné oznámenie o kriminalite alebo inej protispoločenskej činnosti. Doplnila sa povinnosť pre zamestnávateľa oboznámiť zamestnanca pri nástupe do zamestnania aj s vnútorným predpisom, ktorý upravuje oznamovanie kriminality alebo inej protispoločenskej činnosti. </w:t>
      </w:r>
    </w:p>
    <w:p w:rsidR="002625B2" w:rsidRPr="00AE6EDB" w:rsidRDefault="002625B2" w:rsidP="002625B2">
      <w:pPr>
        <w:ind w:firstLine="708"/>
      </w:pPr>
      <w:r w:rsidRPr="00AE6EDB">
        <w:t>Novelou sa ustanovilo, že obmedzenia týkajúce sa poskytnutia náhrady mzdy zamestnancovi pri neplatnom skončení pracovného pomeru zo strany zamestnávateľa sa nebudú vzťahovať na</w:t>
      </w:r>
      <w:r w:rsidR="00FE5F6A" w:rsidRPr="00AE6EDB">
        <w:t> </w:t>
      </w:r>
      <w:r w:rsidRPr="00AE6EDB">
        <w:t>oznamovateľov kriminality alebo inej protispoločenskej činnosti, ak došlo ku skončeniu pracovného pomeru počas poskytovania ochran</w:t>
      </w:r>
      <w:r w:rsidR="00FE5F6A" w:rsidRPr="00AE6EDB">
        <w:t>y podľa zákona č. 307/2014 Z. z</w:t>
      </w:r>
      <w:r w:rsidRPr="00AE6EDB">
        <w:t>. Novelou sa doplnilo, že povinnosť zamestnanca zachovávať mlčanlivosť o skutočnostiach, o ktorých sa dozvedel pri</w:t>
      </w:r>
      <w:r w:rsidR="00FE5F6A" w:rsidRPr="00AE6EDB">
        <w:t> </w:t>
      </w:r>
      <w:r w:rsidRPr="00AE6EDB">
        <w:t xml:space="preserve">výkone zamestnania a ktoré nemožno oznamovať iným osobám sa nevzťahuje na oznámenie kriminality alebo inej protispoločenskej činnosti. </w:t>
      </w:r>
    </w:p>
    <w:p w:rsidR="002625B2" w:rsidRPr="00AE6EDB" w:rsidRDefault="002625B2" w:rsidP="002625B2">
      <w:pPr>
        <w:ind w:firstLine="708"/>
      </w:pPr>
      <w:r w:rsidRPr="00AE6EDB">
        <w:t xml:space="preserve">Dňom 1. marca 2015 nadobudol účinnosť </w:t>
      </w:r>
      <w:r w:rsidRPr="00AE6EDB">
        <w:rPr>
          <w:b/>
        </w:rPr>
        <w:t>zákon č. 14/2015 Z. z. ktorým sa menil a doplnil zákon č. 311/2001 Z. z. Zákonník práce v znení neskorších predpisov</w:t>
      </w:r>
      <w:r w:rsidRPr="00AE6EDB">
        <w:t xml:space="preserve">, okrem bodov 16 a 17 novely, ktoré nadobudli účinnosť 1. septembra 2015. </w:t>
      </w:r>
      <w:r w:rsidRPr="00AE6EDB">
        <w:rPr>
          <w:bCs/>
        </w:rPr>
        <w:t xml:space="preserve">Cieľom novely Zákonníka práce bolo najmä </w:t>
      </w:r>
      <w:r w:rsidRPr="00AE6EDB">
        <w:t xml:space="preserve">riešenie problémov vyskytujúcich sa v aplikačnej praxi pri dočasnom prideľovaní zamestnancov. </w:t>
      </w:r>
    </w:p>
    <w:p w:rsidR="002625B2" w:rsidRPr="00AE6EDB" w:rsidRDefault="002625B2" w:rsidP="002625B2">
      <w:pPr>
        <w:ind w:firstLine="708"/>
      </w:pPr>
      <w:r w:rsidRPr="00AE6EDB">
        <w:t>Novelou boli z definície závislej práce vypustené slová</w:t>
      </w:r>
      <w:r w:rsidRPr="00AE6EDB">
        <w:rPr>
          <w:b/>
        </w:rPr>
        <w:t xml:space="preserve"> </w:t>
      </w:r>
      <w:r w:rsidRPr="00AE6EDB">
        <w:t xml:space="preserve">„za mzdu alebo odmenu“ s cieľom posilniť postavenie inšpekcie práce pri jej kontrolnej činnosti v rámci boja proti nelegálnemu zamestnávaniu a nelegálnej práci, aby inšpekcia práce pri skúmaní naplnení znakov závislej práce nemusela zisťovať dojednanie mzdy alebo odmeny na to, aby mohla vykonávanú činnosť posúdiť ako závislú prácu. Pri posúdení, či sú naplnené znaky závislej práce, sa nemusí zisťovať dojednanie mzdy alebo odmeny za vykonanú prácu, pretože povinnosť poskytnúť mzdu alebo odmenu za vykonanú prácu vyplýva z článku 36 písm. a) Ústavy SR, ako aj z ustanovení § 43, § 47 a § 118 Zákonníka práce. Novelou sa tiež rozšírila subsidiárna pôsobnosť Zákonníka práce na pracovnoprávne vzťahy pedagogických zamestnancov. </w:t>
      </w:r>
    </w:p>
    <w:p w:rsidR="002625B2" w:rsidRPr="00AE6EDB" w:rsidRDefault="002625B2" w:rsidP="002625B2">
      <w:pPr>
        <w:ind w:firstLine="708"/>
      </w:pPr>
      <w:r w:rsidRPr="00AE6EDB">
        <w:t xml:space="preserve">Ak bude zamestnanec dočasne pridelený k užívateľskému zamestnávateľovi, v zmysle novely ho môže vyslať na pracovnú cestu len tento užívateľský zamestnávateľ. Cieľom uvedenej právnej úpravy je zabrániť uskutočňovaniu fiktívnych pracovných ciest agentúrami dočasného zamestnávania. </w:t>
      </w:r>
    </w:p>
    <w:p w:rsidR="002625B2" w:rsidRPr="00AE6EDB" w:rsidRDefault="002625B2" w:rsidP="002625B2">
      <w:pPr>
        <w:ind w:firstLine="708"/>
      </w:pPr>
      <w:r w:rsidRPr="00AE6EDB">
        <w:t xml:space="preserve">Zaviedlo sa obmedzenie dočasného pridelenia na výkon prác, ktoré príslušný orgán verejného zdravotníctva zaradil do 4. kategórie v zmysle zákona č. 355/2007 Z. z. o ochrane, podpore a rozvoji verejného zdravia v znení neskorších predpisov. </w:t>
      </w:r>
    </w:p>
    <w:p w:rsidR="002625B2" w:rsidRPr="00AE6EDB" w:rsidRDefault="002625B2" w:rsidP="002625B2">
      <w:pPr>
        <w:ind w:firstLine="708"/>
      </w:pPr>
      <w:r w:rsidRPr="00AE6EDB">
        <w:t xml:space="preserve">Novela Zákonníka práce rieši aj otázky tzv. zastreného dočasného pridelenia, t.j. obchádzanie dočasného pridelenia cez poskytnutie služby vo forme výsledku. Zaviedla sa tzv. vyvrátiteľná domnienka, že ak sú naplnené určité znaky, uvedené sa považuje za dočasné pridelenie, aj keď to tak zmluvné strany nepomenujú. Cieľom bolo riešiť otázku obchádzania ustanovení o porovnateľných pracovných a mzdových podmienkach pre dočasne pridelených zamestnancov v porovnaní s tzv. kmeňovými zamestnancami užívateľského zamestnávateľa cez fiktívne poskytovanie služieb cez právnickú osobu alebo fyzickú osobu, ktorá podľa uzatvorenej zmluvy neposkytuje zamestnancov ale </w:t>
      </w:r>
      <w:r w:rsidRPr="00AE6EDB">
        <w:lastRenderedPageBreak/>
        <w:t xml:space="preserve">službu, avšak v skutočnosti je predmetom zmluvy poskytnutie zamestnancov na činnosť, ktorá tvorí predmet činnosti zastretého užívateľského zamestnávateľa a týchto zamestnancov nebude riadiť právnická osoba alebo fyzická osoba, ale zastretý užívateľský zamestnávateľ a práca sa bude vykonávať prevažne v priestoroch, na zariadeniach alebo pracovnými prostriedkami inej právnickej osoby alebo fyzickej osoby. </w:t>
      </w:r>
    </w:p>
    <w:p w:rsidR="002625B2" w:rsidRPr="00AE6EDB" w:rsidRDefault="002625B2" w:rsidP="002625B2">
      <w:pPr>
        <w:ind w:firstLine="708"/>
      </w:pPr>
      <w:r w:rsidRPr="00AE6EDB">
        <w:t>Ustanovilo sa, že ak agentúra dočasného zamestnávania uzatvorí so zamestnancom pracovný pomer na určitú dobu, tak doba trvania dočasného pridelenia musí byť dohodnutá dátumom jeho skončenia (t.j. konkrétnym dňom). Cieľom opatrenia je zabrániť skončeniu pracovného pomeru so</w:t>
      </w:r>
      <w:r w:rsidR="00FE5F6A" w:rsidRPr="00AE6EDB">
        <w:t> </w:t>
      </w:r>
      <w:r w:rsidRPr="00AE6EDB">
        <w:t>zamestnancom z jedného dňa na druhý.</w:t>
      </w:r>
    </w:p>
    <w:p w:rsidR="002625B2" w:rsidRPr="00AE6EDB" w:rsidRDefault="002625B2" w:rsidP="002625B2">
      <w:pPr>
        <w:ind w:firstLine="708"/>
      </w:pPr>
      <w:r w:rsidRPr="00AE6EDB">
        <w:t>Novelou sa obmedzila maximálna dĺžka trvania dočasného pridelenia (24 mesiacov) a obmedzil sa počet opätovných pridelení a predĺžení dočasného pridelenia (najviac štyrikrát). Zároveň sa ustanovil právny následok porušenia uvedených povinností (maximálna dĺžka doča</w:t>
      </w:r>
      <w:r w:rsidR="00B811E2" w:rsidRPr="00AE6EDB">
        <w:t xml:space="preserve">sného pridelenia a predĺženia, </w:t>
      </w:r>
      <w:r w:rsidRPr="00AE6EDB">
        <w:t>opätovné dohodnutie dočasného pridelenia), ktorým je zánik pracovného pomeru medzi zamestnancom a zamestnávateľom alebo agentúrou dočasného zamestnávania a vznik pracovného pomeru na neurčitý čas medzi zamestnancom a užívateľským zamestnávateľom (nevyvrátiteľná právna domnienka). Má sa za to, že v prípade porušenia povinností už cieľom nebol prenájom pracovnej sily, ale priamy právny vzťah medzi zamestnancom a užívateľským zamestnávateľom. Ide teda o zánik a vznik pracovného pomeru zo zákona ako následok zneužitia inštitútu dočasného pridelenia.</w:t>
      </w:r>
    </w:p>
    <w:p w:rsidR="002625B2" w:rsidRPr="00AE6EDB" w:rsidRDefault="002625B2" w:rsidP="002625B2">
      <w:pPr>
        <w:ind w:firstLine="708"/>
      </w:pPr>
      <w:r w:rsidRPr="00AE6EDB">
        <w:t xml:space="preserve">Aby bol prehľad o zamestnancoch iného zamestnávateľa alebo agentúry dočasného zamestnávania, ktorí vykonávajú prácu pre užívateľského zamestnávateľa, ustanovila </w:t>
      </w:r>
      <w:r w:rsidR="005C04EB" w:rsidRPr="00AE6EDB">
        <w:t xml:space="preserve">sa </w:t>
      </w:r>
      <w:r w:rsidRPr="00AE6EDB">
        <w:t xml:space="preserve">povinnosť užívateľského zamestnávateľa viesť evidenciu o týchto dočasne pridelených zamestnancoch. Ustanovil sa obsah evidencie: identifikačné údaje zamestnanca, identifikačné údaje zamestnávateľa alebo agentúry dočasného zamestnávania, ktorá mu zamestnanca dočasne pridelila, údaj o dátume vzniku a skončenia dočasného pridelenia. </w:t>
      </w:r>
    </w:p>
    <w:p w:rsidR="002625B2" w:rsidRPr="00AE6EDB" w:rsidRDefault="002625B2" w:rsidP="002625B2">
      <w:pPr>
        <w:ind w:firstLine="708"/>
      </w:pPr>
      <w:r w:rsidRPr="00AE6EDB">
        <w:t xml:space="preserve">Novela upravila aj systém spoločnej a nerozdielnej zodpovednosti užívateľského zamestnávateľa za vyplatenie porovnateľnej mzdy v prípade, ak zamestnávateľ alebo agentúra dočasného zamestnávania neposkytli dočasne pridelenému zamestnancovi mzdu najmenej </w:t>
      </w:r>
      <w:r w:rsidRPr="00AE6EDB">
        <w:rPr>
          <w:bCs/>
        </w:rPr>
        <w:t xml:space="preserve">rovnako priaznivú, ako patrí porovnateľnému zamestnancovi užívateľského zamestnávateľa. </w:t>
      </w:r>
      <w:r w:rsidRPr="00AE6EDB">
        <w:t xml:space="preserve">Cieľom takejto právnej úpravy je zaangažovanie užívateľského zamestnávateľa na plnení povinností agentúrou dočasného zamestnávania (resp. zamestnávateľom). </w:t>
      </w:r>
    </w:p>
    <w:p w:rsidR="002625B2" w:rsidRPr="00AE6EDB" w:rsidRDefault="002625B2" w:rsidP="002625B2">
      <w:pPr>
        <w:ind w:firstLine="708"/>
      </w:pPr>
      <w:r w:rsidRPr="00AE6EDB">
        <w:t xml:space="preserve">Zaviedla sa povinnosť užívateľského zamestnávateľa viesť evidenciu pracovného času, práce nadčas, nočnej práce, aktívnej časti a neaktívnej časti pracovnej pohotovosti dočasne pridelených zamestnancov v mieste, kde dočasne pridelený zamestnanec prácu skutočne vykonáva. </w:t>
      </w:r>
    </w:p>
    <w:p w:rsidR="002625B2" w:rsidRPr="00AE6EDB" w:rsidRDefault="002625B2" w:rsidP="002625B2">
      <w:pPr>
        <w:ind w:firstLine="708"/>
      </w:pPr>
      <w:r w:rsidRPr="00AE6EDB">
        <w:t>Doplnila sa tiež samostatná skutková podstata skončenia pracovného pomeru z dôvodu nadbytočnosti zamestnanca vzhľadom na skončenie dočasného pridelenia pred uplynutím doby, na</w:t>
      </w:r>
      <w:r w:rsidR="00FE5F6A" w:rsidRPr="00AE6EDB">
        <w:t> </w:t>
      </w:r>
      <w:r w:rsidRPr="00AE6EDB">
        <w:t>ktorú sa dohodlo. Vylúčila sa ponuková povinnosť (ponuka inej vhodnej práce) pre agentúru dočasného zamestnávania</w:t>
      </w:r>
      <w:r w:rsidR="005C04EB">
        <w:t>,</w:t>
      </w:r>
      <w:r w:rsidRPr="00AE6EDB">
        <w:t xml:space="preserve"> ak voči zamestnancovi uplatní výpoveď z dôvodu nadbytočnosti vzhľadom na skončenie dočasného pridelenia podľa § 58 Zákonníka práce pred uplynutím doby.</w:t>
      </w:r>
    </w:p>
    <w:p w:rsidR="002625B2" w:rsidRPr="00AE6EDB" w:rsidRDefault="002625B2" w:rsidP="002625B2">
      <w:pPr>
        <w:ind w:firstLine="708"/>
      </w:pPr>
      <w:r w:rsidRPr="00AE6EDB">
        <w:t>Rozšírila sa povinnosť zabezpečovať zamestnancom vo všetkých zmenách stravovanie zodpovedajúce zásadám správnej výživy priamo na pracoviskách alebo v ich blízkosti aj na</w:t>
      </w:r>
      <w:r w:rsidR="00FE5F6A" w:rsidRPr="00AE6EDB">
        <w:t> </w:t>
      </w:r>
      <w:r w:rsidRPr="00AE6EDB">
        <w:t>zamestnávateľa a agentúru dočasného zamestnávania voči dočasne pridelenému zamestnancovi. Uvedenou novelou sa rozšíril aj okruh osôb, ktoré majú dovolenku najmenej osem týždňov v kalendárnom roku, o odborných zamestnancov podľa osobitného predpisu.</w:t>
      </w:r>
    </w:p>
    <w:p w:rsidR="002625B2" w:rsidRPr="00AE6EDB" w:rsidRDefault="002625B2" w:rsidP="002625B2">
      <w:pPr>
        <w:ind w:firstLine="708"/>
        <w:rPr>
          <w:b/>
        </w:rPr>
      </w:pPr>
      <w:r w:rsidRPr="00AE6EDB">
        <w:t xml:space="preserve">Od 1. apríla 2015 nadobudol účinnosť bod 6 článku </w:t>
      </w:r>
      <w:r w:rsidRPr="00AE6EDB">
        <w:rPr>
          <w:b/>
        </w:rPr>
        <w:t xml:space="preserve">II zákona č. 61/2015 Z. z. o odbornom vzdelávaní a príprave </w:t>
      </w:r>
      <w:r w:rsidRPr="00AE6EDB">
        <w:t xml:space="preserve">a od 1. septembra 2015 nadobudli účinnosť body 1 až 5 článku II zákona </w:t>
      </w:r>
      <w:r w:rsidRPr="00AE6EDB">
        <w:br/>
        <w:t>č. 61/2015 Z. z. o odbornom vzdelávaní a príprave,</w:t>
      </w:r>
      <w:r w:rsidRPr="00AE6EDB">
        <w:rPr>
          <w:b/>
        </w:rPr>
        <w:t xml:space="preserve"> ktorým sa menil a dopĺňal zákon </w:t>
      </w:r>
      <w:r w:rsidR="00FE5F6A" w:rsidRPr="00AE6EDB">
        <w:rPr>
          <w:b/>
        </w:rPr>
        <w:br/>
      </w:r>
      <w:r w:rsidRPr="00AE6EDB">
        <w:rPr>
          <w:b/>
        </w:rPr>
        <w:t>č. 311/2001 Z. z. Zákonník práce v znení neskorších predpisov</w:t>
      </w:r>
      <w:r w:rsidRPr="00AE6EDB">
        <w:t>.</w:t>
      </w:r>
    </w:p>
    <w:p w:rsidR="002625B2" w:rsidRPr="00AE6EDB" w:rsidRDefault="002625B2" w:rsidP="002625B2">
      <w:pPr>
        <w:ind w:firstLine="708"/>
      </w:pPr>
      <w:r w:rsidRPr="00AE6EDB">
        <w:t xml:space="preserve">Novelou sa do § 53 doplnilo nové znenie odsekov 1 a 2 Zákonníka práce, ktorých účelom je možnosť zamestnávateľa uzatvoriť zmluvu o budúcej pracovnej zmluve so žiakom strednej odbornej školy alebo odborného učilišťa pred skončením štúdia, najskôr v deň, keď žiak dovŕši 15 rokov veku. Predmetom tejto zmluvy je záväzok zamestnávateľa, že žiak sa po úspešnom vykonaní záverečnej skúšky, maturitnej skúšky alebo absolventskej skúšky stane jeho zamestnancom. Uvedenou novelou sa rozšíril aj okruh osôb, ktoré majú dovolenku najmenej osem týždňov v kalendárnom roku o trénerov športovej školy, trénerov športovej triedy, korepetítorov a zahraničných lektorov. Doplnenie sa </w:t>
      </w:r>
      <w:r w:rsidRPr="00AE6EDB">
        <w:lastRenderedPageBreak/>
        <w:t>uskutočnilo z dôvodu, že uvedená skupina zamestnancov patrí do okruhu pedagogických zamestnancov, ktorí do tohto času už mali zvýšenú výmeru dovolenky.</w:t>
      </w:r>
    </w:p>
    <w:p w:rsidR="002625B2" w:rsidRPr="00AE6EDB" w:rsidRDefault="002625B2" w:rsidP="002625B2">
      <w:pPr>
        <w:jc w:val="left"/>
        <w:rPr>
          <w:rFonts w:ascii="Times New Roman Bold" w:hAnsi="Times New Roman Bold"/>
          <w:b/>
          <w:sz w:val="24"/>
          <w:szCs w:val="20"/>
          <w:highlight w:val="cyan"/>
          <w:lang w:eastAsia="cs-CZ"/>
        </w:rPr>
      </w:pPr>
    </w:p>
    <w:p w:rsidR="002625B2" w:rsidRPr="00AE6EDB" w:rsidRDefault="002625B2" w:rsidP="002625B2">
      <w:pPr>
        <w:pStyle w:val="Nadpis6"/>
      </w:pPr>
      <w:bookmarkStart w:id="113" w:name="_Toc422233409"/>
      <w:bookmarkStart w:id="114" w:name="_Toc452469866"/>
      <w:bookmarkEnd w:id="112"/>
      <w:r w:rsidRPr="00AE6EDB">
        <w:t>Mzdy</w:t>
      </w:r>
      <w:bookmarkEnd w:id="113"/>
      <w:bookmarkEnd w:id="114"/>
    </w:p>
    <w:p w:rsidR="002625B2" w:rsidRPr="00AE6EDB" w:rsidRDefault="002625B2" w:rsidP="002625B2">
      <w:pPr>
        <w:ind w:firstLine="567"/>
      </w:pPr>
      <w:r w:rsidRPr="00AE6EDB">
        <w:t xml:space="preserve">V roku 2015 dosiahla </w:t>
      </w:r>
      <w:r w:rsidRPr="00AE6EDB">
        <w:rPr>
          <w:b/>
        </w:rPr>
        <w:t>priemerná nominálna mesačná mzda</w:t>
      </w:r>
      <w:r w:rsidRPr="00AE6EDB">
        <w:t xml:space="preserve"> zamestnanca v hospodárstve SR</w:t>
      </w:r>
      <w:r w:rsidRPr="00AE6EDB">
        <w:rPr>
          <w:rStyle w:val="Odkaznapoznmkupodiarou"/>
        </w:rPr>
        <w:footnoteReference w:id="20"/>
      </w:r>
      <w:r w:rsidRPr="00AE6EDB">
        <w:t xml:space="preserve"> podľa údajov ŠÚ SR hodnotu </w:t>
      </w:r>
      <w:r w:rsidRPr="00AE6EDB">
        <w:rPr>
          <w:b/>
        </w:rPr>
        <w:t>883</w:t>
      </w:r>
      <w:r w:rsidR="0054295F">
        <w:rPr>
          <w:b/>
        </w:rPr>
        <w:t> eur</w:t>
      </w:r>
      <w:r w:rsidRPr="00AE6EDB">
        <w:t>, ktorá sa v porovnaní s predchádzajúcim rokom zvýšila o 25</w:t>
      </w:r>
      <w:r w:rsidR="0054295F">
        <w:t> eur</w:t>
      </w:r>
      <w:r w:rsidRPr="00AE6EDB">
        <w:t xml:space="preserve"> pri medziročnom raste o 2,9</w:t>
      </w:r>
      <w:r w:rsidR="005676EF">
        <w:t> %</w:t>
      </w:r>
      <w:r w:rsidRPr="00AE6EDB">
        <w:t xml:space="preserve">. Rast nominálnej mzdy bol o 1,2 p. b. pomalší ako v roku 2014. </w:t>
      </w:r>
      <w:r w:rsidRPr="00AE6EDB">
        <w:rPr>
          <w:b/>
        </w:rPr>
        <w:t>Priemerná reálna mesačná mzda</w:t>
      </w:r>
      <w:r w:rsidRPr="00AE6EDB">
        <w:t xml:space="preserve"> zamestnanca v hospodárstve SR v roku 2015 sa medziročne zvýšila o 3,2</w:t>
      </w:r>
      <w:r w:rsidR="005676EF">
        <w:t> %</w:t>
      </w:r>
      <w:r w:rsidRPr="00AE6EDB">
        <w:t xml:space="preserve"> (v roku 2014 o 4,2</w:t>
      </w:r>
      <w:r w:rsidR="005676EF">
        <w:t> %</w:t>
      </w:r>
      <w:r w:rsidRPr="00AE6EDB">
        <w:t xml:space="preserve">). </w:t>
      </w:r>
    </w:p>
    <w:p w:rsidR="002625B2" w:rsidRPr="00AE6EDB" w:rsidRDefault="002625B2" w:rsidP="002625B2">
      <w:pPr>
        <w:pStyle w:val="Nadpis7"/>
      </w:pPr>
      <w:r w:rsidRPr="00AE6EDB">
        <w:t>Graf 2.1</w:t>
      </w:r>
      <w:r w:rsidR="00C33FCB" w:rsidRPr="00AE6EDB">
        <w:t>7</w:t>
      </w:r>
      <w:r w:rsidRPr="00AE6EDB">
        <w:t xml:space="preserve"> Vývoj priemernej mesačnej mzdy od roku 2000 (v</w:t>
      </w:r>
      <w:r w:rsidR="005676EF">
        <w:t> %</w:t>
      </w:r>
      <w:r w:rsidRPr="00AE6EDB">
        <w:t>)</w:t>
      </w:r>
    </w:p>
    <w:p w:rsidR="002625B2" w:rsidRPr="00AE6EDB" w:rsidRDefault="002625B2" w:rsidP="002625B2">
      <w:pPr>
        <w:pStyle w:val="zdroj"/>
        <w:ind w:firstLine="0"/>
        <w:jc w:val="center"/>
      </w:pPr>
      <w:r w:rsidRPr="00AE6EDB">
        <w:rPr>
          <w:noProof/>
        </w:rPr>
        <w:drawing>
          <wp:inline distT="0" distB="0" distL="0" distR="0" wp14:anchorId="0EC4B3B4" wp14:editId="2B2EB5BE">
            <wp:extent cx="5760720" cy="2901912"/>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25B2" w:rsidRPr="00AE6EDB" w:rsidRDefault="002625B2" w:rsidP="002625B2">
      <w:pPr>
        <w:pStyle w:val="zdroj"/>
        <w:ind w:left="567" w:firstLine="0"/>
        <w:jc w:val="left"/>
      </w:pPr>
      <w:r w:rsidRPr="00AE6EDB">
        <w:t>Zdroj: ŠÚ SR</w:t>
      </w:r>
    </w:p>
    <w:p w:rsidR="002625B2" w:rsidRPr="00AE6EDB" w:rsidRDefault="002625B2" w:rsidP="002625B2">
      <w:r w:rsidRPr="00AE6EDB">
        <w:rPr>
          <w:color w:val="FF0000"/>
        </w:rPr>
        <w:tab/>
      </w:r>
      <w:r w:rsidRPr="00AE6EDB">
        <w:t>Rovnako ako v predchádzajúcich rokoch, aj v roku 2015 v mzdovom vývoji pretrvávali výrazné regionálne rozdiely, keď sa</w:t>
      </w:r>
      <w:r w:rsidRPr="00AE6EDB">
        <w:rPr>
          <w:b/>
          <w:i/>
        </w:rPr>
        <w:t xml:space="preserve"> v jednotlivých krajoch</w:t>
      </w:r>
      <w:r w:rsidRPr="00AE6EDB">
        <w:t xml:space="preserve"> priemerná nominálna mesačná mzda pohybovala v rozpätí od 683</w:t>
      </w:r>
      <w:r w:rsidR="0054295F">
        <w:t> eur</w:t>
      </w:r>
      <w:r w:rsidRPr="00AE6EDB">
        <w:t xml:space="preserve"> (Prešovský kraj) do </w:t>
      </w:r>
      <w:r w:rsidR="0054295F">
        <w:t>1 1</w:t>
      </w:r>
      <w:r w:rsidRPr="00AE6EDB">
        <w:t>22</w:t>
      </w:r>
      <w:r w:rsidR="0054295F">
        <w:t> eur</w:t>
      </w:r>
      <w:r w:rsidRPr="00AE6EDB">
        <w:t xml:space="preserve"> (Bratislavský kraj) s rozdielom 439</w:t>
      </w:r>
      <w:r w:rsidR="0054295F">
        <w:t> eur</w:t>
      </w:r>
      <w:r w:rsidRPr="00AE6EDB">
        <w:t>. V</w:t>
      </w:r>
      <w:r w:rsidR="00FE5F6A" w:rsidRPr="00AE6EDB">
        <w:t> </w:t>
      </w:r>
      <w:r w:rsidRPr="00AE6EDB">
        <w:t>Prešovskom kraji dosahovala priemerná nominálna mesačná mzda 60,9</w:t>
      </w:r>
      <w:r w:rsidR="005676EF">
        <w:t> %</w:t>
      </w:r>
      <w:r w:rsidRPr="00AE6EDB">
        <w:t xml:space="preserve"> (59,4</w:t>
      </w:r>
      <w:r w:rsidR="005676EF">
        <w:t> %</w:t>
      </w:r>
      <w:r w:rsidRPr="00AE6EDB">
        <w:t xml:space="preserve"> v roku 2014) priemernej nominálnej mzdy Bratislavského kraja. Vyššia ako v priemere za celé hospodárstvo SR bola priemerná nominálna mesačná mzda len v Bratislavskom kraji, v ostatných krajoch bola pod priemerom SR. </w:t>
      </w:r>
    </w:p>
    <w:p w:rsidR="002625B2" w:rsidRPr="00AE6EDB" w:rsidRDefault="002625B2" w:rsidP="002625B2">
      <w:pPr>
        <w:tabs>
          <w:tab w:val="left" w:pos="-284"/>
          <w:tab w:val="left" w:pos="567"/>
        </w:tabs>
      </w:pPr>
      <w:r w:rsidRPr="00AE6EDB">
        <w:t>Vo všetkých krajoch úroveň priemernej nominálnej mzdy zamestnancov presiahla úroveň roku 2014.</w:t>
      </w:r>
      <w:r w:rsidR="008466E5" w:rsidRPr="00AE6EDB">
        <w:t xml:space="preserve"> (Príloha ku kapitole 2, tabuľka 6)</w:t>
      </w:r>
      <w:r w:rsidRPr="00AE6EDB">
        <w:t xml:space="preserve"> </w:t>
      </w:r>
    </w:p>
    <w:p w:rsidR="00FE5F6A" w:rsidRPr="00AE6EDB" w:rsidRDefault="00FE5F6A">
      <w:pPr>
        <w:jc w:val="left"/>
        <w:rPr>
          <w:b/>
          <w:highlight w:val="cyan"/>
        </w:rPr>
      </w:pPr>
      <w:r w:rsidRPr="00AE6EDB">
        <w:rPr>
          <w:highlight w:val="cyan"/>
        </w:rPr>
        <w:br w:type="page"/>
      </w:r>
    </w:p>
    <w:p w:rsidR="002625B2" w:rsidRPr="00AE6EDB" w:rsidRDefault="002625B2" w:rsidP="002625B2">
      <w:pPr>
        <w:pStyle w:val="Nadpis7"/>
        <w:spacing w:before="0" w:after="0"/>
      </w:pPr>
      <w:r w:rsidRPr="00AE6EDB">
        <w:lastRenderedPageBreak/>
        <w:t>Graf 2.</w:t>
      </w:r>
      <w:r w:rsidR="004A57BA" w:rsidRPr="00AE6EDB">
        <w:t>1</w:t>
      </w:r>
      <w:r w:rsidR="00C33FCB" w:rsidRPr="00AE6EDB">
        <w:t>8</w:t>
      </w:r>
      <w:r w:rsidRPr="00AE6EDB">
        <w:t xml:space="preserve"> Rast priemernej nominálnej mesačnej mzdy v rokoch 2014 a 2015 podľa krajov (v</w:t>
      </w:r>
      <w:r w:rsidR="005676EF">
        <w:t> %</w:t>
      </w:r>
      <w:r w:rsidRPr="00AE6EDB">
        <w:t>)</w:t>
      </w:r>
    </w:p>
    <w:p w:rsidR="002625B2" w:rsidRPr="00AE6EDB" w:rsidRDefault="002625B2" w:rsidP="002625B2"/>
    <w:p w:rsidR="002625B2" w:rsidRPr="00AE6EDB" w:rsidRDefault="002625B2" w:rsidP="00237087">
      <w:r w:rsidRPr="00AE6EDB">
        <w:rPr>
          <w:noProof/>
        </w:rPr>
        <w:drawing>
          <wp:inline distT="0" distB="0" distL="0" distR="0" wp14:anchorId="39FEFA16" wp14:editId="05CD0373">
            <wp:extent cx="5448300" cy="356235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25B2" w:rsidRPr="00AE6EDB" w:rsidRDefault="002625B2" w:rsidP="002625B2">
      <w:pPr>
        <w:pStyle w:val="zdroj"/>
        <w:spacing w:before="0"/>
        <w:ind w:firstLine="570"/>
      </w:pPr>
      <w:r w:rsidRPr="00AE6EDB">
        <w:t>Zdroj: ŠÚ SR</w:t>
      </w:r>
    </w:p>
    <w:p w:rsidR="002625B2" w:rsidRPr="00AE6EDB" w:rsidRDefault="002625B2" w:rsidP="002625B2">
      <w:pPr>
        <w:ind w:firstLine="567"/>
      </w:pPr>
      <w:r w:rsidRPr="00AE6EDB">
        <w:rPr>
          <w:b/>
        </w:rPr>
        <w:t>Podľa odvetví</w:t>
      </w:r>
      <w:r w:rsidRPr="00AE6EDB">
        <w:t xml:space="preserve"> najvyššiu priemernú nominálnu mesačnú mzdu mali zamestnanci v informáciách a komunikáciách (</w:t>
      </w:r>
      <w:r w:rsidR="0054295F">
        <w:t>1 7</w:t>
      </w:r>
      <w:r w:rsidRPr="00AE6EDB">
        <w:t>51</w:t>
      </w:r>
      <w:r w:rsidR="0054295F">
        <w:t> eur</w:t>
      </w:r>
      <w:r w:rsidRPr="00AE6EDB">
        <w:t>) a finančných a poisťovacích činnostiach (</w:t>
      </w:r>
      <w:r w:rsidR="0054295F">
        <w:t>1 6</w:t>
      </w:r>
      <w:r w:rsidRPr="00AE6EDB">
        <w:t>86</w:t>
      </w:r>
      <w:r w:rsidR="0054295F">
        <w:t> eur</w:t>
      </w:r>
      <w:r w:rsidRPr="00AE6EDB">
        <w:t>). Vyššia nominálna mesačná mzda ako celoslovenský priemer bola aj vo verejnej správe a obrane, povinnom sociálnom zabezpečení; odborných vedeckých, a technických činnostiach; v</w:t>
      </w:r>
      <w:r w:rsidR="00FE5F6A" w:rsidRPr="00AE6EDB">
        <w:t> </w:t>
      </w:r>
      <w:r w:rsidRPr="00AE6EDB">
        <w:t>priemysle</w:t>
      </w:r>
      <w:r w:rsidR="00FE5F6A" w:rsidRPr="00AE6EDB">
        <w:t xml:space="preserve"> a</w:t>
      </w:r>
      <w:r w:rsidRPr="00AE6EDB">
        <w:t xml:space="preserve"> v činnostiach v oblasti nehnuteľností. Najnižšiu priemernú nominálnu mesačnú mzdu mali zamestnanci v ubytovacích a stravovacích službách (533</w:t>
      </w:r>
      <w:r w:rsidR="0054295F">
        <w:t> eur</w:t>
      </w:r>
      <w:r w:rsidRPr="00AE6EDB">
        <w:t xml:space="preserve">). Rozdiel medzi najlepšie a najhoršie plateným odvetvím sa v porovnaní s predchádzajúcim rokom prehĺbil, keď tvoril </w:t>
      </w:r>
      <w:r w:rsidR="0054295F">
        <w:t>1 2</w:t>
      </w:r>
      <w:r w:rsidRPr="00AE6EDB">
        <w:t>18</w:t>
      </w:r>
      <w:r w:rsidR="0054295F">
        <w:t> eur</w:t>
      </w:r>
      <w:r w:rsidRPr="00AE6EDB">
        <w:t xml:space="preserve"> (v roku 2014 to bolo </w:t>
      </w:r>
      <w:r w:rsidR="0054295F">
        <w:t>1 1</w:t>
      </w:r>
      <w:r w:rsidRPr="00AE6EDB">
        <w:t>49</w:t>
      </w:r>
      <w:r w:rsidR="0054295F">
        <w:t> eur</w:t>
      </w:r>
      <w:r w:rsidRPr="00AE6EDB">
        <w:t>).</w:t>
      </w:r>
    </w:p>
    <w:p w:rsidR="002625B2" w:rsidRPr="00AE6EDB" w:rsidRDefault="002625B2" w:rsidP="002625B2">
      <w:r w:rsidRPr="00AE6EDB">
        <w:tab/>
        <w:t>V porovnaní s rokom 2014 vzrástla priemerná nominálna mesačná mzda v prevažujúcej časti odvetví, z nich najvyšší relatívny prírastok zaznamenali činnosti v oblasti nehnuteľností, informácie a komunikácie a stavebníctvo. Priemerná nominálna mesačná mzda medziročne klesla v troch odvetviach, a to v poľnohospodárstve, lesníctve a rybolove; administratívnych a podporných službách a odborných, vedeckých a technických činnostiach.</w:t>
      </w:r>
    </w:p>
    <w:p w:rsidR="008100CC" w:rsidRDefault="008100CC">
      <w:pPr>
        <w:jc w:val="left"/>
        <w:rPr>
          <w:b/>
        </w:rPr>
      </w:pPr>
      <w:r>
        <w:br w:type="page"/>
      </w:r>
    </w:p>
    <w:p w:rsidR="002625B2" w:rsidRPr="00AE6EDB" w:rsidRDefault="002625B2" w:rsidP="002625B2">
      <w:pPr>
        <w:pStyle w:val="Nadpis7"/>
      </w:pPr>
      <w:r w:rsidRPr="00AE6EDB">
        <w:lastRenderedPageBreak/>
        <w:t>Tabuľka 2.18 Priemerná mesačná nominálna mzda a jej rast v rokoch 201</w:t>
      </w:r>
      <w:r w:rsidR="001451D7" w:rsidRPr="00AE6EDB">
        <w:t>4</w:t>
      </w:r>
      <w:r w:rsidRPr="00AE6EDB">
        <w:t xml:space="preserve"> a 201</w:t>
      </w:r>
      <w:r w:rsidR="001451D7" w:rsidRPr="00AE6EDB">
        <w:t>5</w:t>
      </w:r>
      <w:r w:rsidRPr="00AE6EDB">
        <w:t xml:space="preserve"> </w:t>
      </w:r>
      <w:r w:rsidRPr="00AE6EDB">
        <w:br/>
        <w:t xml:space="preserve">podľa odvetví </w:t>
      </w:r>
    </w:p>
    <w:tbl>
      <w:tblPr>
        <w:tblW w:w="9080" w:type="dxa"/>
        <w:jc w:val="center"/>
        <w:tblCellMar>
          <w:left w:w="70" w:type="dxa"/>
          <w:right w:w="70" w:type="dxa"/>
        </w:tblCellMar>
        <w:tblLook w:val="04A0" w:firstRow="1" w:lastRow="0" w:firstColumn="1" w:lastColumn="0" w:noHBand="0" w:noVBand="1"/>
      </w:tblPr>
      <w:tblGrid>
        <w:gridCol w:w="4120"/>
        <w:gridCol w:w="1360"/>
        <w:gridCol w:w="1180"/>
        <w:gridCol w:w="1220"/>
        <w:gridCol w:w="1200"/>
      </w:tblGrid>
      <w:tr w:rsidR="002625B2" w:rsidRPr="00AE6EDB" w:rsidTr="002625B2">
        <w:trPr>
          <w:trHeight w:val="300"/>
          <w:jc w:val="center"/>
        </w:trPr>
        <w:tc>
          <w:tcPr>
            <w:tcW w:w="4120" w:type="dxa"/>
            <w:vMerge w:val="restart"/>
            <w:tcBorders>
              <w:top w:val="single" w:sz="4" w:space="0" w:color="C00000"/>
              <w:left w:val="single" w:sz="4" w:space="0" w:color="C00000"/>
              <w:bottom w:val="single" w:sz="4" w:space="0" w:color="C00000"/>
              <w:right w:val="nil"/>
            </w:tcBorders>
            <w:shd w:val="clear" w:color="000000" w:fill="C00000"/>
            <w:noWrap/>
            <w:vAlign w:val="center"/>
            <w:hideMark/>
          </w:tcPr>
          <w:p w:rsidR="002625B2" w:rsidRPr="00AE6EDB" w:rsidRDefault="002625B2" w:rsidP="002625B2">
            <w:pPr>
              <w:jc w:val="left"/>
              <w:rPr>
                <w:b/>
                <w:bCs/>
                <w:color w:val="FFFFFF"/>
                <w:szCs w:val="22"/>
              </w:rPr>
            </w:pPr>
            <w:r w:rsidRPr="00AE6EDB">
              <w:rPr>
                <w:b/>
                <w:bCs/>
                <w:color w:val="FFFFFF"/>
                <w:szCs w:val="22"/>
              </w:rPr>
              <w:t>Ekonomické činnosti (SK NACE rev. 2)</w:t>
            </w:r>
          </w:p>
        </w:tc>
        <w:tc>
          <w:tcPr>
            <w:tcW w:w="2540" w:type="dxa"/>
            <w:gridSpan w:val="2"/>
            <w:tcBorders>
              <w:top w:val="single" w:sz="4" w:space="0" w:color="C00000"/>
              <w:left w:val="nil"/>
              <w:bottom w:val="single" w:sz="4" w:space="0" w:color="C00000"/>
              <w:right w:val="nil"/>
            </w:tcBorders>
            <w:shd w:val="clear" w:color="000000" w:fill="C00000"/>
            <w:noWrap/>
            <w:vAlign w:val="bottom"/>
            <w:hideMark/>
          </w:tcPr>
          <w:p w:rsidR="002625B2" w:rsidRPr="00AE6EDB" w:rsidRDefault="002625B2" w:rsidP="002625B2">
            <w:pPr>
              <w:jc w:val="center"/>
              <w:rPr>
                <w:b/>
                <w:bCs/>
                <w:color w:val="FFFFFF"/>
                <w:szCs w:val="22"/>
              </w:rPr>
            </w:pPr>
            <w:r w:rsidRPr="00AE6EDB">
              <w:rPr>
                <w:b/>
                <w:bCs/>
                <w:color w:val="FFFFFF"/>
                <w:szCs w:val="22"/>
              </w:rPr>
              <w:t>2014</w:t>
            </w:r>
          </w:p>
        </w:tc>
        <w:tc>
          <w:tcPr>
            <w:tcW w:w="2420" w:type="dxa"/>
            <w:gridSpan w:val="2"/>
            <w:tcBorders>
              <w:top w:val="single" w:sz="4" w:space="0" w:color="C00000"/>
              <w:left w:val="nil"/>
              <w:bottom w:val="single" w:sz="4" w:space="0" w:color="C00000"/>
              <w:right w:val="single" w:sz="4" w:space="0" w:color="C00000"/>
            </w:tcBorders>
            <w:shd w:val="clear" w:color="000000" w:fill="C00000"/>
            <w:noWrap/>
            <w:vAlign w:val="bottom"/>
            <w:hideMark/>
          </w:tcPr>
          <w:p w:rsidR="002625B2" w:rsidRPr="00AE6EDB" w:rsidRDefault="002625B2" w:rsidP="002625B2">
            <w:pPr>
              <w:jc w:val="center"/>
              <w:rPr>
                <w:b/>
                <w:bCs/>
                <w:color w:val="FFFFFF"/>
                <w:szCs w:val="22"/>
              </w:rPr>
            </w:pPr>
            <w:r w:rsidRPr="00AE6EDB">
              <w:rPr>
                <w:b/>
                <w:bCs/>
                <w:color w:val="FFFFFF"/>
                <w:szCs w:val="22"/>
              </w:rPr>
              <w:t>2015</w:t>
            </w:r>
          </w:p>
        </w:tc>
      </w:tr>
      <w:tr w:rsidR="002625B2" w:rsidRPr="00AE6EDB" w:rsidTr="002625B2">
        <w:trPr>
          <w:trHeight w:val="570"/>
          <w:jc w:val="center"/>
        </w:trPr>
        <w:tc>
          <w:tcPr>
            <w:tcW w:w="4120" w:type="dxa"/>
            <w:vMerge/>
            <w:tcBorders>
              <w:top w:val="single" w:sz="4" w:space="0" w:color="C00000"/>
              <w:left w:val="single" w:sz="4" w:space="0" w:color="C00000"/>
              <w:bottom w:val="single" w:sz="4" w:space="0" w:color="C00000"/>
              <w:right w:val="nil"/>
            </w:tcBorders>
            <w:vAlign w:val="center"/>
            <w:hideMark/>
          </w:tcPr>
          <w:p w:rsidR="002625B2" w:rsidRPr="00AE6EDB" w:rsidRDefault="002625B2" w:rsidP="002625B2">
            <w:pPr>
              <w:jc w:val="left"/>
              <w:rPr>
                <w:b/>
                <w:bCs/>
                <w:color w:val="FFFFFF"/>
                <w:szCs w:val="22"/>
              </w:rPr>
            </w:pPr>
          </w:p>
        </w:tc>
        <w:tc>
          <w:tcPr>
            <w:tcW w:w="1360" w:type="dxa"/>
            <w:tcBorders>
              <w:top w:val="nil"/>
              <w:left w:val="nil"/>
              <w:bottom w:val="single" w:sz="4" w:space="0" w:color="C00000"/>
              <w:right w:val="nil"/>
            </w:tcBorders>
            <w:shd w:val="clear" w:color="000000" w:fill="C00000"/>
            <w:vAlign w:val="center"/>
            <w:hideMark/>
          </w:tcPr>
          <w:p w:rsidR="002625B2" w:rsidRPr="00AE6EDB" w:rsidRDefault="002625B2" w:rsidP="002625B2">
            <w:pPr>
              <w:jc w:val="center"/>
              <w:rPr>
                <w:b/>
                <w:bCs/>
                <w:color w:val="FFFFFF"/>
                <w:szCs w:val="22"/>
              </w:rPr>
            </w:pPr>
            <w:r w:rsidRPr="00AE6EDB">
              <w:rPr>
                <w:b/>
                <w:bCs/>
                <w:color w:val="FFFFFF"/>
                <w:szCs w:val="22"/>
              </w:rPr>
              <w:t>priemerná výška v €</w:t>
            </w:r>
          </w:p>
        </w:tc>
        <w:tc>
          <w:tcPr>
            <w:tcW w:w="1180" w:type="dxa"/>
            <w:tcBorders>
              <w:top w:val="nil"/>
              <w:left w:val="nil"/>
              <w:bottom w:val="single" w:sz="4" w:space="0" w:color="C00000"/>
              <w:right w:val="nil"/>
            </w:tcBorders>
            <w:shd w:val="clear" w:color="000000" w:fill="C00000"/>
            <w:vAlign w:val="center"/>
            <w:hideMark/>
          </w:tcPr>
          <w:p w:rsidR="002625B2" w:rsidRPr="00AE6EDB" w:rsidRDefault="002625B2" w:rsidP="002625B2">
            <w:pPr>
              <w:jc w:val="center"/>
              <w:rPr>
                <w:b/>
                <w:bCs/>
                <w:color w:val="FFFFFF"/>
                <w:szCs w:val="22"/>
              </w:rPr>
            </w:pPr>
            <w:r w:rsidRPr="00AE6EDB">
              <w:rPr>
                <w:b/>
                <w:bCs/>
                <w:color w:val="FFFFFF"/>
                <w:szCs w:val="22"/>
              </w:rPr>
              <w:t>index 2014/2013</w:t>
            </w:r>
          </w:p>
        </w:tc>
        <w:tc>
          <w:tcPr>
            <w:tcW w:w="1220" w:type="dxa"/>
            <w:tcBorders>
              <w:top w:val="nil"/>
              <w:left w:val="nil"/>
              <w:bottom w:val="single" w:sz="4" w:space="0" w:color="C00000"/>
              <w:right w:val="nil"/>
            </w:tcBorders>
            <w:shd w:val="clear" w:color="000000" w:fill="C00000"/>
            <w:vAlign w:val="center"/>
            <w:hideMark/>
          </w:tcPr>
          <w:p w:rsidR="002625B2" w:rsidRPr="00AE6EDB" w:rsidRDefault="002625B2" w:rsidP="002625B2">
            <w:pPr>
              <w:jc w:val="center"/>
              <w:rPr>
                <w:b/>
                <w:bCs/>
                <w:color w:val="FFFFFF"/>
                <w:szCs w:val="22"/>
              </w:rPr>
            </w:pPr>
            <w:r w:rsidRPr="00AE6EDB">
              <w:rPr>
                <w:b/>
                <w:bCs/>
                <w:color w:val="FFFFFF"/>
                <w:szCs w:val="22"/>
              </w:rPr>
              <w:t>priemerná výška v €</w:t>
            </w:r>
          </w:p>
        </w:tc>
        <w:tc>
          <w:tcPr>
            <w:tcW w:w="1200" w:type="dxa"/>
            <w:tcBorders>
              <w:top w:val="nil"/>
              <w:left w:val="nil"/>
              <w:bottom w:val="single" w:sz="4" w:space="0" w:color="C00000"/>
              <w:right w:val="single" w:sz="4" w:space="0" w:color="C00000"/>
            </w:tcBorders>
            <w:shd w:val="clear" w:color="000000" w:fill="C00000"/>
            <w:vAlign w:val="center"/>
            <w:hideMark/>
          </w:tcPr>
          <w:p w:rsidR="002625B2" w:rsidRPr="00AE6EDB" w:rsidRDefault="002625B2" w:rsidP="002625B2">
            <w:pPr>
              <w:jc w:val="center"/>
              <w:rPr>
                <w:b/>
                <w:bCs/>
                <w:color w:val="FFFFFF"/>
                <w:szCs w:val="22"/>
              </w:rPr>
            </w:pPr>
            <w:r w:rsidRPr="00AE6EDB">
              <w:rPr>
                <w:b/>
                <w:bCs/>
                <w:color w:val="FFFFFF"/>
                <w:szCs w:val="22"/>
              </w:rPr>
              <w:t>index 2015/2014</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A Poľnohospodárstvo, lesníctvo a rybolov</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686</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107,2</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670</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97,7</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B,C,D,E Priemysel spolu</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936</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105,4</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965</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103,2</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B Ťažba a dobývanie</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992</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106,3</w:t>
            </w:r>
          </w:p>
        </w:tc>
        <w:tc>
          <w:tcPr>
            <w:tcW w:w="1220" w:type="dxa"/>
            <w:tcBorders>
              <w:top w:val="nil"/>
              <w:left w:val="nil"/>
              <w:bottom w:val="single" w:sz="4" w:space="0" w:color="C00000"/>
              <w:right w:val="nil"/>
            </w:tcBorders>
            <w:shd w:val="clear" w:color="auto" w:fill="auto"/>
            <w:noWrap/>
            <w:vAlign w:val="bottom"/>
          </w:tcPr>
          <w:p w:rsidR="002625B2" w:rsidRPr="00AE6EDB" w:rsidRDefault="0054295F" w:rsidP="002625B2">
            <w:pPr>
              <w:jc w:val="right"/>
              <w:rPr>
                <w:color w:val="000000"/>
                <w:szCs w:val="22"/>
              </w:rPr>
            </w:pPr>
            <w:r>
              <w:rPr>
                <w:color w:val="000000"/>
                <w:szCs w:val="22"/>
              </w:rPr>
              <w:t>1 0</w:t>
            </w:r>
            <w:r w:rsidR="002625B2" w:rsidRPr="00AE6EDB">
              <w:rPr>
                <w:color w:val="000000"/>
                <w:szCs w:val="22"/>
              </w:rPr>
              <w:t>41</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104,9</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C Priemyselná výroba</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915</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105,7</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945</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103,4</w:t>
            </w:r>
          </w:p>
        </w:tc>
      </w:tr>
      <w:tr w:rsidR="002625B2" w:rsidRPr="00AE6EDB" w:rsidTr="002625B2">
        <w:trPr>
          <w:trHeight w:val="600"/>
          <w:jc w:val="center"/>
        </w:trPr>
        <w:tc>
          <w:tcPr>
            <w:tcW w:w="4120" w:type="dxa"/>
            <w:tcBorders>
              <w:top w:val="nil"/>
              <w:left w:val="single" w:sz="4" w:space="0" w:color="C00000"/>
              <w:bottom w:val="single" w:sz="4" w:space="0" w:color="C00000"/>
              <w:right w:val="nil"/>
            </w:tcBorders>
            <w:shd w:val="clear" w:color="auto" w:fill="auto"/>
            <w:vAlign w:val="center"/>
            <w:hideMark/>
          </w:tcPr>
          <w:p w:rsidR="002625B2" w:rsidRPr="00AE6EDB" w:rsidRDefault="002625B2" w:rsidP="002625B2">
            <w:pPr>
              <w:jc w:val="left"/>
              <w:rPr>
                <w:color w:val="000000"/>
                <w:szCs w:val="22"/>
              </w:rPr>
            </w:pPr>
            <w:r w:rsidRPr="00AE6EDB">
              <w:rPr>
                <w:color w:val="000000"/>
                <w:szCs w:val="22"/>
              </w:rPr>
              <w:t>D Dodávka elektriny, plynu, pary a studeného vzduchu</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54295F" w:rsidP="002625B2">
            <w:pPr>
              <w:jc w:val="right"/>
              <w:rPr>
                <w:color w:val="000000"/>
                <w:szCs w:val="22"/>
              </w:rPr>
            </w:pPr>
            <w:r>
              <w:rPr>
                <w:color w:val="000000"/>
                <w:szCs w:val="22"/>
              </w:rPr>
              <w:t>1 5</w:t>
            </w:r>
            <w:r w:rsidR="002625B2" w:rsidRPr="00AE6EDB">
              <w:rPr>
                <w:color w:val="000000"/>
                <w:szCs w:val="22"/>
              </w:rPr>
              <w:t>21</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103,8</w:t>
            </w:r>
          </w:p>
        </w:tc>
        <w:tc>
          <w:tcPr>
            <w:tcW w:w="1220" w:type="dxa"/>
            <w:tcBorders>
              <w:top w:val="nil"/>
              <w:left w:val="nil"/>
              <w:bottom w:val="single" w:sz="4" w:space="0" w:color="C00000"/>
              <w:right w:val="nil"/>
            </w:tcBorders>
            <w:shd w:val="clear" w:color="auto" w:fill="auto"/>
            <w:noWrap/>
            <w:vAlign w:val="bottom"/>
          </w:tcPr>
          <w:p w:rsidR="002625B2" w:rsidRPr="00AE6EDB" w:rsidRDefault="0054295F" w:rsidP="002625B2">
            <w:pPr>
              <w:jc w:val="right"/>
              <w:rPr>
                <w:color w:val="000000"/>
                <w:szCs w:val="22"/>
              </w:rPr>
            </w:pPr>
            <w:r>
              <w:rPr>
                <w:color w:val="000000"/>
                <w:szCs w:val="22"/>
              </w:rPr>
              <w:t>1 5</w:t>
            </w:r>
            <w:r w:rsidR="002625B2" w:rsidRPr="00AE6EDB">
              <w:rPr>
                <w:color w:val="000000"/>
                <w:szCs w:val="22"/>
              </w:rPr>
              <w:t>31</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100,7</w:t>
            </w:r>
          </w:p>
        </w:tc>
      </w:tr>
      <w:tr w:rsidR="002625B2" w:rsidRPr="00AE6EDB" w:rsidTr="002625B2">
        <w:trPr>
          <w:trHeight w:val="600"/>
          <w:jc w:val="center"/>
        </w:trPr>
        <w:tc>
          <w:tcPr>
            <w:tcW w:w="4120" w:type="dxa"/>
            <w:tcBorders>
              <w:top w:val="nil"/>
              <w:left w:val="single" w:sz="4" w:space="0" w:color="C00000"/>
              <w:bottom w:val="single" w:sz="4" w:space="0" w:color="C00000"/>
              <w:right w:val="nil"/>
            </w:tcBorders>
            <w:shd w:val="clear" w:color="auto" w:fill="auto"/>
            <w:vAlign w:val="center"/>
            <w:hideMark/>
          </w:tcPr>
          <w:p w:rsidR="002625B2" w:rsidRPr="00AE6EDB" w:rsidRDefault="002625B2" w:rsidP="002625B2">
            <w:pPr>
              <w:jc w:val="left"/>
              <w:rPr>
                <w:color w:val="000000"/>
                <w:szCs w:val="22"/>
              </w:rPr>
            </w:pPr>
            <w:r w:rsidRPr="00AE6EDB">
              <w:rPr>
                <w:color w:val="000000"/>
                <w:szCs w:val="22"/>
              </w:rPr>
              <w:t>E Dodávka vody, čistenie a odvod odpadových vôd, odpady a služby odstraňovania odpadov</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866</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99,0</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893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103,1</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F Stavebníctvo</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600</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98,8</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632</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105,2</w:t>
            </w:r>
          </w:p>
        </w:tc>
      </w:tr>
      <w:tr w:rsidR="002625B2" w:rsidRPr="00AE6EDB" w:rsidTr="002625B2">
        <w:trPr>
          <w:trHeight w:val="615"/>
          <w:jc w:val="center"/>
        </w:trPr>
        <w:tc>
          <w:tcPr>
            <w:tcW w:w="4120" w:type="dxa"/>
            <w:tcBorders>
              <w:top w:val="nil"/>
              <w:left w:val="single" w:sz="4" w:space="0" w:color="C00000"/>
              <w:bottom w:val="single" w:sz="4" w:space="0" w:color="C00000"/>
              <w:right w:val="nil"/>
            </w:tcBorders>
            <w:shd w:val="clear" w:color="auto" w:fill="auto"/>
            <w:vAlign w:val="center"/>
            <w:hideMark/>
          </w:tcPr>
          <w:p w:rsidR="002625B2" w:rsidRPr="00AE6EDB" w:rsidRDefault="002625B2" w:rsidP="002625B2">
            <w:pPr>
              <w:jc w:val="left"/>
              <w:rPr>
                <w:color w:val="000000"/>
                <w:szCs w:val="22"/>
              </w:rPr>
            </w:pPr>
            <w:r w:rsidRPr="00AE6EDB">
              <w:rPr>
                <w:color w:val="000000"/>
                <w:szCs w:val="22"/>
              </w:rPr>
              <w:t>G Veľkoobchod a maloobchod; oprava motorových vozidiel a motocyklov</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799</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104,0</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814</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101,9</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H Doprava a skladovanie</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822</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102,4</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863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105,0</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I Ubytovacie a stravovacie služby</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511</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99,6</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533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104,3</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J Informácie a komunikácia</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54295F" w:rsidP="002625B2">
            <w:pPr>
              <w:jc w:val="right"/>
              <w:rPr>
                <w:color w:val="000000"/>
                <w:szCs w:val="22"/>
              </w:rPr>
            </w:pPr>
            <w:r>
              <w:rPr>
                <w:color w:val="000000"/>
                <w:szCs w:val="22"/>
              </w:rPr>
              <w:t>1 6</w:t>
            </w:r>
            <w:r w:rsidR="002625B2" w:rsidRPr="00AE6EDB">
              <w:rPr>
                <w:color w:val="000000"/>
                <w:szCs w:val="22"/>
              </w:rPr>
              <w:t>60</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101,6</w:t>
            </w:r>
          </w:p>
        </w:tc>
        <w:tc>
          <w:tcPr>
            <w:tcW w:w="1220" w:type="dxa"/>
            <w:tcBorders>
              <w:top w:val="nil"/>
              <w:left w:val="nil"/>
              <w:bottom w:val="single" w:sz="4" w:space="0" w:color="C00000"/>
              <w:right w:val="nil"/>
            </w:tcBorders>
            <w:shd w:val="clear" w:color="auto" w:fill="auto"/>
            <w:noWrap/>
            <w:vAlign w:val="bottom"/>
          </w:tcPr>
          <w:p w:rsidR="002625B2" w:rsidRPr="00AE6EDB" w:rsidRDefault="0054295F" w:rsidP="002625B2">
            <w:pPr>
              <w:jc w:val="right"/>
              <w:rPr>
                <w:color w:val="000000"/>
                <w:szCs w:val="22"/>
              </w:rPr>
            </w:pPr>
            <w:r>
              <w:rPr>
                <w:color w:val="000000"/>
                <w:szCs w:val="22"/>
              </w:rPr>
              <w:t>1 7</w:t>
            </w:r>
            <w:r w:rsidR="002625B2" w:rsidRPr="00AE6EDB">
              <w:rPr>
                <w:color w:val="000000"/>
                <w:szCs w:val="22"/>
              </w:rPr>
              <w:t>51</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105,5</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K Finančné a poisťovacie činnosti</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54295F" w:rsidP="002625B2">
            <w:pPr>
              <w:jc w:val="right"/>
              <w:rPr>
                <w:color w:val="000000"/>
                <w:szCs w:val="22"/>
              </w:rPr>
            </w:pPr>
            <w:r>
              <w:rPr>
                <w:color w:val="000000"/>
                <w:szCs w:val="22"/>
              </w:rPr>
              <w:t>1 6</w:t>
            </w:r>
            <w:r w:rsidR="002625B2" w:rsidRPr="00AE6EDB">
              <w:rPr>
                <w:color w:val="000000"/>
                <w:szCs w:val="22"/>
              </w:rPr>
              <w:t>57</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108,2</w:t>
            </w:r>
          </w:p>
        </w:tc>
        <w:tc>
          <w:tcPr>
            <w:tcW w:w="1220" w:type="dxa"/>
            <w:tcBorders>
              <w:top w:val="nil"/>
              <w:left w:val="nil"/>
              <w:bottom w:val="single" w:sz="4" w:space="0" w:color="C00000"/>
              <w:right w:val="nil"/>
            </w:tcBorders>
            <w:shd w:val="clear" w:color="auto" w:fill="auto"/>
            <w:noWrap/>
            <w:vAlign w:val="bottom"/>
          </w:tcPr>
          <w:p w:rsidR="002625B2" w:rsidRPr="00AE6EDB" w:rsidRDefault="0054295F" w:rsidP="002625B2">
            <w:pPr>
              <w:jc w:val="right"/>
              <w:rPr>
                <w:color w:val="000000"/>
                <w:szCs w:val="22"/>
              </w:rPr>
            </w:pPr>
            <w:r>
              <w:rPr>
                <w:color w:val="000000"/>
                <w:szCs w:val="22"/>
              </w:rPr>
              <w:t>1 6</w:t>
            </w:r>
            <w:r w:rsidR="002625B2" w:rsidRPr="00AE6EDB">
              <w:rPr>
                <w:color w:val="000000"/>
                <w:szCs w:val="22"/>
              </w:rPr>
              <w:t>86</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101,8</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L Činnosti v oblasti nehnuteľností</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884</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102,2</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893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101,0</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M Odborné, vedecké a technické činnosti</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54295F" w:rsidP="002625B2">
            <w:pPr>
              <w:jc w:val="right"/>
              <w:rPr>
                <w:color w:val="000000"/>
                <w:szCs w:val="22"/>
              </w:rPr>
            </w:pPr>
            <w:r>
              <w:rPr>
                <w:color w:val="000000"/>
                <w:szCs w:val="22"/>
              </w:rPr>
              <w:t>1 0</w:t>
            </w:r>
            <w:r w:rsidR="002625B2" w:rsidRPr="00AE6EDB">
              <w:rPr>
                <w:color w:val="000000"/>
                <w:szCs w:val="22"/>
              </w:rPr>
              <w:t>51</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102,9</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983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93,5</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N Administratívne a podporné služby</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887</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107,6</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862</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97,2</w:t>
            </w:r>
          </w:p>
        </w:tc>
      </w:tr>
      <w:tr w:rsidR="002625B2" w:rsidRPr="00AE6EDB" w:rsidTr="002625B2">
        <w:trPr>
          <w:trHeight w:val="570"/>
          <w:jc w:val="center"/>
        </w:trPr>
        <w:tc>
          <w:tcPr>
            <w:tcW w:w="4120" w:type="dxa"/>
            <w:tcBorders>
              <w:top w:val="nil"/>
              <w:left w:val="single" w:sz="4" w:space="0" w:color="C00000"/>
              <w:bottom w:val="single" w:sz="4" w:space="0" w:color="C00000"/>
              <w:right w:val="nil"/>
            </w:tcBorders>
            <w:shd w:val="clear" w:color="auto" w:fill="auto"/>
            <w:vAlign w:val="center"/>
            <w:hideMark/>
          </w:tcPr>
          <w:p w:rsidR="002625B2" w:rsidRPr="00AE6EDB" w:rsidRDefault="002625B2" w:rsidP="002625B2">
            <w:pPr>
              <w:jc w:val="left"/>
              <w:rPr>
                <w:color w:val="000000"/>
                <w:szCs w:val="22"/>
              </w:rPr>
            </w:pPr>
            <w:r w:rsidRPr="00AE6EDB">
              <w:rPr>
                <w:color w:val="000000"/>
                <w:szCs w:val="22"/>
              </w:rPr>
              <w:t>O Verejná správa a obrana; povinné sociálne zabezpečenie</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54295F" w:rsidP="002625B2">
            <w:pPr>
              <w:jc w:val="right"/>
              <w:rPr>
                <w:color w:val="000000"/>
                <w:szCs w:val="22"/>
              </w:rPr>
            </w:pPr>
            <w:r>
              <w:rPr>
                <w:color w:val="000000"/>
                <w:szCs w:val="22"/>
              </w:rPr>
              <w:t>1 0</w:t>
            </w:r>
            <w:r w:rsidR="002625B2" w:rsidRPr="00AE6EDB">
              <w:rPr>
                <w:color w:val="000000"/>
                <w:szCs w:val="22"/>
              </w:rPr>
              <w:t>46</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103,6</w:t>
            </w:r>
          </w:p>
        </w:tc>
        <w:tc>
          <w:tcPr>
            <w:tcW w:w="1220" w:type="dxa"/>
            <w:tcBorders>
              <w:top w:val="nil"/>
              <w:left w:val="nil"/>
              <w:bottom w:val="single" w:sz="4" w:space="0" w:color="C00000"/>
              <w:right w:val="nil"/>
            </w:tcBorders>
            <w:shd w:val="clear" w:color="auto" w:fill="auto"/>
            <w:noWrap/>
            <w:vAlign w:val="bottom"/>
          </w:tcPr>
          <w:p w:rsidR="002625B2" w:rsidRPr="00AE6EDB" w:rsidRDefault="0054295F" w:rsidP="002625B2">
            <w:pPr>
              <w:jc w:val="right"/>
              <w:rPr>
                <w:color w:val="000000"/>
                <w:szCs w:val="22"/>
              </w:rPr>
            </w:pPr>
            <w:r>
              <w:rPr>
                <w:color w:val="000000"/>
                <w:szCs w:val="22"/>
              </w:rPr>
              <w:t>1 0</w:t>
            </w:r>
            <w:r w:rsidR="002625B2" w:rsidRPr="00AE6EDB">
              <w:rPr>
                <w:color w:val="000000"/>
                <w:szCs w:val="22"/>
              </w:rPr>
              <w:t>83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103,5</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P Vzdelávanie</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762</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105,5</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794</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104,2</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Q Zdravotníctvo a sociálna pomoc</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839</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104,9</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858</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102,3</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R Umenie, zábava a rekreácia</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632</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100,8</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653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103,3</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color w:val="000000"/>
                <w:szCs w:val="22"/>
              </w:rPr>
            </w:pPr>
            <w:r w:rsidRPr="00AE6EDB">
              <w:rPr>
                <w:color w:val="000000"/>
                <w:szCs w:val="22"/>
              </w:rPr>
              <w:t>S Ostatné činnosti</w:t>
            </w:r>
          </w:p>
        </w:tc>
        <w:tc>
          <w:tcPr>
            <w:tcW w:w="136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566</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color w:val="000000"/>
                <w:szCs w:val="22"/>
              </w:rPr>
            </w:pPr>
            <w:r w:rsidRPr="00AE6EDB">
              <w:rPr>
                <w:color w:val="000000"/>
                <w:szCs w:val="22"/>
              </w:rPr>
              <w:t>97,6</w:t>
            </w:r>
          </w:p>
        </w:tc>
        <w:tc>
          <w:tcPr>
            <w:tcW w:w="1220" w:type="dxa"/>
            <w:tcBorders>
              <w:top w:val="nil"/>
              <w:left w:val="nil"/>
              <w:bottom w:val="single" w:sz="4" w:space="0" w:color="C00000"/>
              <w:right w:val="nil"/>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593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color w:val="000000"/>
                <w:szCs w:val="22"/>
              </w:rPr>
            </w:pPr>
            <w:r w:rsidRPr="00AE6EDB">
              <w:rPr>
                <w:color w:val="000000"/>
                <w:szCs w:val="22"/>
              </w:rPr>
              <w:t>104,8</w:t>
            </w:r>
          </w:p>
        </w:tc>
      </w:tr>
      <w:tr w:rsidR="002625B2" w:rsidRPr="00AE6EDB" w:rsidTr="002625B2">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2625B2" w:rsidRPr="00AE6EDB" w:rsidRDefault="002625B2" w:rsidP="002625B2">
            <w:pPr>
              <w:jc w:val="left"/>
              <w:rPr>
                <w:b/>
                <w:bCs/>
                <w:color w:val="000000"/>
                <w:szCs w:val="22"/>
              </w:rPr>
            </w:pPr>
            <w:r w:rsidRPr="00AE6EDB">
              <w:rPr>
                <w:b/>
                <w:bCs/>
                <w:color w:val="000000"/>
                <w:szCs w:val="22"/>
              </w:rPr>
              <w:t>Hospodárstvo spolu</w:t>
            </w:r>
          </w:p>
        </w:tc>
        <w:tc>
          <w:tcPr>
            <w:tcW w:w="1360" w:type="dxa"/>
            <w:tcBorders>
              <w:top w:val="nil"/>
              <w:left w:val="nil"/>
              <w:bottom w:val="single" w:sz="4" w:space="0" w:color="C00000"/>
              <w:right w:val="nil"/>
            </w:tcBorders>
            <w:shd w:val="clear" w:color="000000" w:fill="FFFFFF"/>
            <w:noWrap/>
            <w:vAlign w:val="bottom"/>
            <w:hideMark/>
          </w:tcPr>
          <w:p w:rsidR="002625B2" w:rsidRPr="00AE6EDB" w:rsidRDefault="002625B2" w:rsidP="002625B2">
            <w:pPr>
              <w:jc w:val="right"/>
              <w:rPr>
                <w:b/>
                <w:bCs/>
                <w:szCs w:val="22"/>
              </w:rPr>
            </w:pPr>
            <w:r w:rsidRPr="00AE6EDB">
              <w:rPr>
                <w:b/>
                <w:bCs/>
                <w:szCs w:val="22"/>
              </w:rPr>
              <w:t>858</w:t>
            </w:r>
          </w:p>
        </w:tc>
        <w:tc>
          <w:tcPr>
            <w:tcW w:w="1180" w:type="dxa"/>
            <w:tcBorders>
              <w:top w:val="nil"/>
              <w:left w:val="nil"/>
              <w:bottom w:val="single" w:sz="4" w:space="0" w:color="C00000"/>
              <w:right w:val="nil"/>
            </w:tcBorders>
            <w:shd w:val="clear" w:color="auto" w:fill="auto"/>
            <w:noWrap/>
            <w:vAlign w:val="bottom"/>
            <w:hideMark/>
          </w:tcPr>
          <w:p w:rsidR="002625B2" w:rsidRPr="00AE6EDB" w:rsidRDefault="002625B2" w:rsidP="002625B2">
            <w:pPr>
              <w:jc w:val="right"/>
              <w:rPr>
                <w:b/>
                <w:bCs/>
                <w:szCs w:val="22"/>
              </w:rPr>
            </w:pPr>
            <w:r w:rsidRPr="00AE6EDB">
              <w:rPr>
                <w:b/>
                <w:bCs/>
                <w:szCs w:val="22"/>
              </w:rPr>
              <w:t>104,1</w:t>
            </w:r>
          </w:p>
        </w:tc>
        <w:tc>
          <w:tcPr>
            <w:tcW w:w="1220" w:type="dxa"/>
            <w:tcBorders>
              <w:top w:val="nil"/>
              <w:left w:val="nil"/>
              <w:bottom w:val="single" w:sz="4" w:space="0" w:color="C00000"/>
              <w:right w:val="nil"/>
            </w:tcBorders>
            <w:shd w:val="clear" w:color="000000" w:fill="FFFFFF"/>
            <w:noWrap/>
            <w:vAlign w:val="bottom"/>
          </w:tcPr>
          <w:p w:rsidR="002625B2" w:rsidRPr="00AE6EDB" w:rsidRDefault="002625B2" w:rsidP="002625B2">
            <w:pPr>
              <w:jc w:val="right"/>
              <w:rPr>
                <w:b/>
                <w:bCs/>
                <w:szCs w:val="22"/>
              </w:rPr>
            </w:pPr>
            <w:r w:rsidRPr="00AE6EDB">
              <w:rPr>
                <w:b/>
                <w:bCs/>
                <w:szCs w:val="22"/>
              </w:rPr>
              <w:t>883</w:t>
            </w:r>
          </w:p>
        </w:tc>
        <w:tc>
          <w:tcPr>
            <w:tcW w:w="1200" w:type="dxa"/>
            <w:tcBorders>
              <w:top w:val="nil"/>
              <w:left w:val="nil"/>
              <w:bottom w:val="single" w:sz="4" w:space="0" w:color="C00000"/>
              <w:right w:val="single" w:sz="4" w:space="0" w:color="C00000"/>
            </w:tcBorders>
            <w:shd w:val="clear" w:color="auto" w:fill="auto"/>
            <w:noWrap/>
            <w:vAlign w:val="bottom"/>
          </w:tcPr>
          <w:p w:rsidR="002625B2" w:rsidRPr="00AE6EDB" w:rsidRDefault="002625B2" w:rsidP="002625B2">
            <w:pPr>
              <w:jc w:val="right"/>
              <w:rPr>
                <w:b/>
                <w:bCs/>
                <w:szCs w:val="22"/>
              </w:rPr>
            </w:pPr>
            <w:r w:rsidRPr="00AE6EDB">
              <w:rPr>
                <w:b/>
                <w:bCs/>
                <w:szCs w:val="22"/>
              </w:rPr>
              <w:t>102,9</w:t>
            </w:r>
          </w:p>
        </w:tc>
      </w:tr>
    </w:tbl>
    <w:p w:rsidR="002625B2" w:rsidRPr="00AE6EDB" w:rsidRDefault="002625B2" w:rsidP="002625B2">
      <w:pPr>
        <w:pStyle w:val="zdroj"/>
      </w:pPr>
      <w:r w:rsidRPr="00AE6EDB">
        <w:t>Zdroj: ŠÚ SR</w:t>
      </w:r>
    </w:p>
    <w:p w:rsidR="002625B2" w:rsidRPr="00AE6EDB" w:rsidRDefault="002625B2" w:rsidP="002625B2">
      <w:pPr>
        <w:ind w:firstLine="431"/>
      </w:pPr>
      <w:r w:rsidRPr="00AE6EDB">
        <w:t xml:space="preserve">Priemerná nominálna aj reálna mesačná mzda stúpla vo všetkých </w:t>
      </w:r>
      <w:r w:rsidRPr="00AE6EDB">
        <w:rPr>
          <w:b/>
        </w:rPr>
        <w:t>veľkostných kategóriách podnikov</w:t>
      </w:r>
      <w:r w:rsidRPr="00AE6EDB">
        <w:t xml:space="preserve"> (reálna mz</w:t>
      </w:r>
      <w:r w:rsidR="00BC0D6C">
        <w:t>da v rozmedzí od 1,3</w:t>
      </w:r>
      <w:r w:rsidR="005676EF">
        <w:t> %</w:t>
      </w:r>
      <w:r w:rsidR="00BC0D6C">
        <w:t xml:space="preserve"> do 3,5</w:t>
      </w:r>
      <w:r w:rsidR="005676EF">
        <w:t> %</w:t>
      </w:r>
      <w:r w:rsidRPr="00AE6EDB">
        <w:t>, nominálna mzda v rozmedzí od 1,0</w:t>
      </w:r>
      <w:r w:rsidR="005676EF">
        <w:t> %</w:t>
      </w:r>
      <w:r w:rsidRPr="00AE6EDB">
        <w:t xml:space="preserve"> do 3,2</w:t>
      </w:r>
      <w:r w:rsidR="005676EF">
        <w:t> %</w:t>
      </w:r>
      <w:r w:rsidRPr="00AE6EDB">
        <w:t>). Podľa veľkosti podnikov</w:t>
      </w:r>
      <w:r w:rsidRPr="00AE6EDB">
        <w:rPr>
          <w:b/>
        </w:rPr>
        <w:t xml:space="preserve"> </w:t>
      </w:r>
      <w:r w:rsidRPr="00AE6EDB">
        <w:t xml:space="preserve">mali najvyššiu priemernú nominálnu mesačnú mzdu zamestnanci v podnikoch s počtom </w:t>
      </w:r>
      <w:r w:rsidR="0054295F">
        <w:t>1 0</w:t>
      </w:r>
      <w:r w:rsidRPr="00AE6EDB">
        <w:t xml:space="preserve">00 a viac zamestnancov, najnižšiu zamestnanci v podnikoch </w:t>
      </w:r>
      <w:r w:rsidR="00DE5247" w:rsidRPr="00AE6EDB">
        <w:br/>
      </w:r>
      <w:r w:rsidRPr="00AE6EDB">
        <w:t>do 19 zamestnancov a u živnostníkov. Priemernú nominálnu mesačnú mzdu, nižšiu ako celoslovenský priemer</w:t>
      </w:r>
      <w:r w:rsidR="00D15CD4">
        <w:t>,</w:t>
      </w:r>
      <w:r w:rsidRPr="00AE6EDB">
        <w:t xml:space="preserve"> mali zamestnanci v menších podnikoch do 49 zamestnancov vrátane zamestnancov </w:t>
      </w:r>
      <w:r w:rsidR="00DE5247" w:rsidRPr="00AE6EDB">
        <w:br/>
      </w:r>
      <w:r w:rsidRPr="00AE6EDB">
        <w:t xml:space="preserve">u živnostníkov. </w:t>
      </w:r>
    </w:p>
    <w:p w:rsidR="008100CC" w:rsidRDefault="008100CC">
      <w:pPr>
        <w:jc w:val="left"/>
        <w:rPr>
          <w:b/>
        </w:rPr>
      </w:pPr>
      <w:r>
        <w:br w:type="page"/>
      </w:r>
    </w:p>
    <w:p w:rsidR="002625B2" w:rsidRPr="00AE6EDB" w:rsidRDefault="002625B2" w:rsidP="002625B2">
      <w:pPr>
        <w:pStyle w:val="Nadpis7"/>
      </w:pPr>
      <w:r w:rsidRPr="00AE6EDB">
        <w:lastRenderedPageBreak/>
        <w:t>Tabuľka 2.19 Priemerná nominálna mesačná mzda podľa veľkosti podnikov</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267"/>
        <w:gridCol w:w="903"/>
        <w:gridCol w:w="1440"/>
        <w:gridCol w:w="1263"/>
        <w:gridCol w:w="903"/>
        <w:gridCol w:w="1438"/>
        <w:gridCol w:w="1074"/>
      </w:tblGrid>
      <w:tr w:rsidR="002625B2" w:rsidRPr="00AE6EDB" w:rsidTr="002625B2">
        <w:trPr>
          <w:jc w:val="center"/>
        </w:trPr>
        <w:tc>
          <w:tcPr>
            <w:tcW w:w="1220" w:type="pct"/>
            <w:vMerge w:val="restar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Počet zamestnancov</w:t>
            </w:r>
          </w:p>
        </w:tc>
        <w:tc>
          <w:tcPr>
            <w:tcW w:w="486" w:type="pct"/>
            <w:vMerge w:val="restar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2014</w:t>
            </w:r>
          </w:p>
          <w:p w:rsidR="002625B2" w:rsidRPr="00AE6EDB" w:rsidRDefault="002625B2" w:rsidP="002625B2">
            <w:pPr>
              <w:jc w:val="center"/>
              <w:rPr>
                <w:b/>
                <w:color w:val="FFFFFF" w:themeColor="background1"/>
              </w:rPr>
            </w:pPr>
            <w:r w:rsidRPr="00AE6EDB">
              <w:rPr>
                <w:b/>
                <w:color w:val="FFFFFF" w:themeColor="background1"/>
              </w:rPr>
              <w:t>(v €)</w:t>
            </w:r>
          </w:p>
        </w:tc>
        <w:tc>
          <w:tcPr>
            <w:tcW w:w="1455" w:type="pct"/>
            <w:gridSpan w:val="2"/>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Indexy 2014/2013</w:t>
            </w:r>
          </w:p>
        </w:tc>
        <w:tc>
          <w:tcPr>
            <w:tcW w:w="486" w:type="pct"/>
            <w:vMerge w:val="restar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2015</w:t>
            </w:r>
          </w:p>
          <w:p w:rsidR="002625B2" w:rsidRPr="00AE6EDB" w:rsidRDefault="002625B2" w:rsidP="002625B2">
            <w:pPr>
              <w:jc w:val="center"/>
              <w:rPr>
                <w:b/>
                <w:color w:val="FFFFFF" w:themeColor="background1"/>
              </w:rPr>
            </w:pPr>
            <w:r w:rsidRPr="00AE6EDB">
              <w:rPr>
                <w:b/>
                <w:color w:val="FFFFFF" w:themeColor="background1"/>
              </w:rPr>
              <w:t>(v €)</w:t>
            </w:r>
          </w:p>
        </w:tc>
        <w:tc>
          <w:tcPr>
            <w:tcW w:w="1352" w:type="pct"/>
            <w:gridSpan w:val="2"/>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Indexy 2015/2014</w:t>
            </w:r>
          </w:p>
        </w:tc>
      </w:tr>
      <w:tr w:rsidR="002625B2" w:rsidRPr="00AE6EDB" w:rsidTr="002625B2">
        <w:trPr>
          <w:jc w:val="center"/>
        </w:trPr>
        <w:tc>
          <w:tcPr>
            <w:tcW w:w="1220" w:type="pct"/>
            <w:vMerge/>
            <w:shd w:val="clear" w:color="auto" w:fill="BF0000" w:themeFill="accent3" w:themeFillShade="BF"/>
            <w:vAlign w:val="center"/>
          </w:tcPr>
          <w:p w:rsidR="002625B2" w:rsidRPr="00AE6EDB" w:rsidRDefault="002625B2" w:rsidP="002625B2">
            <w:pPr>
              <w:jc w:val="center"/>
              <w:rPr>
                <w:b/>
                <w:color w:val="FFFFFF" w:themeColor="background1"/>
              </w:rPr>
            </w:pPr>
          </w:p>
        </w:tc>
        <w:tc>
          <w:tcPr>
            <w:tcW w:w="486" w:type="pct"/>
            <w:vMerge/>
            <w:shd w:val="clear" w:color="auto" w:fill="BF0000" w:themeFill="accent3" w:themeFillShade="BF"/>
            <w:vAlign w:val="center"/>
          </w:tcPr>
          <w:p w:rsidR="002625B2" w:rsidRPr="00AE6EDB" w:rsidRDefault="002625B2" w:rsidP="002625B2">
            <w:pPr>
              <w:jc w:val="center"/>
              <w:rPr>
                <w:b/>
                <w:color w:val="FFFFFF" w:themeColor="background1"/>
              </w:rPr>
            </w:pPr>
          </w:p>
        </w:tc>
        <w:tc>
          <w:tcPr>
            <w:tcW w:w="775" w:type="pc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nominálna mzda</w:t>
            </w:r>
          </w:p>
        </w:tc>
        <w:tc>
          <w:tcPr>
            <w:tcW w:w="680" w:type="pc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reálna mzda</w:t>
            </w:r>
          </w:p>
        </w:tc>
        <w:tc>
          <w:tcPr>
            <w:tcW w:w="486" w:type="pct"/>
            <w:vMerge/>
            <w:shd w:val="clear" w:color="auto" w:fill="BF0000" w:themeFill="accent3" w:themeFillShade="BF"/>
            <w:vAlign w:val="center"/>
          </w:tcPr>
          <w:p w:rsidR="002625B2" w:rsidRPr="00AE6EDB" w:rsidRDefault="002625B2" w:rsidP="002625B2">
            <w:pPr>
              <w:jc w:val="center"/>
              <w:rPr>
                <w:b/>
                <w:color w:val="FFFFFF" w:themeColor="background1"/>
              </w:rPr>
            </w:pPr>
          </w:p>
        </w:tc>
        <w:tc>
          <w:tcPr>
            <w:tcW w:w="774" w:type="pc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nominálna mzda</w:t>
            </w:r>
          </w:p>
        </w:tc>
        <w:tc>
          <w:tcPr>
            <w:tcW w:w="578" w:type="pct"/>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reálna mzda</w:t>
            </w:r>
          </w:p>
        </w:tc>
      </w:tr>
      <w:tr w:rsidR="002625B2" w:rsidRPr="00AE6EDB" w:rsidTr="002625B2">
        <w:trPr>
          <w:jc w:val="center"/>
        </w:trPr>
        <w:tc>
          <w:tcPr>
            <w:tcW w:w="1220" w:type="pct"/>
            <w:vAlign w:val="center"/>
          </w:tcPr>
          <w:p w:rsidR="002625B2" w:rsidRPr="00AE6EDB" w:rsidRDefault="002625B2" w:rsidP="002625B2">
            <w:r w:rsidRPr="00AE6EDB">
              <w:t xml:space="preserve">0 – 19 </w:t>
            </w:r>
          </w:p>
        </w:tc>
        <w:tc>
          <w:tcPr>
            <w:tcW w:w="486" w:type="pct"/>
            <w:vAlign w:val="bottom"/>
          </w:tcPr>
          <w:p w:rsidR="002625B2" w:rsidRPr="00AE6EDB" w:rsidRDefault="002625B2" w:rsidP="002625B2">
            <w:pPr>
              <w:ind w:right="105"/>
              <w:jc w:val="right"/>
            </w:pPr>
            <w:r w:rsidRPr="00AE6EDB">
              <w:t>687</w:t>
            </w:r>
          </w:p>
        </w:tc>
        <w:tc>
          <w:tcPr>
            <w:tcW w:w="775" w:type="pct"/>
            <w:vAlign w:val="bottom"/>
          </w:tcPr>
          <w:p w:rsidR="002625B2" w:rsidRPr="00AE6EDB" w:rsidRDefault="002625B2" w:rsidP="002625B2">
            <w:pPr>
              <w:ind w:right="105"/>
              <w:jc w:val="right"/>
            </w:pPr>
            <w:r w:rsidRPr="00AE6EDB">
              <w:t>99,6</w:t>
            </w:r>
          </w:p>
        </w:tc>
        <w:tc>
          <w:tcPr>
            <w:tcW w:w="680" w:type="pct"/>
            <w:vAlign w:val="bottom"/>
          </w:tcPr>
          <w:p w:rsidR="002625B2" w:rsidRPr="00AE6EDB" w:rsidRDefault="002625B2" w:rsidP="002625B2">
            <w:pPr>
              <w:ind w:right="105"/>
              <w:jc w:val="right"/>
            </w:pPr>
            <w:r w:rsidRPr="00AE6EDB">
              <w:t>99,7</w:t>
            </w:r>
          </w:p>
        </w:tc>
        <w:tc>
          <w:tcPr>
            <w:tcW w:w="486" w:type="pct"/>
            <w:vAlign w:val="bottom"/>
          </w:tcPr>
          <w:p w:rsidR="002625B2" w:rsidRPr="00AE6EDB" w:rsidRDefault="002625B2" w:rsidP="002625B2">
            <w:pPr>
              <w:ind w:right="105"/>
              <w:jc w:val="right"/>
            </w:pPr>
            <w:r w:rsidRPr="00AE6EDB">
              <w:t>709</w:t>
            </w:r>
          </w:p>
        </w:tc>
        <w:tc>
          <w:tcPr>
            <w:tcW w:w="774" w:type="pct"/>
            <w:vAlign w:val="bottom"/>
          </w:tcPr>
          <w:p w:rsidR="002625B2" w:rsidRPr="00AE6EDB" w:rsidRDefault="002625B2" w:rsidP="002625B2">
            <w:pPr>
              <w:ind w:right="105"/>
              <w:jc w:val="right"/>
            </w:pPr>
            <w:r w:rsidRPr="00AE6EDB">
              <w:t xml:space="preserve">103,2 </w:t>
            </w:r>
          </w:p>
        </w:tc>
        <w:tc>
          <w:tcPr>
            <w:tcW w:w="578" w:type="pct"/>
            <w:vAlign w:val="bottom"/>
          </w:tcPr>
          <w:p w:rsidR="002625B2" w:rsidRPr="00AE6EDB" w:rsidRDefault="002625B2" w:rsidP="002625B2">
            <w:pPr>
              <w:ind w:right="105"/>
              <w:jc w:val="right"/>
            </w:pPr>
            <w:r w:rsidRPr="00AE6EDB">
              <w:t xml:space="preserve">103,5 </w:t>
            </w:r>
          </w:p>
        </w:tc>
      </w:tr>
      <w:tr w:rsidR="002625B2" w:rsidRPr="00AE6EDB" w:rsidTr="002625B2">
        <w:trPr>
          <w:jc w:val="center"/>
        </w:trPr>
        <w:tc>
          <w:tcPr>
            <w:tcW w:w="1220" w:type="pct"/>
            <w:vAlign w:val="center"/>
          </w:tcPr>
          <w:p w:rsidR="002625B2" w:rsidRPr="00AE6EDB" w:rsidRDefault="002625B2" w:rsidP="002625B2">
            <w:r w:rsidRPr="00AE6EDB">
              <w:t>20 – 49</w:t>
            </w:r>
          </w:p>
        </w:tc>
        <w:tc>
          <w:tcPr>
            <w:tcW w:w="486" w:type="pct"/>
            <w:vAlign w:val="bottom"/>
          </w:tcPr>
          <w:p w:rsidR="002625B2" w:rsidRPr="00AE6EDB" w:rsidRDefault="002625B2" w:rsidP="002625B2">
            <w:pPr>
              <w:ind w:right="105"/>
              <w:jc w:val="right"/>
            </w:pPr>
            <w:r w:rsidRPr="00AE6EDB">
              <w:t>808</w:t>
            </w:r>
          </w:p>
        </w:tc>
        <w:tc>
          <w:tcPr>
            <w:tcW w:w="775" w:type="pct"/>
            <w:vAlign w:val="bottom"/>
          </w:tcPr>
          <w:p w:rsidR="002625B2" w:rsidRPr="00AE6EDB" w:rsidRDefault="002625B2" w:rsidP="002625B2">
            <w:pPr>
              <w:ind w:right="105"/>
              <w:jc w:val="right"/>
            </w:pPr>
            <w:r w:rsidRPr="00AE6EDB">
              <w:t>107,0</w:t>
            </w:r>
          </w:p>
        </w:tc>
        <w:tc>
          <w:tcPr>
            <w:tcW w:w="680" w:type="pct"/>
            <w:vAlign w:val="bottom"/>
          </w:tcPr>
          <w:p w:rsidR="002625B2" w:rsidRPr="00AE6EDB" w:rsidRDefault="002625B2" w:rsidP="002625B2">
            <w:pPr>
              <w:ind w:right="105"/>
              <w:jc w:val="right"/>
            </w:pPr>
            <w:r w:rsidRPr="00AE6EDB">
              <w:t>107,1</w:t>
            </w:r>
          </w:p>
        </w:tc>
        <w:tc>
          <w:tcPr>
            <w:tcW w:w="486" w:type="pct"/>
            <w:vAlign w:val="bottom"/>
          </w:tcPr>
          <w:p w:rsidR="002625B2" w:rsidRPr="00AE6EDB" w:rsidRDefault="002625B2" w:rsidP="002625B2">
            <w:pPr>
              <w:ind w:right="105"/>
              <w:jc w:val="right"/>
            </w:pPr>
            <w:r w:rsidRPr="00AE6EDB">
              <w:t>829</w:t>
            </w:r>
          </w:p>
        </w:tc>
        <w:tc>
          <w:tcPr>
            <w:tcW w:w="774" w:type="pct"/>
            <w:vAlign w:val="bottom"/>
          </w:tcPr>
          <w:p w:rsidR="002625B2" w:rsidRPr="00AE6EDB" w:rsidRDefault="002625B2" w:rsidP="002625B2">
            <w:pPr>
              <w:ind w:right="105"/>
              <w:jc w:val="right"/>
            </w:pPr>
            <w:r w:rsidRPr="00AE6EDB">
              <w:t xml:space="preserve">102,6 </w:t>
            </w:r>
          </w:p>
        </w:tc>
        <w:tc>
          <w:tcPr>
            <w:tcW w:w="578" w:type="pct"/>
            <w:vAlign w:val="bottom"/>
          </w:tcPr>
          <w:p w:rsidR="002625B2" w:rsidRPr="00AE6EDB" w:rsidRDefault="002625B2" w:rsidP="002625B2">
            <w:pPr>
              <w:ind w:right="105"/>
              <w:jc w:val="right"/>
            </w:pPr>
            <w:r w:rsidRPr="00AE6EDB">
              <w:t xml:space="preserve">102,9 </w:t>
            </w:r>
          </w:p>
        </w:tc>
      </w:tr>
      <w:tr w:rsidR="002625B2" w:rsidRPr="00AE6EDB" w:rsidTr="002625B2">
        <w:trPr>
          <w:jc w:val="center"/>
        </w:trPr>
        <w:tc>
          <w:tcPr>
            <w:tcW w:w="1220" w:type="pct"/>
            <w:vAlign w:val="center"/>
          </w:tcPr>
          <w:p w:rsidR="002625B2" w:rsidRPr="00AE6EDB" w:rsidRDefault="002625B2" w:rsidP="002625B2">
            <w:r w:rsidRPr="00AE6EDB">
              <w:t>50 – 249</w:t>
            </w:r>
          </w:p>
        </w:tc>
        <w:tc>
          <w:tcPr>
            <w:tcW w:w="486" w:type="pct"/>
            <w:vAlign w:val="bottom"/>
          </w:tcPr>
          <w:p w:rsidR="002625B2" w:rsidRPr="00AE6EDB" w:rsidRDefault="002625B2" w:rsidP="002625B2">
            <w:pPr>
              <w:ind w:right="105"/>
              <w:jc w:val="right"/>
            </w:pPr>
            <w:r w:rsidRPr="00AE6EDB">
              <w:t>918</w:t>
            </w:r>
          </w:p>
        </w:tc>
        <w:tc>
          <w:tcPr>
            <w:tcW w:w="775" w:type="pct"/>
            <w:vAlign w:val="bottom"/>
          </w:tcPr>
          <w:p w:rsidR="002625B2" w:rsidRPr="00AE6EDB" w:rsidRDefault="002625B2" w:rsidP="002625B2">
            <w:pPr>
              <w:ind w:right="105"/>
              <w:jc w:val="right"/>
            </w:pPr>
            <w:r w:rsidRPr="00AE6EDB">
              <w:t>107,7</w:t>
            </w:r>
          </w:p>
        </w:tc>
        <w:tc>
          <w:tcPr>
            <w:tcW w:w="680" w:type="pct"/>
            <w:vAlign w:val="bottom"/>
          </w:tcPr>
          <w:p w:rsidR="002625B2" w:rsidRPr="00AE6EDB" w:rsidRDefault="002625B2" w:rsidP="002625B2">
            <w:pPr>
              <w:ind w:right="105"/>
              <w:jc w:val="right"/>
            </w:pPr>
            <w:r w:rsidRPr="00AE6EDB">
              <w:t>107,8</w:t>
            </w:r>
          </w:p>
        </w:tc>
        <w:tc>
          <w:tcPr>
            <w:tcW w:w="486" w:type="pct"/>
            <w:vAlign w:val="bottom"/>
          </w:tcPr>
          <w:p w:rsidR="002625B2" w:rsidRPr="00AE6EDB" w:rsidRDefault="002625B2" w:rsidP="002625B2">
            <w:pPr>
              <w:ind w:right="105"/>
              <w:jc w:val="right"/>
            </w:pPr>
            <w:r w:rsidRPr="00AE6EDB">
              <w:t>942</w:t>
            </w:r>
          </w:p>
        </w:tc>
        <w:tc>
          <w:tcPr>
            <w:tcW w:w="774" w:type="pct"/>
            <w:vAlign w:val="bottom"/>
          </w:tcPr>
          <w:p w:rsidR="002625B2" w:rsidRPr="00AE6EDB" w:rsidRDefault="002625B2" w:rsidP="002625B2">
            <w:pPr>
              <w:ind w:right="105"/>
              <w:jc w:val="right"/>
            </w:pPr>
            <w:r w:rsidRPr="00AE6EDB">
              <w:t xml:space="preserve">102,6 </w:t>
            </w:r>
          </w:p>
        </w:tc>
        <w:tc>
          <w:tcPr>
            <w:tcW w:w="578" w:type="pct"/>
            <w:vAlign w:val="bottom"/>
          </w:tcPr>
          <w:p w:rsidR="002625B2" w:rsidRPr="00AE6EDB" w:rsidRDefault="002625B2" w:rsidP="002625B2">
            <w:pPr>
              <w:ind w:right="105"/>
              <w:jc w:val="right"/>
            </w:pPr>
            <w:r w:rsidRPr="00AE6EDB">
              <w:t xml:space="preserve">102,9 </w:t>
            </w:r>
          </w:p>
        </w:tc>
      </w:tr>
      <w:tr w:rsidR="002625B2" w:rsidRPr="00AE6EDB" w:rsidTr="002625B2">
        <w:trPr>
          <w:jc w:val="center"/>
        </w:trPr>
        <w:tc>
          <w:tcPr>
            <w:tcW w:w="1220" w:type="pct"/>
            <w:vAlign w:val="center"/>
          </w:tcPr>
          <w:p w:rsidR="002625B2" w:rsidRPr="00AE6EDB" w:rsidRDefault="002625B2" w:rsidP="002625B2">
            <w:r w:rsidRPr="00AE6EDB">
              <w:t>250 – 499</w:t>
            </w:r>
          </w:p>
        </w:tc>
        <w:tc>
          <w:tcPr>
            <w:tcW w:w="486" w:type="pct"/>
            <w:vAlign w:val="bottom"/>
          </w:tcPr>
          <w:p w:rsidR="002625B2" w:rsidRPr="00AE6EDB" w:rsidRDefault="002625B2" w:rsidP="002625B2">
            <w:pPr>
              <w:ind w:right="105"/>
              <w:jc w:val="right"/>
            </w:pPr>
            <w:r w:rsidRPr="00AE6EDB">
              <w:t>982</w:t>
            </w:r>
          </w:p>
        </w:tc>
        <w:tc>
          <w:tcPr>
            <w:tcW w:w="775" w:type="pct"/>
            <w:vAlign w:val="bottom"/>
          </w:tcPr>
          <w:p w:rsidR="002625B2" w:rsidRPr="00AE6EDB" w:rsidRDefault="002625B2" w:rsidP="002625B2">
            <w:pPr>
              <w:ind w:right="105"/>
              <w:jc w:val="right"/>
            </w:pPr>
            <w:r w:rsidRPr="00AE6EDB">
              <w:t>106,6</w:t>
            </w:r>
          </w:p>
        </w:tc>
        <w:tc>
          <w:tcPr>
            <w:tcW w:w="680" w:type="pct"/>
            <w:vAlign w:val="bottom"/>
          </w:tcPr>
          <w:p w:rsidR="002625B2" w:rsidRPr="00AE6EDB" w:rsidRDefault="002625B2" w:rsidP="002625B2">
            <w:pPr>
              <w:ind w:right="105"/>
              <w:jc w:val="right"/>
            </w:pPr>
            <w:r w:rsidRPr="00AE6EDB">
              <w:t>106,7</w:t>
            </w:r>
          </w:p>
        </w:tc>
        <w:tc>
          <w:tcPr>
            <w:tcW w:w="486" w:type="pct"/>
            <w:vAlign w:val="bottom"/>
          </w:tcPr>
          <w:p w:rsidR="002625B2" w:rsidRPr="00AE6EDB" w:rsidRDefault="0054295F" w:rsidP="002625B2">
            <w:pPr>
              <w:ind w:right="105"/>
              <w:jc w:val="right"/>
            </w:pPr>
            <w:r>
              <w:t>1 0</w:t>
            </w:r>
            <w:r w:rsidR="002625B2" w:rsidRPr="00AE6EDB">
              <w:t>04</w:t>
            </w:r>
          </w:p>
        </w:tc>
        <w:tc>
          <w:tcPr>
            <w:tcW w:w="774" w:type="pct"/>
            <w:vAlign w:val="bottom"/>
          </w:tcPr>
          <w:p w:rsidR="002625B2" w:rsidRPr="00AE6EDB" w:rsidRDefault="002625B2" w:rsidP="002625B2">
            <w:pPr>
              <w:ind w:right="105"/>
              <w:jc w:val="right"/>
            </w:pPr>
            <w:r w:rsidRPr="00AE6EDB">
              <w:t xml:space="preserve">102,2 </w:t>
            </w:r>
          </w:p>
        </w:tc>
        <w:tc>
          <w:tcPr>
            <w:tcW w:w="578" w:type="pct"/>
            <w:vAlign w:val="bottom"/>
          </w:tcPr>
          <w:p w:rsidR="002625B2" w:rsidRPr="00AE6EDB" w:rsidRDefault="002625B2" w:rsidP="002625B2">
            <w:pPr>
              <w:ind w:right="105"/>
              <w:jc w:val="right"/>
            </w:pPr>
            <w:r w:rsidRPr="00AE6EDB">
              <w:t xml:space="preserve">102,5 </w:t>
            </w:r>
          </w:p>
        </w:tc>
      </w:tr>
      <w:tr w:rsidR="002625B2" w:rsidRPr="00AE6EDB" w:rsidTr="002625B2">
        <w:trPr>
          <w:jc w:val="center"/>
        </w:trPr>
        <w:tc>
          <w:tcPr>
            <w:tcW w:w="1220" w:type="pct"/>
            <w:vAlign w:val="center"/>
          </w:tcPr>
          <w:p w:rsidR="002625B2" w:rsidRPr="00AE6EDB" w:rsidRDefault="002625B2" w:rsidP="002625B2">
            <w:r w:rsidRPr="00AE6EDB">
              <w:t>500 – 999</w:t>
            </w:r>
          </w:p>
        </w:tc>
        <w:tc>
          <w:tcPr>
            <w:tcW w:w="486" w:type="pct"/>
            <w:vAlign w:val="bottom"/>
          </w:tcPr>
          <w:p w:rsidR="002625B2" w:rsidRPr="00AE6EDB" w:rsidRDefault="0054295F" w:rsidP="002625B2">
            <w:pPr>
              <w:ind w:right="105"/>
              <w:jc w:val="right"/>
            </w:pPr>
            <w:r>
              <w:t>1 0</w:t>
            </w:r>
            <w:r w:rsidR="002625B2" w:rsidRPr="00AE6EDB">
              <w:t>23</w:t>
            </w:r>
          </w:p>
        </w:tc>
        <w:tc>
          <w:tcPr>
            <w:tcW w:w="775" w:type="pct"/>
            <w:vAlign w:val="bottom"/>
          </w:tcPr>
          <w:p w:rsidR="002625B2" w:rsidRPr="00AE6EDB" w:rsidRDefault="002625B2" w:rsidP="002625B2">
            <w:pPr>
              <w:ind w:right="105"/>
              <w:jc w:val="right"/>
            </w:pPr>
            <w:r w:rsidRPr="00AE6EDB">
              <w:t>102,6</w:t>
            </w:r>
          </w:p>
        </w:tc>
        <w:tc>
          <w:tcPr>
            <w:tcW w:w="680" w:type="pct"/>
            <w:vAlign w:val="bottom"/>
          </w:tcPr>
          <w:p w:rsidR="002625B2" w:rsidRPr="00AE6EDB" w:rsidRDefault="002625B2" w:rsidP="002625B2">
            <w:pPr>
              <w:ind w:right="105"/>
              <w:jc w:val="right"/>
            </w:pPr>
            <w:r w:rsidRPr="00AE6EDB">
              <w:t>102,7</w:t>
            </w:r>
          </w:p>
        </w:tc>
        <w:tc>
          <w:tcPr>
            <w:tcW w:w="486" w:type="pct"/>
            <w:vAlign w:val="bottom"/>
          </w:tcPr>
          <w:p w:rsidR="002625B2" w:rsidRPr="00AE6EDB" w:rsidRDefault="0054295F" w:rsidP="002625B2">
            <w:pPr>
              <w:ind w:right="105"/>
              <w:jc w:val="right"/>
            </w:pPr>
            <w:r>
              <w:t>1 0</w:t>
            </w:r>
            <w:r w:rsidR="002625B2" w:rsidRPr="00AE6EDB">
              <w:t>53</w:t>
            </w:r>
          </w:p>
        </w:tc>
        <w:tc>
          <w:tcPr>
            <w:tcW w:w="774" w:type="pct"/>
            <w:vAlign w:val="bottom"/>
          </w:tcPr>
          <w:p w:rsidR="002625B2" w:rsidRPr="00AE6EDB" w:rsidRDefault="002625B2" w:rsidP="002625B2">
            <w:pPr>
              <w:ind w:right="105"/>
              <w:jc w:val="right"/>
            </w:pPr>
            <w:r w:rsidRPr="00AE6EDB">
              <w:t xml:space="preserve">102,9 </w:t>
            </w:r>
          </w:p>
        </w:tc>
        <w:tc>
          <w:tcPr>
            <w:tcW w:w="578" w:type="pct"/>
            <w:vAlign w:val="bottom"/>
          </w:tcPr>
          <w:p w:rsidR="002625B2" w:rsidRPr="00AE6EDB" w:rsidRDefault="002625B2" w:rsidP="002625B2">
            <w:pPr>
              <w:ind w:right="105"/>
              <w:jc w:val="right"/>
            </w:pPr>
            <w:r w:rsidRPr="00AE6EDB">
              <w:t xml:space="preserve">103,2 </w:t>
            </w:r>
          </w:p>
        </w:tc>
      </w:tr>
      <w:tr w:rsidR="002625B2" w:rsidRPr="00AE6EDB" w:rsidTr="002625B2">
        <w:trPr>
          <w:jc w:val="center"/>
        </w:trPr>
        <w:tc>
          <w:tcPr>
            <w:tcW w:w="1220" w:type="pct"/>
            <w:vAlign w:val="center"/>
          </w:tcPr>
          <w:p w:rsidR="002625B2" w:rsidRPr="00AE6EDB" w:rsidRDefault="0054295F" w:rsidP="002625B2">
            <w:r>
              <w:t>1 0</w:t>
            </w:r>
            <w:r w:rsidR="002625B2" w:rsidRPr="00AE6EDB">
              <w:t>00 a viac</w:t>
            </w:r>
          </w:p>
        </w:tc>
        <w:tc>
          <w:tcPr>
            <w:tcW w:w="486" w:type="pct"/>
            <w:vAlign w:val="bottom"/>
          </w:tcPr>
          <w:p w:rsidR="002625B2" w:rsidRPr="00AE6EDB" w:rsidRDefault="0054295F" w:rsidP="002625B2">
            <w:pPr>
              <w:ind w:right="105"/>
              <w:jc w:val="right"/>
            </w:pPr>
            <w:r>
              <w:t>1 1</w:t>
            </w:r>
            <w:r w:rsidR="002625B2" w:rsidRPr="00AE6EDB">
              <w:t>04</w:t>
            </w:r>
          </w:p>
        </w:tc>
        <w:tc>
          <w:tcPr>
            <w:tcW w:w="775" w:type="pct"/>
            <w:vAlign w:val="bottom"/>
          </w:tcPr>
          <w:p w:rsidR="002625B2" w:rsidRPr="00AE6EDB" w:rsidRDefault="002625B2" w:rsidP="002625B2">
            <w:pPr>
              <w:ind w:right="105"/>
              <w:jc w:val="right"/>
            </w:pPr>
            <w:r w:rsidRPr="00AE6EDB">
              <w:t>104,5</w:t>
            </w:r>
          </w:p>
        </w:tc>
        <w:tc>
          <w:tcPr>
            <w:tcW w:w="680" w:type="pct"/>
            <w:vAlign w:val="bottom"/>
          </w:tcPr>
          <w:p w:rsidR="002625B2" w:rsidRPr="00AE6EDB" w:rsidRDefault="002625B2" w:rsidP="002625B2">
            <w:pPr>
              <w:ind w:right="105"/>
              <w:jc w:val="right"/>
            </w:pPr>
            <w:r w:rsidRPr="00AE6EDB">
              <w:t>104,6</w:t>
            </w:r>
          </w:p>
        </w:tc>
        <w:tc>
          <w:tcPr>
            <w:tcW w:w="486" w:type="pct"/>
            <w:vAlign w:val="bottom"/>
          </w:tcPr>
          <w:p w:rsidR="002625B2" w:rsidRPr="00AE6EDB" w:rsidRDefault="0054295F" w:rsidP="002625B2">
            <w:pPr>
              <w:ind w:right="105"/>
              <w:jc w:val="right"/>
            </w:pPr>
            <w:r>
              <w:t>1 1</w:t>
            </w:r>
            <w:r w:rsidR="002625B2" w:rsidRPr="00AE6EDB">
              <w:t>34</w:t>
            </w:r>
          </w:p>
        </w:tc>
        <w:tc>
          <w:tcPr>
            <w:tcW w:w="774" w:type="pct"/>
            <w:vAlign w:val="bottom"/>
          </w:tcPr>
          <w:p w:rsidR="002625B2" w:rsidRPr="00AE6EDB" w:rsidRDefault="002625B2" w:rsidP="002625B2">
            <w:pPr>
              <w:ind w:right="105"/>
              <w:jc w:val="right"/>
            </w:pPr>
            <w:r w:rsidRPr="00AE6EDB">
              <w:t xml:space="preserve">102,7 </w:t>
            </w:r>
          </w:p>
        </w:tc>
        <w:tc>
          <w:tcPr>
            <w:tcW w:w="578" w:type="pct"/>
            <w:vAlign w:val="bottom"/>
          </w:tcPr>
          <w:p w:rsidR="002625B2" w:rsidRPr="00AE6EDB" w:rsidRDefault="002625B2" w:rsidP="002625B2">
            <w:pPr>
              <w:ind w:right="105"/>
              <w:jc w:val="right"/>
            </w:pPr>
            <w:r w:rsidRPr="00AE6EDB">
              <w:t xml:space="preserve">103,0 </w:t>
            </w:r>
          </w:p>
        </w:tc>
      </w:tr>
      <w:tr w:rsidR="002625B2" w:rsidRPr="00AE6EDB" w:rsidTr="002625B2">
        <w:trPr>
          <w:jc w:val="center"/>
        </w:trPr>
        <w:tc>
          <w:tcPr>
            <w:tcW w:w="1220" w:type="pct"/>
            <w:vAlign w:val="center"/>
          </w:tcPr>
          <w:p w:rsidR="002625B2" w:rsidRPr="00AE6EDB" w:rsidRDefault="002625B2" w:rsidP="002625B2">
            <w:r w:rsidRPr="00AE6EDB">
              <w:t>Živnostníci (odhad)</w:t>
            </w:r>
          </w:p>
        </w:tc>
        <w:tc>
          <w:tcPr>
            <w:tcW w:w="486" w:type="pct"/>
            <w:vAlign w:val="bottom"/>
          </w:tcPr>
          <w:p w:rsidR="002625B2" w:rsidRPr="00AE6EDB" w:rsidRDefault="002625B2" w:rsidP="002625B2">
            <w:pPr>
              <w:ind w:right="105"/>
              <w:jc w:val="right"/>
            </w:pPr>
            <w:r w:rsidRPr="00AE6EDB">
              <w:t>595</w:t>
            </w:r>
          </w:p>
        </w:tc>
        <w:tc>
          <w:tcPr>
            <w:tcW w:w="775" w:type="pct"/>
            <w:vAlign w:val="bottom"/>
          </w:tcPr>
          <w:p w:rsidR="002625B2" w:rsidRPr="00AE6EDB" w:rsidRDefault="002625B2" w:rsidP="002625B2">
            <w:pPr>
              <w:ind w:right="105"/>
              <w:jc w:val="right"/>
            </w:pPr>
            <w:r w:rsidRPr="00AE6EDB">
              <w:t>99,8</w:t>
            </w:r>
          </w:p>
        </w:tc>
        <w:tc>
          <w:tcPr>
            <w:tcW w:w="680" w:type="pct"/>
            <w:vAlign w:val="bottom"/>
          </w:tcPr>
          <w:p w:rsidR="002625B2" w:rsidRPr="00AE6EDB" w:rsidRDefault="002625B2" w:rsidP="002625B2">
            <w:pPr>
              <w:ind w:right="105"/>
              <w:jc w:val="right"/>
            </w:pPr>
            <w:r w:rsidRPr="00AE6EDB">
              <w:t>99,9</w:t>
            </w:r>
          </w:p>
        </w:tc>
        <w:tc>
          <w:tcPr>
            <w:tcW w:w="486" w:type="pct"/>
            <w:vAlign w:val="bottom"/>
          </w:tcPr>
          <w:p w:rsidR="002625B2" w:rsidRPr="00AE6EDB" w:rsidRDefault="002625B2" w:rsidP="002625B2">
            <w:pPr>
              <w:ind w:right="105"/>
              <w:jc w:val="right"/>
            </w:pPr>
            <w:r w:rsidRPr="00AE6EDB">
              <w:t>601</w:t>
            </w:r>
          </w:p>
        </w:tc>
        <w:tc>
          <w:tcPr>
            <w:tcW w:w="774" w:type="pct"/>
            <w:vAlign w:val="bottom"/>
          </w:tcPr>
          <w:p w:rsidR="002625B2" w:rsidRPr="00AE6EDB" w:rsidRDefault="002625B2" w:rsidP="002625B2">
            <w:pPr>
              <w:ind w:right="105"/>
              <w:jc w:val="right"/>
            </w:pPr>
            <w:r w:rsidRPr="00AE6EDB">
              <w:t>101,0</w:t>
            </w:r>
          </w:p>
        </w:tc>
        <w:tc>
          <w:tcPr>
            <w:tcW w:w="578" w:type="pct"/>
            <w:vAlign w:val="bottom"/>
          </w:tcPr>
          <w:p w:rsidR="002625B2" w:rsidRPr="00AE6EDB" w:rsidRDefault="002625B2" w:rsidP="002625B2">
            <w:pPr>
              <w:ind w:right="105"/>
              <w:jc w:val="right"/>
            </w:pPr>
            <w:r w:rsidRPr="00AE6EDB">
              <w:t>101,3</w:t>
            </w:r>
          </w:p>
        </w:tc>
      </w:tr>
      <w:tr w:rsidR="002625B2" w:rsidRPr="00AE6EDB" w:rsidTr="002625B2">
        <w:trPr>
          <w:jc w:val="center"/>
        </w:trPr>
        <w:tc>
          <w:tcPr>
            <w:tcW w:w="1220" w:type="pct"/>
            <w:vAlign w:val="center"/>
          </w:tcPr>
          <w:p w:rsidR="002625B2" w:rsidRPr="00AE6EDB" w:rsidRDefault="002625B2" w:rsidP="002625B2">
            <w:pPr>
              <w:rPr>
                <w:b/>
              </w:rPr>
            </w:pPr>
            <w:r w:rsidRPr="00AE6EDB">
              <w:rPr>
                <w:b/>
              </w:rPr>
              <w:t>Spolu</w:t>
            </w:r>
          </w:p>
        </w:tc>
        <w:tc>
          <w:tcPr>
            <w:tcW w:w="486" w:type="pct"/>
            <w:vAlign w:val="bottom"/>
          </w:tcPr>
          <w:p w:rsidR="002625B2" w:rsidRPr="00AE6EDB" w:rsidRDefault="002625B2" w:rsidP="002625B2">
            <w:pPr>
              <w:ind w:right="105"/>
              <w:jc w:val="right"/>
              <w:rPr>
                <w:b/>
              </w:rPr>
            </w:pPr>
            <w:r w:rsidRPr="00AE6EDB">
              <w:rPr>
                <w:b/>
              </w:rPr>
              <w:t>858</w:t>
            </w:r>
          </w:p>
        </w:tc>
        <w:tc>
          <w:tcPr>
            <w:tcW w:w="775" w:type="pct"/>
            <w:vAlign w:val="bottom"/>
          </w:tcPr>
          <w:p w:rsidR="002625B2" w:rsidRPr="00AE6EDB" w:rsidRDefault="002625B2" w:rsidP="002625B2">
            <w:pPr>
              <w:ind w:right="105"/>
              <w:jc w:val="right"/>
              <w:rPr>
                <w:b/>
              </w:rPr>
            </w:pPr>
            <w:r w:rsidRPr="00AE6EDB">
              <w:rPr>
                <w:b/>
              </w:rPr>
              <w:t>104,1</w:t>
            </w:r>
          </w:p>
        </w:tc>
        <w:tc>
          <w:tcPr>
            <w:tcW w:w="680" w:type="pct"/>
            <w:vAlign w:val="bottom"/>
          </w:tcPr>
          <w:p w:rsidR="002625B2" w:rsidRPr="00AE6EDB" w:rsidRDefault="002625B2" w:rsidP="002625B2">
            <w:pPr>
              <w:ind w:right="105"/>
              <w:jc w:val="right"/>
              <w:rPr>
                <w:b/>
              </w:rPr>
            </w:pPr>
            <w:r w:rsidRPr="00AE6EDB">
              <w:rPr>
                <w:b/>
              </w:rPr>
              <w:t>104,2</w:t>
            </w:r>
          </w:p>
        </w:tc>
        <w:tc>
          <w:tcPr>
            <w:tcW w:w="486" w:type="pct"/>
            <w:vAlign w:val="bottom"/>
          </w:tcPr>
          <w:p w:rsidR="002625B2" w:rsidRPr="00AE6EDB" w:rsidRDefault="002625B2" w:rsidP="002625B2">
            <w:pPr>
              <w:ind w:right="105"/>
              <w:jc w:val="right"/>
              <w:rPr>
                <w:b/>
              </w:rPr>
            </w:pPr>
            <w:r w:rsidRPr="00AE6EDB">
              <w:rPr>
                <w:b/>
              </w:rPr>
              <w:t>883</w:t>
            </w:r>
          </w:p>
        </w:tc>
        <w:tc>
          <w:tcPr>
            <w:tcW w:w="774" w:type="pct"/>
            <w:vAlign w:val="bottom"/>
          </w:tcPr>
          <w:p w:rsidR="002625B2" w:rsidRPr="00AE6EDB" w:rsidRDefault="002625B2" w:rsidP="002625B2">
            <w:pPr>
              <w:ind w:right="105"/>
              <w:jc w:val="right"/>
              <w:rPr>
                <w:b/>
              </w:rPr>
            </w:pPr>
            <w:r w:rsidRPr="00AE6EDB">
              <w:rPr>
                <w:b/>
              </w:rPr>
              <w:t>102,9</w:t>
            </w:r>
          </w:p>
        </w:tc>
        <w:tc>
          <w:tcPr>
            <w:tcW w:w="578" w:type="pct"/>
            <w:vAlign w:val="bottom"/>
          </w:tcPr>
          <w:p w:rsidR="002625B2" w:rsidRPr="00AE6EDB" w:rsidRDefault="002625B2" w:rsidP="002625B2">
            <w:pPr>
              <w:ind w:right="105"/>
              <w:jc w:val="right"/>
              <w:rPr>
                <w:b/>
              </w:rPr>
            </w:pPr>
            <w:r w:rsidRPr="00AE6EDB">
              <w:rPr>
                <w:b/>
              </w:rPr>
              <w:t>103,2</w:t>
            </w:r>
          </w:p>
        </w:tc>
      </w:tr>
    </w:tbl>
    <w:p w:rsidR="002625B2" w:rsidRPr="00AE6EDB" w:rsidRDefault="002625B2" w:rsidP="002625B2">
      <w:pPr>
        <w:pStyle w:val="zdroj"/>
        <w:ind w:left="284" w:firstLine="0"/>
      </w:pPr>
      <w:r w:rsidRPr="00AE6EDB">
        <w:t>Zdroj: ŠÚ SR, Štatistická správa o základných vývojových tendenciách v hospodárstve SR v 4. štvrťroku 2014, Štatistická správa o základných vývojových tendenciách v hospodárstve SR v 4. štvrťroku 2015</w:t>
      </w:r>
    </w:p>
    <w:p w:rsidR="008100CC" w:rsidRDefault="008100CC" w:rsidP="002625B2">
      <w:pPr>
        <w:jc w:val="left"/>
        <w:rPr>
          <w:highlight w:val="cyan"/>
        </w:rPr>
      </w:pPr>
    </w:p>
    <w:p w:rsidR="002625B2" w:rsidRPr="00AE6EDB" w:rsidRDefault="002625B2" w:rsidP="002625B2">
      <w:pPr>
        <w:pStyle w:val="Nadpis41"/>
      </w:pPr>
      <w:r w:rsidRPr="00AE6EDB">
        <w:t>Priemerná mesačná hrubá mzda v podnikateľskej a nepodnikateľskej sfére</w:t>
      </w:r>
    </w:p>
    <w:p w:rsidR="002625B2" w:rsidRPr="00AE6EDB" w:rsidRDefault="002625B2" w:rsidP="002625B2">
      <w:pPr>
        <w:ind w:firstLine="431"/>
      </w:pPr>
      <w:r w:rsidRPr="00AE6EDB">
        <w:t xml:space="preserve">Systém štvrťročného a ročného štatistického výkazníctva v podnikoch poskytuje základné údaje o počtoch zamestnancov a celkových mzdách, neposkytuje však údaje v detailnejšom členení (napr. podľa tried zamestnaní, veku, praxe, vzdelania, pohlavia), ktoré sú potrebné pre monitorovanie ceny práce. Súčasťou mzdovej štatistiky je preto aj Informačný systém o cene práce (ISCP), ktorého gestorom je MPSVR SR, a ktorý zahŕňa aj pravidelné </w:t>
      </w:r>
      <w:proofErr w:type="spellStart"/>
      <w:r w:rsidRPr="00AE6EDB">
        <w:t>longitudinálne</w:t>
      </w:r>
      <w:proofErr w:type="spellEnd"/>
      <w:r w:rsidRPr="00AE6EDB">
        <w:t xml:space="preserve"> štvrťročné zisťovanie priemer</w:t>
      </w:r>
      <w:r w:rsidRPr="00AE6EDB">
        <w:softHyphen/>
        <w:t>ných hodinových a mesačných zárobkov zamestnancov v detailnom členení</w:t>
      </w:r>
      <w:r w:rsidRPr="00AE6EDB">
        <w:rPr>
          <w:rStyle w:val="Odkaznapoznmkupodiarou"/>
        </w:rPr>
        <w:footnoteReference w:id="21"/>
      </w:r>
      <w:r w:rsidRPr="00AE6EDB">
        <w:t>. Kvôli odlišným zdrojom údajov sa priemerné mzdy zistené z ISCP do istej miery odlišujú od priemernej mzdy zistenej ŠÚ SR na základe výkazníctva.</w:t>
      </w:r>
    </w:p>
    <w:p w:rsidR="002625B2" w:rsidRPr="00AE6EDB" w:rsidRDefault="002625B2" w:rsidP="002625B2">
      <w:pPr>
        <w:ind w:firstLine="567"/>
      </w:pPr>
      <w:r w:rsidRPr="00AE6EDB">
        <w:t xml:space="preserve">Podľa výsledkov celoslovenského výberového zisťovania z ISCP bola v roku 2015 </w:t>
      </w:r>
      <w:r w:rsidRPr="00AE6EDB">
        <w:rPr>
          <w:i/>
        </w:rPr>
        <w:t>priemerná hrubá mesačná mzda</w:t>
      </w:r>
      <w:r w:rsidRPr="00AE6EDB">
        <w:t xml:space="preserve"> v hospodárstve SR </w:t>
      </w:r>
      <w:r w:rsidRPr="00AE6EDB">
        <w:rPr>
          <w:b/>
        </w:rPr>
        <w:t>987</w:t>
      </w:r>
      <w:r w:rsidR="0054295F">
        <w:rPr>
          <w:b/>
        </w:rPr>
        <w:t> eur</w:t>
      </w:r>
      <w:r w:rsidRPr="00AE6EDB">
        <w:t xml:space="preserve">, z toho v podnikateľskej sfére </w:t>
      </w:r>
      <w:r w:rsidR="0054295F">
        <w:t>1 0</w:t>
      </w:r>
      <w:r w:rsidRPr="00AE6EDB">
        <w:t>26</w:t>
      </w:r>
      <w:r w:rsidR="0054295F">
        <w:t> eur</w:t>
      </w:r>
      <w:r w:rsidRPr="00AE6EDB">
        <w:t xml:space="preserve"> a v nepodnikateľskej sfére 863</w:t>
      </w:r>
      <w:r w:rsidR="0054295F">
        <w:t> eur</w:t>
      </w:r>
      <w:r w:rsidRPr="00AE6EDB">
        <w:t>.</w:t>
      </w:r>
    </w:p>
    <w:p w:rsidR="002625B2" w:rsidRPr="00AE6EDB" w:rsidRDefault="002625B2" w:rsidP="002625B2">
      <w:pPr>
        <w:pStyle w:val="Normlnysozarkami1"/>
        <w:ind w:firstLine="567"/>
      </w:pPr>
      <w:r w:rsidRPr="00AE6EDB">
        <w:rPr>
          <w:b/>
        </w:rPr>
        <w:t>Najvyššiu priemernú hrubú mesačnú mzdu</w:t>
      </w:r>
      <w:r w:rsidRPr="00AE6EDB">
        <w:t xml:space="preserve"> v roku 2015 pri zohľadnení </w:t>
      </w:r>
      <w:r w:rsidRPr="00AE6EDB">
        <w:rPr>
          <w:b/>
          <w:i/>
        </w:rPr>
        <w:t>dosiahnutého stupňa vzdelania</w:t>
      </w:r>
      <w:r w:rsidRPr="00AE6EDB">
        <w:t xml:space="preserve"> mali zamestnanci s vysokoškolským vzdelaním II. stupňa – </w:t>
      </w:r>
      <w:r w:rsidR="0054295F">
        <w:t>1 4</w:t>
      </w:r>
      <w:r w:rsidRPr="00AE6EDB">
        <w:t>42</w:t>
      </w:r>
      <w:r w:rsidR="0054295F">
        <w:t> eur</w:t>
      </w:r>
      <w:r w:rsidRPr="00AE6EDB">
        <w:t>, čo predstavovalo 146</w:t>
      </w:r>
      <w:r w:rsidR="005676EF">
        <w:t> %</w:t>
      </w:r>
      <w:r w:rsidRPr="00AE6EDB">
        <w:t xml:space="preserve"> priemernej hrubej mesačnej mzdy v hospodárstve SR. Mzda zamestnancov s vysokoškolským vzdelaním II. stupňa dosiahla v podnikateľskej sfére hodnotu </w:t>
      </w:r>
      <w:r w:rsidR="0054295F">
        <w:t>1 7</w:t>
      </w:r>
      <w:r w:rsidRPr="00AE6EDB">
        <w:t>08</w:t>
      </w:r>
      <w:r w:rsidR="0054295F">
        <w:t> eur</w:t>
      </w:r>
      <w:r w:rsidRPr="00AE6EDB">
        <w:t xml:space="preserve"> a v nepodnikateľskej sfére </w:t>
      </w:r>
      <w:r w:rsidR="0054295F">
        <w:t>1 0</w:t>
      </w:r>
      <w:r w:rsidRPr="00AE6EDB">
        <w:t>60</w:t>
      </w:r>
      <w:r w:rsidR="0054295F">
        <w:t> eur</w:t>
      </w:r>
      <w:r w:rsidRPr="00AE6EDB">
        <w:t xml:space="preserve">. </w:t>
      </w:r>
    </w:p>
    <w:p w:rsidR="002625B2" w:rsidRPr="00AE6EDB" w:rsidRDefault="002625B2" w:rsidP="002625B2">
      <w:pPr>
        <w:pStyle w:val="Normlnysozarkami1"/>
        <w:ind w:firstLine="567"/>
      </w:pPr>
      <w:r w:rsidRPr="00AE6EDB">
        <w:rPr>
          <w:b/>
          <w:i/>
        </w:rPr>
        <w:t>Podľa hlavných tried zamestnaní</w:t>
      </w:r>
      <w:r w:rsidRPr="00AE6EDB">
        <w:t xml:space="preserve"> dosiahli najvyššiu priemernú hrubú mesačnú mzdu zákonodarcovia, vedúci a riadiaci zamestnanci – </w:t>
      </w:r>
      <w:r w:rsidR="0054295F">
        <w:t>2 1</w:t>
      </w:r>
      <w:r w:rsidRPr="00AE6EDB">
        <w:t>72</w:t>
      </w:r>
      <w:r w:rsidR="0054295F">
        <w:t> eur</w:t>
      </w:r>
      <w:r w:rsidRPr="00AE6EDB">
        <w:t xml:space="preserve"> (v podnikateľskej sfére </w:t>
      </w:r>
      <w:r w:rsidR="0054295F">
        <w:t>2 3</w:t>
      </w:r>
      <w:r w:rsidRPr="00AE6EDB">
        <w:t>40</w:t>
      </w:r>
      <w:r w:rsidR="0054295F">
        <w:t> eur</w:t>
      </w:r>
      <w:r w:rsidRPr="00AE6EDB">
        <w:t xml:space="preserve"> a v nepodnikateľskej sfére </w:t>
      </w:r>
      <w:r w:rsidR="0054295F">
        <w:t>1 5</w:t>
      </w:r>
      <w:r w:rsidRPr="00AE6EDB">
        <w:t>45</w:t>
      </w:r>
      <w:r w:rsidR="0054295F">
        <w:t> eur</w:t>
      </w:r>
      <w:r w:rsidRPr="00AE6EDB">
        <w:t xml:space="preserve">). </w:t>
      </w:r>
    </w:p>
    <w:p w:rsidR="002625B2" w:rsidRPr="00AE6EDB" w:rsidRDefault="002625B2" w:rsidP="002625B2">
      <w:pPr>
        <w:pStyle w:val="Normlnysozarkami1"/>
        <w:ind w:firstLine="567"/>
      </w:pPr>
      <w:r w:rsidRPr="00AE6EDB">
        <w:rPr>
          <w:b/>
          <w:i/>
        </w:rPr>
        <w:t>Z hľadiska veku</w:t>
      </w:r>
      <w:r w:rsidRPr="00AE6EDB">
        <w:t xml:space="preserve"> dosiahli najvyššiu priemernú hrubú mesačnú mzdu zamestnanci vo veku </w:t>
      </w:r>
      <w:r w:rsidRPr="00AE6EDB">
        <w:br/>
        <w:t xml:space="preserve">od 35 do 39 rokov – </w:t>
      </w:r>
      <w:r w:rsidR="0054295F">
        <w:t>1 0</w:t>
      </w:r>
      <w:r w:rsidRPr="00AE6EDB">
        <w:t>96</w:t>
      </w:r>
      <w:r w:rsidR="0054295F">
        <w:t> eur</w:t>
      </w:r>
      <w:r w:rsidRPr="00AE6EDB">
        <w:t xml:space="preserve"> (v podnikateľskej sfére vo veku od 35 do 39 rokov </w:t>
      </w:r>
      <w:r w:rsidR="0054295F">
        <w:t>1 1</w:t>
      </w:r>
      <w:r w:rsidRPr="00AE6EDB">
        <w:t>55</w:t>
      </w:r>
      <w:r w:rsidR="0054295F">
        <w:t> eur</w:t>
      </w:r>
      <w:r w:rsidRPr="00AE6EDB">
        <w:t xml:space="preserve"> a v nepodnikateľskej sfére vo veku 60 a viac rokov 923</w:t>
      </w:r>
      <w:r w:rsidR="0054295F">
        <w:t> eur</w:t>
      </w:r>
      <w:r w:rsidRPr="00AE6EDB">
        <w:t xml:space="preserve">) (príloha ku kapitole 2, tabuľka </w:t>
      </w:r>
      <w:r w:rsidR="00681702" w:rsidRPr="00AE6EDB">
        <w:t>7</w:t>
      </w:r>
      <w:r w:rsidRPr="00AE6EDB">
        <w:t xml:space="preserve">). </w:t>
      </w:r>
    </w:p>
    <w:p w:rsidR="002625B2" w:rsidRPr="00AE6EDB" w:rsidRDefault="002625B2" w:rsidP="002625B2">
      <w:pPr>
        <w:pStyle w:val="Normlnysozarkami1"/>
        <w:ind w:firstLine="567"/>
      </w:pPr>
      <w:r w:rsidRPr="00AE6EDB">
        <w:rPr>
          <w:b/>
          <w:i/>
        </w:rPr>
        <w:t>Z regionálneho hľadiska</w:t>
      </w:r>
      <w:r w:rsidRPr="00AE6EDB">
        <w:t xml:space="preserve"> najvyššie priemerné mesačné mzdy poberali zamestnanci v Bratislavskom kraji – </w:t>
      </w:r>
      <w:r w:rsidR="0054295F">
        <w:t>1 3</w:t>
      </w:r>
      <w:r w:rsidRPr="00AE6EDB">
        <w:t>16</w:t>
      </w:r>
      <w:r w:rsidR="0054295F">
        <w:t> eur</w:t>
      </w:r>
      <w:r w:rsidRPr="00AE6EDB">
        <w:t xml:space="preserve"> (v podnikateľskej sfére </w:t>
      </w:r>
      <w:r w:rsidR="0054295F">
        <w:t>1 3</w:t>
      </w:r>
      <w:r w:rsidRPr="00AE6EDB">
        <w:t>90</w:t>
      </w:r>
      <w:r w:rsidR="0054295F">
        <w:t> eur</w:t>
      </w:r>
      <w:r w:rsidRPr="00AE6EDB">
        <w:t xml:space="preserve"> a v nepodnikateľskej sfére </w:t>
      </w:r>
      <w:r w:rsidRPr="00AE6EDB">
        <w:br/>
      </w:r>
      <w:r w:rsidR="0054295F">
        <w:t>1 0</w:t>
      </w:r>
      <w:r w:rsidRPr="00AE6EDB">
        <w:t>04</w:t>
      </w:r>
      <w:r w:rsidR="0054295F">
        <w:t> eur</w:t>
      </w:r>
      <w:r w:rsidRPr="00AE6EDB">
        <w:t xml:space="preserve">) (príloha ku kapitole 2, tabuľka </w:t>
      </w:r>
      <w:r w:rsidR="00681702" w:rsidRPr="00AE6EDB">
        <w:t>8</w:t>
      </w:r>
      <w:r w:rsidRPr="00AE6EDB">
        <w:t xml:space="preserve">). </w:t>
      </w:r>
    </w:p>
    <w:p w:rsidR="002625B2" w:rsidRPr="00AE6EDB" w:rsidRDefault="002625B2" w:rsidP="002625B2">
      <w:pPr>
        <w:pStyle w:val="Normlnysozarkami1"/>
        <w:ind w:firstLine="567"/>
      </w:pPr>
      <w:r w:rsidRPr="00AE6EDB">
        <w:t xml:space="preserve">Pri triedení </w:t>
      </w:r>
      <w:r w:rsidRPr="00AE6EDB">
        <w:rPr>
          <w:b/>
          <w:i/>
        </w:rPr>
        <w:t>podľa druhu</w:t>
      </w:r>
      <w:r w:rsidRPr="00AE6EDB">
        <w:rPr>
          <w:i/>
        </w:rPr>
        <w:t xml:space="preserve"> </w:t>
      </w:r>
      <w:r w:rsidRPr="00AE6EDB">
        <w:rPr>
          <w:b/>
          <w:i/>
        </w:rPr>
        <w:t>vlastníctva</w:t>
      </w:r>
      <w:r w:rsidRPr="00AE6EDB">
        <w:rPr>
          <w:b/>
        </w:rPr>
        <w:t xml:space="preserve"> </w:t>
      </w:r>
      <w:r w:rsidRPr="00AE6EDB">
        <w:t xml:space="preserve">najvyššiu priemernú hrubú mesačnú mzdu mali zamestnanci spoločností so zahraničným vlastníctvom – </w:t>
      </w:r>
      <w:r w:rsidR="0054295F">
        <w:t>1 2</w:t>
      </w:r>
      <w:r w:rsidRPr="00AE6EDB">
        <w:t>38</w:t>
      </w:r>
      <w:r w:rsidR="0054295F">
        <w:t> eur</w:t>
      </w:r>
      <w:r w:rsidRPr="00AE6EDB">
        <w:t xml:space="preserve"> (v podnikateľskej sfére </w:t>
      </w:r>
      <w:r w:rsidRPr="00AE6EDB">
        <w:br/>
      </w:r>
      <w:r w:rsidR="0054295F">
        <w:t>1 2</w:t>
      </w:r>
      <w:r w:rsidRPr="00AE6EDB">
        <w:t>38</w:t>
      </w:r>
      <w:r w:rsidR="0054295F">
        <w:t> eur</w:t>
      </w:r>
      <w:r w:rsidRPr="00AE6EDB">
        <w:t xml:space="preserve"> u zamestnancov spoločností so zahraničným vlastníctvom a v nepodnikateľskej sfére u zamestnancov organizácií so štátnym vlastníctvom 997</w:t>
      </w:r>
      <w:r w:rsidR="0054295F">
        <w:t> eur</w:t>
      </w:r>
      <w:r w:rsidRPr="00AE6EDB">
        <w:t xml:space="preserve">). </w:t>
      </w:r>
    </w:p>
    <w:p w:rsidR="002625B2" w:rsidRPr="00AE6EDB" w:rsidRDefault="002625B2" w:rsidP="002625B2">
      <w:pPr>
        <w:pStyle w:val="Normlnysozarkami1"/>
        <w:ind w:firstLine="567"/>
      </w:pPr>
      <w:r w:rsidRPr="00AE6EDB">
        <w:rPr>
          <w:b/>
        </w:rPr>
        <w:t>Najnižšiu priemernú hrubú mesačnú mzdu</w:t>
      </w:r>
      <w:r w:rsidRPr="00AE6EDB">
        <w:t xml:space="preserve"> v roku 2015 </w:t>
      </w:r>
      <w:r w:rsidRPr="00AE6EDB">
        <w:rPr>
          <w:b/>
          <w:i/>
        </w:rPr>
        <w:t>podľa dosiahnutého</w:t>
      </w:r>
      <w:r w:rsidRPr="00AE6EDB">
        <w:rPr>
          <w:b/>
        </w:rPr>
        <w:t xml:space="preserve"> </w:t>
      </w:r>
      <w:r w:rsidRPr="00AE6EDB">
        <w:rPr>
          <w:b/>
          <w:i/>
        </w:rPr>
        <w:t>stupňa vzdelania</w:t>
      </w:r>
      <w:r w:rsidRPr="00AE6EDB">
        <w:t xml:space="preserve"> mali zamestnanci so základným vzdelaním – 637</w:t>
      </w:r>
      <w:r w:rsidR="0054295F">
        <w:t> eur</w:t>
      </w:r>
      <w:r w:rsidRPr="00AE6EDB">
        <w:t>. Mzda zamestnancov so základným vzdelaním dosiahla v podnikateľskej sfére hodnotu 679</w:t>
      </w:r>
      <w:r w:rsidR="0054295F">
        <w:t> eur</w:t>
      </w:r>
      <w:r w:rsidRPr="00AE6EDB">
        <w:t xml:space="preserve"> a v nepodnikateľskej sfére 482</w:t>
      </w:r>
      <w:r w:rsidR="0054295F">
        <w:t> eur</w:t>
      </w:r>
      <w:r w:rsidRPr="00AE6EDB">
        <w:t xml:space="preserve">. </w:t>
      </w:r>
    </w:p>
    <w:p w:rsidR="002625B2" w:rsidRPr="00AE6EDB" w:rsidRDefault="002625B2" w:rsidP="002625B2">
      <w:pPr>
        <w:pStyle w:val="Normlnysozarkami1"/>
        <w:ind w:firstLine="567"/>
      </w:pPr>
      <w:r w:rsidRPr="00AE6EDB">
        <w:rPr>
          <w:b/>
          <w:i/>
        </w:rPr>
        <w:lastRenderedPageBreak/>
        <w:t>Z pohľadu hlavných tried zamestnaní</w:t>
      </w:r>
      <w:r w:rsidRPr="00AE6EDB">
        <w:t xml:space="preserve"> mali najnižšiu priemernú hrubú mesačnú mzdu pomocní a nekvalifikovaní zamestnanci – 545</w:t>
      </w:r>
      <w:r w:rsidR="0054295F">
        <w:t> eur</w:t>
      </w:r>
      <w:r w:rsidRPr="00AE6EDB">
        <w:t xml:space="preserve"> (v podnikateľskej sfére 591</w:t>
      </w:r>
      <w:r w:rsidR="0054295F">
        <w:t> eur</w:t>
      </w:r>
      <w:r w:rsidRPr="00AE6EDB">
        <w:t xml:space="preserve"> a v nepodnikateľskej sfére 454</w:t>
      </w:r>
      <w:r w:rsidR="0054295F">
        <w:t> eur</w:t>
      </w:r>
      <w:r w:rsidRPr="00AE6EDB">
        <w:t xml:space="preserve">). </w:t>
      </w:r>
    </w:p>
    <w:p w:rsidR="002625B2" w:rsidRPr="00AE6EDB" w:rsidRDefault="002625B2" w:rsidP="002625B2">
      <w:pPr>
        <w:pStyle w:val="Normlnysozarkami1"/>
        <w:ind w:firstLine="567"/>
      </w:pPr>
      <w:r w:rsidRPr="00AE6EDB">
        <w:t xml:space="preserve">Pri triedení </w:t>
      </w:r>
      <w:r w:rsidRPr="00AE6EDB">
        <w:rPr>
          <w:b/>
          <w:i/>
        </w:rPr>
        <w:t>podľa veku</w:t>
      </w:r>
      <w:r w:rsidRPr="00AE6EDB">
        <w:t xml:space="preserve"> najnižšiu priemernú hrubú mesačnú mzdu mali zamestnanci </w:t>
      </w:r>
      <w:r w:rsidRPr="00AE6EDB">
        <w:br/>
        <w:t>do 20 rokov – 584</w:t>
      </w:r>
      <w:r w:rsidR="0054295F">
        <w:t> eur</w:t>
      </w:r>
      <w:r w:rsidRPr="00AE6EDB">
        <w:t xml:space="preserve"> (v podnikateľskej sfére 589</w:t>
      </w:r>
      <w:r w:rsidR="0054295F">
        <w:t> eur</w:t>
      </w:r>
      <w:r w:rsidRPr="00AE6EDB">
        <w:t xml:space="preserve"> a v nepodnikateľskej sfére 477</w:t>
      </w:r>
      <w:r w:rsidR="0054295F">
        <w:t> eur</w:t>
      </w:r>
      <w:r w:rsidRPr="00AE6EDB">
        <w:t xml:space="preserve">). </w:t>
      </w:r>
    </w:p>
    <w:p w:rsidR="002625B2" w:rsidRPr="00AE6EDB" w:rsidRDefault="002625B2" w:rsidP="002625B2">
      <w:pPr>
        <w:pStyle w:val="Normlnysozarkami1"/>
        <w:ind w:firstLine="567"/>
      </w:pPr>
      <w:r w:rsidRPr="00AE6EDB">
        <w:rPr>
          <w:b/>
          <w:i/>
        </w:rPr>
        <w:t>Z hľadiska</w:t>
      </w:r>
      <w:r w:rsidRPr="00AE6EDB">
        <w:t xml:space="preserve"> </w:t>
      </w:r>
      <w:r w:rsidRPr="00AE6EDB">
        <w:rPr>
          <w:b/>
          <w:i/>
        </w:rPr>
        <w:t>druhu vlastníctva</w:t>
      </w:r>
      <w:r w:rsidRPr="00AE6EDB">
        <w:rPr>
          <w:i/>
        </w:rPr>
        <w:t xml:space="preserve"> </w:t>
      </w:r>
      <w:r w:rsidRPr="00AE6EDB">
        <w:t>mali najnižšiu priemernú hrubú mesačnú mzdu zamestnanci vo</w:t>
      </w:r>
      <w:r w:rsidR="00DE5247" w:rsidRPr="00AE6EDB">
        <w:t> </w:t>
      </w:r>
      <w:r w:rsidRPr="00AE6EDB">
        <w:t>vlastníctve združení, politických strán a cirkví – 758</w:t>
      </w:r>
      <w:r w:rsidR="0054295F">
        <w:t> eur</w:t>
      </w:r>
      <w:r w:rsidRPr="00AE6EDB">
        <w:t xml:space="preserve"> (v podnikateľskej sfére zamestnanci družstevných organizácií 775</w:t>
      </w:r>
      <w:r w:rsidR="0054295F">
        <w:t> eur</w:t>
      </w:r>
      <w:r w:rsidRPr="00AE6EDB">
        <w:t xml:space="preserve"> a v nepodnikateľskej sfére zamestnanci združení, politických strán a cirkví 720</w:t>
      </w:r>
      <w:r w:rsidR="0054295F">
        <w:t> eur</w:t>
      </w:r>
      <w:r w:rsidRPr="00AE6EDB">
        <w:t xml:space="preserve">). </w:t>
      </w:r>
    </w:p>
    <w:p w:rsidR="002625B2" w:rsidRPr="00AE6EDB" w:rsidRDefault="002625B2" w:rsidP="002625B2">
      <w:pPr>
        <w:pStyle w:val="Normlnysozarkami1"/>
        <w:ind w:firstLine="567"/>
      </w:pPr>
      <w:r w:rsidRPr="00AE6EDB">
        <w:rPr>
          <w:b/>
          <w:i/>
        </w:rPr>
        <w:t>Z regionálneho hľadiska</w:t>
      </w:r>
      <w:r w:rsidRPr="00AE6EDB">
        <w:t xml:space="preserve"> najnižšie priemerné mesačné hrubé mzdy poberali zamestnanci v Prešovskom kraji – 788</w:t>
      </w:r>
      <w:r w:rsidR="0054295F">
        <w:t> eur</w:t>
      </w:r>
      <w:r w:rsidRPr="00AE6EDB">
        <w:t xml:space="preserve"> (v podnikateľskej sfére v Prešovskom kraji 777</w:t>
      </w:r>
      <w:r w:rsidR="0054295F">
        <w:t> eur</w:t>
      </w:r>
      <w:r w:rsidRPr="00AE6EDB">
        <w:t xml:space="preserve"> a v nepodnikateľskej sfére v Nitrianskom kraji 813</w:t>
      </w:r>
      <w:r w:rsidR="0054295F">
        <w:t> eur</w:t>
      </w:r>
      <w:r w:rsidRPr="00AE6EDB">
        <w:t>).</w:t>
      </w:r>
    </w:p>
    <w:p w:rsidR="002625B2" w:rsidRPr="00AE6EDB" w:rsidRDefault="002625B2" w:rsidP="002625B2">
      <w:pPr>
        <w:pStyle w:val="Normlnysozarkami1"/>
        <w:ind w:firstLine="567"/>
      </w:pPr>
      <w:r w:rsidRPr="00AE6EDB">
        <w:t xml:space="preserve">Z analýzy </w:t>
      </w:r>
      <w:r w:rsidRPr="00AE6EDB">
        <w:rPr>
          <w:b/>
        </w:rPr>
        <w:t xml:space="preserve">podielu jednotlivých zložiek celkovej priemernej hrubej mesačnej mzdy </w:t>
      </w:r>
      <w:r w:rsidRPr="00AE6EDB">
        <w:t>v roku 2015 (987</w:t>
      </w:r>
      <w:r w:rsidR="0054295F">
        <w:t> eur</w:t>
      </w:r>
      <w:r w:rsidRPr="00AE6EDB">
        <w:t>) je zrejmé, že najvyšší podiel tvorila základná mzda (67</w:t>
      </w:r>
      <w:r w:rsidR="005676EF">
        <w:t> %</w:t>
      </w:r>
      <w:r w:rsidRPr="00AE6EDB">
        <w:t>). Ďalšou významnou zložkou priemernej hrubej mesačnej mzdy boli náhrady mzdy, ktoré predstavovali 12</w:t>
      </w:r>
      <w:r w:rsidR="005676EF">
        <w:t> %</w:t>
      </w:r>
      <w:r w:rsidRPr="00AE6EDB">
        <w:t xml:space="preserve"> a tretiu najvyššiu zložku tvorili prémie a odmeny (11</w:t>
      </w:r>
      <w:r w:rsidR="005676EF">
        <w:t> %</w:t>
      </w:r>
      <w:r w:rsidRPr="00AE6EDB">
        <w:t xml:space="preserve">). (príloha ku kapitole 2, tabuľka </w:t>
      </w:r>
      <w:r w:rsidR="00681702" w:rsidRPr="00AE6EDB">
        <w:t>9</w:t>
      </w:r>
      <w:r w:rsidRPr="00AE6EDB">
        <w:t>).</w:t>
      </w:r>
    </w:p>
    <w:p w:rsidR="002625B2" w:rsidRPr="00AE6EDB" w:rsidRDefault="002625B2" w:rsidP="002625B2">
      <w:pPr>
        <w:pStyle w:val="Normlnysozarkami1"/>
        <w:ind w:firstLine="567"/>
      </w:pPr>
      <w:r w:rsidRPr="00AE6EDB">
        <w:rPr>
          <w:b/>
        </w:rPr>
        <w:t>Podľa rodového členenia</w:t>
      </w:r>
      <w:r w:rsidRPr="00AE6EDB">
        <w:t xml:space="preserve"> údajov o odmeňovaní priemerná hrubá mesačná mzda v roku 2015 u mužov bola </w:t>
      </w:r>
      <w:r w:rsidR="0054295F">
        <w:t>1 1</w:t>
      </w:r>
      <w:r w:rsidRPr="00AE6EDB">
        <w:t>08</w:t>
      </w:r>
      <w:r w:rsidR="0054295F">
        <w:t> eur</w:t>
      </w:r>
      <w:r w:rsidRPr="00AE6EDB">
        <w:t xml:space="preserve"> (v podnikateľskej sfére </w:t>
      </w:r>
      <w:r w:rsidR="0054295F">
        <w:t>1 1</w:t>
      </w:r>
      <w:r w:rsidRPr="00AE6EDB">
        <w:t>32</w:t>
      </w:r>
      <w:r w:rsidR="0054295F">
        <w:t> eur</w:t>
      </w:r>
      <w:r w:rsidRPr="00AE6EDB">
        <w:t xml:space="preserve"> a v nepodnikateľskej sfére 942</w:t>
      </w:r>
      <w:r w:rsidR="0054295F">
        <w:t> eur</w:t>
      </w:r>
      <w:r w:rsidRPr="00AE6EDB">
        <w:t>) a u žien 861</w:t>
      </w:r>
      <w:r w:rsidR="0054295F">
        <w:t> eur</w:t>
      </w:r>
      <w:r w:rsidRPr="00AE6EDB">
        <w:t xml:space="preserve"> (v podnikateľskej sfére 875</w:t>
      </w:r>
      <w:r w:rsidR="0054295F">
        <w:t> eur</w:t>
      </w:r>
      <w:r w:rsidRPr="00AE6EDB">
        <w:t xml:space="preserve"> a v nepodnikateľskej sfére 834</w:t>
      </w:r>
      <w:r w:rsidR="0054295F">
        <w:t> eur</w:t>
      </w:r>
      <w:r w:rsidRPr="00AE6EDB">
        <w:t>). Priemerná hrubá mesačná mzda žien teda predstavovala 77,7</w:t>
      </w:r>
      <w:r w:rsidR="005676EF">
        <w:t> %</w:t>
      </w:r>
      <w:r w:rsidRPr="00AE6EDB">
        <w:t xml:space="preserve"> priemernej hrubej mesačnej mzdy mužov, kým v rovnakom období minulého roka to bolo 76,9</w:t>
      </w:r>
      <w:r w:rsidR="005676EF">
        <w:t> %</w:t>
      </w:r>
      <w:r w:rsidRPr="00AE6EDB">
        <w:t>.</w:t>
      </w:r>
    </w:p>
    <w:p w:rsidR="002625B2" w:rsidRPr="00AE6EDB" w:rsidRDefault="002625B2" w:rsidP="002625B2">
      <w:pPr>
        <w:pStyle w:val="Normlnysozarkami1"/>
        <w:ind w:firstLine="567"/>
      </w:pPr>
      <w:r w:rsidRPr="00AE6EDB">
        <w:t>Výškou dosiahnutých miezd sa najviac približujú muži a žen</w:t>
      </w:r>
      <w:r w:rsidR="003A1F1F">
        <w:t>y</w:t>
      </w:r>
      <w:r w:rsidRPr="00AE6EDB">
        <w:t xml:space="preserve"> v hlavnej triede 6 kvalifikovaní pracovníci v poľnohospodárstve, lesníctve a rybolove. V hlavnej triede 1 zákonodarcovia, riadiaci</w:t>
      </w:r>
      <w:r w:rsidR="00B811E2" w:rsidRPr="00AE6EDB">
        <w:t xml:space="preserve"> </w:t>
      </w:r>
      <w:r w:rsidRPr="00AE6EDB">
        <w:t>pracovníci je najvýraznejšia diferenciácia medzi pohlaviami.</w:t>
      </w:r>
    </w:p>
    <w:p w:rsidR="002625B2" w:rsidRPr="00AE6EDB" w:rsidRDefault="002625B2" w:rsidP="002625B2">
      <w:pPr>
        <w:pStyle w:val="Normlnysozarkami1"/>
        <w:ind w:firstLine="567"/>
      </w:pPr>
      <w:r w:rsidRPr="00AE6EDB">
        <w:rPr>
          <w:b/>
          <w:i/>
        </w:rPr>
        <w:t>Podľa stupňa dosiahnutého vzdelania</w:t>
      </w:r>
      <w:r w:rsidRPr="00AE6EDB">
        <w:rPr>
          <w:b/>
        </w:rPr>
        <w:t xml:space="preserve"> </w:t>
      </w:r>
      <w:r w:rsidRPr="00AE6EDB">
        <w:t>v roku 2015 dosahovali najvyššiu priemernú mesačnú mzdu ženy pracujúce na plný pracovný čas s vysokoškolským vzdelaním III. stupňa v podnikateľskej sfére (</w:t>
      </w:r>
      <w:r w:rsidR="0054295F">
        <w:t>1 7</w:t>
      </w:r>
      <w:r w:rsidRPr="00AE6EDB">
        <w:t>58</w:t>
      </w:r>
      <w:r w:rsidR="0054295F">
        <w:t> eur</w:t>
      </w:r>
      <w:r w:rsidRPr="00AE6EDB">
        <w:t>) a v nepodnikateľskej sfére (</w:t>
      </w:r>
      <w:r w:rsidR="0054295F">
        <w:t>1 2</w:t>
      </w:r>
      <w:r w:rsidRPr="00AE6EDB">
        <w:t>75</w:t>
      </w:r>
      <w:r w:rsidR="0054295F">
        <w:t> eur</w:t>
      </w:r>
      <w:r w:rsidRPr="00AE6EDB">
        <w:t>). Muži s vysokoškolským vzdelaním III. stupňa poberali najvyššiu priemernú mesačnú mzdu v podnikateľskej sfére (</w:t>
      </w:r>
      <w:r w:rsidR="0054295F">
        <w:t>2 6</w:t>
      </w:r>
      <w:r w:rsidRPr="00AE6EDB">
        <w:t>69</w:t>
      </w:r>
      <w:r w:rsidR="0054295F">
        <w:t> eur</w:t>
      </w:r>
      <w:r w:rsidRPr="00AE6EDB">
        <w:t>) i v nepodnikateľskej sfére (</w:t>
      </w:r>
      <w:r w:rsidR="0054295F">
        <w:t>1 4</w:t>
      </w:r>
      <w:r w:rsidRPr="00AE6EDB">
        <w:t>56</w:t>
      </w:r>
      <w:r w:rsidR="0054295F">
        <w:t> eur</w:t>
      </w:r>
      <w:r w:rsidRPr="00AE6EDB">
        <w:t>). Najnižšie priemerné mesačné mzdy poberali zamestnanci v podnikateľskej aj nepodnikateľskej sfére so základným vzdelaním. Najväčšie rozdiely podľa vzdelania medzi podnikateľskou a nepodnikateľskou sférou sú v mzdách mužov s vysokoškolskou kvalifikáciou III. stupňa, kde tento rozdiel predstavoval až 946</w:t>
      </w:r>
      <w:r w:rsidR="0054295F">
        <w:t> eur</w:t>
      </w:r>
      <w:r w:rsidRPr="00AE6EDB">
        <w:t>. Rozdiel medzi zárobkami žien v tejto kategórii bol 483</w:t>
      </w:r>
      <w:r w:rsidR="0054295F">
        <w:t> eur</w:t>
      </w:r>
      <w:r w:rsidRPr="00AE6EDB">
        <w:t xml:space="preserve"> (príloha ku kapitole 2, tabuľka </w:t>
      </w:r>
      <w:r w:rsidR="00681702" w:rsidRPr="00AE6EDB">
        <w:t>10</w:t>
      </w:r>
      <w:r w:rsidRPr="00AE6EDB">
        <w:t>)</w:t>
      </w:r>
      <w:r w:rsidR="00D15CD4">
        <w:t>.</w:t>
      </w:r>
    </w:p>
    <w:p w:rsidR="002625B2" w:rsidRPr="00AE6EDB" w:rsidRDefault="002625B2" w:rsidP="002625B2">
      <w:pPr>
        <w:pStyle w:val="Normlnysozarkami1"/>
        <w:ind w:firstLine="567"/>
      </w:pPr>
      <w:r w:rsidRPr="00AE6EDB">
        <w:t xml:space="preserve">Z pohľadu </w:t>
      </w:r>
      <w:r w:rsidRPr="00AE6EDB">
        <w:rPr>
          <w:b/>
          <w:i/>
        </w:rPr>
        <w:t>hlavných tried SK ISCO-08</w:t>
      </w:r>
      <w:r w:rsidRPr="00AE6EDB">
        <w:t xml:space="preserve"> muži aj ženy pracujúci na plný pracovný čas zarábali v podnikateľskej aj nepodnikateľskej sfére v priemere najviac v triede 1 </w:t>
      </w:r>
      <w:r w:rsidRPr="00AE6EDB">
        <w:rPr>
          <w:color w:val="000000" w:themeColor="text1"/>
        </w:rPr>
        <w:t>–</w:t>
      </w:r>
      <w:r w:rsidRPr="00AE6EDB">
        <w:t xml:space="preserve"> zákonodarcovia, vedúci a riadiaci zamestnanci. Muži zarábali v priemere najmenej v triede 9 – pomocní a nekvalifikovaní zamestnanci (v podnikateľskej sfére 675</w:t>
      </w:r>
      <w:r w:rsidR="0054295F">
        <w:t> eur</w:t>
      </w:r>
      <w:r w:rsidRPr="00AE6EDB">
        <w:t xml:space="preserve"> a v nepodnikateľskej sfére 526</w:t>
      </w:r>
      <w:r w:rsidR="0054295F">
        <w:t> eur</w:t>
      </w:r>
      <w:r w:rsidRPr="00AE6EDB">
        <w:t xml:space="preserve">). U žien boli v priemere najnižšie mzdy, rovnako ako u mužov, v triede 9 </w:t>
      </w:r>
      <w:r w:rsidRPr="00AE6EDB">
        <w:rPr>
          <w:color w:val="000000" w:themeColor="text1"/>
        </w:rPr>
        <w:t>–</w:t>
      </w:r>
      <w:r w:rsidRPr="00AE6EDB">
        <w:t xml:space="preserve"> pomocní a nekvalifikovaní zamestnanci (v podnikateľskej sfére 550</w:t>
      </w:r>
      <w:r w:rsidR="0054295F">
        <w:t> eur</w:t>
      </w:r>
      <w:r w:rsidRPr="00AE6EDB">
        <w:t xml:space="preserve"> a v nepodnikateľskej sfére 463</w:t>
      </w:r>
      <w:r w:rsidR="0054295F">
        <w:t> eur</w:t>
      </w:r>
      <w:r w:rsidRPr="00AE6EDB">
        <w:t>) (príloha ku kapitole 2, tabuľka </w:t>
      </w:r>
      <w:r w:rsidR="001451D7" w:rsidRPr="00AE6EDB">
        <w:t>1</w:t>
      </w:r>
      <w:r w:rsidR="00681702" w:rsidRPr="00AE6EDB">
        <w:t>1</w:t>
      </w:r>
      <w:r w:rsidRPr="00AE6EDB">
        <w:t>).</w:t>
      </w:r>
    </w:p>
    <w:p w:rsidR="002625B2" w:rsidRPr="00AE6EDB" w:rsidRDefault="002625B2" w:rsidP="002625B2">
      <w:pPr>
        <w:pStyle w:val="Normlnysozarkami1"/>
        <w:ind w:firstLine="567"/>
      </w:pPr>
      <w:r w:rsidRPr="00AE6EDB">
        <w:t>V súlade s vyššie uvedenými výsledkami porovnávania zárobkov zamestnancov v podnikateľskej a nepodnikateľskej sfére vychádza už dlhodobo priaznivejší výsledok v prospech podnikateľskej sféry. Najväčšie rozdiely v platoch u mužov aj u žien sú u vedúcich, riadiacich zamestnancov. Muži v podnikateľskej sfére zarábajú o 762</w:t>
      </w:r>
      <w:r w:rsidR="0054295F">
        <w:t> eur</w:t>
      </w:r>
      <w:r w:rsidRPr="00AE6EDB">
        <w:t xml:space="preserve"> viac a ženy o 485</w:t>
      </w:r>
      <w:r w:rsidR="0054295F">
        <w:t> eur</w:t>
      </w:r>
      <w:r w:rsidRPr="00AE6EDB">
        <w:t xml:space="preserve"> viac ako v nepodnikateľskej sfére. </w:t>
      </w:r>
    </w:p>
    <w:p w:rsidR="002625B2" w:rsidRPr="00AE6EDB" w:rsidRDefault="002625B2" w:rsidP="00D15CD4">
      <w:pPr>
        <w:ind w:firstLine="431"/>
      </w:pPr>
      <w:r w:rsidRPr="00AE6EDB">
        <w:t>Z celkového počtu zamestnancov (</w:t>
      </w:r>
      <w:r w:rsidR="0054295F">
        <w:t>1 1</w:t>
      </w:r>
      <w:r w:rsidRPr="00AE6EDB">
        <w:t>4</w:t>
      </w:r>
      <w:r w:rsidR="00AC44CB">
        <w:t>8 4</w:t>
      </w:r>
      <w:r w:rsidRPr="00AE6EDB">
        <w:t>83) vo výberovom súbore Informačného systému o cene práce v roku 2015, bez ohľadu na dĺžku pracovného času, poberalo 66,65</w:t>
      </w:r>
      <w:r w:rsidR="005676EF">
        <w:t> %</w:t>
      </w:r>
      <w:r w:rsidRPr="00AE6EDB">
        <w:t xml:space="preserve"> zamestnancov nižšiu mzdu ako zistený celorepublikový priemer 987</w:t>
      </w:r>
      <w:r w:rsidR="0054295F">
        <w:t> eur</w:t>
      </w:r>
      <w:r w:rsidRPr="00AE6EDB">
        <w:t>. Z počtu zamestnancov pracujúcich na plný pracovný čas poberalo minimálnu mzdu 1,66</w:t>
      </w:r>
      <w:r w:rsidR="00411759">
        <w:t> </w:t>
      </w:r>
      <w:r w:rsidRPr="00AE6EDB">
        <w:t>% zamestnancov</w:t>
      </w:r>
      <w:r w:rsidR="00D15CD4">
        <w:t xml:space="preserve"> </w:t>
      </w:r>
      <w:r w:rsidRPr="00AE6EDB">
        <w:t xml:space="preserve">(príloha ku kapitole 2, tabuľky </w:t>
      </w:r>
      <w:r w:rsidR="00D15CD4">
        <w:t xml:space="preserve">           </w:t>
      </w:r>
      <w:r w:rsidRPr="00AE6EDB">
        <w:t>1</w:t>
      </w:r>
      <w:r w:rsidR="00681702" w:rsidRPr="00AE6EDB">
        <w:t>2</w:t>
      </w:r>
      <w:r w:rsidRPr="00AE6EDB">
        <w:t xml:space="preserve"> až 1</w:t>
      </w:r>
      <w:r w:rsidR="00681702" w:rsidRPr="00AE6EDB">
        <w:t>7</w:t>
      </w:r>
      <w:r w:rsidRPr="00AE6EDB">
        <w:t>)</w:t>
      </w:r>
      <w:r w:rsidR="00D15CD4">
        <w:t>.</w:t>
      </w:r>
    </w:p>
    <w:p w:rsidR="002625B2" w:rsidRPr="00AE6EDB" w:rsidRDefault="002625B2" w:rsidP="002625B2">
      <w:pPr>
        <w:jc w:val="left"/>
        <w:rPr>
          <w:highlight w:val="cyan"/>
        </w:rPr>
      </w:pPr>
      <w:r w:rsidRPr="00AE6EDB">
        <w:rPr>
          <w:highlight w:val="cyan"/>
        </w:rPr>
        <w:br w:type="page"/>
      </w:r>
    </w:p>
    <w:p w:rsidR="002625B2" w:rsidRPr="00AE6EDB" w:rsidRDefault="002625B2" w:rsidP="002625B2">
      <w:pPr>
        <w:pStyle w:val="Nadpis6"/>
      </w:pPr>
      <w:bookmarkStart w:id="115" w:name="_Toc422233410"/>
      <w:bookmarkStart w:id="116" w:name="_Toc452469867"/>
      <w:r w:rsidRPr="00AE6EDB">
        <w:lastRenderedPageBreak/>
        <w:t>Úplné náklady práce</w:t>
      </w:r>
      <w:bookmarkEnd w:id="115"/>
      <w:bookmarkEnd w:id="116"/>
      <w:r w:rsidRPr="00AE6EDB">
        <w:t xml:space="preserve"> </w:t>
      </w:r>
    </w:p>
    <w:p w:rsidR="002625B2" w:rsidRPr="00AE6EDB" w:rsidRDefault="002625B2" w:rsidP="002625B2">
      <w:pPr>
        <w:ind w:firstLine="431"/>
      </w:pPr>
      <w:r w:rsidRPr="00AE6EDB">
        <w:t xml:space="preserve">Podľa údajov Štatistického úradu SR (údaje sú v čase spracovania správy dostupné len za rok 2014) ročné </w:t>
      </w:r>
      <w:r w:rsidRPr="00AE6EDB">
        <w:rPr>
          <w:b/>
          <w:bCs/>
        </w:rPr>
        <w:t>úplné náklady práce</w:t>
      </w:r>
      <w:r w:rsidRPr="00AE6EDB">
        <w:t xml:space="preserve"> medziročne </w:t>
      </w:r>
      <w:r w:rsidRPr="00AE6EDB">
        <w:rPr>
          <w:b/>
        </w:rPr>
        <w:t>vzrástli o 4,7</w:t>
      </w:r>
      <w:r w:rsidR="005676EF">
        <w:rPr>
          <w:b/>
        </w:rPr>
        <w:t> %</w:t>
      </w:r>
      <w:r w:rsidRPr="00AE6EDB">
        <w:t xml:space="preserve"> na 1</w:t>
      </w:r>
      <w:r w:rsidR="00AC44CB">
        <w:t>5 7</w:t>
      </w:r>
      <w:r w:rsidRPr="00AE6EDB">
        <w:t>21</w:t>
      </w:r>
      <w:r w:rsidR="0054295F">
        <w:t> eur</w:t>
      </w:r>
      <w:r w:rsidRPr="00AE6EDB">
        <w:t xml:space="preserve"> na zamestnanca. </w:t>
      </w:r>
    </w:p>
    <w:p w:rsidR="002625B2" w:rsidRPr="00AE6EDB" w:rsidRDefault="002625B2" w:rsidP="002625B2">
      <w:pPr>
        <w:pStyle w:val="Normlnysozarkami1"/>
        <w:ind w:firstLine="431"/>
      </w:pPr>
      <w:r w:rsidRPr="00AE6EDB">
        <w:t>Z celkových nákladov práce v roku 2014 tvoril súhrn priamych nákladov 72,76</w:t>
      </w:r>
      <w:r w:rsidR="005676EF">
        <w:t> %</w:t>
      </w:r>
      <w:r w:rsidRPr="00AE6EDB">
        <w:t xml:space="preserve"> a nepriamych nákladov 27,38</w:t>
      </w:r>
      <w:r w:rsidR="005676EF">
        <w:t> %</w:t>
      </w:r>
      <w:r w:rsidRPr="00AE6EDB">
        <w:t xml:space="preserve">, od ktorých sa odpočítavajú subvencie prijaté zamestnávateľom vo forme dotácií </w:t>
      </w:r>
      <w:r w:rsidRPr="00AE6EDB">
        <w:br/>
        <w:t>(-0,14</w:t>
      </w:r>
      <w:r w:rsidR="005676EF">
        <w:t> %</w:t>
      </w:r>
      <w:r w:rsidRPr="00AE6EDB">
        <w:t xml:space="preserve">). </w:t>
      </w:r>
    </w:p>
    <w:p w:rsidR="002625B2" w:rsidRPr="00AE6EDB" w:rsidRDefault="002625B2" w:rsidP="002625B2">
      <w:pPr>
        <w:pStyle w:val="Nadpis7"/>
      </w:pPr>
      <w:r w:rsidRPr="00AE6EDB">
        <w:t>Tabuľka 2.20 Dynamika ročných nákladov práce v SR na zamestnanca (v eurách)</w:t>
      </w:r>
    </w:p>
    <w:tbl>
      <w:tblPr>
        <w:tblW w:w="3890" w:type="pct"/>
        <w:jc w:val="center"/>
        <w:tblBorders>
          <w:top w:val="single" w:sz="8" w:space="0" w:color="A42C1E" w:themeColor="accent2" w:themeShade="BF"/>
          <w:left w:val="single" w:sz="8" w:space="0" w:color="A42C1E" w:themeColor="accent2" w:themeShade="BF"/>
          <w:bottom w:val="single" w:sz="8" w:space="0" w:color="A42C1E" w:themeColor="accent2" w:themeShade="BF"/>
          <w:right w:val="single" w:sz="8" w:space="0" w:color="A42C1E" w:themeColor="accent2" w:themeShade="BF"/>
          <w:insideH w:val="single" w:sz="6" w:space="0" w:color="A42C1E" w:themeColor="accent2" w:themeShade="BF"/>
        </w:tblBorders>
        <w:tblLook w:val="01E0" w:firstRow="1" w:lastRow="1" w:firstColumn="1" w:lastColumn="1" w:noHBand="0" w:noVBand="0"/>
      </w:tblPr>
      <w:tblGrid>
        <w:gridCol w:w="2101"/>
        <w:gridCol w:w="1031"/>
        <w:gridCol w:w="1031"/>
        <w:gridCol w:w="1030"/>
        <w:gridCol w:w="1017"/>
        <w:gridCol w:w="1016"/>
      </w:tblGrid>
      <w:tr w:rsidR="00575B81" w:rsidRPr="00AE6EDB" w:rsidTr="00575B81">
        <w:trPr>
          <w:jc w:val="center"/>
        </w:trPr>
        <w:tc>
          <w:tcPr>
            <w:tcW w:w="1452"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rPr>
                <w:b/>
                <w:color w:val="FFFFFF" w:themeColor="background1"/>
              </w:rPr>
            </w:pPr>
            <w:r w:rsidRPr="00AE6EDB">
              <w:rPr>
                <w:b/>
                <w:color w:val="FFFFFF" w:themeColor="background1"/>
              </w:rPr>
              <w:t>Druh nákladov</w:t>
            </w:r>
          </w:p>
        </w:tc>
        <w:tc>
          <w:tcPr>
            <w:tcW w:w="713"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jc w:val="center"/>
              <w:rPr>
                <w:b/>
                <w:color w:val="FFFFFF" w:themeColor="background1"/>
              </w:rPr>
            </w:pPr>
            <w:r w:rsidRPr="00AE6EDB">
              <w:rPr>
                <w:b/>
                <w:color w:val="FFFFFF" w:themeColor="background1"/>
              </w:rPr>
              <w:t>2010</w:t>
            </w:r>
          </w:p>
        </w:tc>
        <w:tc>
          <w:tcPr>
            <w:tcW w:w="713"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jc w:val="center"/>
              <w:rPr>
                <w:b/>
                <w:color w:val="FFFFFF" w:themeColor="background1"/>
              </w:rPr>
            </w:pPr>
            <w:r w:rsidRPr="00AE6EDB">
              <w:rPr>
                <w:b/>
                <w:color w:val="FFFFFF" w:themeColor="background1"/>
              </w:rPr>
              <w:t>2011</w:t>
            </w:r>
          </w:p>
        </w:tc>
        <w:tc>
          <w:tcPr>
            <w:tcW w:w="713"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jc w:val="center"/>
              <w:rPr>
                <w:b/>
                <w:color w:val="FFFFFF" w:themeColor="background1"/>
              </w:rPr>
            </w:pPr>
            <w:r w:rsidRPr="00AE6EDB">
              <w:rPr>
                <w:b/>
                <w:color w:val="FFFFFF" w:themeColor="background1"/>
              </w:rPr>
              <w:t>2012</w:t>
            </w:r>
          </w:p>
        </w:tc>
        <w:tc>
          <w:tcPr>
            <w:tcW w:w="704"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jc w:val="center"/>
              <w:rPr>
                <w:b/>
                <w:color w:val="FFFFFF" w:themeColor="background1"/>
              </w:rPr>
            </w:pPr>
            <w:r w:rsidRPr="00AE6EDB">
              <w:rPr>
                <w:b/>
                <w:color w:val="FFFFFF" w:themeColor="background1"/>
              </w:rPr>
              <w:t>2013</w:t>
            </w:r>
          </w:p>
        </w:tc>
        <w:tc>
          <w:tcPr>
            <w:tcW w:w="703" w:type="pct"/>
            <w:tcBorders>
              <w:top w:val="single" w:sz="8" w:space="0" w:color="A42C1E" w:themeColor="accent2" w:themeShade="BF"/>
              <w:bottom w:val="single" w:sz="6" w:space="0" w:color="A42C1E" w:themeColor="accent2" w:themeShade="BF"/>
            </w:tcBorders>
            <w:shd w:val="clear" w:color="auto" w:fill="BF0000" w:themeFill="accent3" w:themeFillShade="BF"/>
          </w:tcPr>
          <w:p w:rsidR="00575B81" w:rsidRPr="00AE6EDB" w:rsidRDefault="00575B81" w:rsidP="002625B2">
            <w:pPr>
              <w:jc w:val="center"/>
              <w:rPr>
                <w:b/>
                <w:color w:val="FFFFFF" w:themeColor="background1"/>
              </w:rPr>
            </w:pPr>
            <w:r w:rsidRPr="00AE6EDB">
              <w:rPr>
                <w:b/>
                <w:color w:val="FFFFFF" w:themeColor="background1"/>
              </w:rPr>
              <w:t>2014</w:t>
            </w:r>
          </w:p>
        </w:tc>
      </w:tr>
      <w:tr w:rsidR="00575B81" w:rsidRPr="00AE6EDB" w:rsidTr="00575B81">
        <w:trPr>
          <w:jc w:val="center"/>
        </w:trPr>
        <w:tc>
          <w:tcPr>
            <w:tcW w:w="1452" w:type="pct"/>
            <w:tcBorders>
              <w:top w:val="single" w:sz="6" w:space="0" w:color="A42C1E" w:themeColor="accent2" w:themeShade="BF"/>
            </w:tcBorders>
          </w:tcPr>
          <w:p w:rsidR="00575B81" w:rsidRPr="00AE6EDB" w:rsidRDefault="00575B81" w:rsidP="002625B2">
            <w:r w:rsidRPr="00AE6EDB">
              <w:t>Náklady práce spolu</w:t>
            </w:r>
          </w:p>
          <w:p w:rsidR="00575B81" w:rsidRPr="00AE6EDB" w:rsidRDefault="00575B81" w:rsidP="002625B2">
            <w:r w:rsidRPr="00AE6EDB">
              <w:t>z toho náklady:</w:t>
            </w:r>
          </w:p>
        </w:tc>
        <w:tc>
          <w:tcPr>
            <w:tcW w:w="713" w:type="pct"/>
            <w:tcBorders>
              <w:top w:val="single" w:sz="6" w:space="0" w:color="A42C1E" w:themeColor="accent2" w:themeShade="BF"/>
            </w:tcBorders>
            <w:vAlign w:val="bottom"/>
          </w:tcPr>
          <w:p w:rsidR="00575B81" w:rsidRPr="00AE6EDB" w:rsidRDefault="00575B81" w:rsidP="002625B2">
            <w:pPr>
              <w:jc w:val="right"/>
            </w:pPr>
            <w:r w:rsidRPr="00AE6EDB">
              <w:t>1</w:t>
            </w:r>
            <w:r w:rsidR="0054295F">
              <w:t>3 4</w:t>
            </w:r>
            <w:r w:rsidRPr="00AE6EDB">
              <w:t>82</w:t>
            </w:r>
          </w:p>
        </w:tc>
        <w:tc>
          <w:tcPr>
            <w:tcW w:w="713" w:type="pct"/>
            <w:tcBorders>
              <w:top w:val="single" w:sz="6" w:space="0" w:color="A42C1E" w:themeColor="accent2" w:themeShade="BF"/>
            </w:tcBorders>
            <w:vAlign w:val="bottom"/>
          </w:tcPr>
          <w:p w:rsidR="00575B81" w:rsidRPr="00AE6EDB" w:rsidRDefault="00575B81" w:rsidP="002625B2">
            <w:pPr>
              <w:jc w:val="right"/>
            </w:pPr>
            <w:r w:rsidRPr="00AE6EDB">
              <w:t>1</w:t>
            </w:r>
            <w:r w:rsidR="0054295F">
              <w:t>4 0</w:t>
            </w:r>
            <w:r w:rsidRPr="00AE6EDB">
              <w:t>64</w:t>
            </w:r>
          </w:p>
        </w:tc>
        <w:tc>
          <w:tcPr>
            <w:tcW w:w="713" w:type="pct"/>
            <w:tcBorders>
              <w:top w:val="single" w:sz="6" w:space="0" w:color="A42C1E" w:themeColor="accent2" w:themeShade="BF"/>
            </w:tcBorders>
            <w:vAlign w:val="bottom"/>
          </w:tcPr>
          <w:p w:rsidR="00575B81" w:rsidRPr="00AE6EDB" w:rsidRDefault="00575B81" w:rsidP="002625B2">
            <w:pPr>
              <w:jc w:val="right"/>
            </w:pPr>
            <w:r w:rsidRPr="00AE6EDB">
              <w:t>1</w:t>
            </w:r>
            <w:r w:rsidR="0054295F">
              <w:t>4 5</w:t>
            </w:r>
            <w:r w:rsidRPr="00AE6EDB">
              <w:t>54</w:t>
            </w:r>
          </w:p>
        </w:tc>
        <w:tc>
          <w:tcPr>
            <w:tcW w:w="704" w:type="pct"/>
            <w:tcBorders>
              <w:top w:val="single" w:sz="6" w:space="0" w:color="A42C1E" w:themeColor="accent2" w:themeShade="BF"/>
            </w:tcBorders>
            <w:vAlign w:val="bottom"/>
          </w:tcPr>
          <w:p w:rsidR="00575B81" w:rsidRPr="00AE6EDB" w:rsidRDefault="00575B81" w:rsidP="002625B2">
            <w:pPr>
              <w:jc w:val="right"/>
            </w:pPr>
            <w:r w:rsidRPr="00AE6EDB">
              <w:t>1</w:t>
            </w:r>
            <w:r w:rsidR="00AC44CB">
              <w:t>5 0</w:t>
            </w:r>
            <w:r w:rsidRPr="00AE6EDB">
              <w:t>18</w:t>
            </w:r>
          </w:p>
        </w:tc>
        <w:tc>
          <w:tcPr>
            <w:tcW w:w="703" w:type="pct"/>
            <w:tcBorders>
              <w:top w:val="single" w:sz="6" w:space="0" w:color="A42C1E" w:themeColor="accent2" w:themeShade="BF"/>
            </w:tcBorders>
            <w:vAlign w:val="bottom"/>
          </w:tcPr>
          <w:p w:rsidR="00575B81" w:rsidRPr="00AE6EDB" w:rsidRDefault="00575B81" w:rsidP="002625B2">
            <w:pPr>
              <w:jc w:val="right"/>
            </w:pPr>
            <w:r w:rsidRPr="00AE6EDB">
              <w:t>1</w:t>
            </w:r>
            <w:r w:rsidR="00AC44CB">
              <w:t>5 7</w:t>
            </w:r>
            <w:r w:rsidRPr="00AE6EDB">
              <w:t>21</w:t>
            </w:r>
          </w:p>
        </w:tc>
      </w:tr>
      <w:tr w:rsidR="00575B81" w:rsidRPr="00AE6EDB" w:rsidTr="00575B81">
        <w:trPr>
          <w:trHeight w:val="283"/>
          <w:jc w:val="center"/>
        </w:trPr>
        <w:tc>
          <w:tcPr>
            <w:tcW w:w="1452" w:type="pct"/>
          </w:tcPr>
          <w:p w:rsidR="00575B81" w:rsidRPr="00AE6EDB" w:rsidRDefault="00575B81" w:rsidP="002625B2">
            <w:r w:rsidRPr="00AE6EDB">
              <w:rPr>
                <w:color w:val="000000" w:themeColor="text1"/>
              </w:rPr>
              <w:t>–</w:t>
            </w:r>
            <w:r w:rsidRPr="00AE6EDB">
              <w:t xml:space="preserve"> priame</w:t>
            </w:r>
          </w:p>
        </w:tc>
        <w:tc>
          <w:tcPr>
            <w:tcW w:w="713" w:type="pct"/>
            <w:vAlign w:val="bottom"/>
          </w:tcPr>
          <w:p w:rsidR="00575B81" w:rsidRPr="00AE6EDB" w:rsidRDefault="00AC44CB" w:rsidP="002625B2">
            <w:pPr>
              <w:jc w:val="right"/>
            </w:pPr>
            <w:r>
              <w:t>9 8</w:t>
            </w:r>
            <w:r w:rsidR="00575B81" w:rsidRPr="00AE6EDB">
              <w:t>58</w:t>
            </w:r>
          </w:p>
        </w:tc>
        <w:tc>
          <w:tcPr>
            <w:tcW w:w="713" w:type="pct"/>
            <w:vAlign w:val="bottom"/>
          </w:tcPr>
          <w:p w:rsidR="00575B81" w:rsidRPr="00AE6EDB" w:rsidRDefault="00575B81" w:rsidP="002625B2">
            <w:pPr>
              <w:jc w:val="right"/>
            </w:pPr>
            <w:r w:rsidRPr="00AE6EDB">
              <w:t>1</w:t>
            </w:r>
            <w:r w:rsidR="0054295F">
              <w:t>0 2</w:t>
            </w:r>
            <w:r w:rsidRPr="00AE6EDB">
              <w:t>42</w:t>
            </w:r>
          </w:p>
        </w:tc>
        <w:tc>
          <w:tcPr>
            <w:tcW w:w="713" w:type="pct"/>
            <w:vAlign w:val="bottom"/>
          </w:tcPr>
          <w:p w:rsidR="00575B81" w:rsidRPr="00AE6EDB" w:rsidRDefault="00575B81" w:rsidP="002625B2">
            <w:pPr>
              <w:jc w:val="right"/>
            </w:pPr>
            <w:r w:rsidRPr="00AE6EDB">
              <w:t>1</w:t>
            </w:r>
            <w:r w:rsidR="0054295F">
              <w:t>0 6</w:t>
            </w:r>
            <w:r w:rsidRPr="00AE6EDB">
              <w:t>33</w:t>
            </w:r>
          </w:p>
        </w:tc>
        <w:tc>
          <w:tcPr>
            <w:tcW w:w="704" w:type="pct"/>
            <w:vAlign w:val="bottom"/>
          </w:tcPr>
          <w:p w:rsidR="00575B81" w:rsidRPr="00AE6EDB" w:rsidRDefault="00575B81" w:rsidP="002625B2">
            <w:pPr>
              <w:jc w:val="right"/>
            </w:pPr>
            <w:r w:rsidRPr="00AE6EDB">
              <w:t>1</w:t>
            </w:r>
            <w:r w:rsidR="0054295F">
              <w:t>0 9</w:t>
            </w:r>
            <w:r w:rsidRPr="00AE6EDB">
              <w:t>02</w:t>
            </w:r>
          </w:p>
        </w:tc>
        <w:tc>
          <w:tcPr>
            <w:tcW w:w="703" w:type="pct"/>
            <w:vAlign w:val="bottom"/>
          </w:tcPr>
          <w:p w:rsidR="00575B81" w:rsidRPr="00AE6EDB" w:rsidRDefault="00575B81" w:rsidP="002625B2">
            <w:pPr>
              <w:jc w:val="right"/>
            </w:pPr>
            <w:r w:rsidRPr="00AE6EDB">
              <w:t>1</w:t>
            </w:r>
            <w:r w:rsidR="0054295F">
              <w:t>1 4</w:t>
            </w:r>
            <w:r w:rsidRPr="00AE6EDB">
              <w:t>38</w:t>
            </w:r>
          </w:p>
        </w:tc>
      </w:tr>
      <w:tr w:rsidR="00575B81" w:rsidRPr="00AE6EDB" w:rsidTr="00575B81">
        <w:trPr>
          <w:trHeight w:val="283"/>
          <w:jc w:val="center"/>
        </w:trPr>
        <w:tc>
          <w:tcPr>
            <w:tcW w:w="1452" w:type="pct"/>
          </w:tcPr>
          <w:p w:rsidR="00575B81" w:rsidRPr="00AE6EDB" w:rsidRDefault="00575B81" w:rsidP="002625B2">
            <w:r w:rsidRPr="00AE6EDB">
              <w:rPr>
                <w:color w:val="000000" w:themeColor="text1"/>
              </w:rPr>
              <w:t>–</w:t>
            </w:r>
            <w:r w:rsidRPr="00AE6EDB">
              <w:t xml:space="preserve"> nepriame</w:t>
            </w:r>
          </w:p>
        </w:tc>
        <w:tc>
          <w:tcPr>
            <w:tcW w:w="713" w:type="pct"/>
            <w:vAlign w:val="bottom"/>
          </w:tcPr>
          <w:p w:rsidR="00575B81" w:rsidRPr="00AE6EDB" w:rsidRDefault="0054295F" w:rsidP="002625B2">
            <w:pPr>
              <w:jc w:val="right"/>
            </w:pPr>
            <w:r>
              <w:t>3 6</w:t>
            </w:r>
            <w:r w:rsidR="00575B81" w:rsidRPr="00AE6EDB">
              <w:t>50</w:t>
            </w:r>
          </w:p>
        </w:tc>
        <w:tc>
          <w:tcPr>
            <w:tcW w:w="713" w:type="pct"/>
            <w:vAlign w:val="bottom"/>
          </w:tcPr>
          <w:p w:rsidR="00575B81" w:rsidRPr="00AE6EDB" w:rsidRDefault="0054295F" w:rsidP="002625B2">
            <w:pPr>
              <w:jc w:val="right"/>
            </w:pPr>
            <w:r>
              <w:t>3 8</w:t>
            </w:r>
            <w:r w:rsidR="00575B81" w:rsidRPr="00AE6EDB">
              <w:t>35</w:t>
            </w:r>
          </w:p>
        </w:tc>
        <w:tc>
          <w:tcPr>
            <w:tcW w:w="713" w:type="pct"/>
            <w:vAlign w:val="bottom"/>
          </w:tcPr>
          <w:p w:rsidR="00575B81" w:rsidRPr="00AE6EDB" w:rsidRDefault="0054295F" w:rsidP="002625B2">
            <w:pPr>
              <w:jc w:val="right"/>
            </w:pPr>
            <w:r>
              <w:t>3 9</w:t>
            </w:r>
            <w:r w:rsidR="00575B81" w:rsidRPr="00AE6EDB">
              <w:t>36</w:t>
            </w:r>
          </w:p>
        </w:tc>
        <w:tc>
          <w:tcPr>
            <w:tcW w:w="704" w:type="pct"/>
            <w:vAlign w:val="bottom"/>
          </w:tcPr>
          <w:p w:rsidR="00575B81" w:rsidRPr="00AE6EDB" w:rsidRDefault="0054295F" w:rsidP="002625B2">
            <w:pPr>
              <w:jc w:val="right"/>
            </w:pPr>
            <w:r>
              <w:t>4 1</w:t>
            </w:r>
            <w:r w:rsidR="00575B81" w:rsidRPr="00AE6EDB">
              <w:t>32</w:t>
            </w:r>
          </w:p>
        </w:tc>
        <w:tc>
          <w:tcPr>
            <w:tcW w:w="703" w:type="pct"/>
            <w:vAlign w:val="bottom"/>
          </w:tcPr>
          <w:p w:rsidR="00575B81" w:rsidRPr="00AE6EDB" w:rsidRDefault="0054295F" w:rsidP="002625B2">
            <w:pPr>
              <w:jc w:val="right"/>
            </w:pPr>
            <w:r>
              <w:t>4 3</w:t>
            </w:r>
            <w:r w:rsidR="00575B81" w:rsidRPr="00AE6EDB">
              <w:t>05</w:t>
            </w:r>
          </w:p>
        </w:tc>
      </w:tr>
    </w:tbl>
    <w:p w:rsidR="002625B2" w:rsidRPr="00AE6EDB" w:rsidRDefault="002625B2" w:rsidP="002625B2">
      <w:pPr>
        <w:pStyle w:val="zdroj"/>
      </w:pPr>
      <w:r w:rsidRPr="00AE6EDB">
        <w:t>Zdroj: ŠÚ SR, štatistické zisťovanie o úplných nákladoch práce</w:t>
      </w:r>
    </w:p>
    <w:p w:rsidR="002625B2" w:rsidRPr="00AE6EDB" w:rsidRDefault="002625B2" w:rsidP="002625B2">
      <w:pPr>
        <w:ind w:firstLine="567"/>
      </w:pPr>
      <w:r w:rsidRPr="00AE6EDB">
        <w:t xml:space="preserve">V roku 2014 zamestnávateľ vynaložil na svojho zamestnanca v priemere </w:t>
      </w:r>
      <w:r w:rsidR="0054295F">
        <w:t>1 3</w:t>
      </w:r>
      <w:r w:rsidRPr="00AE6EDB">
        <w:t>10</w:t>
      </w:r>
      <w:r w:rsidR="0054295F">
        <w:t> eur</w:t>
      </w:r>
      <w:r w:rsidRPr="00AE6EDB">
        <w:t xml:space="preserve"> za mesiac, čo bolo o 59</w:t>
      </w:r>
      <w:r w:rsidR="0054295F">
        <w:t> eur</w:t>
      </w:r>
      <w:r w:rsidRPr="00AE6EDB">
        <w:t xml:space="preserve"> viac v porovnaní s predchádzajúcim rokom. Medziročné tempo rastu priemerných mesačných nákladov práce sa v roku 2014 v porovnaní s rokom 2013 zrýchlilo o 1,5 p. b.</w:t>
      </w:r>
    </w:p>
    <w:p w:rsidR="002625B2" w:rsidRPr="00AE6EDB" w:rsidRDefault="002625B2" w:rsidP="002625B2">
      <w:pPr>
        <w:pStyle w:val="Normlnysozarkami1"/>
        <w:ind w:firstLine="567"/>
      </w:pPr>
      <w:r w:rsidRPr="00AE6EDB">
        <w:rPr>
          <w:b/>
        </w:rPr>
        <w:t>Priame náklady</w:t>
      </w:r>
      <w:r w:rsidRPr="00AE6EDB">
        <w:t xml:space="preserve"> práce medziročne vzrástli o 4,9</w:t>
      </w:r>
      <w:r w:rsidR="005676EF">
        <w:t> %</w:t>
      </w:r>
      <w:r w:rsidRPr="00AE6EDB">
        <w:t>. V tejto skupine nákladových položiek v roku 2014 mali najväčšie zastúpenie mzdy, ktoré tvorili 63,59</w:t>
      </w:r>
      <w:r w:rsidR="005676EF">
        <w:t> %</w:t>
      </w:r>
      <w:r w:rsidRPr="00AE6EDB">
        <w:t xml:space="preserve"> a náhrady mzdy tvoriace 8,47</w:t>
      </w:r>
      <w:r w:rsidR="005676EF">
        <w:t> %</w:t>
      </w:r>
      <w:r w:rsidRPr="00AE6EDB">
        <w:t>, z čoho 6,63</w:t>
      </w:r>
      <w:r w:rsidR="005676EF">
        <w:t> %</w:t>
      </w:r>
      <w:r w:rsidRPr="00AE6EDB">
        <w:t xml:space="preserve"> pripadalo na náhrady za dovolenku. V skupine priamych nákladov práce medziročne vzrástli mzdy o 4,8</w:t>
      </w:r>
      <w:r w:rsidR="005676EF">
        <w:t> %</w:t>
      </w:r>
      <w:r w:rsidRPr="00AE6EDB">
        <w:t>, z toho základné mzdy a platy o 3,3</w:t>
      </w:r>
      <w:r w:rsidR="005676EF">
        <w:t> %</w:t>
      </w:r>
      <w:r w:rsidRPr="00AE6EDB">
        <w:t>, prémie a odmeny o 14,6</w:t>
      </w:r>
      <w:r w:rsidR="005676EF">
        <w:t> %</w:t>
      </w:r>
      <w:r w:rsidRPr="00AE6EDB">
        <w:t>. Z 833</w:t>
      </w:r>
      <w:r w:rsidR="0054295F">
        <w:t> eur</w:t>
      </w:r>
      <w:r w:rsidRPr="00AE6EDB">
        <w:t xml:space="preserve"> vyplatených na mzdy pripadlo na základnú (tarifnú) mzdu a plat za prácu 644</w:t>
      </w:r>
      <w:r w:rsidR="0054295F">
        <w:t> eur</w:t>
      </w:r>
      <w:r w:rsidRPr="00AE6EDB">
        <w:t>, prémie a odmeny 113</w:t>
      </w:r>
      <w:r w:rsidR="0054295F">
        <w:t> eur</w:t>
      </w:r>
      <w:r w:rsidRPr="00AE6EDB">
        <w:t>, príplatky a doplatky, mzdové zvýhodnenia 45</w:t>
      </w:r>
      <w:r w:rsidR="0054295F">
        <w:t> eur</w:t>
      </w:r>
      <w:r w:rsidRPr="00AE6EDB">
        <w:t>. Náhrady mzdy vzrástli o 5,4</w:t>
      </w:r>
      <w:r w:rsidR="005676EF">
        <w:t> %</w:t>
      </w:r>
      <w:r w:rsidRPr="00AE6EDB">
        <w:t xml:space="preserve"> na 111</w:t>
      </w:r>
      <w:r w:rsidR="0054295F">
        <w:t> eur</w:t>
      </w:r>
      <w:r w:rsidRPr="00AE6EDB">
        <w:t>, náhrady za pracovnú pohotovosť mimo pracoviska o 2,8</w:t>
      </w:r>
      <w:r w:rsidR="005676EF">
        <w:t> %</w:t>
      </w:r>
      <w:r w:rsidRPr="00AE6EDB">
        <w:t xml:space="preserve"> a peňažné plnenia zo zisku po zdanení o 49,3</w:t>
      </w:r>
      <w:r w:rsidR="005676EF">
        <w:t> %</w:t>
      </w:r>
      <w:r w:rsidRPr="00AE6EDB">
        <w:t>.</w:t>
      </w:r>
    </w:p>
    <w:p w:rsidR="002625B2" w:rsidRPr="00AE6EDB" w:rsidRDefault="002625B2" w:rsidP="002625B2">
      <w:pPr>
        <w:autoSpaceDE w:val="0"/>
        <w:autoSpaceDN w:val="0"/>
        <w:adjustRightInd w:val="0"/>
        <w:ind w:firstLine="567"/>
      </w:pPr>
      <w:r w:rsidRPr="00AE6EDB">
        <w:t>Zvýšenie povinných príspevkov na sociálne poistenie o 4,2</w:t>
      </w:r>
      <w:r w:rsidR="005676EF">
        <w:t> %</w:t>
      </w:r>
      <w:r w:rsidRPr="00AE6EDB">
        <w:t xml:space="preserve"> na úroveň 321</w:t>
      </w:r>
      <w:r w:rsidR="0054295F">
        <w:t> eur</w:t>
      </w:r>
      <w:r w:rsidRPr="00AE6EDB">
        <w:t xml:space="preserve"> sa prejavilo 4,2</w:t>
      </w:r>
      <w:r w:rsidR="005676EF">
        <w:t> %</w:t>
      </w:r>
      <w:r w:rsidRPr="00AE6EDB">
        <w:t xml:space="preserve"> rastom nepriamych nákladov práce. V roku 2014 dosiahli </w:t>
      </w:r>
      <w:r w:rsidRPr="00AE6EDB">
        <w:rPr>
          <w:b/>
        </w:rPr>
        <w:t>nepriame náklady</w:t>
      </w:r>
      <w:r w:rsidRPr="00AE6EDB">
        <w:t xml:space="preserve"> úroveň 359</w:t>
      </w:r>
      <w:r w:rsidR="0054295F">
        <w:t> eur</w:t>
      </w:r>
      <w:r w:rsidRPr="00AE6EDB">
        <w:t>, pričom v porovnaní s predchádzajúcim rokom došlo k spomaleniu ich vývoja o 0,8 p. b. Nepovinné príspevky poklesli o 2,6</w:t>
      </w:r>
      <w:r w:rsidR="005676EF">
        <w:t> %</w:t>
      </w:r>
      <w:r w:rsidRPr="00AE6EDB">
        <w:t xml:space="preserve"> na 7</w:t>
      </w:r>
      <w:r w:rsidR="0054295F">
        <w:t> eur</w:t>
      </w:r>
      <w:r w:rsidRPr="00AE6EDB">
        <w:t>. Z ostatných nepriamych nákladových zložiek najvýznamnejšiu položku tvorili sociálne výhody, ktoré vzrástli o 5,6</w:t>
      </w:r>
      <w:r w:rsidR="005676EF">
        <w:t> %</w:t>
      </w:r>
      <w:r w:rsidRPr="00AE6EDB">
        <w:t xml:space="preserve"> (na 13</w:t>
      </w:r>
      <w:r w:rsidR="0054295F">
        <w:t> eur</w:t>
      </w:r>
      <w:r w:rsidRPr="00AE6EDB">
        <w:t xml:space="preserve">), z toho príspevky na stravovanie </w:t>
      </w:r>
      <w:r w:rsidRPr="00AE6EDB">
        <w:br/>
        <w:t>o 4,6</w:t>
      </w:r>
      <w:r w:rsidR="00411759">
        <w:t> </w:t>
      </w:r>
      <w:r w:rsidRPr="00AE6EDB">
        <w:t>% a ostatné príspevky do sociálneho fondu o 9,1</w:t>
      </w:r>
      <w:r w:rsidR="005676EF">
        <w:t> %</w:t>
      </w:r>
      <w:r w:rsidRPr="00AE6EDB">
        <w:t>. Sociálne dávky poskytované zamestnávateľmi poklesli o 3,5</w:t>
      </w:r>
      <w:r w:rsidR="005676EF">
        <w:t> %</w:t>
      </w:r>
      <w:r w:rsidRPr="00AE6EDB">
        <w:t xml:space="preserve"> na 10</w:t>
      </w:r>
      <w:r w:rsidR="0054295F">
        <w:t> eur</w:t>
      </w:r>
      <w:r w:rsidRPr="00AE6EDB">
        <w:t>, z toho náklady na odstupné klesli o 6,1</w:t>
      </w:r>
      <w:r w:rsidR="005676EF">
        <w:t> %</w:t>
      </w:r>
      <w:r w:rsidRPr="00AE6EDB">
        <w:t xml:space="preserve"> a náhrady príjmu pri dočasnej pracovnej neschopnosti o 2,3</w:t>
      </w:r>
      <w:r w:rsidR="005676EF">
        <w:t> %</w:t>
      </w:r>
      <w:r w:rsidRPr="00AE6EDB">
        <w:t>. Náklady na školenie zamestnancov zaznamenali nárast o 14,3</w:t>
      </w:r>
      <w:r w:rsidR="005676EF">
        <w:t> %</w:t>
      </w:r>
      <w:r w:rsidRPr="00AE6EDB">
        <w:t xml:space="preserve"> na 5</w:t>
      </w:r>
      <w:r w:rsidR="0054295F">
        <w:t> eur</w:t>
      </w:r>
      <w:r w:rsidRPr="00AE6EDB">
        <w:t>. Ostatné nepriame náklady práce vzrástli o 43,2</w:t>
      </w:r>
      <w:r w:rsidR="005676EF">
        <w:t> %</w:t>
      </w:r>
      <w:r w:rsidRPr="00AE6EDB">
        <w:t xml:space="preserve"> a z toho náklady na nábor zamestnancov o 15,1</w:t>
      </w:r>
      <w:r w:rsidR="005676EF">
        <w:t> %</w:t>
      </w:r>
      <w:r w:rsidRPr="00AE6EDB">
        <w:t>.</w:t>
      </w:r>
    </w:p>
    <w:p w:rsidR="002625B2" w:rsidRPr="00AE6EDB" w:rsidRDefault="002625B2" w:rsidP="002625B2">
      <w:pPr>
        <w:pStyle w:val="Normlnysozarkami1"/>
        <w:ind w:firstLine="0"/>
        <w:rPr>
          <w:highlight w:val="cyan"/>
        </w:rPr>
      </w:pPr>
    </w:p>
    <w:p w:rsidR="002625B2" w:rsidRPr="00AE6EDB" w:rsidRDefault="002625B2" w:rsidP="002625B2">
      <w:pPr>
        <w:jc w:val="left"/>
        <w:rPr>
          <w:b/>
          <w:highlight w:val="cyan"/>
        </w:rPr>
      </w:pPr>
      <w:r w:rsidRPr="00AE6EDB">
        <w:rPr>
          <w:highlight w:val="cyan"/>
        </w:rPr>
        <w:br w:type="page"/>
      </w:r>
    </w:p>
    <w:p w:rsidR="002625B2" w:rsidRPr="00AE6EDB" w:rsidRDefault="002625B2" w:rsidP="002625B2">
      <w:pPr>
        <w:pStyle w:val="Nadpis7"/>
      </w:pPr>
      <w:r w:rsidRPr="00AE6EDB">
        <w:lastRenderedPageBreak/>
        <w:t>Tabuľka 2.21 Štruktúra mesačných nákladov práce v SR za rok 2014</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4212"/>
        <w:gridCol w:w="821"/>
        <w:gridCol w:w="711"/>
        <w:gridCol w:w="1751"/>
      </w:tblGrid>
      <w:tr w:rsidR="002625B2" w:rsidRPr="00AE6EDB" w:rsidTr="002625B2">
        <w:trPr>
          <w:trHeight w:val="496"/>
          <w:jc w:val="center"/>
        </w:trPr>
        <w:tc>
          <w:tcPr>
            <w:tcW w:w="0" w:type="auto"/>
            <w:shd w:val="clear" w:color="auto" w:fill="BF0000" w:themeFill="accent3" w:themeFillShade="BF"/>
            <w:vAlign w:val="center"/>
          </w:tcPr>
          <w:p w:rsidR="002625B2" w:rsidRPr="00AE6EDB" w:rsidRDefault="002625B2" w:rsidP="002625B2">
            <w:pPr>
              <w:jc w:val="center"/>
              <w:rPr>
                <w:b/>
                <w:color w:val="FFFFFF" w:themeColor="background1"/>
                <w:szCs w:val="22"/>
              </w:rPr>
            </w:pPr>
            <w:r w:rsidRPr="00AE6EDB">
              <w:rPr>
                <w:b/>
                <w:color w:val="FFFFFF" w:themeColor="background1"/>
                <w:szCs w:val="22"/>
              </w:rPr>
              <w:t>Položky nákladov práce</w:t>
            </w:r>
          </w:p>
        </w:tc>
        <w:tc>
          <w:tcPr>
            <w:tcW w:w="0" w:type="auto"/>
            <w:shd w:val="clear" w:color="auto" w:fill="BF0000" w:themeFill="accent3" w:themeFillShade="BF"/>
            <w:vAlign w:val="center"/>
          </w:tcPr>
          <w:p w:rsidR="002625B2" w:rsidRPr="00AE6EDB" w:rsidRDefault="002625B2" w:rsidP="002625B2">
            <w:pPr>
              <w:jc w:val="center"/>
              <w:rPr>
                <w:b/>
                <w:color w:val="FFFFFF" w:themeColor="background1"/>
                <w:szCs w:val="22"/>
              </w:rPr>
            </w:pPr>
            <w:r w:rsidRPr="00AE6EDB">
              <w:rPr>
                <w:b/>
                <w:color w:val="FFFFFF" w:themeColor="background1"/>
                <w:szCs w:val="22"/>
              </w:rPr>
              <w:t>Podiel</w:t>
            </w:r>
          </w:p>
          <w:p w:rsidR="002625B2" w:rsidRPr="00AE6EDB" w:rsidRDefault="002625B2" w:rsidP="002625B2">
            <w:pPr>
              <w:jc w:val="center"/>
              <w:rPr>
                <w:b/>
                <w:color w:val="FFFFFF" w:themeColor="background1"/>
                <w:szCs w:val="22"/>
              </w:rPr>
            </w:pPr>
            <w:r w:rsidRPr="00AE6EDB">
              <w:rPr>
                <w:b/>
                <w:color w:val="FFFFFF" w:themeColor="background1"/>
                <w:szCs w:val="22"/>
              </w:rPr>
              <w:t>v</w:t>
            </w:r>
            <w:r w:rsidR="005676EF">
              <w:rPr>
                <w:b/>
                <w:color w:val="FFFFFF" w:themeColor="background1"/>
                <w:szCs w:val="22"/>
              </w:rPr>
              <w:t> %</w:t>
            </w:r>
          </w:p>
        </w:tc>
        <w:tc>
          <w:tcPr>
            <w:tcW w:w="0" w:type="auto"/>
            <w:shd w:val="clear" w:color="auto" w:fill="BF0000" w:themeFill="accent3" w:themeFillShade="BF"/>
            <w:vAlign w:val="center"/>
          </w:tcPr>
          <w:p w:rsidR="002625B2" w:rsidRPr="00AE6EDB" w:rsidRDefault="002625B2" w:rsidP="002625B2">
            <w:pPr>
              <w:jc w:val="center"/>
              <w:rPr>
                <w:b/>
                <w:color w:val="FFFFFF" w:themeColor="background1"/>
                <w:szCs w:val="22"/>
              </w:rPr>
            </w:pPr>
            <w:r w:rsidRPr="00AE6EDB">
              <w:rPr>
                <w:b/>
                <w:color w:val="FFFFFF" w:themeColor="background1"/>
                <w:szCs w:val="22"/>
              </w:rPr>
              <w:t>€</w:t>
            </w:r>
          </w:p>
        </w:tc>
        <w:tc>
          <w:tcPr>
            <w:tcW w:w="0" w:type="auto"/>
            <w:shd w:val="clear" w:color="auto" w:fill="BF0000" w:themeFill="accent3" w:themeFillShade="BF"/>
            <w:vAlign w:val="center"/>
          </w:tcPr>
          <w:p w:rsidR="002625B2" w:rsidRPr="00AE6EDB" w:rsidRDefault="002625B2" w:rsidP="002625B2">
            <w:pPr>
              <w:jc w:val="center"/>
              <w:rPr>
                <w:b/>
                <w:color w:val="FFFFFF" w:themeColor="background1"/>
                <w:szCs w:val="22"/>
              </w:rPr>
            </w:pPr>
            <w:r w:rsidRPr="00AE6EDB">
              <w:rPr>
                <w:b/>
                <w:color w:val="FFFFFF" w:themeColor="background1"/>
                <w:szCs w:val="22"/>
              </w:rPr>
              <w:t>Index 2014/2013</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 – 16. CELKOVÉ NÁKLADY PRÁCE</w:t>
            </w:r>
          </w:p>
        </w:tc>
        <w:tc>
          <w:tcPr>
            <w:tcW w:w="0" w:type="auto"/>
            <w:vAlign w:val="center"/>
          </w:tcPr>
          <w:p w:rsidR="002625B2" w:rsidRPr="00AE6EDB" w:rsidRDefault="002625B2" w:rsidP="002625B2">
            <w:pPr>
              <w:jc w:val="right"/>
            </w:pPr>
            <w:r w:rsidRPr="00AE6EDB">
              <w:t>100,00</w:t>
            </w:r>
          </w:p>
        </w:tc>
        <w:tc>
          <w:tcPr>
            <w:tcW w:w="0" w:type="auto"/>
            <w:vAlign w:val="center"/>
          </w:tcPr>
          <w:p w:rsidR="002625B2" w:rsidRPr="00AE6EDB" w:rsidRDefault="0054295F" w:rsidP="002625B2">
            <w:pPr>
              <w:jc w:val="right"/>
            </w:pPr>
            <w:r>
              <w:t>1 3</w:t>
            </w:r>
            <w:r w:rsidR="002625B2" w:rsidRPr="00AE6EDB">
              <w:t>10</w:t>
            </w:r>
          </w:p>
        </w:tc>
        <w:tc>
          <w:tcPr>
            <w:tcW w:w="0" w:type="auto"/>
            <w:vAlign w:val="center"/>
          </w:tcPr>
          <w:p w:rsidR="002625B2" w:rsidRPr="00AE6EDB" w:rsidRDefault="002625B2" w:rsidP="002625B2">
            <w:pPr>
              <w:jc w:val="right"/>
            </w:pPr>
            <w:r w:rsidRPr="00AE6EDB">
              <w:t>104,7</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 – 7. PRIAME NÁKLADY</w:t>
            </w:r>
          </w:p>
        </w:tc>
        <w:tc>
          <w:tcPr>
            <w:tcW w:w="0" w:type="auto"/>
            <w:vAlign w:val="center"/>
          </w:tcPr>
          <w:p w:rsidR="002625B2" w:rsidRPr="00AE6EDB" w:rsidRDefault="002625B2" w:rsidP="002625B2">
            <w:pPr>
              <w:jc w:val="right"/>
            </w:pPr>
            <w:r w:rsidRPr="00AE6EDB">
              <w:t>72,76</w:t>
            </w:r>
          </w:p>
        </w:tc>
        <w:tc>
          <w:tcPr>
            <w:tcW w:w="0" w:type="auto"/>
            <w:vAlign w:val="center"/>
          </w:tcPr>
          <w:p w:rsidR="002625B2" w:rsidRPr="00AE6EDB" w:rsidRDefault="002625B2" w:rsidP="002625B2">
            <w:pPr>
              <w:jc w:val="right"/>
            </w:pPr>
            <w:r w:rsidRPr="00AE6EDB">
              <w:t>953</w:t>
            </w:r>
          </w:p>
        </w:tc>
        <w:tc>
          <w:tcPr>
            <w:tcW w:w="0" w:type="auto"/>
            <w:vAlign w:val="center"/>
          </w:tcPr>
          <w:p w:rsidR="002625B2" w:rsidRPr="00AE6EDB" w:rsidRDefault="002625B2" w:rsidP="002625B2">
            <w:pPr>
              <w:jc w:val="right"/>
            </w:pPr>
            <w:r w:rsidRPr="00AE6EDB">
              <w:t>104,9</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 Mzdy</w:t>
            </w:r>
          </w:p>
        </w:tc>
        <w:tc>
          <w:tcPr>
            <w:tcW w:w="0" w:type="auto"/>
            <w:vAlign w:val="center"/>
          </w:tcPr>
          <w:p w:rsidR="002625B2" w:rsidRPr="00AE6EDB" w:rsidRDefault="002625B2" w:rsidP="002625B2">
            <w:pPr>
              <w:jc w:val="right"/>
            </w:pPr>
            <w:r w:rsidRPr="00AE6EDB">
              <w:t>63,59</w:t>
            </w:r>
          </w:p>
        </w:tc>
        <w:tc>
          <w:tcPr>
            <w:tcW w:w="0" w:type="auto"/>
            <w:vAlign w:val="center"/>
          </w:tcPr>
          <w:p w:rsidR="002625B2" w:rsidRPr="00AE6EDB" w:rsidRDefault="002625B2" w:rsidP="002625B2">
            <w:pPr>
              <w:jc w:val="right"/>
            </w:pPr>
            <w:r w:rsidRPr="00AE6EDB">
              <w:t>833</w:t>
            </w:r>
          </w:p>
        </w:tc>
        <w:tc>
          <w:tcPr>
            <w:tcW w:w="0" w:type="auto"/>
            <w:vAlign w:val="center"/>
          </w:tcPr>
          <w:p w:rsidR="002625B2" w:rsidRPr="00AE6EDB" w:rsidRDefault="002625B2" w:rsidP="002625B2">
            <w:pPr>
              <w:jc w:val="right"/>
            </w:pPr>
            <w:r w:rsidRPr="00AE6EDB">
              <w:t>104,8</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2. Náhrady mzdy</w:t>
            </w:r>
          </w:p>
        </w:tc>
        <w:tc>
          <w:tcPr>
            <w:tcW w:w="0" w:type="auto"/>
            <w:vAlign w:val="center"/>
          </w:tcPr>
          <w:p w:rsidR="002625B2" w:rsidRPr="00AE6EDB" w:rsidRDefault="002625B2" w:rsidP="002625B2">
            <w:pPr>
              <w:jc w:val="right"/>
            </w:pPr>
            <w:r w:rsidRPr="00AE6EDB">
              <w:t>8,47</w:t>
            </w:r>
          </w:p>
        </w:tc>
        <w:tc>
          <w:tcPr>
            <w:tcW w:w="0" w:type="auto"/>
            <w:vAlign w:val="center"/>
          </w:tcPr>
          <w:p w:rsidR="002625B2" w:rsidRPr="00AE6EDB" w:rsidRDefault="002625B2" w:rsidP="002625B2">
            <w:pPr>
              <w:jc w:val="right"/>
            </w:pPr>
            <w:r w:rsidRPr="00AE6EDB">
              <w:t>111</w:t>
            </w:r>
          </w:p>
        </w:tc>
        <w:tc>
          <w:tcPr>
            <w:tcW w:w="0" w:type="auto"/>
            <w:vAlign w:val="center"/>
          </w:tcPr>
          <w:p w:rsidR="002625B2" w:rsidRPr="00AE6EDB" w:rsidRDefault="002625B2" w:rsidP="002625B2">
            <w:pPr>
              <w:jc w:val="right"/>
            </w:pPr>
            <w:r w:rsidRPr="00AE6EDB">
              <w:t>105,4</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3. Platby do programu sporenia</w:t>
            </w:r>
          </w:p>
        </w:tc>
        <w:tc>
          <w:tcPr>
            <w:tcW w:w="0" w:type="auto"/>
            <w:vAlign w:val="center"/>
          </w:tcPr>
          <w:p w:rsidR="002625B2" w:rsidRPr="00AE6EDB" w:rsidRDefault="002625B2" w:rsidP="002625B2">
            <w:pPr>
              <w:jc w:val="right"/>
            </w:pPr>
            <w:r w:rsidRPr="00AE6EDB">
              <w:t>0,01</w:t>
            </w:r>
          </w:p>
        </w:tc>
        <w:tc>
          <w:tcPr>
            <w:tcW w:w="0" w:type="auto"/>
            <w:vAlign w:val="center"/>
          </w:tcPr>
          <w:p w:rsidR="002625B2" w:rsidRPr="00AE6EDB" w:rsidRDefault="002625B2" w:rsidP="002625B2">
            <w:pPr>
              <w:jc w:val="right"/>
            </w:pPr>
            <w:r w:rsidRPr="00AE6EDB">
              <w:t>0</w:t>
            </w:r>
          </w:p>
        </w:tc>
        <w:tc>
          <w:tcPr>
            <w:tcW w:w="0" w:type="auto"/>
            <w:vAlign w:val="center"/>
          </w:tcPr>
          <w:p w:rsidR="002625B2" w:rsidRPr="00AE6EDB" w:rsidRDefault="002625B2" w:rsidP="002625B2">
            <w:pPr>
              <w:jc w:val="right"/>
            </w:pPr>
            <w:r w:rsidRPr="00AE6EDB">
              <w:t>64,8</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4. Náhrady za pracovnú pohotovosť</w:t>
            </w:r>
          </w:p>
        </w:tc>
        <w:tc>
          <w:tcPr>
            <w:tcW w:w="0" w:type="auto"/>
            <w:vAlign w:val="center"/>
          </w:tcPr>
          <w:p w:rsidR="002625B2" w:rsidRPr="00AE6EDB" w:rsidRDefault="002625B2" w:rsidP="002625B2">
            <w:pPr>
              <w:jc w:val="right"/>
            </w:pPr>
            <w:r w:rsidRPr="00AE6EDB">
              <w:t>0,18</w:t>
            </w:r>
          </w:p>
        </w:tc>
        <w:tc>
          <w:tcPr>
            <w:tcW w:w="0" w:type="auto"/>
            <w:vAlign w:val="center"/>
          </w:tcPr>
          <w:p w:rsidR="002625B2" w:rsidRPr="00AE6EDB" w:rsidRDefault="002625B2" w:rsidP="002625B2">
            <w:pPr>
              <w:jc w:val="right"/>
            </w:pPr>
            <w:r w:rsidRPr="00AE6EDB">
              <w:t>2</w:t>
            </w:r>
          </w:p>
        </w:tc>
        <w:tc>
          <w:tcPr>
            <w:tcW w:w="0" w:type="auto"/>
            <w:vAlign w:val="center"/>
          </w:tcPr>
          <w:p w:rsidR="002625B2" w:rsidRPr="00AE6EDB" w:rsidRDefault="002625B2" w:rsidP="002625B2">
            <w:pPr>
              <w:jc w:val="right"/>
            </w:pPr>
            <w:r w:rsidRPr="00AE6EDB">
              <w:t>102,8</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5. Peňažné plnenia zo zisku po zdanení</w:t>
            </w:r>
          </w:p>
        </w:tc>
        <w:tc>
          <w:tcPr>
            <w:tcW w:w="0" w:type="auto"/>
            <w:vAlign w:val="center"/>
          </w:tcPr>
          <w:p w:rsidR="002625B2" w:rsidRPr="00AE6EDB" w:rsidRDefault="002625B2" w:rsidP="002625B2">
            <w:pPr>
              <w:jc w:val="right"/>
            </w:pPr>
            <w:r w:rsidRPr="00AE6EDB">
              <w:t>0,33</w:t>
            </w:r>
          </w:p>
        </w:tc>
        <w:tc>
          <w:tcPr>
            <w:tcW w:w="0" w:type="auto"/>
            <w:vAlign w:val="center"/>
          </w:tcPr>
          <w:p w:rsidR="002625B2" w:rsidRPr="00AE6EDB" w:rsidRDefault="002625B2" w:rsidP="002625B2">
            <w:pPr>
              <w:jc w:val="right"/>
            </w:pPr>
            <w:r w:rsidRPr="00AE6EDB">
              <w:t>4</w:t>
            </w:r>
          </w:p>
        </w:tc>
        <w:tc>
          <w:tcPr>
            <w:tcW w:w="0" w:type="auto"/>
            <w:vAlign w:val="center"/>
          </w:tcPr>
          <w:p w:rsidR="002625B2" w:rsidRPr="00AE6EDB" w:rsidRDefault="002625B2" w:rsidP="002625B2">
            <w:pPr>
              <w:jc w:val="right"/>
            </w:pPr>
            <w:r w:rsidRPr="00AE6EDB">
              <w:t>149,3</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6. Ostatné priame náklady zamestnancom</w:t>
            </w:r>
          </w:p>
        </w:tc>
        <w:tc>
          <w:tcPr>
            <w:tcW w:w="0" w:type="auto"/>
            <w:vAlign w:val="center"/>
          </w:tcPr>
          <w:p w:rsidR="002625B2" w:rsidRPr="00AE6EDB" w:rsidRDefault="002625B2" w:rsidP="002625B2">
            <w:pPr>
              <w:jc w:val="right"/>
            </w:pPr>
            <w:r w:rsidRPr="00AE6EDB">
              <w:t>0,18</w:t>
            </w:r>
          </w:p>
        </w:tc>
        <w:tc>
          <w:tcPr>
            <w:tcW w:w="0" w:type="auto"/>
            <w:vAlign w:val="center"/>
          </w:tcPr>
          <w:p w:rsidR="002625B2" w:rsidRPr="00AE6EDB" w:rsidRDefault="002625B2" w:rsidP="002625B2">
            <w:pPr>
              <w:jc w:val="right"/>
            </w:pPr>
            <w:r w:rsidRPr="00AE6EDB">
              <w:t>2</w:t>
            </w:r>
          </w:p>
        </w:tc>
        <w:tc>
          <w:tcPr>
            <w:tcW w:w="0" w:type="auto"/>
            <w:vAlign w:val="center"/>
          </w:tcPr>
          <w:p w:rsidR="002625B2" w:rsidRPr="00AE6EDB" w:rsidRDefault="002625B2" w:rsidP="002625B2">
            <w:pPr>
              <w:jc w:val="right"/>
            </w:pPr>
            <w:r w:rsidRPr="00AE6EDB">
              <w:t>86,4</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7. Odmeny učňom</w:t>
            </w:r>
          </w:p>
        </w:tc>
        <w:tc>
          <w:tcPr>
            <w:tcW w:w="0" w:type="auto"/>
            <w:vAlign w:val="center"/>
          </w:tcPr>
          <w:p w:rsidR="002625B2" w:rsidRPr="00AE6EDB" w:rsidRDefault="002625B2" w:rsidP="002625B2">
            <w:pPr>
              <w:jc w:val="right"/>
            </w:pPr>
            <w:r w:rsidRPr="00AE6EDB">
              <w:t>0,00</w:t>
            </w:r>
          </w:p>
        </w:tc>
        <w:tc>
          <w:tcPr>
            <w:tcW w:w="0" w:type="auto"/>
            <w:vAlign w:val="center"/>
          </w:tcPr>
          <w:p w:rsidR="002625B2" w:rsidRPr="00AE6EDB" w:rsidRDefault="002625B2" w:rsidP="002625B2">
            <w:pPr>
              <w:jc w:val="right"/>
            </w:pPr>
            <w:r w:rsidRPr="00AE6EDB">
              <w:t>0</w:t>
            </w:r>
          </w:p>
        </w:tc>
        <w:tc>
          <w:tcPr>
            <w:tcW w:w="0" w:type="auto"/>
            <w:vAlign w:val="center"/>
          </w:tcPr>
          <w:p w:rsidR="002625B2" w:rsidRPr="00AE6EDB" w:rsidRDefault="002625B2" w:rsidP="002625B2">
            <w:pPr>
              <w:jc w:val="right"/>
            </w:pPr>
            <w:r w:rsidRPr="00AE6EDB">
              <w:t>98,5</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 xml:space="preserve">8. </w:t>
            </w:r>
            <w:r w:rsidRPr="00AE6EDB">
              <w:rPr>
                <w:color w:val="000000" w:themeColor="text1"/>
                <w:szCs w:val="22"/>
              </w:rPr>
              <w:t>–</w:t>
            </w:r>
            <w:r w:rsidRPr="00AE6EDB">
              <w:rPr>
                <w:szCs w:val="22"/>
              </w:rPr>
              <w:t xml:space="preserve"> 15. NEPRIAME NÁKLADY</w:t>
            </w:r>
          </w:p>
        </w:tc>
        <w:tc>
          <w:tcPr>
            <w:tcW w:w="0" w:type="auto"/>
            <w:vAlign w:val="center"/>
          </w:tcPr>
          <w:p w:rsidR="002625B2" w:rsidRPr="00AE6EDB" w:rsidRDefault="002625B2" w:rsidP="00B65D95">
            <w:pPr>
              <w:jc w:val="right"/>
            </w:pPr>
            <w:r w:rsidRPr="00AE6EDB">
              <w:t>27,3</w:t>
            </w:r>
            <w:r w:rsidR="00B65D95">
              <w:t>8</w:t>
            </w:r>
          </w:p>
        </w:tc>
        <w:tc>
          <w:tcPr>
            <w:tcW w:w="0" w:type="auto"/>
            <w:vAlign w:val="center"/>
          </w:tcPr>
          <w:p w:rsidR="002625B2" w:rsidRPr="00AE6EDB" w:rsidRDefault="002625B2" w:rsidP="002625B2">
            <w:pPr>
              <w:jc w:val="right"/>
            </w:pPr>
            <w:r w:rsidRPr="00AE6EDB">
              <w:t>359</w:t>
            </w:r>
          </w:p>
        </w:tc>
        <w:tc>
          <w:tcPr>
            <w:tcW w:w="0" w:type="auto"/>
            <w:vAlign w:val="center"/>
          </w:tcPr>
          <w:p w:rsidR="002625B2" w:rsidRPr="00AE6EDB" w:rsidRDefault="002625B2" w:rsidP="002625B2">
            <w:pPr>
              <w:jc w:val="right"/>
            </w:pPr>
            <w:r w:rsidRPr="00AE6EDB">
              <w:t>104,2</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8. Povinné príspevky na sociálne poistenie</w:t>
            </w:r>
          </w:p>
        </w:tc>
        <w:tc>
          <w:tcPr>
            <w:tcW w:w="0" w:type="auto"/>
            <w:vAlign w:val="center"/>
          </w:tcPr>
          <w:p w:rsidR="002625B2" w:rsidRPr="00AE6EDB" w:rsidRDefault="002625B2" w:rsidP="002625B2">
            <w:pPr>
              <w:jc w:val="right"/>
            </w:pPr>
            <w:r w:rsidRPr="00AE6EDB">
              <w:t>24,50</w:t>
            </w:r>
          </w:p>
        </w:tc>
        <w:tc>
          <w:tcPr>
            <w:tcW w:w="0" w:type="auto"/>
            <w:vAlign w:val="center"/>
          </w:tcPr>
          <w:p w:rsidR="002625B2" w:rsidRPr="00AE6EDB" w:rsidRDefault="002625B2" w:rsidP="002625B2">
            <w:pPr>
              <w:jc w:val="right"/>
            </w:pPr>
            <w:r w:rsidRPr="00AE6EDB">
              <w:t>321</w:t>
            </w:r>
          </w:p>
        </w:tc>
        <w:tc>
          <w:tcPr>
            <w:tcW w:w="0" w:type="auto"/>
            <w:vAlign w:val="center"/>
          </w:tcPr>
          <w:p w:rsidR="002625B2" w:rsidRPr="00AE6EDB" w:rsidRDefault="002625B2" w:rsidP="002625B2">
            <w:pPr>
              <w:jc w:val="right"/>
            </w:pPr>
            <w:r w:rsidRPr="00AE6EDB">
              <w:t>104,2</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9. Nepovinné príspevky na sociálne poistenie</w:t>
            </w:r>
          </w:p>
        </w:tc>
        <w:tc>
          <w:tcPr>
            <w:tcW w:w="0" w:type="auto"/>
            <w:vAlign w:val="center"/>
          </w:tcPr>
          <w:p w:rsidR="002625B2" w:rsidRPr="00AE6EDB" w:rsidRDefault="002625B2" w:rsidP="002625B2">
            <w:pPr>
              <w:jc w:val="right"/>
            </w:pPr>
            <w:r w:rsidRPr="00AE6EDB">
              <w:t>0,52</w:t>
            </w:r>
          </w:p>
        </w:tc>
        <w:tc>
          <w:tcPr>
            <w:tcW w:w="0" w:type="auto"/>
            <w:vAlign w:val="center"/>
          </w:tcPr>
          <w:p w:rsidR="002625B2" w:rsidRPr="00AE6EDB" w:rsidRDefault="002625B2" w:rsidP="002625B2">
            <w:pPr>
              <w:jc w:val="right"/>
            </w:pPr>
            <w:r w:rsidRPr="00AE6EDB">
              <w:t>7</w:t>
            </w:r>
          </w:p>
        </w:tc>
        <w:tc>
          <w:tcPr>
            <w:tcW w:w="0" w:type="auto"/>
            <w:vAlign w:val="center"/>
          </w:tcPr>
          <w:p w:rsidR="002625B2" w:rsidRPr="00AE6EDB" w:rsidRDefault="002625B2" w:rsidP="002625B2">
            <w:pPr>
              <w:jc w:val="right"/>
            </w:pPr>
            <w:r w:rsidRPr="00AE6EDB">
              <w:t>97,4</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10. Sociálne dávky</w:t>
            </w:r>
          </w:p>
        </w:tc>
        <w:tc>
          <w:tcPr>
            <w:tcW w:w="0" w:type="auto"/>
            <w:vAlign w:val="center"/>
          </w:tcPr>
          <w:p w:rsidR="002625B2" w:rsidRPr="00AE6EDB" w:rsidRDefault="002625B2" w:rsidP="002625B2">
            <w:pPr>
              <w:jc w:val="right"/>
            </w:pPr>
            <w:r w:rsidRPr="00AE6EDB">
              <w:t>0,79</w:t>
            </w:r>
          </w:p>
        </w:tc>
        <w:tc>
          <w:tcPr>
            <w:tcW w:w="0" w:type="auto"/>
            <w:vAlign w:val="center"/>
          </w:tcPr>
          <w:p w:rsidR="002625B2" w:rsidRPr="00AE6EDB" w:rsidRDefault="002625B2" w:rsidP="002625B2">
            <w:pPr>
              <w:jc w:val="right"/>
            </w:pPr>
            <w:r w:rsidRPr="00AE6EDB">
              <w:t>10</w:t>
            </w:r>
          </w:p>
        </w:tc>
        <w:tc>
          <w:tcPr>
            <w:tcW w:w="0" w:type="auto"/>
            <w:vAlign w:val="center"/>
          </w:tcPr>
          <w:p w:rsidR="002625B2" w:rsidRPr="00AE6EDB" w:rsidRDefault="002625B2" w:rsidP="002625B2">
            <w:pPr>
              <w:jc w:val="right"/>
            </w:pPr>
            <w:r w:rsidRPr="00AE6EDB">
              <w:t>96,5</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11. Príspevky na sociálne poistenie učňov</w:t>
            </w:r>
          </w:p>
        </w:tc>
        <w:tc>
          <w:tcPr>
            <w:tcW w:w="0" w:type="auto"/>
            <w:vAlign w:val="center"/>
          </w:tcPr>
          <w:p w:rsidR="002625B2" w:rsidRPr="00AE6EDB" w:rsidRDefault="002625B2" w:rsidP="002625B2">
            <w:pPr>
              <w:jc w:val="right"/>
            </w:pPr>
            <w:r w:rsidRPr="00AE6EDB">
              <w:t>0,00</w:t>
            </w:r>
          </w:p>
        </w:tc>
        <w:tc>
          <w:tcPr>
            <w:tcW w:w="0" w:type="auto"/>
            <w:vAlign w:val="center"/>
          </w:tcPr>
          <w:p w:rsidR="002625B2" w:rsidRPr="00AE6EDB" w:rsidRDefault="002625B2" w:rsidP="002625B2">
            <w:pPr>
              <w:jc w:val="right"/>
            </w:pPr>
            <w:r w:rsidRPr="00AE6EDB">
              <w:t>0</w:t>
            </w:r>
          </w:p>
        </w:tc>
        <w:tc>
          <w:tcPr>
            <w:tcW w:w="0" w:type="auto"/>
            <w:vAlign w:val="center"/>
          </w:tcPr>
          <w:p w:rsidR="002625B2" w:rsidRPr="00AE6EDB" w:rsidRDefault="002625B2" w:rsidP="002625B2">
            <w:pPr>
              <w:jc w:val="right"/>
            </w:pPr>
            <w:r w:rsidRPr="00AE6EDB">
              <w:t>216,8</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12. Sociálne výhody</w:t>
            </w:r>
          </w:p>
        </w:tc>
        <w:tc>
          <w:tcPr>
            <w:tcW w:w="0" w:type="auto"/>
            <w:vAlign w:val="center"/>
          </w:tcPr>
          <w:p w:rsidR="002625B2" w:rsidRPr="00AE6EDB" w:rsidRDefault="002625B2" w:rsidP="002625B2">
            <w:pPr>
              <w:jc w:val="right"/>
            </w:pPr>
            <w:r w:rsidRPr="00AE6EDB">
              <w:t>1,02</w:t>
            </w:r>
          </w:p>
        </w:tc>
        <w:tc>
          <w:tcPr>
            <w:tcW w:w="0" w:type="auto"/>
            <w:vAlign w:val="center"/>
          </w:tcPr>
          <w:p w:rsidR="002625B2" w:rsidRPr="00AE6EDB" w:rsidRDefault="002625B2" w:rsidP="002625B2">
            <w:pPr>
              <w:jc w:val="right"/>
            </w:pPr>
            <w:r w:rsidRPr="00AE6EDB">
              <w:t>13</w:t>
            </w:r>
          </w:p>
        </w:tc>
        <w:tc>
          <w:tcPr>
            <w:tcW w:w="0" w:type="auto"/>
            <w:vAlign w:val="center"/>
          </w:tcPr>
          <w:p w:rsidR="002625B2" w:rsidRPr="00AE6EDB" w:rsidRDefault="002625B2" w:rsidP="002625B2">
            <w:pPr>
              <w:jc w:val="right"/>
            </w:pPr>
            <w:r w:rsidRPr="00AE6EDB">
              <w:t>105,6</w:t>
            </w:r>
          </w:p>
        </w:tc>
      </w:tr>
      <w:tr w:rsidR="002625B2" w:rsidRPr="00AE6EDB" w:rsidTr="002625B2">
        <w:trPr>
          <w:trHeight w:val="286"/>
          <w:jc w:val="center"/>
        </w:trPr>
        <w:tc>
          <w:tcPr>
            <w:tcW w:w="0" w:type="auto"/>
            <w:vAlign w:val="center"/>
          </w:tcPr>
          <w:p w:rsidR="002625B2" w:rsidRPr="00AE6EDB" w:rsidRDefault="002625B2" w:rsidP="002625B2">
            <w:pPr>
              <w:rPr>
                <w:szCs w:val="22"/>
              </w:rPr>
            </w:pPr>
            <w:r w:rsidRPr="00AE6EDB">
              <w:rPr>
                <w:szCs w:val="22"/>
              </w:rPr>
              <w:t>13. Náklady na školenie zamestnancov</w:t>
            </w:r>
          </w:p>
        </w:tc>
        <w:tc>
          <w:tcPr>
            <w:tcW w:w="0" w:type="auto"/>
            <w:vAlign w:val="center"/>
          </w:tcPr>
          <w:p w:rsidR="002625B2" w:rsidRPr="00AE6EDB" w:rsidRDefault="002625B2" w:rsidP="002625B2">
            <w:pPr>
              <w:jc w:val="right"/>
            </w:pPr>
            <w:r w:rsidRPr="00AE6EDB">
              <w:t>0,37</w:t>
            </w:r>
          </w:p>
        </w:tc>
        <w:tc>
          <w:tcPr>
            <w:tcW w:w="0" w:type="auto"/>
            <w:vAlign w:val="center"/>
          </w:tcPr>
          <w:p w:rsidR="002625B2" w:rsidRPr="00AE6EDB" w:rsidRDefault="002625B2" w:rsidP="002625B2">
            <w:pPr>
              <w:jc w:val="right"/>
            </w:pPr>
            <w:r w:rsidRPr="00AE6EDB">
              <w:t>5</w:t>
            </w:r>
          </w:p>
        </w:tc>
        <w:tc>
          <w:tcPr>
            <w:tcW w:w="0" w:type="auto"/>
            <w:vAlign w:val="center"/>
          </w:tcPr>
          <w:p w:rsidR="002625B2" w:rsidRPr="00AE6EDB" w:rsidRDefault="002625B2" w:rsidP="002625B2">
            <w:pPr>
              <w:jc w:val="right"/>
            </w:pPr>
            <w:r w:rsidRPr="00AE6EDB">
              <w:t>114,3</w:t>
            </w:r>
          </w:p>
        </w:tc>
      </w:tr>
      <w:tr w:rsidR="002625B2" w:rsidRPr="00AE6EDB" w:rsidTr="002625B2">
        <w:trPr>
          <w:trHeight w:val="264"/>
          <w:jc w:val="center"/>
        </w:trPr>
        <w:tc>
          <w:tcPr>
            <w:tcW w:w="0" w:type="auto"/>
            <w:vAlign w:val="center"/>
          </w:tcPr>
          <w:p w:rsidR="002625B2" w:rsidRPr="00AE6EDB" w:rsidRDefault="002625B2" w:rsidP="002625B2">
            <w:pPr>
              <w:rPr>
                <w:szCs w:val="22"/>
              </w:rPr>
            </w:pPr>
            <w:r w:rsidRPr="00AE6EDB">
              <w:rPr>
                <w:szCs w:val="22"/>
              </w:rPr>
              <w:t>14. Poplatky a sankcie súvisiace so mzdami</w:t>
            </w:r>
          </w:p>
        </w:tc>
        <w:tc>
          <w:tcPr>
            <w:tcW w:w="0" w:type="auto"/>
            <w:vAlign w:val="center"/>
          </w:tcPr>
          <w:p w:rsidR="002625B2" w:rsidRPr="00AE6EDB" w:rsidRDefault="002625B2" w:rsidP="002625B2">
            <w:pPr>
              <w:jc w:val="right"/>
            </w:pPr>
            <w:r w:rsidRPr="00AE6EDB">
              <w:t>0,01</w:t>
            </w:r>
          </w:p>
        </w:tc>
        <w:tc>
          <w:tcPr>
            <w:tcW w:w="0" w:type="auto"/>
            <w:vAlign w:val="center"/>
          </w:tcPr>
          <w:p w:rsidR="002625B2" w:rsidRPr="00AE6EDB" w:rsidRDefault="002625B2" w:rsidP="002625B2">
            <w:pPr>
              <w:jc w:val="right"/>
            </w:pPr>
            <w:r w:rsidRPr="00AE6EDB">
              <w:t>0</w:t>
            </w:r>
          </w:p>
        </w:tc>
        <w:tc>
          <w:tcPr>
            <w:tcW w:w="0" w:type="auto"/>
            <w:vAlign w:val="center"/>
          </w:tcPr>
          <w:p w:rsidR="002625B2" w:rsidRPr="00AE6EDB" w:rsidRDefault="002625B2" w:rsidP="002625B2">
            <w:pPr>
              <w:jc w:val="right"/>
            </w:pPr>
            <w:r w:rsidRPr="00AE6EDB">
              <w:t>97,1</w:t>
            </w:r>
          </w:p>
        </w:tc>
      </w:tr>
      <w:tr w:rsidR="002625B2" w:rsidRPr="00AE6EDB" w:rsidTr="002625B2">
        <w:trPr>
          <w:trHeight w:val="264"/>
          <w:jc w:val="center"/>
        </w:trPr>
        <w:tc>
          <w:tcPr>
            <w:tcW w:w="0" w:type="auto"/>
            <w:vAlign w:val="center"/>
          </w:tcPr>
          <w:p w:rsidR="002625B2" w:rsidRPr="00AE6EDB" w:rsidRDefault="002625B2" w:rsidP="002625B2">
            <w:pPr>
              <w:rPr>
                <w:szCs w:val="22"/>
              </w:rPr>
            </w:pPr>
            <w:r w:rsidRPr="00AE6EDB">
              <w:rPr>
                <w:szCs w:val="22"/>
              </w:rPr>
              <w:t>15. Ostatné nepriame náklady práce</w:t>
            </w:r>
          </w:p>
        </w:tc>
        <w:tc>
          <w:tcPr>
            <w:tcW w:w="0" w:type="auto"/>
            <w:vAlign w:val="center"/>
          </w:tcPr>
          <w:p w:rsidR="002625B2" w:rsidRPr="00AE6EDB" w:rsidRDefault="002625B2" w:rsidP="002625B2">
            <w:pPr>
              <w:jc w:val="right"/>
            </w:pPr>
            <w:r w:rsidRPr="00AE6EDB">
              <w:t>0,19</w:t>
            </w:r>
          </w:p>
        </w:tc>
        <w:tc>
          <w:tcPr>
            <w:tcW w:w="0" w:type="auto"/>
            <w:vAlign w:val="center"/>
          </w:tcPr>
          <w:p w:rsidR="002625B2" w:rsidRPr="00AE6EDB" w:rsidRDefault="002625B2" w:rsidP="002625B2">
            <w:pPr>
              <w:jc w:val="right"/>
            </w:pPr>
            <w:r w:rsidRPr="00AE6EDB">
              <w:t>2</w:t>
            </w:r>
          </w:p>
        </w:tc>
        <w:tc>
          <w:tcPr>
            <w:tcW w:w="0" w:type="auto"/>
            <w:vAlign w:val="center"/>
          </w:tcPr>
          <w:p w:rsidR="002625B2" w:rsidRPr="00AE6EDB" w:rsidRDefault="002625B2" w:rsidP="002625B2">
            <w:pPr>
              <w:jc w:val="right"/>
            </w:pPr>
            <w:r w:rsidRPr="00AE6EDB">
              <w:t>143,2</w:t>
            </w:r>
          </w:p>
        </w:tc>
      </w:tr>
      <w:tr w:rsidR="002625B2" w:rsidRPr="00AE6EDB" w:rsidTr="002625B2">
        <w:trPr>
          <w:trHeight w:val="264"/>
          <w:jc w:val="center"/>
        </w:trPr>
        <w:tc>
          <w:tcPr>
            <w:tcW w:w="0" w:type="auto"/>
            <w:vAlign w:val="center"/>
          </w:tcPr>
          <w:p w:rsidR="002625B2" w:rsidRPr="00AE6EDB" w:rsidRDefault="002625B2" w:rsidP="002625B2">
            <w:pPr>
              <w:rPr>
                <w:szCs w:val="22"/>
              </w:rPr>
            </w:pPr>
            <w:r w:rsidRPr="00AE6EDB">
              <w:rPr>
                <w:szCs w:val="22"/>
              </w:rPr>
              <w:t>16. SUBVENCIE</w:t>
            </w:r>
          </w:p>
        </w:tc>
        <w:tc>
          <w:tcPr>
            <w:tcW w:w="0" w:type="auto"/>
            <w:vAlign w:val="center"/>
          </w:tcPr>
          <w:p w:rsidR="002625B2" w:rsidRPr="00AE6EDB" w:rsidRDefault="002625B2" w:rsidP="002625B2">
            <w:pPr>
              <w:jc w:val="right"/>
            </w:pPr>
            <w:r w:rsidRPr="00AE6EDB">
              <w:t>-0,14</w:t>
            </w:r>
          </w:p>
        </w:tc>
        <w:tc>
          <w:tcPr>
            <w:tcW w:w="0" w:type="auto"/>
            <w:vAlign w:val="center"/>
          </w:tcPr>
          <w:p w:rsidR="002625B2" w:rsidRPr="00AE6EDB" w:rsidRDefault="002625B2" w:rsidP="002625B2">
            <w:pPr>
              <w:jc w:val="right"/>
            </w:pPr>
            <w:r w:rsidRPr="00AE6EDB">
              <w:t>-2</w:t>
            </w:r>
          </w:p>
        </w:tc>
        <w:tc>
          <w:tcPr>
            <w:tcW w:w="0" w:type="auto"/>
            <w:vAlign w:val="center"/>
          </w:tcPr>
          <w:p w:rsidR="002625B2" w:rsidRPr="00AE6EDB" w:rsidRDefault="002625B2" w:rsidP="002625B2">
            <w:pPr>
              <w:jc w:val="right"/>
            </w:pPr>
            <w:r w:rsidRPr="00AE6EDB">
              <w:t>138,1</w:t>
            </w:r>
          </w:p>
        </w:tc>
      </w:tr>
    </w:tbl>
    <w:p w:rsidR="002625B2" w:rsidRPr="00AE6EDB" w:rsidRDefault="002625B2" w:rsidP="002625B2">
      <w:pPr>
        <w:pStyle w:val="zdroj"/>
      </w:pPr>
      <w:r w:rsidRPr="00AE6EDB">
        <w:t>Zdroj: ŠÚ SR, štatistické zisťovanie o úplných nákladoch práce</w:t>
      </w:r>
    </w:p>
    <w:p w:rsidR="002625B2" w:rsidRPr="00AE6EDB" w:rsidRDefault="002625B2" w:rsidP="002625B2">
      <w:pPr>
        <w:autoSpaceDE w:val="0"/>
        <w:autoSpaceDN w:val="0"/>
        <w:adjustRightInd w:val="0"/>
        <w:ind w:firstLine="567"/>
        <w:rPr>
          <w:highlight w:val="yellow"/>
        </w:rPr>
      </w:pPr>
      <w:r w:rsidRPr="00AE6EDB">
        <w:t xml:space="preserve">Dlhodobý trend rastúcej diferenciácie v nákladoch práce medzi </w:t>
      </w:r>
      <w:r w:rsidRPr="00AE6EDB">
        <w:rPr>
          <w:b/>
        </w:rPr>
        <w:t>ekonomickými činnosťami</w:t>
      </w:r>
      <w:r w:rsidRPr="00AE6EDB">
        <w:t xml:space="preserve"> pokračoval aj v sledovanom roku. Najvyšší medziročný rast nákladov práce bol v nasledujúcich ekonomických činnostiach: finančné a poisťovacie činnosti (o 8,5</w:t>
      </w:r>
      <w:r w:rsidR="005676EF">
        <w:t> %</w:t>
      </w:r>
      <w:r w:rsidRPr="00AE6EDB">
        <w:t>), vzdelávanie (o 7,1</w:t>
      </w:r>
      <w:r w:rsidR="005676EF">
        <w:t> %</w:t>
      </w:r>
      <w:r w:rsidRPr="00AE6EDB">
        <w:t>), zdravotníctvo a sociálna pomoc a činnosti v oblasti nehnuteľností</w:t>
      </w:r>
      <w:r w:rsidR="00B811E2" w:rsidRPr="00AE6EDB">
        <w:t xml:space="preserve"> </w:t>
      </w:r>
      <w:r w:rsidRPr="00AE6EDB">
        <w:t>(zhodne o 6,5</w:t>
      </w:r>
      <w:r w:rsidR="005676EF">
        <w:t> %</w:t>
      </w:r>
      <w:r w:rsidRPr="00AE6EDB">
        <w:t>), administratívne a podporné služby (o 6,1</w:t>
      </w:r>
      <w:r w:rsidR="005676EF">
        <w:t> %</w:t>
      </w:r>
      <w:r w:rsidRPr="00AE6EDB">
        <w:t>) a verejná správa a obrana (o 5,8</w:t>
      </w:r>
      <w:r w:rsidR="005676EF">
        <w:t> %</w:t>
      </w:r>
      <w:r w:rsidRPr="00AE6EDB">
        <w:t>). V porovnaní s predchádzajúcim rokom pokles nákladov práce nastal v dvoch ekonomických činnostiach: stavebníctvo (o 1,9</w:t>
      </w:r>
      <w:r w:rsidR="005676EF">
        <w:t> %</w:t>
      </w:r>
      <w:r w:rsidRPr="00AE6EDB">
        <w:t>) a ostatné činnosti (o 0,4</w:t>
      </w:r>
      <w:r w:rsidR="005676EF">
        <w:t> %</w:t>
      </w:r>
      <w:r w:rsidRPr="00AE6EDB">
        <w:t xml:space="preserve">). Z hľadiska dynamiky vývoja mesačných nákladov práce sa oproti predchádzajúcemu roku ich vývoj zrýchlil vo finančných a poisťovacích činnostiach, ďalej </w:t>
      </w:r>
      <w:r w:rsidRPr="00AE6EDB">
        <w:br/>
        <w:t>v činnostiach v oblasti nehnuteľností, vo verejnej správe a obrane, povinnom sociálnom zabezpečení, v zdravotníctve a sociálnej pomoci, v priemyselnej výrobe, vo veľkoobchode a maloobchode, oprave motorových vozidiel, v činnosti dodávka vody, čistenie odpadových vôd, odpady a služby odstraňovania odpadov, v ekonomickej činnosti informácie a komunikáci</w:t>
      </w:r>
      <w:r w:rsidR="00C9553B" w:rsidRPr="00AE6EDB">
        <w:t>a</w:t>
      </w:r>
      <w:r w:rsidRPr="00AE6EDB">
        <w:t xml:space="preserve"> a</w:t>
      </w:r>
      <w:r w:rsidR="00C9553B" w:rsidRPr="00AE6EDB">
        <w:t xml:space="preserve"> v </w:t>
      </w:r>
      <w:r w:rsidRPr="00AE6EDB">
        <w:t xml:space="preserve">doprave a skladovaní. </w:t>
      </w:r>
      <w:r w:rsidRPr="00AE6EDB">
        <w:br/>
        <w:t>V ostatných ekonomických činnostiach nastalo spomalenie vývoja mesačných nákladov práce, pričom najväčšie spomalenie nastalo v ostatných činnostiach (o 4,4 p. b.) a stavebníctve ( o 3,4 p. b.).</w:t>
      </w:r>
      <w:r w:rsidRPr="00AE6EDB">
        <w:rPr>
          <w:highlight w:val="yellow"/>
        </w:rPr>
        <w:t xml:space="preserve"> </w:t>
      </w:r>
    </w:p>
    <w:p w:rsidR="002625B2" w:rsidRPr="00AE6EDB" w:rsidRDefault="002625B2" w:rsidP="002625B2">
      <w:pPr>
        <w:autoSpaceDE w:val="0"/>
        <w:autoSpaceDN w:val="0"/>
        <w:adjustRightInd w:val="0"/>
        <w:ind w:firstLine="567"/>
      </w:pPr>
      <w:r w:rsidRPr="00AE6EDB">
        <w:t>Viac ako tretina ekonomických činností vynakladala nadpriemerné výdavky na pracovnú silu. Dominovala ekonomická činnosť finančné a poisťovacie činnosti (</w:t>
      </w:r>
      <w:r w:rsidR="0054295F">
        <w:t>2 4</w:t>
      </w:r>
      <w:r w:rsidRPr="00AE6EDB">
        <w:t>14</w:t>
      </w:r>
      <w:r w:rsidR="0054295F">
        <w:t> eur</w:t>
      </w:r>
      <w:r w:rsidRPr="00AE6EDB">
        <w:t xml:space="preserve">), </w:t>
      </w:r>
      <w:r w:rsidR="00C9553B" w:rsidRPr="00AE6EDB">
        <w:t>kde výdavky na pracovnú silu prevýšili</w:t>
      </w:r>
      <w:r w:rsidRPr="00AE6EDB">
        <w:t xml:space="preserve"> priemernú úroveň v SR o 84,3</w:t>
      </w:r>
      <w:r w:rsidR="005676EF">
        <w:t> %</w:t>
      </w:r>
      <w:r w:rsidRPr="00AE6EDB">
        <w:t xml:space="preserve">. Ďalej nasledovala ekonomická činnosť informácie a komunikácie s </w:t>
      </w:r>
      <w:r w:rsidR="0054295F">
        <w:t>2 3</w:t>
      </w:r>
      <w:r w:rsidRPr="00AE6EDB">
        <w:t>68</w:t>
      </w:r>
      <w:r w:rsidR="0054295F">
        <w:t> eur</w:t>
      </w:r>
      <w:r w:rsidR="00C9553B" w:rsidRPr="00AE6EDB">
        <w:t>ami</w:t>
      </w:r>
      <w:r w:rsidRPr="00AE6EDB">
        <w:t>, dodávka elektriny, plynu, pary a studeného vzduchu (</w:t>
      </w:r>
      <w:r w:rsidR="0054295F">
        <w:t>2 2</w:t>
      </w:r>
      <w:r w:rsidRPr="00AE6EDB">
        <w:t>60</w:t>
      </w:r>
      <w:r w:rsidR="0054295F">
        <w:t> eur</w:t>
      </w:r>
      <w:r w:rsidRPr="00AE6EDB">
        <w:t>), odborné, vedecké a technické činnosti (</w:t>
      </w:r>
      <w:r w:rsidR="0054295F">
        <w:t>1 6</w:t>
      </w:r>
      <w:r w:rsidRPr="00AE6EDB">
        <w:t>82</w:t>
      </w:r>
      <w:r w:rsidR="0054295F">
        <w:t> eur</w:t>
      </w:r>
      <w:r w:rsidRPr="00AE6EDB">
        <w:t>), ťažba a dobývanie (</w:t>
      </w:r>
      <w:r w:rsidR="0054295F">
        <w:t>1 4</w:t>
      </w:r>
      <w:r w:rsidRPr="00AE6EDB">
        <w:t>76</w:t>
      </w:r>
      <w:r w:rsidR="0054295F">
        <w:t> eur</w:t>
      </w:r>
      <w:r w:rsidRPr="00AE6EDB">
        <w:t>) a</w:t>
      </w:r>
      <w:r w:rsidR="00C9553B" w:rsidRPr="00AE6EDB">
        <w:t> </w:t>
      </w:r>
      <w:r w:rsidRPr="00AE6EDB">
        <w:t>priemyselná výroba (</w:t>
      </w:r>
      <w:r w:rsidR="0054295F">
        <w:t>1 3</w:t>
      </w:r>
      <w:r w:rsidRPr="00AE6EDB">
        <w:t>34</w:t>
      </w:r>
      <w:r w:rsidR="0054295F">
        <w:t> eur</w:t>
      </w:r>
      <w:r w:rsidRPr="00AE6EDB">
        <w:t>). Ostatné ekonomické činnosti dosahovali aj naďalej podpriemerné hodnoty. Tradične najnižšie finančné prostriedky na vlastného zamestnanca boli vynaložené v</w:t>
      </w:r>
      <w:r w:rsidR="00C9553B" w:rsidRPr="00AE6EDB">
        <w:t> </w:t>
      </w:r>
      <w:r w:rsidRPr="00AE6EDB">
        <w:t>ubytovacích a stravovacích službách (758</w:t>
      </w:r>
      <w:r w:rsidR="0054295F">
        <w:t> eur</w:t>
      </w:r>
      <w:r w:rsidRPr="00AE6EDB">
        <w:t>), ďalej v ostatných činnostiach (919</w:t>
      </w:r>
      <w:r w:rsidR="0054295F">
        <w:t> eur</w:t>
      </w:r>
      <w:r w:rsidRPr="00AE6EDB">
        <w:t>), administratívnych a podporných službách (982</w:t>
      </w:r>
      <w:r w:rsidR="0054295F">
        <w:t> eur</w:t>
      </w:r>
      <w:r w:rsidRPr="00AE6EDB">
        <w:t>), v umení, zábave a rekreácii (988</w:t>
      </w:r>
      <w:r w:rsidR="0054295F">
        <w:t> eur</w:t>
      </w:r>
      <w:r w:rsidRPr="00AE6EDB">
        <w:t>) a</w:t>
      </w:r>
      <w:r w:rsidR="00C9553B" w:rsidRPr="00AE6EDB">
        <w:t> </w:t>
      </w:r>
      <w:r w:rsidRPr="00AE6EDB">
        <w:t>v</w:t>
      </w:r>
      <w:r w:rsidR="00C9553B" w:rsidRPr="00AE6EDB">
        <w:t> </w:t>
      </w:r>
      <w:r w:rsidRPr="00AE6EDB">
        <w:t>poľnohospodárstve, lesníctve a rybolove (</w:t>
      </w:r>
      <w:r w:rsidR="0054295F">
        <w:t>1 0</w:t>
      </w:r>
      <w:r w:rsidRPr="00AE6EDB">
        <w:t>88</w:t>
      </w:r>
      <w:r w:rsidR="0054295F">
        <w:t> eur</w:t>
      </w:r>
      <w:r w:rsidRPr="00AE6EDB">
        <w:t>). (príloha ku kapitole 2, tabuľka 1</w:t>
      </w:r>
      <w:r w:rsidR="00681702" w:rsidRPr="00AE6EDB">
        <w:t>8</w:t>
      </w:r>
      <w:r w:rsidRPr="00AE6EDB">
        <w:t xml:space="preserve">) </w:t>
      </w:r>
    </w:p>
    <w:p w:rsidR="002625B2" w:rsidRPr="00AE6EDB" w:rsidRDefault="002625B2" w:rsidP="002625B2">
      <w:pPr>
        <w:autoSpaceDE w:val="0"/>
        <w:autoSpaceDN w:val="0"/>
        <w:adjustRightInd w:val="0"/>
        <w:ind w:firstLine="567"/>
      </w:pPr>
      <w:r w:rsidRPr="00AE6EDB">
        <w:t xml:space="preserve">Z hľadiska </w:t>
      </w:r>
      <w:r w:rsidRPr="00AE6EDB">
        <w:rPr>
          <w:b/>
        </w:rPr>
        <w:t>veľkostí organizácií</w:t>
      </w:r>
      <w:r w:rsidRPr="00AE6EDB">
        <w:t xml:space="preserve"> vynaložili najviac prostriedkov na zamestnanca subjekty s </w:t>
      </w:r>
      <w:r w:rsidR="0054295F">
        <w:t>1 0</w:t>
      </w:r>
      <w:r w:rsidRPr="00AE6EDB">
        <w:t>00 a viac zamestnancami (</w:t>
      </w:r>
      <w:r w:rsidR="0054295F">
        <w:t>1 5</w:t>
      </w:r>
      <w:r w:rsidRPr="00AE6EDB">
        <w:t>78</w:t>
      </w:r>
      <w:r w:rsidR="0054295F">
        <w:t> eur</w:t>
      </w:r>
      <w:r w:rsidRPr="00AE6EDB">
        <w:t xml:space="preserve">). Nadpriemernú úroveň dosiahli aj organizácie </w:t>
      </w:r>
      <w:r w:rsidR="008100CC">
        <w:br/>
      </w:r>
      <w:r w:rsidRPr="00AE6EDB">
        <w:t>s 500 – 999 zamestnancami (</w:t>
      </w:r>
      <w:r w:rsidR="0054295F">
        <w:t>1 4</w:t>
      </w:r>
      <w:r w:rsidRPr="00AE6EDB">
        <w:t>16</w:t>
      </w:r>
      <w:r w:rsidR="0054295F">
        <w:t> eur</w:t>
      </w:r>
      <w:r w:rsidRPr="00AE6EDB">
        <w:t>), s 250 – 499 zamestnancami (</w:t>
      </w:r>
      <w:r w:rsidR="0054295F">
        <w:t>1 3</w:t>
      </w:r>
      <w:r w:rsidRPr="00AE6EDB">
        <w:t>79</w:t>
      </w:r>
      <w:r w:rsidR="0054295F">
        <w:t> eur</w:t>
      </w:r>
      <w:r w:rsidRPr="00AE6EDB">
        <w:t xml:space="preserve">) a organizácie </w:t>
      </w:r>
      <w:r w:rsidR="008100CC">
        <w:br/>
      </w:r>
      <w:r w:rsidRPr="00AE6EDB">
        <w:lastRenderedPageBreak/>
        <w:t>so 100 – 249 zamestnancami (</w:t>
      </w:r>
      <w:r w:rsidR="0054295F">
        <w:t>1 3</w:t>
      </w:r>
      <w:r w:rsidRPr="00AE6EDB">
        <w:t>35</w:t>
      </w:r>
      <w:r w:rsidR="0054295F">
        <w:t> eur</w:t>
      </w:r>
      <w:r w:rsidRPr="00AE6EDB">
        <w:t xml:space="preserve">). Najnižšie výdavky na prácu boli v malých podnikoch </w:t>
      </w:r>
      <w:r w:rsidR="008100CC">
        <w:br/>
      </w:r>
      <w:r w:rsidRPr="00AE6EDB">
        <w:t>s 1 – 9 zamest</w:t>
      </w:r>
      <w:r w:rsidRPr="00AE6EDB">
        <w:softHyphen/>
        <w:t>nancami (</w:t>
      </w:r>
      <w:r w:rsidR="0054295F">
        <w:t>1 0</w:t>
      </w:r>
      <w:r w:rsidRPr="00AE6EDB">
        <w:t>65</w:t>
      </w:r>
      <w:r w:rsidR="0054295F">
        <w:t> eur</w:t>
      </w:r>
      <w:r w:rsidRPr="00AE6EDB">
        <w:t>) a v organizáciách, ktoré zamestnávajú 10 – 19 osôb (</w:t>
      </w:r>
      <w:r w:rsidR="0054295F">
        <w:t>1 1</w:t>
      </w:r>
      <w:r w:rsidRPr="00AE6EDB">
        <w:t>65</w:t>
      </w:r>
      <w:r w:rsidR="0054295F">
        <w:t> eur</w:t>
      </w:r>
      <w:r w:rsidRPr="00AE6EDB">
        <w:t>).</w:t>
      </w:r>
    </w:p>
    <w:p w:rsidR="002625B2" w:rsidRPr="00AE6EDB" w:rsidRDefault="002625B2" w:rsidP="002625B2">
      <w:pPr>
        <w:autoSpaceDE w:val="0"/>
        <w:autoSpaceDN w:val="0"/>
        <w:adjustRightInd w:val="0"/>
        <w:ind w:firstLine="567"/>
        <w:rPr>
          <w:highlight w:val="yellow"/>
        </w:rPr>
      </w:pPr>
      <w:r w:rsidRPr="00AE6EDB">
        <w:rPr>
          <w:b/>
        </w:rPr>
        <w:t>Regionálna diferenciácia</w:t>
      </w:r>
      <w:r w:rsidRPr="00AE6EDB">
        <w:t xml:space="preserve"> v nákladoch práce medziročne vzrástla o 5,1</w:t>
      </w:r>
      <w:r w:rsidR="005676EF">
        <w:t> %</w:t>
      </w:r>
      <w:r w:rsidRPr="00AE6EDB">
        <w:t xml:space="preserve">. Mesačné náklady práce sa v jednotlivých regiónoch pohybovali v intervale od </w:t>
      </w:r>
      <w:r w:rsidR="0054295F">
        <w:t>1 0</w:t>
      </w:r>
      <w:r w:rsidRPr="00AE6EDB">
        <w:t>18</w:t>
      </w:r>
      <w:r w:rsidR="0054295F">
        <w:t> eur</w:t>
      </w:r>
      <w:r w:rsidRPr="00AE6EDB">
        <w:t xml:space="preserve"> (v Prešovskom kraji) do</w:t>
      </w:r>
      <w:r w:rsidR="00C9553B" w:rsidRPr="00AE6EDB">
        <w:t> </w:t>
      </w:r>
      <w:r w:rsidR="0054295F">
        <w:t>1 7</w:t>
      </w:r>
      <w:r w:rsidRPr="00AE6EDB">
        <w:t>12</w:t>
      </w:r>
      <w:r w:rsidR="0054295F">
        <w:t> eur</w:t>
      </w:r>
      <w:r w:rsidRPr="00AE6EDB">
        <w:t xml:space="preserve"> (</w:t>
      </w:r>
      <w:r w:rsidR="00C9553B" w:rsidRPr="00AE6EDB">
        <w:t xml:space="preserve">v </w:t>
      </w:r>
      <w:r w:rsidRPr="00AE6EDB">
        <w:t>Bratislavskom kraji), pričom nadpriemernú úroveň dosiahol len Bratislavský kraj. V porovnaní s rokom 2013, vzrástli mesačné náklady práce vo všetkých regiónoch. Z pohľadu dynamiky nákladov práce sa oproti predchádzajúcemu roku ich vývoj zrýchlil v Bratislavskom, Trnavskom, Trenčianskom, Nitrianskom a Košickom kraji. V ostatných krajoch nastalo spomalenie vývoja mesačných nákladov práce</w:t>
      </w:r>
      <w:r w:rsidRPr="00AE6EDB">
        <w:rPr>
          <w:rFonts w:ascii="Arial" w:eastAsiaTheme="minorHAnsi" w:hAnsi="Arial" w:cs="Arial"/>
          <w:szCs w:val="22"/>
          <w:lang w:eastAsia="en-US"/>
        </w:rPr>
        <w:t>.</w:t>
      </w:r>
    </w:p>
    <w:p w:rsidR="002625B2" w:rsidRPr="00AE6EDB" w:rsidRDefault="002625B2" w:rsidP="002625B2">
      <w:pPr>
        <w:pStyle w:val="Nadpis7"/>
      </w:pPr>
      <w:r w:rsidRPr="00AE6EDB">
        <w:t>Tabuľka 2.22 Mesačné náklady práce na zamestnanca v roku 2014 podľa krajov (v eurách)</w:t>
      </w:r>
    </w:p>
    <w:tbl>
      <w:tblPr>
        <w:tblW w:w="8956"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CellMar>
          <w:left w:w="70" w:type="dxa"/>
          <w:right w:w="70" w:type="dxa"/>
        </w:tblCellMar>
        <w:tblLook w:val="0000" w:firstRow="0" w:lastRow="0" w:firstColumn="0" w:lastColumn="0" w:noHBand="0" w:noVBand="0"/>
      </w:tblPr>
      <w:tblGrid>
        <w:gridCol w:w="3060"/>
        <w:gridCol w:w="737"/>
        <w:gridCol w:w="737"/>
        <w:gridCol w:w="737"/>
        <w:gridCol w:w="737"/>
        <w:gridCol w:w="737"/>
        <w:gridCol w:w="737"/>
        <w:gridCol w:w="737"/>
        <w:gridCol w:w="737"/>
      </w:tblGrid>
      <w:tr w:rsidR="002625B2" w:rsidRPr="00AE6EDB" w:rsidTr="002625B2">
        <w:trPr>
          <w:trHeight w:val="285"/>
          <w:jc w:val="center"/>
        </w:trPr>
        <w:tc>
          <w:tcPr>
            <w:tcW w:w="3060" w:type="dxa"/>
            <w:shd w:val="clear" w:color="auto" w:fill="BF0000" w:themeFill="accent3" w:themeFillShade="BF"/>
            <w:noWrap/>
            <w:vAlign w:val="center"/>
          </w:tcPr>
          <w:p w:rsidR="002625B2" w:rsidRPr="00AE6EDB" w:rsidRDefault="002625B2" w:rsidP="002625B2">
            <w:pPr>
              <w:pStyle w:val="Normlnysozarkami11"/>
              <w:jc w:val="center"/>
              <w:rPr>
                <w:b/>
                <w:color w:val="FFFFFF" w:themeColor="background1"/>
              </w:rPr>
            </w:pPr>
            <w:r w:rsidRPr="00AE6EDB">
              <w:rPr>
                <w:b/>
                <w:color w:val="FFFFFF" w:themeColor="background1"/>
              </w:rPr>
              <w:t>Položky nákladov práce</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BA</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TT</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TN</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NR</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ZA</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BB</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PO</w:t>
            </w:r>
          </w:p>
        </w:tc>
        <w:tc>
          <w:tcPr>
            <w:tcW w:w="737" w:type="dxa"/>
            <w:shd w:val="clear" w:color="auto" w:fill="BF0000" w:themeFill="accent3" w:themeFillShade="BF"/>
            <w:vAlign w:val="center"/>
          </w:tcPr>
          <w:p w:rsidR="002625B2" w:rsidRPr="00AE6EDB" w:rsidRDefault="002625B2" w:rsidP="002625B2">
            <w:pPr>
              <w:pStyle w:val="Normlnysozarkami11"/>
              <w:ind w:firstLine="0"/>
              <w:jc w:val="center"/>
              <w:rPr>
                <w:b/>
                <w:color w:val="FFFFFF" w:themeColor="background1"/>
              </w:rPr>
            </w:pPr>
            <w:r w:rsidRPr="00AE6EDB">
              <w:rPr>
                <w:b/>
                <w:color w:val="FFFFFF" w:themeColor="background1"/>
              </w:rPr>
              <w:t>KE</w:t>
            </w:r>
          </w:p>
        </w:tc>
      </w:tr>
      <w:tr w:rsidR="002625B2" w:rsidRPr="00AE6EDB" w:rsidTr="002625B2">
        <w:trPr>
          <w:trHeight w:val="285"/>
          <w:jc w:val="center"/>
        </w:trPr>
        <w:tc>
          <w:tcPr>
            <w:tcW w:w="3060" w:type="dxa"/>
            <w:noWrap/>
            <w:vAlign w:val="center"/>
          </w:tcPr>
          <w:p w:rsidR="002625B2" w:rsidRPr="00AE6EDB" w:rsidRDefault="002625B2" w:rsidP="002625B2">
            <w:pPr>
              <w:spacing w:before="20" w:after="20"/>
              <w:rPr>
                <w:b/>
                <w:sz w:val="20"/>
                <w:szCs w:val="20"/>
              </w:rPr>
            </w:pPr>
            <w:r w:rsidRPr="00AE6EDB">
              <w:rPr>
                <w:b/>
                <w:sz w:val="20"/>
                <w:szCs w:val="20"/>
              </w:rPr>
              <w:t>1. – 16. CELKOVÉ NÁKLADY PRÁCE</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1 7</w:t>
            </w:r>
            <w:r w:rsidR="002625B2" w:rsidRPr="00AE6EDB">
              <w:rPr>
                <w:b/>
                <w:sz w:val="20"/>
                <w:szCs w:val="20"/>
              </w:rPr>
              <w:t>12</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1 1</w:t>
            </w:r>
            <w:r w:rsidR="002625B2" w:rsidRPr="00AE6EDB">
              <w:rPr>
                <w:b/>
                <w:sz w:val="20"/>
                <w:szCs w:val="20"/>
              </w:rPr>
              <w:t>95</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1 1</w:t>
            </w:r>
            <w:r w:rsidR="002625B2" w:rsidRPr="00AE6EDB">
              <w:rPr>
                <w:b/>
                <w:sz w:val="20"/>
                <w:szCs w:val="20"/>
              </w:rPr>
              <w:t>69</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1 1</w:t>
            </w:r>
            <w:r w:rsidR="002625B2" w:rsidRPr="00AE6EDB">
              <w:rPr>
                <w:b/>
                <w:sz w:val="20"/>
                <w:szCs w:val="20"/>
              </w:rPr>
              <w:t>00</w:t>
            </w:r>
          </w:p>
        </w:tc>
        <w:tc>
          <w:tcPr>
            <w:tcW w:w="737" w:type="dxa"/>
            <w:noWrap/>
            <w:vAlign w:val="center"/>
          </w:tcPr>
          <w:p w:rsidR="002625B2" w:rsidRPr="00AE6EDB" w:rsidRDefault="0054295F" w:rsidP="00B65D95">
            <w:pPr>
              <w:spacing w:before="20" w:after="20"/>
              <w:jc w:val="right"/>
              <w:rPr>
                <w:b/>
                <w:sz w:val="20"/>
                <w:szCs w:val="20"/>
              </w:rPr>
            </w:pPr>
            <w:r>
              <w:rPr>
                <w:b/>
                <w:sz w:val="20"/>
                <w:szCs w:val="20"/>
              </w:rPr>
              <w:t>1 1</w:t>
            </w:r>
            <w:r w:rsidR="00B65D95">
              <w:rPr>
                <w:b/>
                <w:sz w:val="20"/>
                <w:szCs w:val="20"/>
              </w:rPr>
              <w:t>8</w:t>
            </w:r>
            <w:r w:rsidR="002625B2" w:rsidRPr="00AE6EDB">
              <w:rPr>
                <w:b/>
                <w:sz w:val="20"/>
                <w:szCs w:val="20"/>
              </w:rPr>
              <w:t>2</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1 1</w:t>
            </w:r>
            <w:r w:rsidR="002625B2" w:rsidRPr="00AE6EDB">
              <w:rPr>
                <w:b/>
                <w:sz w:val="20"/>
                <w:szCs w:val="20"/>
              </w:rPr>
              <w:t>11</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1 0</w:t>
            </w:r>
            <w:r w:rsidR="002625B2" w:rsidRPr="00AE6EDB">
              <w:rPr>
                <w:b/>
                <w:sz w:val="20"/>
                <w:szCs w:val="20"/>
              </w:rPr>
              <w:t>18</w:t>
            </w:r>
          </w:p>
        </w:tc>
        <w:tc>
          <w:tcPr>
            <w:tcW w:w="737" w:type="dxa"/>
            <w:noWrap/>
            <w:vAlign w:val="center"/>
          </w:tcPr>
          <w:p w:rsidR="002625B2" w:rsidRPr="00AE6EDB" w:rsidRDefault="0054295F" w:rsidP="002625B2">
            <w:pPr>
              <w:spacing w:before="20" w:after="20"/>
              <w:jc w:val="right"/>
              <w:rPr>
                <w:b/>
                <w:sz w:val="20"/>
                <w:szCs w:val="20"/>
              </w:rPr>
            </w:pPr>
            <w:r>
              <w:rPr>
                <w:b/>
                <w:sz w:val="20"/>
                <w:szCs w:val="20"/>
              </w:rPr>
              <w:t>1 2</w:t>
            </w:r>
            <w:r w:rsidR="002625B2" w:rsidRPr="00AE6EDB">
              <w:rPr>
                <w:b/>
                <w:sz w:val="20"/>
                <w:szCs w:val="20"/>
              </w:rPr>
              <w:t>54</w:t>
            </w:r>
          </w:p>
        </w:tc>
      </w:tr>
      <w:tr w:rsidR="002625B2" w:rsidRPr="00AE6EDB" w:rsidTr="002625B2">
        <w:trPr>
          <w:trHeight w:val="285"/>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 – 7. PRIAME NÁKLADY</w:t>
            </w:r>
          </w:p>
        </w:tc>
        <w:tc>
          <w:tcPr>
            <w:tcW w:w="737" w:type="dxa"/>
            <w:noWrap/>
            <w:vAlign w:val="center"/>
          </w:tcPr>
          <w:p w:rsidR="002625B2" w:rsidRPr="00AE6EDB" w:rsidRDefault="0054295F" w:rsidP="002625B2">
            <w:pPr>
              <w:spacing w:before="20" w:after="20"/>
              <w:jc w:val="right"/>
              <w:rPr>
                <w:sz w:val="20"/>
                <w:szCs w:val="20"/>
              </w:rPr>
            </w:pPr>
            <w:r>
              <w:rPr>
                <w:sz w:val="20"/>
                <w:szCs w:val="20"/>
              </w:rPr>
              <w:t>1 2</w:t>
            </w:r>
            <w:r w:rsidR="002625B2" w:rsidRPr="00AE6EDB">
              <w:rPr>
                <w:sz w:val="20"/>
                <w:szCs w:val="20"/>
              </w:rPr>
              <w:t>51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870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850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799</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860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807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741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903</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 Mzdy</w:t>
            </w:r>
          </w:p>
        </w:tc>
        <w:tc>
          <w:tcPr>
            <w:tcW w:w="737" w:type="dxa"/>
            <w:noWrap/>
            <w:vAlign w:val="center"/>
          </w:tcPr>
          <w:p w:rsidR="002625B2" w:rsidRPr="00AE6EDB" w:rsidRDefault="0054295F" w:rsidP="002625B2">
            <w:pPr>
              <w:spacing w:before="20" w:after="20"/>
              <w:jc w:val="right"/>
              <w:rPr>
                <w:sz w:val="20"/>
                <w:szCs w:val="20"/>
              </w:rPr>
            </w:pPr>
            <w:r>
              <w:rPr>
                <w:sz w:val="20"/>
                <w:szCs w:val="20"/>
              </w:rPr>
              <w:t>1 0</w:t>
            </w:r>
            <w:r w:rsidR="002625B2" w:rsidRPr="00AE6EDB">
              <w:rPr>
                <w:sz w:val="20"/>
                <w:szCs w:val="20"/>
              </w:rPr>
              <w:t>97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756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735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700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750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711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644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786</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2. Náhrady mzdy</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140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103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104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100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110</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3. Platby do programu sporenia</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4. Náhrady za pracovnú pohotovosť</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5. Peňažné plnenia zo zisku po zdanení</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5</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6. Ostatné priame náklady zamestnancom</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7. Odmeny učňom</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r>
      <w:tr w:rsidR="002625B2" w:rsidRPr="00AE6EDB" w:rsidTr="002625B2">
        <w:trPr>
          <w:trHeight w:val="285"/>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8.</w:t>
            </w:r>
            <w:r w:rsidRPr="00AE6EDB">
              <w:rPr>
                <w:color w:val="000000" w:themeColor="text1"/>
              </w:rPr>
              <w:t xml:space="preserve"> – </w:t>
            </w:r>
            <w:r w:rsidRPr="00AE6EDB">
              <w:rPr>
                <w:sz w:val="20"/>
                <w:szCs w:val="20"/>
              </w:rPr>
              <w:t>15. NEPRIAME NÁKLADY</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465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326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320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302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324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306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279</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352</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8. Povinné príspevky na sociálne poistenie</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409</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294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288</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274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295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277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254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313</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9. Nepovinné príspevky na sociálne poistenie</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5</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10. Sociálne dávky</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16</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8</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11. Príspevky na sociálne poistenie učňov</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12. Sociálne výhody</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17</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14</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13. Náklady na školenie zamestnancov</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9</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14. Poplatky a sankcie súvisiace so mzdami</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r>
      <w:tr w:rsidR="002625B2" w:rsidRPr="00AE6EDB" w:rsidTr="002625B2">
        <w:trPr>
          <w:trHeight w:val="300"/>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15. Ostatné nepriame náklady práce</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4</w:t>
            </w:r>
          </w:p>
        </w:tc>
      </w:tr>
      <w:tr w:rsidR="002625B2" w:rsidRPr="00AE6EDB" w:rsidTr="002625B2">
        <w:trPr>
          <w:trHeight w:val="285"/>
          <w:jc w:val="center"/>
        </w:trPr>
        <w:tc>
          <w:tcPr>
            <w:tcW w:w="3060" w:type="dxa"/>
            <w:noWrap/>
            <w:vAlign w:val="center"/>
          </w:tcPr>
          <w:p w:rsidR="002625B2" w:rsidRPr="00AE6EDB" w:rsidRDefault="002625B2" w:rsidP="002625B2">
            <w:pPr>
              <w:spacing w:before="20" w:after="20"/>
              <w:jc w:val="left"/>
              <w:rPr>
                <w:sz w:val="20"/>
                <w:szCs w:val="20"/>
              </w:rPr>
            </w:pPr>
            <w:r w:rsidRPr="00AE6EDB">
              <w:rPr>
                <w:sz w:val="20"/>
                <w:szCs w:val="20"/>
              </w:rPr>
              <w:t>16. SUBVENCIE</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-0</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-3</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-2</w:t>
            </w:r>
          </w:p>
        </w:tc>
        <w:tc>
          <w:tcPr>
            <w:tcW w:w="737" w:type="dxa"/>
            <w:noWrap/>
            <w:vAlign w:val="center"/>
          </w:tcPr>
          <w:p w:rsidR="002625B2" w:rsidRPr="00AE6EDB" w:rsidRDefault="002625B2" w:rsidP="002625B2">
            <w:pPr>
              <w:spacing w:before="20" w:after="20"/>
              <w:jc w:val="right"/>
              <w:rPr>
                <w:sz w:val="20"/>
                <w:szCs w:val="20"/>
              </w:rPr>
            </w:pPr>
            <w:r w:rsidRPr="00AE6EDB">
              <w:rPr>
                <w:sz w:val="20"/>
                <w:szCs w:val="20"/>
              </w:rPr>
              <w:t>-1</w:t>
            </w:r>
          </w:p>
        </w:tc>
      </w:tr>
    </w:tbl>
    <w:p w:rsidR="002625B2" w:rsidRPr="00AE6EDB" w:rsidRDefault="002625B2" w:rsidP="002625B2">
      <w:pPr>
        <w:pStyle w:val="zdroj"/>
        <w:spacing w:after="0"/>
        <w:ind w:firstLine="570"/>
      </w:pPr>
      <w:r w:rsidRPr="00AE6EDB">
        <w:t>Zdroj: ŠÚ SR, štatistické zisťovanie o úplných nákladoch práce</w:t>
      </w:r>
    </w:p>
    <w:p w:rsidR="002625B2" w:rsidRPr="00AE6EDB" w:rsidRDefault="002625B2" w:rsidP="002625B2">
      <w:pPr>
        <w:pStyle w:val="zdroj"/>
        <w:spacing w:before="0"/>
        <w:ind w:firstLine="570"/>
        <w:rPr>
          <w:highlight w:val="cyan"/>
        </w:rPr>
      </w:pPr>
    </w:p>
    <w:p w:rsidR="008100CC" w:rsidRDefault="008100CC">
      <w:pPr>
        <w:jc w:val="left"/>
        <w:rPr>
          <w:rFonts w:ascii="Times New Roman Bold" w:hAnsi="Times New Roman Bold"/>
          <w:b/>
          <w:color w:val="D83E2C" w:themeColor="accent2"/>
          <w:sz w:val="24"/>
          <w:szCs w:val="20"/>
          <w:lang w:eastAsia="cs-CZ"/>
        </w:rPr>
      </w:pPr>
      <w:bookmarkStart w:id="117" w:name="_Toc422233411"/>
      <w:bookmarkEnd w:id="12"/>
      <w:r>
        <w:br w:type="page"/>
      </w:r>
    </w:p>
    <w:p w:rsidR="002625B2" w:rsidRPr="00AE6EDB" w:rsidRDefault="002625B2" w:rsidP="002625B2">
      <w:pPr>
        <w:pStyle w:val="Nadpis6"/>
      </w:pPr>
      <w:bookmarkStart w:id="118" w:name="_Toc452469868"/>
      <w:r w:rsidRPr="00AE6EDB">
        <w:lastRenderedPageBreak/>
        <w:t>Kolektívne vyjednávanie</w:t>
      </w:r>
      <w:bookmarkEnd w:id="117"/>
      <w:bookmarkEnd w:id="118"/>
    </w:p>
    <w:p w:rsidR="002625B2" w:rsidRPr="00AE6EDB" w:rsidRDefault="002625B2" w:rsidP="002625B2">
      <w:pPr>
        <w:pStyle w:val="Normlnysozarkami12"/>
        <w:spacing w:after="120"/>
        <w:ind w:firstLine="0"/>
        <w:rPr>
          <w:b/>
          <w:bCs/>
          <w:szCs w:val="23"/>
        </w:rPr>
      </w:pPr>
      <w:r w:rsidRPr="00AE6EDB">
        <w:rPr>
          <w:b/>
          <w:bCs/>
          <w:szCs w:val="23"/>
        </w:rPr>
        <w:t>Ukladanie kolektívnych zmlúv vyššieho stupňa na MPSVR SR, ich extenzia a kolektívne spory</w:t>
      </w:r>
    </w:p>
    <w:p w:rsidR="002625B2" w:rsidRPr="00AE6EDB" w:rsidRDefault="002625B2" w:rsidP="002625B2">
      <w:pPr>
        <w:ind w:firstLine="720"/>
        <w:rPr>
          <w:lang w:eastAsia="cs-CZ"/>
        </w:rPr>
      </w:pPr>
      <w:r w:rsidRPr="00AE6EDB">
        <w:rPr>
          <w:lang w:eastAsia="cs-CZ"/>
        </w:rPr>
        <w:t>Podľa zákona č. 2/1991 Zb. o kolektívnom vyjednávaní v znení neskorších predpisov (ďalej len „zákon o kolektívnom vyjednávaní“), sa v roku 2015 pokračovalo v rozširovaní záväznosti kolektívnej zmluvy vyššieho stupňa (ďalej len „KZVS“)</w:t>
      </w:r>
      <w:r w:rsidR="00B811E2" w:rsidRPr="00AE6EDB">
        <w:rPr>
          <w:lang w:eastAsia="cs-CZ"/>
        </w:rPr>
        <w:t xml:space="preserve"> </w:t>
      </w:r>
      <w:r w:rsidRPr="00AE6EDB">
        <w:rPr>
          <w:lang w:eastAsia="cs-CZ"/>
        </w:rPr>
        <w:t>na ďalších zamestnávateľov podľa § 7 a § 7a zákona o kolektívnom vyjednávaní.</w:t>
      </w:r>
      <w:r w:rsidR="00B811E2" w:rsidRPr="00AE6EDB">
        <w:rPr>
          <w:lang w:eastAsia="cs-CZ"/>
        </w:rPr>
        <w:t xml:space="preserve"> </w:t>
      </w:r>
      <w:r w:rsidRPr="00AE6EDB">
        <w:rPr>
          <w:lang w:eastAsia="cs-CZ"/>
        </w:rPr>
        <w:t>Podľa platného znenia zákona o kolektívnom vyjednávaní došlo v roku 2015 k rozšíreniu záväznosti piatich KZVS. V súvislosti s rozširovaním záväznosti KZVS možno konštatovať, že ministerstvu v roku 2015 bolo doručených päť písomných návrhov zmluvných strán KZVS so žiadosťou o extenziu. Z celkového počtu piatich návrhov na rozšírenie KZVS bol jeden spoločný návrh zmluvných strán a v štyroch prípadoch požiadali o rozšírenie KZVS odborové zväzy.</w:t>
      </w:r>
    </w:p>
    <w:p w:rsidR="002625B2" w:rsidRPr="00AE6EDB" w:rsidRDefault="002625B2" w:rsidP="002625B2">
      <w:pPr>
        <w:ind w:firstLine="431"/>
        <w:rPr>
          <w:rFonts w:eastAsia="Calibri"/>
          <w:lang w:eastAsia="en-US"/>
        </w:rPr>
      </w:pPr>
      <w:r w:rsidRPr="00AE6EDB">
        <w:rPr>
          <w:szCs w:val="22"/>
          <w:lang w:eastAsia="cs-CZ"/>
        </w:rPr>
        <w:t xml:space="preserve">V roku 2015 boli rozšírené KZVS v niektorých odvetviach alebo častiach odvetví v </w:t>
      </w:r>
      <w:r w:rsidRPr="00AE6EDB">
        <w:rPr>
          <w:lang w:eastAsia="cs-CZ"/>
        </w:rPr>
        <w:t>hutníctve, ťažobnom priemysle a geológii; autobusovej doprave; stavebníctve; elektrotechnickom priemysle a </w:t>
      </w:r>
      <w:r w:rsidRPr="00AE6EDB">
        <w:rPr>
          <w:rFonts w:eastAsia="Calibri"/>
          <w:lang w:eastAsia="en-US"/>
        </w:rPr>
        <w:t xml:space="preserve">strojárskom priemysle. </w:t>
      </w:r>
    </w:p>
    <w:p w:rsidR="002625B2" w:rsidRPr="00AE6EDB" w:rsidRDefault="002625B2" w:rsidP="002625B2">
      <w:pPr>
        <w:ind w:firstLine="720"/>
        <w:rPr>
          <w:lang w:eastAsia="cs-CZ"/>
        </w:rPr>
      </w:pPr>
      <w:r w:rsidRPr="00AE6EDB">
        <w:rPr>
          <w:lang w:eastAsia="cs-CZ"/>
        </w:rPr>
        <w:t xml:space="preserve">V roku 2015 bolo na </w:t>
      </w:r>
      <w:r w:rsidRPr="00AE6EDB">
        <w:rPr>
          <w:b/>
          <w:lang w:eastAsia="cs-CZ"/>
        </w:rPr>
        <w:t>MPSVR SR uložených 22 KZVS a 13 dodatkov ku KZVS</w:t>
      </w:r>
      <w:r w:rsidRPr="00AE6EDB">
        <w:rPr>
          <w:lang w:eastAsia="cs-CZ"/>
        </w:rPr>
        <w:t xml:space="preserve">. Z uzatvorených KZVS bolo 14 uzatvorených v súkromnom sektore a osem vo verejnom sektore. </w:t>
      </w:r>
      <w:r w:rsidR="00C9553B" w:rsidRPr="00AE6EDB">
        <w:rPr>
          <w:lang w:eastAsia="cs-CZ"/>
        </w:rPr>
        <w:br/>
      </w:r>
      <w:r w:rsidRPr="00AE6EDB">
        <w:rPr>
          <w:lang w:eastAsia="cs-CZ"/>
        </w:rPr>
        <w:t>Z 13 dodatkov bolo v súkromnom sektore uzatvorených 11 a dva dodatky boli uzatvorené vo verejnom sektore. Jeden dodatok ku KZVS bol uložený na MPSVR SR z dôvodu pristúpenia zamestnávateľa ku KZVS.</w:t>
      </w:r>
    </w:p>
    <w:p w:rsidR="002625B2" w:rsidRPr="00AE6EDB" w:rsidRDefault="002625B2" w:rsidP="002625B2">
      <w:pPr>
        <w:ind w:firstLine="720"/>
        <w:rPr>
          <w:lang w:eastAsia="cs-CZ"/>
        </w:rPr>
      </w:pPr>
      <w:r w:rsidRPr="00AE6EDB">
        <w:rPr>
          <w:lang w:eastAsia="cs-CZ"/>
        </w:rPr>
        <w:t xml:space="preserve">V porovnaní s predchádzajúcim rokom došlo k zvýšeniu počtu uzatvorených KZVS o 2 KZVS, ako aj k zvýšeniu uzatvorených dodatkov ku KZVS o 5 dodatkov. Táto situácia je čiastočne ovplyvnená najmä tým, že zmluvné strany v posledných rokoch uzatvárajú KZVS na kratšie obdobie. V roku 2014 boli niektoré KZVS uzatvorené na 2 - 3 roky, prípadne platnosť niektorých KZVS bola predĺžená dodatkom a z dôvodov ich dlhšej platnosti nebolo potrebné v roku 2015 v niektorých odvetviach </w:t>
      </w:r>
      <w:r w:rsidR="00C9553B" w:rsidRPr="00AE6EDB">
        <w:rPr>
          <w:lang w:eastAsia="cs-CZ"/>
        </w:rPr>
        <w:t xml:space="preserve">uzatvárať nové </w:t>
      </w:r>
      <w:r w:rsidRPr="00AE6EDB">
        <w:rPr>
          <w:lang w:eastAsia="cs-CZ"/>
        </w:rPr>
        <w:t>KZVS. Z dôvodu, že platnosť KZVS uzatváraných na dlhšie obdobie skončila a nové KZVS zmluvné strany uzatvárajú na jeden rok</w:t>
      </w:r>
      <w:r w:rsidR="00C9553B" w:rsidRPr="00AE6EDB">
        <w:rPr>
          <w:lang w:eastAsia="cs-CZ"/>
        </w:rPr>
        <w:t>,</w:t>
      </w:r>
      <w:r w:rsidRPr="00AE6EDB">
        <w:rPr>
          <w:lang w:eastAsia="cs-CZ"/>
        </w:rPr>
        <w:t xml:space="preserve"> vzniká väčší počet uzatvorených KZVS v príslušnom roku. Vyšší počet uložených KZVS na MPSVR SR ovplyvnil aj </w:t>
      </w:r>
      <w:r w:rsidR="00C9553B" w:rsidRPr="00AE6EDB">
        <w:rPr>
          <w:lang w:eastAsia="cs-CZ"/>
        </w:rPr>
        <w:t>fakt</w:t>
      </w:r>
      <w:r w:rsidRPr="00AE6EDB">
        <w:rPr>
          <w:lang w:eastAsia="cs-CZ"/>
        </w:rPr>
        <w:t>, že vo verejnom sektore, kde KZVS možno podľa zákona o kolektívnom vyjednávaní uzatvoriť iba na jeden rok</w:t>
      </w:r>
      <w:r w:rsidR="00C9553B" w:rsidRPr="00AE6EDB">
        <w:rPr>
          <w:lang w:eastAsia="cs-CZ"/>
        </w:rPr>
        <w:t>,</w:t>
      </w:r>
      <w:r w:rsidRPr="00AE6EDB">
        <w:rPr>
          <w:lang w:eastAsia="cs-CZ"/>
        </w:rPr>
        <w:t xml:space="preserve"> boli KZVS na rok 2015 </w:t>
      </w:r>
      <w:r w:rsidR="00C9553B" w:rsidRPr="00AE6EDB">
        <w:rPr>
          <w:lang w:eastAsia="cs-CZ"/>
        </w:rPr>
        <w:t xml:space="preserve">aj 2016 </w:t>
      </w:r>
      <w:r w:rsidRPr="00AE6EDB">
        <w:rPr>
          <w:lang w:eastAsia="cs-CZ"/>
        </w:rPr>
        <w:t>uložené na MPSVR SR a zverejnené v Zbierke zákonov v roku 2015.</w:t>
      </w:r>
    </w:p>
    <w:p w:rsidR="002625B2" w:rsidRPr="00AE6EDB" w:rsidRDefault="002625B2" w:rsidP="002625B2">
      <w:pPr>
        <w:ind w:firstLine="720"/>
        <w:rPr>
          <w:lang w:eastAsia="cs-CZ"/>
        </w:rPr>
      </w:pPr>
      <w:r w:rsidRPr="00AE6EDB">
        <w:rPr>
          <w:b/>
          <w:lang w:eastAsia="cs-CZ"/>
        </w:rPr>
        <w:t>MPSVR SR evidovalo v roku 2015 celkovo 14 sporov</w:t>
      </w:r>
      <w:r w:rsidRPr="00AE6EDB">
        <w:rPr>
          <w:lang w:eastAsia="cs-CZ"/>
        </w:rPr>
        <w:t xml:space="preserve"> o uzavretie kolektívnych zmlúv alebo dodatkov ku kolektívnym zmluvám, čo je v porovnaní s predchádzajúcim rokom o tri spory viac. Všetky spory boli riešené v konaní pred sprostredkovateľom. Z celkového počtu 14 sporov bolo 9 sporov vyriešených pred sprostredkovateľom úspešne a kolektívna zmluva bola uzatvorená, 3 spory riešené pred sprostredkovateľom boli neúspešné a v prípade 2 sporov došlo k dohode zmluvných strán ešte pred vstupom sprostredkovateľa do sporu. V dvoch sporoch MPSVR SR neurčovalo sprostredkovateľa, ale sprostredkovateľ bol dohodnutý spoločne zmluvnými stranami. V konaní pred rozhodcom nebol riešený v roku 2015 žiadny spor. </w:t>
      </w:r>
    </w:p>
    <w:p w:rsidR="002625B2" w:rsidRPr="00AE6EDB" w:rsidRDefault="002625B2" w:rsidP="00C9553B">
      <w:pPr>
        <w:rPr>
          <w:szCs w:val="22"/>
          <w:lang w:eastAsia="cs-CZ"/>
        </w:rPr>
      </w:pPr>
      <w:r w:rsidRPr="00AE6EDB">
        <w:rPr>
          <w:szCs w:val="22"/>
          <w:lang w:eastAsia="cs-CZ"/>
        </w:rPr>
        <w:t xml:space="preserve">MPSVR SR neevidovalo v roku 2015 </w:t>
      </w:r>
      <w:r w:rsidRPr="00AE6EDB">
        <w:rPr>
          <w:b/>
          <w:szCs w:val="22"/>
          <w:lang w:eastAsia="cs-CZ"/>
        </w:rPr>
        <w:t>žiadny spor o plnenie záväzkov z kolektívnej zmluvy</w:t>
      </w:r>
      <w:r w:rsidRPr="00AE6EDB">
        <w:rPr>
          <w:szCs w:val="22"/>
          <w:lang w:eastAsia="cs-CZ"/>
        </w:rPr>
        <w:t xml:space="preserve">. </w:t>
      </w:r>
    </w:p>
    <w:p w:rsidR="002625B2" w:rsidRPr="00AE6EDB" w:rsidRDefault="002625B2" w:rsidP="00C9553B">
      <w:pPr>
        <w:rPr>
          <w:szCs w:val="22"/>
          <w:lang w:eastAsia="cs-CZ"/>
        </w:rPr>
      </w:pPr>
      <w:r w:rsidRPr="00AE6EDB">
        <w:rPr>
          <w:szCs w:val="22"/>
          <w:lang w:eastAsia="cs-CZ"/>
        </w:rPr>
        <w:t xml:space="preserve">Všetky uvedené spory sa týkali uzavretia kolektívnej zmluvy v podnikateľskom sektore, </w:t>
      </w:r>
      <w:r w:rsidRPr="00AE6EDB">
        <w:rPr>
          <w:b/>
          <w:szCs w:val="22"/>
          <w:lang w:eastAsia="cs-CZ"/>
        </w:rPr>
        <w:t>vo verejnom sektore nevznikol spor o uzatvorenie kolektívnej zmluvy</w:t>
      </w:r>
      <w:r w:rsidRPr="00AE6EDB">
        <w:rPr>
          <w:szCs w:val="22"/>
          <w:lang w:eastAsia="cs-CZ"/>
        </w:rPr>
        <w:t>.</w:t>
      </w:r>
    </w:p>
    <w:p w:rsidR="002625B2" w:rsidRPr="00AE6EDB" w:rsidRDefault="002625B2" w:rsidP="002625B2">
      <w:pPr>
        <w:ind w:firstLine="431"/>
        <w:rPr>
          <w:szCs w:val="22"/>
          <w:highlight w:val="cyan"/>
          <w:lang w:eastAsia="cs-CZ"/>
        </w:rPr>
      </w:pPr>
    </w:p>
    <w:p w:rsidR="002625B2" w:rsidRPr="00AE6EDB" w:rsidRDefault="002625B2" w:rsidP="002625B2">
      <w:pPr>
        <w:pStyle w:val="Nadpis6"/>
      </w:pPr>
      <w:bookmarkStart w:id="119" w:name="_Toc422233412"/>
      <w:bookmarkStart w:id="120" w:name="_Toc452469869"/>
      <w:r w:rsidRPr="00AE6EDB">
        <w:t>Bezpečnosť a ochrana zdravia pri práci</w:t>
      </w:r>
      <w:bookmarkEnd w:id="119"/>
      <w:bookmarkEnd w:id="120"/>
    </w:p>
    <w:p w:rsidR="002625B2" w:rsidRPr="00AE6EDB" w:rsidRDefault="00B32600" w:rsidP="002625B2">
      <w:pPr>
        <w:ind w:firstLine="431"/>
        <w:rPr>
          <w:szCs w:val="22"/>
          <w:lang w:eastAsia="cs-CZ"/>
        </w:rPr>
      </w:pPr>
      <w:r w:rsidRPr="00AE6EDB">
        <w:rPr>
          <w:szCs w:val="22"/>
          <w:lang w:eastAsia="cs-CZ"/>
        </w:rPr>
        <w:t>V záujme zlepšenia právnych predpokladov na uplatňovanie bezpečných a zdravie neohrozujúcich pracovných podmienok na pracoviskách vrátane podmienok pre bezpečnosť technických zariadení sa v roku 2015 pripravili legislatívne úpravy vyplývajúce z právnych aktov Európskej únie a aplikačnej praxe v týchto právnych predpisoch:</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 xml:space="preserve">Zákon č. 118/2015 Z. z., ktorým sa mení a dopĺňa zákon č. 124/2006 Z. z. </w:t>
      </w:r>
      <w:r w:rsidRPr="00AE6EDB">
        <w:rPr>
          <w:szCs w:val="22"/>
        </w:rPr>
        <w:br/>
        <w:t xml:space="preserve">o bezpečnosti a ochrane zdravia pri práci a o zmene a doplnení niektorých zákonov </w:t>
      </w:r>
      <w:r w:rsidRPr="00AE6EDB">
        <w:rPr>
          <w:szCs w:val="22"/>
        </w:rPr>
        <w:br/>
        <w:t>v znení neskorších predpisov</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 xml:space="preserve">Nariadenie vlády Slovenskej republiky č. 41/2015 Z. z., ktorým sa mení nariadenie vlády Slovenskej republiky č. 576/2002 Z. z., ktorým sa ustanovujú podrobnosti o technických </w:t>
      </w:r>
      <w:r w:rsidRPr="00AE6EDB">
        <w:rPr>
          <w:szCs w:val="22"/>
        </w:rPr>
        <w:lastRenderedPageBreak/>
        <w:t>požiadavkách a postupoch posudzovania zhody na tlakové zariadenie a ktorým sa mení a dopĺňa nariadenie vlády Slovenskej republiky č. 400/1999 Z. z., ktorým sa ustanovujú podrobnosti o</w:t>
      </w:r>
      <w:r w:rsidR="008100CC">
        <w:rPr>
          <w:szCs w:val="22"/>
        </w:rPr>
        <w:t> </w:t>
      </w:r>
      <w:r w:rsidRPr="00AE6EDB">
        <w:rPr>
          <w:szCs w:val="22"/>
        </w:rPr>
        <w:t>technických požiadavkách na ostatné určené výrobky v znení neskorších predpisov v znení nariadenia vlády č. 329/2003 Z. z.</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104/2015 Z. z., ktorým sa mení a dopĺňa nariadenie vlády Slovenskej republiky č. 387/2006 Z. z. o požiadavkách na zaistenie bezpečnostného a</w:t>
      </w:r>
      <w:r w:rsidR="008100CC">
        <w:rPr>
          <w:szCs w:val="22"/>
        </w:rPr>
        <w:t> </w:t>
      </w:r>
      <w:r w:rsidRPr="00AE6EDB">
        <w:rPr>
          <w:szCs w:val="22"/>
        </w:rPr>
        <w:t>zdravotného označenia pri práci</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105/2015 Z. z., ktorým sa mení a dopĺňa nariadenie vlády Slovenskej republiky č. 286/2004 Z. z., ktorým sa ustanovuje zoznam prác a pracovísk, ktoré sú zakázané mladistvým zamestnancom, a ktorým sa ustanovujú niektoré povinnosti zamestnávateľom pri zamestnávaní mladistvých zamestnancov v znení nariadenia vlády č. 309/2010 Z. z.</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106/2015 Z. z., ktorým sa mení a dopĺňa nariadenie vlády Slovenskej republiky č. 272/2004 Z. z., ktorým sa ustanovuje zoznam prác a pracovísk, ktoré sú zakázané tehotným ženám, matkám do konca deviateho mesiaca po pôrode a dojčiacim ženám, zoznam prác a pracovísk spojených so špecifickým rizikom pre tehotné ženy, matky do konca deviateho mesiaca po pôrode a pre dojčiace ženy a ktorým sa ustanovujú niektoré povinnosti zamestnávateľom pri zamestnávaní týchto žien v znení nariadenia vlády č. 310/2010 Z. z.</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234/2015 Z. z. o sprístupňovaní jednoduchých tlakových nádob na trhu</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235/2015 Z. z. o uvádzaní výťahov na trh a</w:t>
      </w:r>
      <w:r w:rsidR="008100CC">
        <w:rPr>
          <w:szCs w:val="22"/>
        </w:rPr>
        <w:t> </w:t>
      </w:r>
      <w:r w:rsidRPr="00AE6EDB">
        <w:rPr>
          <w:szCs w:val="22"/>
        </w:rPr>
        <w:t>sprístupňovaní bezpečnostných častí do výťahov na trhu</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Nariadenie vlády Slovenskej republiky č. 1/2016 Z. z. o sprístupňovaní tlakových zariadení na</w:t>
      </w:r>
      <w:r w:rsidR="008100CC">
        <w:rPr>
          <w:szCs w:val="22"/>
        </w:rPr>
        <w:t> </w:t>
      </w:r>
      <w:r w:rsidRPr="00AE6EDB">
        <w:rPr>
          <w:szCs w:val="22"/>
        </w:rPr>
        <w:t>trhu</w:t>
      </w:r>
    </w:p>
    <w:p w:rsidR="002625B2" w:rsidRPr="00AE6EDB" w:rsidRDefault="002625B2" w:rsidP="002625B2">
      <w:pPr>
        <w:pStyle w:val="Odsekzoznamu"/>
        <w:numPr>
          <w:ilvl w:val="0"/>
          <w:numId w:val="41"/>
        </w:numPr>
        <w:autoSpaceDE w:val="0"/>
        <w:autoSpaceDN w:val="0"/>
        <w:adjustRightInd w:val="0"/>
        <w:contextualSpacing/>
        <w:rPr>
          <w:szCs w:val="22"/>
        </w:rPr>
      </w:pPr>
      <w:r w:rsidRPr="00AE6EDB">
        <w:rPr>
          <w:szCs w:val="22"/>
        </w:rPr>
        <w:t>Vyhláška Ministerstva práce, sociálnych vecí a rodiny Slovenskej republiky č. 100/2015 Z. z., ktorou sa mení a dopĺňa vyhláška Ministerstva práce, sociálnych vecí a rodiny Slovenskej republiky č. 147/2013 Z. z., ktorou sa ustanovujú podrobnosti na zaistenie bezpečnosti a ochrany zdravia pri stavebných prácach a prácach s nimi súvisiacich a podrobnosti o odbornej spôsobilosti na výkon niektorých pracovných činností v znení vyhlášky č. 46/2014 Z. z.</w:t>
      </w:r>
    </w:p>
    <w:p w:rsidR="002625B2" w:rsidRPr="00AE6EDB" w:rsidRDefault="002625B2" w:rsidP="002625B2">
      <w:pPr>
        <w:pStyle w:val="Odsekzoznamu"/>
        <w:numPr>
          <w:ilvl w:val="0"/>
          <w:numId w:val="0"/>
        </w:numPr>
        <w:ind w:left="360"/>
        <w:contextualSpacing/>
        <w:rPr>
          <w:szCs w:val="22"/>
          <w:highlight w:val="cyan"/>
        </w:rPr>
      </w:pPr>
    </w:p>
    <w:p w:rsidR="002625B2" w:rsidRPr="00AE6EDB" w:rsidRDefault="002625B2" w:rsidP="002625B2">
      <w:pPr>
        <w:rPr>
          <w:b/>
          <w:color w:val="FF0000"/>
          <w:szCs w:val="22"/>
          <w:highlight w:val="cyan"/>
        </w:rPr>
      </w:pPr>
    </w:p>
    <w:p w:rsidR="002625B2" w:rsidRPr="00AE6EDB" w:rsidRDefault="002625B2" w:rsidP="002625B2">
      <w:pPr>
        <w:rPr>
          <w:b/>
          <w:szCs w:val="22"/>
        </w:rPr>
      </w:pPr>
      <w:r w:rsidRPr="00AE6EDB">
        <w:rPr>
          <w:b/>
          <w:szCs w:val="22"/>
        </w:rPr>
        <w:t>Pracovné úrazy</w:t>
      </w:r>
    </w:p>
    <w:p w:rsidR="002625B2" w:rsidRPr="00AE6EDB" w:rsidRDefault="002625B2" w:rsidP="002625B2">
      <w:pPr>
        <w:ind w:firstLine="567"/>
        <w:rPr>
          <w:szCs w:val="22"/>
          <w:highlight w:val="cyan"/>
          <w:lang w:eastAsia="en-GB"/>
        </w:rPr>
      </w:pPr>
    </w:p>
    <w:p w:rsidR="002625B2" w:rsidRPr="00AE6EDB" w:rsidRDefault="002625B2" w:rsidP="002625B2">
      <w:pPr>
        <w:autoSpaceDE w:val="0"/>
        <w:autoSpaceDN w:val="0"/>
        <w:adjustRightInd w:val="0"/>
        <w:ind w:firstLine="708"/>
        <w:rPr>
          <w:szCs w:val="22"/>
        </w:rPr>
      </w:pPr>
      <w:r w:rsidRPr="00AE6EDB">
        <w:rPr>
          <w:szCs w:val="22"/>
        </w:rPr>
        <w:t xml:space="preserve">V roku 2015 bolo v organizáciách patriacich do pôsobnosti dozoru inšpektorátov práce riadených Národným inšpektorátom práce nahlásených </w:t>
      </w:r>
      <w:r w:rsidR="00AC44CB">
        <w:rPr>
          <w:szCs w:val="22"/>
        </w:rPr>
        <w:t>9 0</w:t>
      </w:r>
      <w:r w:rsidRPr="00AE6EDB">
        <w:rPr>
          <w:szCs w:val="22"/>
        </w:rPr>
        <w:t>36 registrovaných pracovných úrazov. Z uvedeného počtu bolo 57 závažných pracovných úrazov s následkom smrti (ďalej „SPÚ“), čo oproti roku 2014 predstavuje nárast o 17 prípadov (nárast o 42,50</w:t>
      </w:r>
      <w:r w:rsidR="005676EF">
        <w:rPr>
          <w:szCs w:val="22"/>
        </w:rPr>
        <w:t> %</w:t>
      </w:r>
      <w:r w:rsidRPr="00AE6EDB">
        <w:rPr>
          <w:szCs w:val="22"/>
        </w:rPr>
        <w:t>). V hodnotenom roku bolo zaevidovaných 162 pracovných úrazov s ťažkou ujmou na zdraví (ďalej „ŤUZ“), čo oproti roku 2014 predstavuje nárast o 10 prípadov (o 6,57</w:t>
      </w:r>
      <w:r w:rsidR="005676EF">
        <w:rPr>
          <w:szCs w:val="22"/>
        </w:rPr>
        <w:t> %</w:t>
      </w:r>
      <w:r w:rsidRPr="00AE6EDB">
        <w:rPr>
          <w:szCs w:val="22"/>
        </w:rPr>
        <w:t xml:space="preserve">) a bolo evidovaných </w:t>
      </w:r>
      <w:r w:rsidR="00AC44CB">
        <w:rPr>
          <w:szCs w:val="22"/>
        </w:rPr>
        <w:t>8 8</w:t>
      </w:r>
      <w:r w:rsidRPr="00AE6EDB">
        <w:rPr>
          <w:szCs w:val="22"/>
        </w:rPr>
        <w:t>17 ostatných registrovaných pracovných úrazov (ďalej „RPÚ“), čo predstavuje nárast o 637 prípadov (o 7,78</w:t>
      </w:r>
      <w:r w:rsidR="005676EF">
        <w:rPr>
          <w:szCs w:val="22"/>
        </w:rPr>
        <w:t> %</w:t>
      </w:r>
      <w:r w:rsidRPr="00AE6EDB">
        <w:rPr>
          <w:szCs w:val="22"/>
        </w:rPr>
        <w:t>) oproti roku 2014.</w:t>
      </w:r>
    </w:p>
    <w:p w:rsidR="002625B2" w:rsidRPr="00AE6EDB" w:rsidRDefault="002625B2" w:rsidP="002625B2">
      <w:pPr>
        <w:autoSpaceDE w:val="0"/>
        <w:autoSpaceDN w:val="0"/>
        <w:adjustRightInd w:val="0"/>
        <w:ind w:firstLine="708"/>
        <w:rPr>
          <w:szCs w:val="22"/>
        </w:rPr>
      </w:pPr>
      <w:r w:rsidRPr="00AE6EDB">
        <w:rPr>
          <w:szCs w:val="22"/>
        </w:rPr>
        <w:t>Z členenia závažných pracovných úrazov (SPÚ a ŤUZ) za rok 2015 podľa druhu prevažujúcej ekonomickej činnosti zamestnávateľských organizácií vyplýva, že najvyšší podiel týchto úrazov podľa SK NACE sa koncentroval v odvetví priemyselnej výroby - celkom 28,31</w:t>
      </w:r>
      <w:r w:rsidR="005676EF">
        <w:rPr>
          <w:szCs w:val="22"/>
        </w:rPr>
        <w:t> %</w:t>
      </w:r>
      <w:r w:rsidRPr="00AE6EDB">
        <w:rPr>
          <w:szCs w:val="22"/>
        </w:rPr>
        <w:t xml:space="preserve"> (9 SPÚ, 53 ŤUZ), dopravy a skladovania 17,81</w:t>
      </w:r>
      <w:r w:rsidR="005676EF">
        <w:rPr>
          <w:szCs w:val="22"/>
        </w:rPr>
        <w:t> %</w:t>
      </w:r>
      <w:r w:rsidRPr="00AE6EDB">
        <w:rPr>
          <w:szCs w:val="22"/>
        </w:rPr>
        <w:t xml:space="preserve"> (16 SPÚ,23 ŤUZ) a stavebníctva 15,98</w:t>
      </w:r>
      <w:r w:rsidR="005676EF">
        <w:rPr>
          <w:szCs w:val="22"/>
        </w:rPr>
        <w:t> %</w:t>
      </w:r>
      <w:r w:rsidRPr="00AE6EDB">
        <w:rPr>
          <w:szCs w:val="22"/>
        </w:rPr>
        <w:t xml:space="preserve"> (12 SPÚ, 23 ŤUZ).</w:t>
      </w:r>
    </w:p>
    <w:p w:rsidR="002625B2" w:rsidRPr="00AE6EDB" w:rsidRDefault="002625B2" w:rsidP="002625B2">
      <w:pPr>
        <w:autoSpaceDE w:val="0"/>
        <w:autoSpaceDN w:val="0"/>
        <w:adjustRightInd w:val="0"/>
        <w:ind w:firstLine="708"/>
        <w:rPr>
          <w:szCs w:val="22"/>
        </w:rPr>
      </w:pPr>
      <w:r w:rsidRPr="00AE6EDB">
        <w:rPr>
          <w:szCs w:val="22"/>
        </w:rPr>
        <w:t>Väčšina SPÚ (82,45</w:t>
      </w:r>
      <w:r w:rsidR="005676EF">
        <w:rPr>
          <w:szCs w:val="22"/>
        </w:rPr>
        <w:t> %</w:t>
      </w:r>
      <w:r w:rsidRPr="00AE6EDB">
        <w:rPr>
          <w:szCs w:val="22"/>
        </w:rPr>
        <w:t>) sa kumulovala do troch hlavných zdrojových skupín, ktorými boli dopravné prostriedky (23 prípadov – 40,35</w:t>
      </w:r>
      <w:r w:rsidR="005676EF">
        <w:rPr>
          <w:szCs w:val="22"/>
        </w:rPr>
        <w:t> %</w:t>
      </w:r>
      <w:r w:rsidRPr="00AE6EDB">
        <w:rPr>
          <w:szCs w:val="22"/>
        </w:rPr>
        <w:t>), pracovné, prípadne cestné dopravné priestory ako zdroje pádov osôb (14 prípadov – 24,56</w:t>
      </w:r>
      <w:r w:rsidR="005676EF">
        <w:rPr>
          <w:szCs w:val="22"/>
        </w:rPr>
        <w:t> %</w:t>
      </w:r>
      <w:r w:rsidRPr="00AE6EDB">
        <w:rPr>
          <w:szCs w:val="22"/>
        </w:rPr>
        <w:t>) a materiál, bremená, predmety (10 prípadov – 17,54</w:t>
      </w:r>
      <w:r w:rsidR="005676EF">
        <w:rPr>
          <w:szCs w:val="22"/>
        </w:rPr>
        <w:t> %</w:t>
      </w:r>
      <w:r w:rsidRPr="00AE6EDB">
        <w:rPr>
          <w:szCs w:val="22"/>
        </w:rPr>
        <w:t>).</w:t>
      </w:r>
      <w:r w:rsidR="002C6268" w:rsidRPr="00AE6EDB">
        <w:rPr>
          <w:szCs w:val="22"/>
        </w:rPr>
        <w:t xml:space="preserve"> </w:t>
      </w:r>
      <w:r w:rsidRPr="00AE6EDB">
        <w:rPr>
          <w:szCs w:val="22"/>
        </w:rPr>
        <w:t>Najčastejšími zdrojmi vzniku ŤUZ boli pracovné, prípadne cestné dopravné priestory ako zdroje pádov osôb (43 prípadov – 36,54</w:t>
      </w:r>
      <w:r w:rsidR="005676EF">
        <w:rPr>
          <w:szCs w:val="22"/>
        </w:rPr>
        <w:t> %</w:t>
      </w:r>
      <w:r w:rsidRPr="00AE6EDB">
        <w:rPr>
          <w:szCs w:val="22"/>
        </w:rPr>
        <w:t>), stroje – hnacie, pomocné, obrábacie a pracovné (35 prípadov – 21,60</w:t>
      </w:r>
      <w:r w:rsidR="005676EF">
        <w:rPr>
          <w:szCs w:val="22"/>
        </w:rPr>
        <w:t> %</w:t>
      </w:r>
      <w:r w:rsidRPr="00AE6EDB">
        <w:rPr>
          <w:szCs w:val="22"/>
        </w:rPr>
        <w:t>), dopravné prostriedky (32 prípadov – 19,75</w:t>
      </w:r>
      <w:r w:rsidR="005676EF">
        <w:rPr>
          <w:szCs w:val="22"/>
        </w:rPr>
        <w:t> %</w:t>
      </w:r>
      <w:r w:rsidRPr="00AE6EDB">
        <w:rPr>
          <w:szCs w:val="22"/>
        </w:rPr>
        <w:t>) a materiál, bremená, predmety (25 prípadov – 15,43</w:t>
      </w:r>
      <w:r w:rsidR="005676EF">
        <w:rPr>
          <w:szCs w:val="22"/>
        </w:rPr>
        <w:t> %</w:t>
      </w:r>
      <w:r w:rsidRPr="00AE6EDB">
        <w:rPr>
          <w:szCs w:val="22"/>
        </w:rPr>
        <w:t>).</w:t>
      </w:r>
    </w:p>
    <w:p w:rsidR="002625B2" w:rsidRPr="00AE6EDB" w:rsidRDefault="002625B2" w:rsidP="002625B2">
      <w:pPr>
        <w:autoSpaceDE w:val="0"/>
        <w:autoSpaceDN w:val="0"/>
        <w:adjustRightInd w:val="0"/>
        <w:ind w:firstLine="708"/>
        <w:rPr>
          <w:szCs w:val="22"/>
        </w:rPr>
      </w:pPr>
      <w:r w:rsidRPr="00AE6EDB">
        <w:rPr>
          <w:szCs w:val="22"/>
        </w:rPr>
        <w:t xml:space="preserve">Najčastejšou príčinou vzniku SPÚ bolo (okrem nezistených príčin najmä pri dopravných nehodách, kde inšpektori práce zisťujú len režim vedenia vozidla) predovšetkým používanie </w:t>
      </w:r>
      <w:r w:rsidRPr="00AE6EDB">
        <w:rPr>
          <w:szCs w:val="22"/>
        </w:rPr>
        <w:lastRenderedPageBreak/>
        <w:t>nebezpečných postupov alebo spôsobov práce vrátane konania bez oprávnenia (8 prípadov – 14,03</w:t>
      </w:r>
      <w:r w:rsidR="005676EF">
        <w:rPr>
          <w:szCs w:val="22"/>
        </w:rPr>
        <w:t> %</w:t>
      </w:r>
      <w:r w:rsidRPr="00AE6EDB">
        <w:rPr>
          <w:szCs w:val="22"/>
        </w:rPr>
        <w:t>). Pri pracovných úrazoch s ŤUZ boli najčastejšou príčinou nedostatky osobných predpokladov na výkon práce v čase úrazu (rôzne indispozície, nepozornosť a pod.) a bežné riziko práce (45 prípadov – 27,77</w:t>
      </w:r>
      <w:r w:rsidR="005676EF">
        <w:rPr>
          <w:szCs w:val="22"/>
        </w:rPr>
        <w:t> %</w:t>
      </w:r>
      <w:r w:rsidRPr="00AE6EDB">
        <w:rPr>
          <w:szCs w:val="22"/>
        </w:rPr>
        <w:t>). Najčastejšími príčinami vzniku RPÚ boli predovšetkým nedostatky osobných predpokladov na výkon práce v čase úrazu (rôzne indispozície, nepozornosť a pod.) a bežné riziko práce (</w:t>
      </w:r>
      <w:r w:rsidR="00AC44CB">
        <w:rPr>
          <w:szCs w:val="22"/>
        </w:rPr>
        <w:t>6 8</w:t>
      </w:r>
      <w:r w:rsidRPr="00AE6EDB">
        <w:rPr>
          <w:szCs w:val="22"/>
        </w:rPr>
        <w:t>24 prípadov – 77,39</w:t>
      </w:r>
      <w:r w:rsidR="005676EF">
        <w:rPr>
          <w:szCs w:val="22"/>
        </w:rPr>
        <w:t> %</w:t>
      </w:r>
      <w:r w:rsidRPr="00AE6EDB">
        <w:rPr>
          <w:szCs w:val="22"/>
        </w:rPr>
        <w:t>) a nebezpečné konanie samotných poškodených zamestnancov – používanie nebezpečných postupov alebo spôsobov práce vrátane konania bez oprávnenia (458 prípadov – 5,19</w:t>
      </w:r>
      <w:r w:rsidR="005676EF">
        <w:rPr>
          <w:szCs w:val="22"/>
        </w:rPr>
        <w:t> %</w:t>
      </w:r>
      <w:r w:rsidR="002C6268" w:rsidRPr="00AE6EDB">
        <w:rPr>
          <w:szCs w:val="22"/>
        </w:rPr>
        <w:t>).</w:t>
      </w:r>
    </w:p>
    <w:p w:rsidR="002625B2" w:rsidRDefault="002625B2" w:rsidP="002625B2">
      <w:pPr>
        <w:jc w:val="left"/>
        <w:rPr>
          <w:b/>
          <w:szCs w:val="22"/>
          <w:highlight w:val="cyan"/>
        </w:rPr>
      </w:pPr>
    </w:p>
    <w:p w:rsidR="002625B2" w:rsidRPr="00AE6EDB" w:rsidRDefault="002625B2" w:rsidP="002625B2">
      <w:pPr>
        <w:widowControl w:val="0"/>
        <w:rPr>
          <w:b/>
          <w:szCs w:val="22"/>
        </w:rPr>
      </w:pPr>
      <w:r w:rsidRPr="00AE6EDB">
        <w:rPr>
          <w:b/>
          <w:szCs w:val="22"/>
        </w:rPr>
        <w:t xml:space="preserve">Rizikové práce </w:t>
      </w:r>
    </w:p>
    <w:p w:rsidR="002625B2" w:rsidRPr="00AE6EDB" w:rsidRDefault="002625B2" w:rsidP="002625B2">
      <w:pPr>
        <w:widowControl w:val="0"/>
        <w:rPr>
          <w:b/>
          <w:bCs/>
          <w:szCs w:val="22"/>
          <w:highlight w:val="cyan"/>
        </w:rPr>
      </w:pPr>
    </w:p>
    <w:p w:rsidR="002625B2" w:rsidRPr="00AE6EDB" w:rsidRDefault="002625B2" w:rsidP="002625B2">
      <w:pPr>
        <w:autoSpaceDE w:val="0"/>
        <w:autoSpaceDN w:val="0"/>
        <w:adjustRightInd w:val="0"/>
        <w:ind w:firstLine="708"/>
        <w:rPr>
          <w:szCs w:val="22"/>
        </w:rPr>
      </w:pPr>
      <w:r w:rsidRPr="00AE6EDB">
        <w:rPr>
          <w:szCs w:val="22"/>
        </w:rPr>
        <w:t>V roku 2015 rizikové práce v Slovenskej republike vykonávalo 10</w:t>
      </w:r>
      <w:r w:rsidR="0054295F">
        <w:rPr>
          <w:szCs w:val="22"/>
        </w:rPr>
        <w:t>1 4</w:t>
      </w:r>
      <w:r w:rsidRPr="00AE6EDB">
        <w:rPr>
          <w:szCs w:val="22"/>
        </w:rPr>
        <w:t>74 zamestnancov (z toho 2</w:t>
      </w:r>
      <w:r w:rsidR="0054295F">
        <w:rPr>
          <w:szCs w:val="22"/>
        </w:rPr>
        <w:t>2 8</w:t>
      </w:r>
      <w:r w:rsidRPr="00AE6EDB">
        <w:rPr>
          <w:szCs w:val="22"/>
        </w:rPr>
        <w:t xml:space="preserve">07 žien), čo oproti roku 2014 predstavuje nárast o </w:t>
      </w:r>
      <w:r w:rsidR="0054295F">
        <w:rPr>
          <w:szCs w:val="22"/>
        </w:rPr>
        <w:t>2 3</w:t>
      </w:r>
      <w:r w:rsidRPr="00AE6EDB">
        <w:rPr>
          <w:szCs w:val="22"/>
        </w:rPr>
        <w:t xml:space="preserve">60 zamestnancov. K nárastu došlo len v tretej kategórii práce (o </w:t>
      </w:r>
      <w:r w:rsidR="0054295F">
        <w:rPr>
          <w:szCs w:val="22"/>
        </w:rPr>
        <w:t>2 5</w:t>
      </w:r>
      <w:r w:rsidRPr="00AE6EDB">
        <w:rPr>
          <w:szCs w:val="22"/>
        </w:rPr>
        <w:t>37 zamestnancov), naopak v štvrtej kategórii došlo k miernemu poklesu počtu rizikových prác (o 177 zamestnancov oproti roku 2014).</w:t>
      </w:r>
    </w:p>
    <w:p w:rsidR="002625B2" w:rsidRPr="00AE6EDB" w:rsidRDefault="002625B2" w:rsidP="002625B2">
      <w:pPr>
        <w:autoSpaceDE w:val="0"/>
        <w:autoSpaceDN w:val="0"/>
        <w:adjustRightInd w:val="0"/>
        <w:ind w:firstLine="708"/>
        <w:rPr>
          <w:szCs w:val="22"/>
        </w:rPr>
      </w:pPr>
      <w:r w:rsidRPr="00AE6EDB">
        <w:rPr>
          <w:szCs w:val="22"/>
        </w:rPr>
        <w:t>Najviac zamestnancov bolo exponovaných hluku (7</w:t>
      </w:r>
      <w:r w:rsidR="00AC44CB">
        <w:rPr>
          <w:szCs w:val="22"/>
        </w:rPr>
        <w:t>6 9</w:t>
      </w:r>
      <w:r w:rsidRPr="00AE6EDB">
        <w:rPr>
          <w:szCs w:val="22"/>
        </w:rPr>
        <w:t>16), chemickým látkam a zmesiam (2</w:t>
      </w:r>
      <w:r w:rsidR="00AC44CB">
        <w:rPr>
          <w:szCs w:val="22"/>
        </w:rPr>
        <w:t>6 8</w:t>
      </w:r>
      <w:r w:rsidRPr="00AE6EDB">
        <w:rPr>
          <w:szCs w:val="22"/>
        </w:rPr>
        <w:t>54), fyzickej záťaži (</w:t>
      </w:r>
      <w:r w:rsidR="00AC44CB">
        <w:rPr>
          <w:szCs w:val="22"/>
        </w:rPr>
        <w:t>5 9</w:t>
      </w:r>
      <w:r w:rsidRPr="00AE6EDB">
        <w:rPr>
          <w:szCs w:val="22"/>
        </w:rPr>
        <w:t>14) a vibráciám (</w:t>
      </w:r>
      <w:r w:rsidR="00AC44CB">
        <w:rPr>
          <w:szCs w:val="22"/>
        </w:rPr>
        <w:t>5 8</w:t>
      </w:r>
      <w:r w:rsidRPr="00AE6EDB">
        <w:rPr>
          <w:szCs w:val="22"/>
        </w:rPr>
        <w:t>31). Mierny vzostup počtu zames</w:t>
      </w:r>
      <w:r w:rsidR="00D15CD4">
        <w:rPr>
          <w:szCs w:val="22"/>
        </w:rPr>
        <w:t>tnancov v štvrtej kategórii bol zaznamenaný</w:t>
      </w:r>
      <w:r w:rsidRPr="00AE6EDB">
        <w:rPr>
          <w:szCs w:val="22"/>
        </w:rPr>
        <w:t xml:space="preserve"> v expozícii chemickým faktorom (o 188 zamestnancov) a v expozícii nadmernej fyzickej záťaži (o 22 zamestnancov). Naopak</w:t>
      </w:r>
      <w:r w:rsidR="00D15CD4">
        <w:rPr>
          <w:szCs w:val="22"/>
        </w:rPr>
        <w:t>,</w:t>
      </w:r>
      <w:r w:rsidRPr="00AE6EDB">
        <w:rPr>
          <w:szCs w:val="22"/>
        </w:rPr>
        <w:t xml:space="preserve"> pokles zamestnancov bol zaevidovaný v expozícii nadmerné</w:t>
      </w:r>
      <w:r w:rsidR="002C6268" w:rsidRPr="00AE6EDB">
        <w:rPr>
          <w:szCs w:val="22"/>
        </w:rPr>
        <w:t>mu</w:t>
      </w:r>
      <w:r w:rsidRPr="00AE6EDB">
        <w:rPr>
          <w:szCs w:val="22"/>
        </w:rPr>
        <w:t xml:space="preserve"> hluku (o 242 zamestnancov) a vibráciám (o 222 zamestnancov).</w:t>
      </w:r>
    </w:p>
    <w:p w:rsidR="002625B2" w:rsidRPr="00AE6EDB" w:rsidRDefault="002625B2" w:rsidP="002625B2">
      <w:pPr>
        <w:autoSpaceDE w:val="0"/>
        <w:autoSpaceDN w:val="0"/>
        <w:adjustRightInd w:val="0"/>
        <w:ind w:firstLine="708"/>
        <w:rPr>
          <w:szCs w:val="22"/>
        </w:rPr>
      </w:pPr>
      <w:r w:rsidRPr="00AE6EDB">
        <w:rPr>
          <w:szCs w:val="22"/>
        </w:rPr>
        <w:t xml:space="preserve">Najviac zamestnancov vykonávalo rizikovú prácu v odvetví priemyselnej výroby </w:t>
      </w:r>
      <w:r w:rsidR="002C6268" w:rsidRPr="00AE6EDB">
        <w:rPr>
          <w:szCs w:val="22"/>
        </w:rPr>
        <w:br/>
      </w:r>
      <w:r w:rsidRPr="00AE6EDB">
        <w:rPr>
          <w:szCs w:val="22"/>
        </w:rPr>
        <w:t>(7</w:t>
      </w:r>
      <w:r w:rsidR="0054295F">
        <w:rPr>
          <w:szCs w:val="22"/>
        </w:rPr>
        <w:t>0 4</w:t>
      </w:r>
      <w:r w:rsidRPr="00AE6EDB">
        <w:rPr>
          <w:szCs w:val="22"/>
        </w:rPr>
        <w:t>34 zamestnancov) a v odvetví zdravotníctva a sociálnej pomoci (</w:t>
      </w:r>
      <w:r w:rsidR="00AC44CB">
        <w:rPr>
          <w:szCs w:val="22"/>
        </w:rPr>
        <w:t>9 5</w:t>
      </w:r>
      <w:r w:rsidRPr="00AE6EDB">
        <w:rPr>
          <w:szCs w:val="22"/>
        </w:rPr>
        <w:t>29 zamestnancov). Najviac žien (</w:t>
      </w:r>
      <w:r w:rsidR="00AC44CB">
        <w:rPr>
          <w:szCs w:val="22"/>
        </w:rPr>
        <w:t>7 2</w:t>
      </w:r>
      <w:r w:rsidRPr="00AE6EDB">
        <w:rPr>
          <w:szCs w:val="22"/>
        </w:rPr>
        <w:t>48 žien) vykonávalo rizikové práce v odvetví zdravotníctva a sociálnej pomoci.</w:t>
      </w:r>
    </w:p>
    <w:p w:rsidR="002625B2" w:rsidRPr="00AE6EDB" w:rsidRDefault="002625B2" w:rsidP="002625B2">
      <w:pPr>
        <w:shd w:val="clear" w:color="auto" w:fill="FFFFFF"/>
        <w:autoSpaceDE w:val="0"/>
        <w:autoSpaceDN w:val="0"/>
        <w:adjustRightInd w:val="0"/>
        <w:rPr>
          <w:b/>
          <w:bCs/>
          <w:szCs w:val="22"/>
          <w:highlight w:val="cyan"/>
          <w:u w:val="single"/>
        </w:rPr>
      </w:pPr>
    </w:p>
    <w:p w:rsidR="002625B2" w:rsidRPr="00AE6EDB" w:rsidRDefault="002625B2" w:rsidP="002625B2">
      <w:pPr>
        <w:shd w:val="clear" w:color="auto" w:fill="FFFFFF"/>
        <w:autoSpaceDE w:val="0"/>
        <w:autoSpaceDN w:val="0"/>
        <w:adjustRightInd w:val="0"/>
        <w:rPr>
          <w:b/>
          <w:bCs/>
          <w:szCs w:val="22"/>
        </w:rPr>
      </w:pPr>
      <w:r w:rsidRPr="00AE6EDB">
        <w:rPr>
          <w:b/>
          <w:bCs/>
          <w:szCs w:val="22"/>
        </w:rPr>
        <w:t>Choroby z povolania</w:t>
      </w:r>
    </w:p>
    <w:p w:rsidR="002625B2" w:rsidRPr="00AE6EDB" w:rsidRDefault="002625B2" w:rsidP="002625B2">
      <w:pPr>
        <w:shd w:val="clear" w:color="auto" w:fill="FFFFFF"/>
        <w:autoSpaceDE w:val="0"/>
        <w:autoSpaceDN w:val="0"/>
        <w:adjustRightInd w:val="0"/>
        <w:rPr>
          <w:b/>
          <w:bCs/>
          <w:szCs w:val="22"/>
          <w:highlight w:val="cyan"/>
        </w:rPr>
      </w:pPr>
    </w:p>
    <w:p w:rsidR="002625B2" w:rsidRPr="00AE6EDB" w:rsidRDefault="002625B2" w:rsidP="002625B2">
      <w:pPr>
        <w:autoSpaceDE w:val="0"/>
        <w:autoSpaceDN w:val="0"/>
        <w:adjustRightInd w:val="0"/>
        <w:ind w:firstLine="708"/>
        <w:rPr>
          <w:szCs w:val="22"/>
        </w:rPr>
      </w:pPr>
      <w:r w:rsidRPr="00AE6EDB">
        <w:rPr>
          <w:szCs w:val="22"/>
        </w:rPr>
        <w:t xml:space="preserve">V roku 2015 bolo v Slovenskej republike hlásených 323 nových chorôb z povolania </w:t>
      </w:r>
      <w:r w:rsidRPr="00AE6EDB">
        <w:rPr>
          <w:szCs w:val="22"/>
        </w:rPr>
        <w:br/>
        <w:t>a profesionálnych otráv, z nich 114 u žien (35</w:t>
      </w:r>
      <w:r w:rsidR="005676EF">
        <w:rPr>
          <w:szCs w:val="22"/>
        </w:rPr>
        <w:t> %</w:t>
      </w:r>
      <w:r w:rsidRPr="00AE6EDB">
        <w:rPr>
          <w:szCs w:val="22"/>
        </w:rPr>
        <w:t xml:space="preserve"> zo všetkých hlásených chorôb z povolania </w:t>
      </w:r>
      <w:r w:rsidRPr="00AE6EDB">
        <w:rPr>
          <w:szCs w:val="22"/>
        </w:rPr>
        <w:br/>
        <w:t>a profesionálnych otráv). V porovnaní s rokom 2014 (373 nových hlásených chorôb z povolania) došlo v roku 2015 k poklesu o 50 hlásených chorôb z povolania (o 13,4</w:t>
      </w:r>
      <w:r w:rsidR="005676EF">
        <w:rPr>
          <w:szCs w:val="22"/>
        </w:rPr>
        <w:t> %</w:t>
      </w:r>
      <w:r w:rsidRPr="00AE6EDB">
        <w:rPr>
          <w:szCs w:val="22"/>
        </w:rPr>
        <w:t>).</w:t>
      </w:r>
    </w:p>
    <w:p w:rsidR="002625B2" w:rsidRPr="00AE6EDB" w:rsidRDefault="002625B2" w:rsidP="002625B2">
      <w:pPr>
        <w:autoSpaceDE w:val="0"/>
        <w:autoSpaceDN w:val="0"/>
        <w:adjustRightInd w:val="0"/>
        <w:ind w:firstLine="708"/>
        <w:rPr>
          <w:szCs w:val="22"/>
        </w:rPr>
      </w:pPr>
      <w:r w:rsidRPr="00AE6EDB">
        <w:rPr>
          <w:szCs w:val="22"/>
        </w:rPr>
        <w:t xml:space="preserve">K najčastejším hlásených chorobám z povolania patrilo ochorenie horných končatín </w:t>
      </w:r>
      <w:r w:rsidRPr="00AE6EDB">
        <w:rPr>
          <w:szCs w:val="22"/>
        </w:rPr>
        <w:br/>
        <w:t>z dlhodobého nadmerného a jednostranného zaťaženia u 154 zamestnancov (47,7</w:t>
      </w:r>
      <w:r w:rsidR="005676EF">
        <w:rPr>
          <w:szCs w:val="22"/>
        </w:rPr>
        <w:t> %</w:t>
      </w:r>
      <w:r w:rsidRPr="00AE6EDB">
        <w:rPr>
          <w:szCs w:val="22"/>
        </w:rPr>
        <w:t xml:space="preserve"> zo všetkých hlásených chorôb z povolania v SR), ochorenie horných končatín z vibrácií u 63 zamestnancov (19,5</w:t>
      </w:r>
      <w:r w:rsidR="005676EF">
        <w:rPr>
          <w:szCs w:val="22"/>
        </w:rPr>
        <w:t> %</w:t>
      </w:r>
      <w:r w:rsidRPr="00AE6EDB">
        <w:rPr>
          <w:szCs w:val="22"/>
        </w:rPr>
        <w:t>), porucha sluchu z hluku u 30 zamestnancov (9,3</w:t>
      </w:r>
      <w:r w:rsidR="005676EF">
        <w:rPr>
          <w:szCs w:val="22"/>
        </w:rPr>
        <w:t> %</w:t>
      </w:r>
      <w:r w:rsidRPr="00AE6EDB">
        <w:rPr>
          <w:szCs w:val="22"/>
        </w:rPr>
        <w:t>) a prenosné a parazitárne ochorenia u 30 zamestnancov (9,3</w:t>
      </w:r>
      <w:r w:rsidR="005676EF">
        <w:rPr>
          <w:szCs w:val="22"/>
        </w:rPr>
        <w:t> %</w:t>
      </w:r>
      <w:r w:rsidRPr="00AE6EDB">
        <w:rPr>
          <w:szCs w:val="22"/>
        </w:rPr>
        <w:t>).</w:t>
      </w:r>
    </w:p>
    <w:p w:rsidR="002625B2" w:rsidRPr="00AE6EDB" w:rsidRDefault="002625B2" w:rsidP="002625B2">
      <w:pPr>
        <w:autoSpaceDE w:val="0"/>
        <w:autoSpaceDN w:val="0"/>
        <w:adjustRightInd w:val="0"/>
        <w:ind w:firstLine="708"/>
        <w:rPr>
          <w:szCs w:val="22"/>
        </w:rPr>
      </w:pPr>
      <w:r w:rsidRPr="00AE6EDB">
        <w:rPr>
          <w:szCs w:val="22"/>
        </w:rPr>
        <w:t>Najvyšší výskyt chorôb z povolania bol v priemyselnej výrobe a to 148 hlásení (45,8</w:t>
      </w:r>
      <w:r w:rsidR="005676EF">
        <w:rPr>
          <w:szCs w:val="22"/>
        </w:rPr>
        <w:t> %</w:t>
      </w:r>
      <w:r w:rsidRPr="00AE6EDB">
        <w:rPr>
          <w:szCs w:val="22"/>
        </w:rPr>
        <w:t xml:space="preserve"> zo</w:t>
      </w:r>
      <w:r w:rsidR="002C6268" w:rsidRPr="00AE6EDB">
        <w:rPr>
          <w:szCs w:val="22"/>
        </w:rPr>
        <w:t> </w:t>
      </w:r>
      <w:r w:rsidRPr="00AE6EDB">
        <w:rPr>
          <w:szCs w:val="22"/>
        </w:rPr>
        <w:t>všetkých hlásených chorôb z povolania), v odvetví ťažba a dobývanie 69 hlásení (21,4</w:t>
      </w:r>
      <w:r w:rsidR="005676EF">
        <w:rPr>
          <w:szCs w:val="22"/>
        </w:rPr>
        <w:t> %</w:t>
      </w:r>
      <w:r w:rsidRPr="00AE6EDB">
        <w:rPr>
          <w:szCs w:val="22"/>
        </w:rPr>
        <w:t>), v odvetví poľnohospodárstv</w:t>
      </w:r>
      <w:r w:rsidR="002C6268" w:rsidRPr="00AE6EDB">
        <w:rPr>
          <w:szCs w:val="22"/>
        </w:rPr>
        <w:t>o, lesníctvo a rybolov</w:t>
      </w:r>
      <w:r w:rsidRPr="00AE6EDB">
        <w:rPr>
          <w:szCs w:val="22"/>
        </w:rPr>
        <w:t xml:space="preserve"> 36 hlásení (11,1</w:t>
      </w:r>
      <w:r w:rsidR="005676EF">
        <w:rPr>
          <w:szCs w:val="22"/>
        </w:rPr>
        <w:t> %</w:t>
      </w:r>
      <w:r w:rsidRPr="00AE6EDB">
        <w:rPr>
          <w:szCs w:val="22"/>
        </w:rPr>
        <w:t>), v odvetví zdravotníctv</w:t>
      </w:r>
      <w:r w:rsidR="002C6268" w:rsidRPr="00AE6EDB">
        <w:rPr>
          <w:szCs w:val="22"/>
        </w:rPr>
        <w:t>o</w:t>
      </w:r>
      <w:r w:rsidRPr="00AE6EDB">
        <w:rPr>
          <w:szCs w:val="22"/>
        </w:rPr>
        <w:t xml:space="preserve"> a sociáln</w:t>
      </w:r>
      <w:r w:rsidR="002C6268" w:rsidRPr="00AE6EDB">
        <w:rPr>
          <w:szCs w:val="22"/>
        </w:rPr>
        <w:t>a</w:t>
      </w:r>
      <w:r w:rsidRPr="00AE6EDB">
        <w:rPr>
          <w:szCs w:val="22"/>
        </w:rPr>
        <w:t xml:space="preserve"> pomoc 28 hlásení (8,7</w:t>
      </w:r>
      <w:r w:rsidR="005676EF">
        <w:rPr>
          <w:szCs w:val="22"/>
        </w:rPr>
        <w:t> %</w:t>
      </w:r>
      <w:r w:rsidRPr="00AE6EDB">
        <w:rPr>
          <w:szCs w:val="22"/>
        </w:rPr>
        <w:t>) a v odvetví stavebníctv</w:t>
      </w:r>
      <w:r w:rsidR="002C6268" w:rsidRPr="00AE6EDB">
        <w:rPr>
          <w:szCs w:val="22"/>
        </w:rPr>
        <w:t>o</w:t>
      </w:r>
      <w:r w:rsidRPr="00AE6EDB">
        <w:rPr>
          <w:szCs w:val="22"/>
        </w:rPr>
        <w:t xml:space="preserve"> 21 hlásení (6,5</w:t>
      </w:r>
      <w:r w:rsidR="005676EF">
        <w:rPr>
          <w:szCs w:val="22"/>
        </w:rPr>
        <w:t> %</w:t>
      </w:r>
      <w:r w:rsidRPr="00AE6EDB">
        <w:rPr>
          <w:szCs w:val="22"/>
        </w:rPr>
        <w:t>).</w:t>
      </w:r>
    </w:p>
    <w:p w:rsidR="002625B2" w:rsidRPr="00AE6EDB" w:rsidRDefault="002625B2" w:rsidP="002625B2">
      <w:pPr>
        <w:jc w:val="left"/>
        <w:rPr>
          <w:szCs w:val="22"/>
          <w:highlight w:val="cyan"/>
          <w:lang w:eastAsia="cs-CZ"/>
        </w:rPr>
        <w:sectPr w:rsidR="002625B2" w:rsidRPr="00AE6EDB" w:rsidSect="00B253E7">
          <w:headerReference w:type="even" r:id="rId39"/>
          <w:headerReference w:type="default" r:id="rId40"/>
          <w:type w:val="oddPage"/>
          <w:pgSz w:w="11906" w:h="16838"/>
          <w:pgMar w:top="1417" w:right="1417" w:bottom="1417" w:left="1417" w:header="709" w:footer="709" w:gutter="0"/>
          <w:cols w:space="708"/>
          <w:docGrid w:linePitch="360"/>
        </w:sectPr>
      </w:pPr>
    </w:p>
    <w:p w:rsidR="002625B2" w:rsidRPr="00AE6EDB" w:rsidRDefault="002625B2" w:rsidP="002625B2">
      <w:pPr>
        <w:pStyle w:val="Normlnysozarkami"/>
        <w:rPr>
          <w:highlight w:val="cyan"/>
        </w:rPr>
        <w:sectPr w:rsidR="002625B2" w:rsidRPr="00AE6EDB" w:rsidSect="000A7585">
          <w:headerReference w:type="even" r:id="rId41"/>
          <w:headerReference w:type="default" r:id="rId42"/>
          <w:footerReference w:type="even" r:id="rId43"/>
          <w:pgSz w:w="11906" w:h="16838"/>
          <w:pgMar w:top="1417" w:right="1417" w:bottom="1417" w:left="1417" w:header="708" w:footer="708" w:gutter="0"/>
          <w:cols w:space="708"/>
          <w:titlePg/>
          <w:docGrid w:linePitch="360"/>
        </w:sectPr>
      </w:pPr>
      <w:bookmarkStart w:id="121" w:name="_Toc356916006"/>
    </w:p>
    <w:p w:rsidR="002625B2" w:rsidRPr="00AE6EDB" w:rsidRDefault="002625B2" w:rsidP="002625B2">
      <w:pPr>
        <w:pStyle w:val="Nadpis1"/>
      </w:pPr>
      <w:bookmarkStart w:id="122" w:name="_Toc452469870"/>
      <w:bookmarkEnd w:id="121"/>
      <w:r w:rsidRPr="00AE6EDB">
        <w:lastRenderedPageBreak/>
        <w:t>SOCIÁLNA OCHRANA</w:t>
      </w:r>
      <w:bookmarkEnd w:id="122"/>
    </w:p>
    <w:p w:rsidR="002625B2" w:rsidRPr="00AE6EDB" w:rsidRDefault="002625B2" w:rsidP="002625B2">
      <w:pPr>
        <w:rPr>
          <w:color w:val="000000" w:themeColor="text1"/>
        </w:rPr>
      </w:pPr>
      <w:r w:rsidRPr="00AE6EDB">
        <w:rPr>
          <w:color w:val="000000" w:themeColor="text1"/>
        </w:rPr>
        <w:t>Sociálnu ochranu na Slovensku zabezpečuje systém sociálneho zabezpečenia, ktorý pozostáva zo sociálneho poistenia, štátnej sociálnej podpory a sociálnej pomoci.</w:t>
      </w:r>
    </w:p>
    <w:p w:rsidR="002625B2" w:rsidRPr="00AE6EDB" w:rsidRDefault="002625B2" w:rsidP="002625B2">
      <w:pPr>
        <w:pStyle w:val="nadpis2"/>
      </w:pPr>
      <w:bookmarkStart w:id="123" w:name="_Toc325440930"/>
      <w:bookmarkStart w:id="124" w:name="_Toc356482672"/>
      <w:bookmarkStart w:id="125" w:name="_Toc356482814"/>
      <w:bookmarkStart w:id="126" w:name="_Toc356916007"/>
      <w:bookmarkStart w:id="127" w:name="_Toc422233414"/>
      <w:bookmarkStart w:id="128" w:name="_Toc452469871"/>
      <w:r w:rsidRPr="00AE6EDB">
        <w:t>Sociálne poistenie</w:t>
      </w:r>
      <w:bookmarkEnd w:id="123"/>
      <w:bookmarkEnd w:id="124"/>
      <w:bookmarkEnd w:id="125"/>
      <w:bookmarkEnd w:id="126"/>
      <w:bookmarkEnd w:id="127"/>
      <w:bookmarkEnd w:id="128"/>
    </w:p>
    <w:p w:rsidR="002625B2" w:rsidRPr="00AE6EDB" w:rsidRDefault="002625B2" w:rsidP="002625B2">
      <w:pPr>
        <w:ind w:firstLine="431"/>
        <w:rPr>
          <w:szCs w:val="22"/>
          <w:lang w:eastAsia="cs-CZ"/>
        </w:rPr>
      </w:pPr>
      <w:r w:rsidRPr="00AE6EDB">
        <w:rPr>
          <w:szCs w:val="22"/>
          <w:lang w:eastAsia="cs-CZ"/>
        </w:rPr>
        <w:t xml:space="preserve">Sociálne poistenie zabezpečuje ochranu ekonomicky aktívneho obyvateľstva v prípade straty alebo zníženia príjmu zo zárobkovej činnosti v dôsledku dočasnej pracovnej neschopnosti, potreby ošetrovania alebo opatrovania,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povinných príspevkov na starobné dôchodkové sporenie, v prípade straty príjmu z činnosti zamestnanca v dôsledku straty zamestnania a na zabezpečenie príjmu v nezamestnanosti. </w:t>
      </w:r>
    </w:p>
    <w:p w:rsidR="002625B2" w:rsidRPr="00AE6EDB" w:rsidRDefault="002625B2" w:rsidP="002625B2">
      <w:pPr>
        <w:ind w:firstLine="431"/>
        <w:rPr>
          <w:szCs w:val="22"/>
          <w:lang w:eastAsia="cs-CZ"/>
        </w:rPr>
      </w:pPr>
      <w:r w:rsidRPr="00AE6EDB">
        <w:rPr>
          <w:szCs w:val="22"/>
          <w:lang w:eastAsia="cs-CZ"/>
        </w:rPr>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p>
    <w:p w:rsidR="002625B2" w:rsidRPr="00AE6EDB" w:rsidRDefault="002625B2" w:rsidP="002625B2">
      <w:pPr>
        <w:ind w:firstLine="431"/>
        <w:rPr>
          <w:szCs w:val="22"/>
          <w:lang w:eastAsia="cs-CZ"/>
        </w:rPr>
      </w:pPr>
      <w:r w:rsidRPr="00AE6EDB">
        <w:rPr>
          <w:szCs w:val="22"/>
          <w:lang w:eastAsia="cs-CZ"/>
        </w:rPr>
        <w:t>Rok 2015 priniesol viaceré opatrenia, ktorých cieľom bolo najmä zvýšenie životnej úrovne nízkopríjmových poberateľov dôchodkov, zníženie administratívnej záťaže samostatne zárobkovo činných osôb, podpora zamestnanosti nezamestnaných osôb z najmenej rozvinutých okresov, ako aj zlepšenie postavenia fyzických osôb v období starostlivosti o dieťa</w:t>
      </w:r>
      <w:r w:rsidRPr="00AE6EDB">
        <w:rPr>
          <w:lang w:eastAsia="cs-CZ"/>
        </w:rPr>
        <w:t>.</w:t>
      </w:r>
    </w:p>
    <w:p w:rsidR="002625B2" w:rsidRPr="00AE6EDB" w:rsidRDefault="002625B2" w:rsidP="002625B2">
      <w:pPr>
        <w:rPr>
          <w:szCs w:val="22"/>
          <w:lang w:eastAsia="cs-CZ"/>
        </w:rPr>
      </w:pPr>
      <w:r w:rsidRPr="00AE6EDB">
        <w:rPr>
          <w:szCs w:val="22"/>
          <w:lang w:eastAsia="cs-CZ"/>
        </w:rPr>
        <w:t xml:space="preserve">V sledovanom období v oblasti sociálneho poistenia nadobudli účinnosť nasledovné opatrenia a úpravy dané viacerými novelami zákona o sociálnom poistení: </w:t>
      </w:r>
    </w:p>
    <w:p w:rsidR="002625B2" w:rsidRPr="00AE6EDB" w:rsidRDefault="002625B2" w:rsidP="002625B2">
      <w:pPr>
        <w:pStyle w:val="Odsekzoznamu"/>
        <w:numPr>
          <w:ilvl w:val="0"/>
          <w:numId w:val="23"/>
        </w:numPr>
      </w:pPr>
      <w:r w:rsidRPr="00AE6EDB">
        <w:t>Opatrenie MPSVR SR č. 295/2014 Z. z., ktorým sa ustanovuje pevná suma zvýšenia dôchodkovej dávky a percento zvýšenia úrazovej renty v roku 2015.</w:t>
      </w:r>
    </w:p>
    <w:p w:rsidR="002625B2" w:rsidRPr="00AE6EDB" w:rsidRDefault="002625B2" w:rsidP="002625B2">
      <w:pPr>
        <w:pStyle w:val="l21"/>
        <w:ind w:left="360"/>
        <w:rPr>
          <w:sz w:val="22"/>
          <w:szCs w:val="22"/>
        </w:rPr>
      </w:pPr>
      <w:r w:rsidRPr="00AE6EDB">
        <w:rPr>
          <w:sz w:val="22"/>
          <w:szCs w:val="22"/>
        </w:rPr>
        <w:t>Dôchodkové dávky sa v roku 2015 zvýšili nasledovne:</w:t>
      </w:r>
    </w:p>
    <w:p w:rsidR="002625B2" w:rsidRPr="00AE6EDB" w:rsidRDefault="002625B2" w:rsidP="002625B2">
      <w:pPr>
        <w:pStyle w:val="l21"/>
        <w:numPr>
          <w:ilvl w:val="0"/>
          <w:numId w:val="42"/>
        </w:numPr>
        <w:ind w:left="993" w:hanging="273"/>
        <w:rPr>
          <w:sz w:val="22"/>
          <w:szCs w:val="22"/>
        </w:rPr>
      </w:pPr>
      <w:bookmarkStart w:id="129" w:name="p1-a"/>
      <w:bookmarkEnd w:id="129"/>
      <w:r w:rsidRPr="00AE6EDB">
        <w:rPr>
          <w:sz w:val="22"/>
          <w:szCs w:val="22"/>
        </w:rPr>
        <w:t>starobný dôchodok o 5,20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0" w:name="p1-b"/>
      <w:bookmarkEnd w:id="130"/>
      <w:r w:rsidRPr="00AE6EDB">
        <w:rPr>
          <w:sz w:val="22"/>
          <w:szCs w:val="22"/>
        </w:rPr>
        <w:t>starobný dôchodok vyplácaný v sume jednej polovice o 1,60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1" w:name="p1-c"/>
      <w:bookmarkEnd w:id="131"/>
      <w:r w:rsidRPr="00AE6EDB">
        <w:rPr>
          <w:sz w:val="22"/>
          <w:szCs w:val="22"/>
        </w:rPr>
        <w:t>predčasný starobný dôchodok o 5,30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2" w:name="p1-d"/>
      <w:bookmarkEnd w:id="132"/>
      <w:r w:rsidRPr="00AE6EDB">
        <w:rPr>
          <w:sz w:val="22"/>
          <w:szCs w:val="22"/>
        </w:rPr>
        <w:t>predčasný starobný dôchodok vyplácaný v sume jednej polovice o 1,90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3" w:name="p1-e"/>
      <w:bookmarkEnd w:id="133"/>
      <w:r w:rsidRPr="00AE6EDB">
        <w:rPr>
          <w:sz w:val="22"/>
          <w:szCs w:val="22"/>
        </w:rPr>
        <w:t>invalidný dôchodok priznaný z dôvodu poklesu schopnosti vykonávať zárobkovú činnosť o viac ako 70</w:t>
      </w:r>
      <w:r w:rsidR="005676EF">
        <w:rPr>
          <w:sz w:val="22"/>
          <w:szCs w:val="22"/>
        </w:rPr>
        <w:t> %</w:t>
      </w:r>
      <w:r w:rsidRPr="00AE6EDB">
        <w:rPr>
          <w:sz w:val="22"/>
          <w:szCs w:val="22"/>
        </w:rPr>
        <w:t>, invalidný dôchodok podľa § 266 zákona o sociálnom poistení a sociálny dôchodok o 4,60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4" w:name="p1-f"/>
      <w:bookmarkEnd w:id="134"/>
      <w:r w:rsidRPr="00AE6EDB">
        <w:rPr>
          <w:sz w:val="22"/>
          <w:szCs w:val="22"/>
        </w:rPr>
        <w:t>invalidný dôchodok priznaný z dôvodu poklesu schopnosti vykonávať zárobkovú činnosť o viac ako 70</w:t>
      </w:r>
      <w:r w:rsidR="005676EF">
        <w:rPr>
          <w:sz w:val="22"/>
          <w:szCs w:val="22"/>
        </w:rPr>
        <w:t> %</w:t>
      </w:r>
      <w:r w:rsidRPr="00AE6EDB">
        <w:rPr>
          <w:sz w:val="22"/>
          <w:szCs w:val="22"/>
        </w:rPr>
        <w:t xml:space="preserve">, invalidný dôchodok podľa </w:t>
      </w:r>
      <w:hyperlink r:id="rId44" w:anchor="f6113179" w:history="1">
        <w:r w:rsidRPr="00AE6EDB">
          <w:rPr>
            <w:sz w:val="22"/>
            <w:szCs w:val="22"/>
          </w:rPr>
          <w:t xml:space="preserve">§ 266 zákona </w:t>
        </w:r>
      </w:hyperlink>
      <w:r w:rsidRPr="00AE6EDB">
        <w:rPr>
          <w:sz w:val="22"/>
          <w:szCs w:val="22"/>
        </w:rPr>
        <w:t>o sociálnom poistení vyplácaný v sume jednej polovice o 1,70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5" w:name="p1-g"/>
      <w:bookmarkEnd w:id="135"/>
      <w:r w:rsidRPr="00AE6EDB">
        <w:rPr>
          <w:sz w:val="22"/>
          <w:szCs w:val="22"/>
        </w:rPr>
        <w:t>invalidný dôchodok priznaný z dôvodu poklesu schopnosti vykonávať zárobkovú činnosť najviac o 70</w:t>
      </w:r>
      <w:r w:rsidR="005676EF">
        <w:rPr>
          <w:sz w:val="22"/>
          <w:szCs w:val="22"/>
        </w:rPr>
        <w:t> %</w:t>
      </w:r>
      <w:r w:rsidRPr="00AE6EDB">
        <w:rPr>
          <w:sz w:val="22"/>
          <w:szCs w:val="22"/>
        </w:rPr>
        <w:t xml:space="preserve"> o 2,70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6" w:name="p1-h"/>
      <w:bookmarkEnd w:id="136"/>
      <w:r w:rsidRPr="00AE6EDB">
        <w:rPr>
          <w:sz w:val="22"/>
          <w:szCs w:val="22"/>
        </w:rPr>
        <w:t>invalidný dôchodok priznaný z dôvodu poklesu schopnosti vykonávať zárobkovú činnosť najviac o 70</w:t>
      </w:r>
      <w:r w:rsidR="005676EF">
        <w:rPr>
          <w:sz w:val="22"/>
          <w:szCs w:val="22"/>
        </w:rPr>
        <w:t> %</w:t>
      </w:r>
      <w:r w:rsidRPr="00AE6EDB">
        <w:rPr>
          <w:sz w:val="22"/>
          <w:szCs w:val="22"/>
        </w:rPr>
        <w:t xml:space="preserve"> vyplácaný v sume jednej polovice o 1,10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7" w:name="p1-i"/>
      <w:bookmarkEnd w:id="137"/>
      <w:r w:rsidRPr="00AE6EDB">
        <w:rPr>
          <w:sz w:val="22"/>
          <w:szCs w:val="22"/>
        </w:rPr>
        <w:t>vdovský dôchodok a vdovecký dôchodok o 3,40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8" w:name="p1-j"/>
      <w:bookmarkEnd w:id="138"/>
      <w:r w:rsidRPr="00AE6EDB">
        <w:rPr>
          <w:sz w:val="22"/>
          <w:szCs w:val="22"/>
        </w:rPr>
        <w:t>vdovský dôchodok a vdovecký dôchodok vyplácaný v sume jednej polovice o 1,50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39" w:name="p1-k"/>
      <w:bookmarkEnd w:id="139"/>
      <w:r w:rsidRPr="00AE6EDB">
        <w:rPr>
          <w:sz w:val="22"/>
          <w:szCs w:val="22"/>
        </w:rPr>
        <w:t>sirotský dôchodok o 1,80</w:t>
      </w:r>
      <w:r w:rsidR="0054295F">
        <w:rPr>
          <w:sz w:val="22"/>
          <w:szCs w:val="22"/>
        </w:rPr>
        <w:t> eur</w:t>
      </w:r>
      <w:r w:rsidRPr="00AE6EDB">
        <w:rPr>
          <w:sz w:val="22"/>
          <w:szCs w:val="22"/>
        </w:rPr>
        <w:t>a,</w:t>
      </w:r>
    </w:p>
    <w:p w:rsidR="002625B2" w:rsidRPr="00AE6EDB" w:rsidRDefault="002625B2" w:rsidP="002625B2">
      <w:pPr>
        <w:pStyle w:val="l21"/>
        <w:numPr>
          <w:ilvl w:val="0"/>
          <w:numId w:val="42"/>
        </w:numPr>
        <w:ind w:left="993" w:hanging="273"/>
        <w:rPr>
          <w:sz w:val="22"/>
          <w:szCs w:val="22"/>
        </w:rPr>
      </w:pPr>
      <w:bookmarkStart w:id="140" w:name="p1-l"/>
      <w:bookmarkEnd w:id="140"/>
      <w:r w:rsidRPr="00AE6EDB">
        <w:rPr>
          <w:sz w:val="22"/>
          <w:szCs w:val="22"/>
        </w:rPr>
        <w:t>sirotský dôchodok vyplácaný v sume jednej polovice o 0,90</w:t>
      </w:r>
      <w:r w:rsidR="0054295F">
        <w:rPr>
          <w:sz w:val="22"/>
          <w:szCs w:val="22"/>
        </w:rPr>
        <w:t> eur</w:t>
      </w:r>
      <w:r w:rsidRPr="00AE6EDB">
        <w:rPr>
          <w:sz w:val="22"/>
          <w:szCs w:val="22"/>
        </w:rPr>
        <w:t>a.</w:t>
      </w:r>
    </w:p>
    <w:p w:rsidR="002625B2" w:rsidRPr="00AE6EDB" w:rsidRDefault="002625B2" w:rsidP="002625B2">
      <w:pPr>
        <w:pStyle w:val="l21"/>
        <w:ind w:left="360"/>
        <w:rPr>
          <w:sz w:val="22"/>
          <w:szCs w:val="22"/>
        </w:rPr>
      </w:pPr>
      <w:bookmarkStart w:id="141" w:name="p2"/>
      <w:bookmarkStart w:id="142" w:name="p2-1"/>
      <w:bookmarkEnd w:id="141"/>
      <w:bookmarkEnd w:id="142"/>
      <w:r w:rsidRPr="00AE6EDB">
        <w:rPr>
          <w:sz w:val="22"/>
          <w:szCs w:val="22"/>
        </w:rPr>
        <w:t>Úrazová renta sa v roku 2015 zvýšila o 1,32</w:t>
      </w:r>
      <w:r w:rsidR="005676EF">
        <w:rPr>
          <w:sz w:val="22"/>
          <w:szCs w:val="22"/>
        </w:rPr>
        <w:t> %</w:t>
      </w:r>
      <w:r w:rsidRPr="00AE6EDB">
        <w:rPr>
          <w:sz w:val="22"/>
          <w:szCs w:val="22"/>
        </w:rPr>
        <w:t>.</w:t>
      </w:r>
    </w:p>
    <w:p w:rsidR="002625B2" w:rsidRPr="00AE6EDB" w:rsidRDefault="002625B2" w:rsidP="002625B2">
      <w:pPr>
        <w:pStyle w:val="Odsekzoznamu"/>
        <w:numPr>
          <w:ilvl w:val="0"/>
          <w:numId w:val="23"/>
        </w:numPr>
        <w:rPr>
          <w:szCs w:val="22"/>
        </w:rPr>
      </w:pPr>
      <w:r w:rsidRPr="00AE6EDB">
        <w:rPr>
          <w:szCs w:val="22"/>
        </w:rPr>
        <w:t>Výšku dôchodkovej hodnoty na príslušný kalendárny rok stanovovalo MPSVR SR opatrením uverejneným v Zbierke zákonov Slovenskej republiky, kým sa zákonom č. 183/2014 Z. z., ktorý novelizoval zákon o sociálnom poistení, neustanovilo, že výšku dôchodkovej hodnoty na</w:t>
      </w:r>
      <w:r w:rsidR="005740FD" w:rsidRPr="00AE6EDB">
        <w:rPr>
          <w:szCs w:val="22"/>
        </w:rPr>
        <w:t> </w:t>
      </w:r>
      <w:r w:rsidRPr="00AE6EDB">
        <w:rPr>
          <w:szCs w:val="22"/>
        </w:rPr>
        <w:t>nasledujúce kalendárne roky počnúc rokom 2015 stanoví Sociálna poisťovňa a zverejní ich najneskôr do</w:t>
      </w:r>
      <w:r w:rsidR="005740FD" w:rsidRPr="00AE6EDB">
        <w:rPr>
          <w:szCs w:val="22"/>
        </w:rPr>
        <w:t> </w:t>
      </w:r>
      <w:r w:rsidRPr="00AE6EDB">
        <w:rPr>
          <w:szCs w:val="22"/>
        </w:rPr>
        <w:t>31.</w:t>
      </w:r>
      <w:r w:rsidR="005740FD" w:rsidRPr="00AE6EDB">
        <w:rPr>
          <w:szCs w:val="22"/>
        </w:rPr>
        <w:t> </w:t>
      </w:r>
      <w:r w:rsidRPr="00AE6EDB">
        <w:rPr>
          <w:szCs w:val="22"/>
        </w:rPr>
        <w:t xml:space="preserve">decembra príslušného kalendárneho roka na svojom webovom sídle. </w:t>
      </w:r>
      <w:r w:rsidRPr="00AE6EDB">
        <w:rPr>
          <w:bCs/>
          <w:szCs w:val="22"/>
        </w:rPr>
        <w:t>Dôchodková hodnota sa v roku 2015 zvýšila na 10,6865</w:t>
      </w:r>
      <w:r w:rsidR="0054295F">
        <w:rPr>
          <w:bCs/>
          <w:szCs w:val="22"/>
        </w:rPr>
        <w:t> eur</w:t>
      </w:r>
      <w:r w:rsidRPr="00AE6EDB">
        <w:rPr>
          <w:bCs/>
          <w:szCs w:val="22"/>
        </w:rPr>
        <w:t>a z 10,2524</w:t>
      </w:r>
      <w:r w:rsidR="0054295F">
        <w:rPr>
          <w:bCs/>
          <w:szCs w:val="22"/>
        </w:rPr>
        <w:t> eur</w:t>
      </w:r>
      <w:r w:rsidRPr="00AE6EDB">
        <w:rPr>
          <w:bCs/>
          <w:szCs w:val="22"/>
        </w:rPr>
        <w:t>a v roku 2014. Výška aktuálnej dôchodkovej hodnoty sa používa pri určení sumy dôchodku v danom roku.</w:t>
      </w:r>
    </w:p>
    <w:p w:rsidR="002625B2" w:rsidRPr="00AE6EDB" w:rsidRDefault="002625B2" w:rsidP="002625B2">
      <w:pPr>
        <w:pStyle w:val="Odsekzoznamu"/>
        <w:numPr>
          <w:ilvl w:val="0"/>
          <w:numId w:val="23"/>
        </w:numPr>
        <w:rPr>
          <w:szCs w:val="22"/>
        </w:rPr>
      </w:pPr>
      <w:r w:rsidRPr="00AE6EDB">
        <w:rPr>
          <w:szCs w:val="22"/>
        </w:rPr>
        <w:lastRenderedPageBreak/>
        <w:t>Sumu všeobecného vymeriavacieho základu za príslušný kalendárny rok stanovovalo taktiež MPSVR SR opatrením uverejneným v Zbierke zákonov Slovenskej republiky, kým sa zákonom č. 183/2014 Z. z., ktorý novelizoval zákon o sociálnom poistení, neustanovilo, že sumu všeobecného vymeriavacieho základu za nasledujúce kalendárne roky počnúc rokom 2015 stanoví Sociálna poisťovňa a zverejní ich najneskôr do 30. apríla kalendárneho roka nasledujúceho po</w:t>
      </w:r>
      <w:r w:rsidR="005740FD" w:rsidRPr="00AE6EDB">
        <w:rPr>
          <w:szCs w:val="22"/>
        </w:rPr>
        <w:t> </w:t>
      </w:r>
      <w:r w:rsidRPr="00AE6EDB">
        <w:rPr>
          <w:szCs w:val="22"/>
        </w:rPr>
        <w:t>príslušnom kalendárnom roku na svojom webovom sídle. Suma všeobecného vymeriavacieho základu za kalendárny rok 2014 bola 1</w:t>
      </w:r>
      <w:r w:rsidR="0054295F">
        <w:rPr>
          <w:szCs w:val="22"/>
        </w:rPr>
        <w:t>0 2</w:t>
      </w:r>
      <w:r w:rsidRPr="00AE6EDB">
        <w:rPr>
          <w:szCs w:val="22"/>
        </w:rPr>
        <w:t>96</w:t>
      </w:r>
      <w:r w:rsidR="0054295F">
        <w:rPr>
          <w:szCs w:val="22"/>
        </w:rPr>
        <w:t> </w:t>
      </w:r>
      <w:r w:rsidR="00394CFF">
        <w:rPr>
          <w:szCs w:val="22"/>
        </w:rPr>
        <w:t>eur</w:t>
      </w:r>
      <w:r w:rsidRPr="00AE6EDB">
        <w:rPr>
          <w:szCs w:val="22"/>
        </w:rPr>
        <w:t>.</w:t>
      </w:r>
    </w:p>
    <w:p w:rsidR="002625B2" w:rsidRPr="00AE6EDB" w:rsidRDefault="00EE6418" w:rsidP="002625B2">
      <w:pPr>
        <w:pStyle w:val="Odsekzoznamu"/>
        <w:numPr>
          <w:ilvl w:val="0"/>
          <w:numId w:val="23"/>
        </w:numPr>
        <w:rPr>
          <w:sz w:val="24"/>
        </w:rPr>
      </w:pPr>
      <w:r w:rsidRPr="00AE6EDB">
        <w:rPr>
          <w:szCs w:val="22"/>
        </w:rPr>
        <w:t xml:space="preserve">Zákonom č. 338/2013 Z. z., ktorým sa </w:t>
      </w:r>
      <w:r w:rsidR="00F76425">
        <w:rPr>
          <w:szCs w:val="22"/>
        </w:rPr>
        <w:t xml:space="preserve">mení a </w:t>
      </w:r>
      <w:r w:rsidRPr="00AE6EDB">
        <w:rPr>
          <w:szCs w:val="22"/>
        </w:rPr>
        <w:t xml:space="preserve">dopĺňa zákon o sociálnom poistení sa s účinnosťou </w:t>
      </w:r>
      <w:r w:rsidRPr="00AE6EDB">
        <w:rPr>
          <w:szCs w:val="22"/>
        </w:rPr>
        <w:br/>
        <w:t xml:space="preserve">od 1. januára 2015 </w:t>
      </w:r>
      <w:r w:rsidRPr="00AE6EDB">
        <w:rPr>
          <w:b/>
          <w:szCs w:val="22"/>
        </w:rPr>
        <w:t>z</w:t>
      </w:r>
      <w:r w:rsidR="002625B2" w:rsidRPr="00AE6EDB">
        <w:rPr>
          <w:b/>
          <w:szCs w:val="22"/>
        </w:rPr>
        <w:t>rušila prihlasovacia a odhlasovacia povinnosť na povinné nemocenské poistenie a povinné dôchodkové poistenie samostatne zárobkovo činnej osobe</w:t>
      </w:r>
      <w:r w:rsidR="002625B2" w:rsidRPr="00AE6EDB">
        <w:rPr>
          <w:szCs w:val="22"/>
        </w:rPr>
        <w:t xml:space="preserve"> a zaviedla sa povinnosť Sociálnej poisťovne oznámiť samostatne zárobkovo činnej osobe vznik povinného poistenia, </w:t>
      </w:r>
      <w:r w:rsidR="00394CFF">
        <w:rPr>
          <w:szCs w:val="22"/>
        </w:rPr>
        <w:t>vymeriavací základ,</w:t>
      </w:r>
      <w:r w:rsidR="002625B2" w:rsidRPr="00AE6EDB">
        <w:rPr>
          <w:szCs w:val="22"/>
        </w:rPr>
        <w:t xml:space="preserve"> výšku poistného</w:t>
      </w:r>
      <w:r w:rsidR="00394CFF">
        <w:rPr>
          <w:szCs w:val="22"/>
        </w:rPr>
        <w:t>, dátum splatnosti a údaje týkajúce sa úhrady poistného, a to do 20 dní od vzniku povinného poistenia</w:t>
      </w:r>
      <w:r w:rsidR="002625B2" w:rsidRPr="00AE6EDB">
        <w:rPr>
          <w:szCs w:val="22"/>
        </w:rPr>
        <w:t>.</w:t>
      </w:r>
    </w:p>
    <w:p w:rsidR="002625B2" w:rsidRPr="00AE6EDB" w:rsidRDefault="00EE6418" w:rsidP="002625B2">
      <w:pPr>
        <w:pStyle w:val="Odsekzoznamu"/>
        <w:numPr>
          <w:ilvl w:val="0"/>
          <w:numId w:val="23"/>
        </w:numPr>
        <w:rPr>
          <w:sz w:val="24"/>
        </w:rPr>
      </w:pPr>
      <w:r w:rsidRPr="00AE6EDB">
        <w:t>Zákonom č. 298/2014 Z. z., ktorým sa mení a dopĺňa zákon o sociálnom poistení sa s účinnosťou od 1. januára 2015 u</w:t>
      </w:r>
      <w:r w:rsidR="002625B2" w:rsidRPr="00AE6EDB">
        <w:t xml:space="preserve">stanovila </w:t>
      </w:r>
      <w:r w:rsidR="002625B2" w:rsidRPr="00AE6EDB">
        <w:rPr>
          <w:b/>
        </w:rPr>
        <w:t>maximálna suma mesačného príjmu a maximálna suma priemerného mesačného príjmu z určenej dohody o brigádnickej práci študentov</w:t>
      </w:r>
      <w:r w:rsidR="002625B2" w:rsidRPr="00AE6EDB">
        <w:t xml:space="preserve"> na 200</w:t>
      </w:r>
      <w:r w:rsidR="0054295F">
        <w:t> eur</w:t>
      </w:r>
      <w:r w:rsidR="002625B2" w:rsidRPr="00AE6EDB">
        <w:t xml:space="preserve"> ako pre</w:t>
      </w:r>
      <w:r w:rsidR="005740FD" w:rsidRPr="00AE6EDB">
        <w:t> </w:t>
      </w:r>
      <w:r w:rsidR="002625B2" w:rsidRPr="00AE6EDB">
        <w:t>študentov do 18 rokov veku</w:t>
      </w:r>
      <w:r w:rsidR="0068510B">
        <w:t>,</w:t>
      </w:r>
      <w:r w:rsidR="002625B2" w:rsidRPr="00AE6EDB">
        <w:t xml:space="preserve"> tak aj pre študentov nad 18 rokov veku do 26 rokov veku, z ktorej nie je študent povinný platiť poistné na sociálne poistenie.</w:t>
      </w:r>
    </w:p>
    <w:p w:rsidR="002625B2" w:rsidRPr="00AE6EDB" w:rsidRDefault="00EE6418" w:rsidP="002625B2">
      <w:pPr>
        <w:pStyle w:val="Odsekzoznamu"/>
        <w:numPr>
          <w:ilvl w:val="0"/>
          <w:numId w:val="23"/>
        </w:numPr>
        <w:rPr>
          <w:sz w:val="24"/>
        </w:rPr>
      </w:pPr>
      <w:r w:rsidRPr="00AE6EDB">
        <w:t>Zákonom č. 298/2014 Z. z., ktorým sa mení a dopĺňa zákon o sociálnom poistení sa s účinnosťou od 1. januára 2015 p</w:t>
      </w:r>
      <w:r w:rsidR="002625B2" w:rsidRPr="00AE6EDB">
        <w:t>oistencovi, ktorý po priznaní starobného dôchodku ďalej vykonáva zárobkovú činnosť (je dôchodkov</w:t>
      </w:r>
      <w:r w:rsidR="0068510B">
        <w:t xml:space="preserve">o poistený), </w:t>
      </w:r>
      <w:r w:rsidR="002625B2" w:rsidRPr="00AE6EDB">
        <w:rPr>
          <w:b/>
        </w:rPr>
        <w:t>každoročne ex offo znova určí (zvýši) suma starobného dôchodku za</w:t>
      </w:r>
      <w:r w:rsidR="005740FD" w:rsidRPr="00AE6EDB">
        <w:rPr>
          <w:b/>
        </w:rPr>
        <w:t> </w:t>
      </w:r>
      <w:r w:rsidR="002625B2" w:rsidRPr="00AE6EDB">
        <w:rPr>
          <w:b/>
        </w:rPr>
        <w:t xml:space="preserve">obdobie dôchodkového poistenia získané po vzniku nároku na starobný dôchodok </w:t>
      </w:r>
      <w:r w:rsidR="002625B2" w:rsidRPr="00AE6EDB">
        <w:t>v predchádzajúcom kalendárnom roku. Do 31. decembra 2014 bol takýto prepočet možný len po</w:t>
      </w:r>
      <w:r w:rsidR="005740FD" w:rsidRPr="00AE6EDB">
        <w:t> </w:t>
      </w:r>
      <w:r w:rsidR="002625B2" w:rsidRPr="00AE6EDB">
        <w:t>zániku dôchodkového poistenia.</w:t>
      </w:r>
    </w:p>
    <w:p w:rsidR="002625B2" w:rsidRPr="00AE6EDB" w:rsidRDefault="00394CFF" w:rsidP="002625B2">
      <w:pPr>
        <w:pStyle w:val="Odsekzoznamu"/>
        <w:numPr>
          <w:ilvl w:val="0"/>
          <w:numId w:val="23"/>
        </w:numPr>
      </w:pPr>
      <w:r w:rsidRPr="00AE6EDB">
        <w:t xml:space="preserve">Zákonom </w:t>
      </w:r>
      <w:r w:rsidR="00EE6418" w:rsidRPr="00AE6EDB">
        <w:t>č. 140/2015 Z. z., ktorým sa mení a dopĺňa zákon o sociálnom poistení sa s účinnosťou od 1. júla 2015 z</w:t>
      </w:r>
      <w:r w:rsidR="002625B2" w:rsidRPr="00AE6EDB">
        <w:t xml:space="preserve">aviedol </w:t>
      </w:r>
      <w:r w:rsidR="002625B2" w:rsidRPr="00AE6EDB">
        <w:rPr>
          <w:b/>
        </w:rPr>
        <w:t>inštitút</w:t>
      </w:r>
      <w:r w:rsidR="002625B2" w:rsidRPr="00AE6EDB">
        <w:t xml:space="preserve"> </w:t>
      </w:r>
      <w:r w:rsidR="002625B2" w:rsidRPr="00AE6EDB">
        <w:rPr>
          <w:b/>
        </w:rPr>
        <w:t>minimálneho dôchodku</w:t>
      </w:r>
      <w:r w:rsidR="002625B2" w:rsidRPr="00AE6EDB">
        <w:t xml:space="preserve"> pre poberateľov starobného dôchodku a invalidného dôchodku po dovŕšení dôchodkového veku, ktorí získali najmenej 30 kvalifikovaných rokov dôchodkového poistenia (za kvalifikované roky sa v zásade považujú iba tie roky dôchodkového poistenia, počas ktorých bol príjem fyzickej osoby minimálne na úrovni osobného mzdového bodu 0,241). Za 30 rokov kvalifikovaného obdobia patrí minimálny dôchodok vo výške 1,36-násobku sumy životného minima. Za každý ďalší rok kvalifikovaného obdobia nad základnú hranicu 30</w:t>
      </w:r>
      <w:r w:rsidR="005740FD" w:rsidRPr="00AE6EDB">
        <w:t> </w:t>
      </w:r>
      <w:r w:rsidR="002625B2" w:rsidRPr="00AE6EDB">
        <w:t>rokov sa minimálny dôchodok zvýši o dve percentá sumy životného minima za 31. až 39. rok kvalifikovaného obdobia a o tri percentá sumy životného minima za 40. a každý ďalší rok kvalifikovaného obdobia. Na poistenca – sporiteľa v systéme starobného dôchodkového sporenia sa vzťahujú obdobné podmienky ako na poistenca, ktorý nie je sporiteľom. Zvýšenie sumy starobného dôchodku na sumu minimálneho dôchodku sa znižuje podľa rovnakých zásad ako starobný dôchodok z I. piliera. Pre posúdenie nároku na minimálny dôchodok sa do celkového dôchodkového príjmu nezapočítava starobný a predčasný starobný dôchodok zo starobného dôchodkového sporenia. Pokiaľ ide o poberateľa invalidného dôchodku po dovŕšení dôchodkového veku, jeho minimálny dôchodok sa mu nekráti a starobný a predčasný starobný dôchodok z II. piliera vstupuje do úhrnu dôchodkových príjmov pri posudzovaní nároku na</w:t>
      </w:r>
      <w:r w:rsidR="005740FD" w:rsidRPr="00AE6EDB">
        <w:t> </w:t>
      </w:r>
      <w:r w:rsidR="002625B2" w:rsidRPr="00AE6EDB">
        <w:t>minimálny dôchodok.</w:t>
      </w:r>
    </w:p>
    <w:p w:rsidR="002E300B" w:rsidRPr="00AE6EDB" w:rsidRDefault="002E300B" w:rsidP="002E300B">
      <w:pPr>
        <w:pStyle w:val="Odsekzoznamu"/>
        <w:numPr>
          <w:ilvl w:val="0"/>
          <w:numId w:val="23"/>
        </w:numPr>
      </w:pPr>
      <w:r>
        <w:t xml:space="preserve">Zákonom č. 140/2015 Z. z., ktorým sa mení a dopĺňa zákon o sociálnom poistení , s účinnosťou od 1. júla 2015 je povinne dôchodkovo poistený aj ohrozený alebo chránený svedok podľa osobitného predpisu, ktorí dovŕšili vek 16 rokov veku a ktorí podľa vyjadrenia orgánu príslušného na poskytovanie ochrany a pomoci nemôžu vykonávať zárobkovú činnosť, ak nie sú dôchodkovo poistení v súlade s príslušnými ustanovenia zákona o sociálnom poistení (napr. ako zamestnanec; samostatne zárobkovo činná osoba, ktorá je povinne nemocensky poistená; fyzická osoba s trvalým pobytom na území Slovenskej republiky starajúca sa o dieťa do šiestich rokov jeho veku) a nebol im priznaný predčasný starobný dôchodok alebo invalidný dôchodok a nedovŕšili dôchodkový vek. Za ohrozeného alebo chráneného svedka platí štát poistné na starobné poistenie, invalidné poistenie a poistné do rezervného fondu solidarity. </w:t>
      </w:r>
    </w:p>
    <w:p w:rsidR="002625B2" w:rsidRPr="00AE6EDB" w:rsidRDefault="002625B2" w:rsidP="002625B2">
      <w:pPr>
        <w:pStyle w:val="Odsekzoznamu"/>
        <w:numPr>
          <w:ilvl w:val="0"/>
          <w:numId w:val="23"/>
        </w:numPr>
      </w:pPr>
      <w:r w:rsidRPr="00AE6EDB">
        <w:t>Rozšírila sa</w:t>
      </w:r>
      <w:r w:rsidRPr="00AE6EDB">
        <w:rPr>
          <w:b/>
        </w:rPr>
        <w:t xml:space="preserve"> </w:t>
      </w:r>
      <w:r w:rsidRPr="00AE6EDB">
        <w:t xml:space="preserve">pôsobnosť </w:t>
      </w:r>
      <w:r w:rsidRPr="00AE6EDB">
        <w:rPr>
          <w:b/>
        </w:rPr>
        <w:t>odvodovej úľavy</w:t>
      </w:r>
      <w:r w:rsidRPr="00AE6EDB">
        <w:t>, ktorá bola do systému sociálneho poistenia zavedená pre dlhodobo nezamestnaných od</w:t>
      </w:r>
      <w:r w:rsidR="005740FD" w:rsidRPr="00AE6EDB">
        <w:t> </w:t>
      </w:r>
      <w:r w:rsidRPr="00AE6EDB">
        <w:t>1.</w:t>
      </w:r>
      <w:r w:rsidR="005740FD" w:rsidRPr="00AE6EDB">
        <w:t> </w:t>
      </w:r>
      <w:r w:rsidRPr="00AE6EDB">
        <w:t xml:space="preserve">novembra 2013, a platí aj </w:t>
      </w:r>
      <w:r w:rsidRPr="00AE6EDB">
        <w:rPr>
          <w:b/>
        </w:rPr>
        <w:t>pri zamestnávaní nezamestnaných osôb z najmenej rozvinutých okresov</w:t>
      </w:r>
      <w:r w:rsidR="00282DC7">
        <w:t>,</w:t>
      </w:r>
      <w:r w:rsidR="00282DC7">
        <w:rPr>
          <w:b/>
        </w:rPr>
        <w:t xml:space="preserve"> </w:t>
      </w:r>
      <w:r w:rsidR="00282DC7">
        <w:t xml:space="preserve">vedených v evidencii uchádzačov </w:t>
      </w:r>
      <w:r w:rsidR="00282DC7">
        <w:lastRenderedPageBreak/>
        <w:t>o zamestnanie najmenej šesť po sebe nasledujúcich mesiacov, s účinnosťou od 15. decembra 2015</w:t>
      </w:r>
      <w:r w:rsidRPr="00AE6EDB">
        <w:t>. Zoznam najmenej rozvinutých okresov vedie Ústredie práce, sociálnych vecí a rodiny v súlade so zákonom č. 336/2015 Z. z. o podpore najmenej rozvinutých okresov</w:t>
      </w:r>
      <w:r w:rsidR="00B811E2" w:rsidRPr="00AE6EDB">
        <w:t xml:space="preserve"> </w:t>
      </w:r>
      <w:r w:rsidRPr="00AE6EDB">
        <w:t>a o zmene a doplnení niektorých zákonov.</w:t>
      </w:r>
      <w:r w:rsidR="00B811E2" w:rsidRPr="00AE6EDB">
        <w:t xml:space="preserve"> </w:t>
      </w:r>
      <w:r w:rsidRPr="00AE6EDB">
        <w:t xml:space="preserve">Odvodová úľava sa tak týka aj zamestnancov, ktorí boli evidovaní v evidencii uchádzačov o zamestnanie najmenej </w:t>
      </w:r>
      <w:r w:rsidR="002E7B8D">
        <w:t>šesť po sebe nasledujúcich</w:t>
      </w:r>
      <w:r w:rsidR="005740FD" w:rsidRPr="00AE6EDB">
        <w:t> </w:t>
      </w:r>
      <w:r w:rsidRPr="00AE6EDB">
        <w:t xml:space="preserve">mesiacov pred vznikom pracovného alebo štátnozamestnaneckého pomeru </w:t>
      </w:r>
      <w:r w:rsidR="002E7B8D">
        <w:t xml:space="preserve">a dôvodom vyradenia z evidencie uchádzačov o zamestnanie bol vznik tohto pracovného pomeru alebo štátnozamestnaneckého pomeru </w:t>
      </w:r>
      <w:r w:rsidRPr="00AE6EDB">
        <w:t>a majú trvalý pobyt v</w:t>
      </w:r>
      <w:r w:rsidR="005740FD" w:rsidRPr="00AE6EDB">
        <w:t> </w:t>
      </w:r>
      <w:r w:rsidRPr="00AE6EDB">
        <w:t xml:space="preserve">niektorom z najmenej rozvinutých okresov. Predmetné opatrenie predstavuje tzv. odvodovú úľavu pre zamestnávateľa ako aj pre zamestnanca, a to najdlhšie na obdobie jedného roka. Zamestnávateľ, ako ani zamestnanec, neplatí poistné na sociálne poistenie, okrem úrazového a garančného poistenia, </w:t>
      </w:r>
      <w:r w:rsidR="002E7B8D">
        <w:t>ktoré platí zamestnávateľ</w:t>
      </w:r>
      <w:r w:rsidRPr="00AE6EDB">
        <w:t>.</w:t>
      </w:r>
      <w:r w:rsidR="005740FD" w:rsidRPr="00AE6EDB">
        <w:rPr>
          <w:rStyle w:val="Odkaznapoznmkupodiarou"/>
        </w:rPr>
        <w:footnoteReference w:id="22"/>
      </w:r>
      <w:r w:rsidRPr="00AE6EDB">
        <w:t xml:space="preserve"> </w:t>
      </w:r>
    </w:p>
    <w:p w:rsidR="002625B2" w:rsidRPr="00AE6EDB" w:rsidRDefault="002625B2" w:rsidP="002625B2">
      <w:pPr>
        <w:pStyle w:val="Odsekzoznamu"/>
        <w:numPr>
          <w:ilvl w:val="0"/>
          <w:numId w:val="23"/>
        </w:numPr>
        <w:rPr>
          <w:sz w:val="24"/>
        </w:rPr>
      </w:pPr>
      <w:r w:rsidRPr="00AE6EDB">
        <w:rPr>
          <w:szCs w:val="22"/>
        </w:rPr>
        <w:t xml:space="preserve">V roku 2015 bol opätovne vyplatený </w:t>
      </w:r>
      <w:r w:rsidRPr="00AE6EDB">
        <w:rPr>
          <w:b/>
          <w:szCs w:val="22"/>
        </w:rPr>
        <w:t>vianočný príspevok</w:t>
      </w:r>
      <w:r w:rsidRPr="00AE6EDB">
        <w:rPr>
          <w:szCs w:val="22"/>
        </w:rPr>
        <w:t xml:space="preserve"> niektorým poberateľom dôchodku na základe zákona č. 240/2014 Z. z., ktorým sa mení a dopĺňa zákon č. 592/2006 Z. z. o poskytovaní vianočného príspevku niektorým poberateľom dôchodku a o doplnení niektorých zákonov v znení neskorších predpisov a ktorým sa mení a dopĺňa zákon č. 461/2003 Z. z. o sociálnom poistení v znení neskorších predpisov. V roku 2015 </w:t>
      </w:r>
      <w:r w:rsidRPr="00AE6EDB">
        <w:t>sa opätovne</w:t>
      </w:r>
      <w:r w:rsidR="00B811E2" w:rsidRPr="00AE6EDB">
        <w:t xml:space="preserve"> </w:t>
      </w:r>
      <w:r w:rsidRPr="00AE6EDB">
        <w:t>jednorazovo zvýšila suma vianočného príspevku o 12,74</w:t>
      </w:r>
      <w:r w:rsidR="0054295F">
        <w:t> eur</w:t>
      </w:r>
      <w:r w:rsidRPr="00AE6EDB">
        <w:t>a pre poberateľov vianočného príspevku s dôchodkom, resp. úhrnom súm dôchodkov do výšky 396,18</w:t>
      </w:r>
      <w:r w:rsidR="0054295F">
        <w:t> eur</w:t>
      </w:r>
      <w:r w:rsidRPr="00AE6EDB">
        <w:t>a (vrátane) - t. j. 2-násobku sumy životného minima pre jednu plnoletú fyzickú osobu.</w:t>
      </w:r>
    </w:p>
    <w:p w:rsidR="002625B2" w:rsidRPr="00AE6EDB" w:rsidRDefault="002625B2" w:rsidP="002625B2">
      <w:pPr>
        <w:ind w:left="357"/>
        <w:rPr>
          <w:szCs w:val="22"/>
        </w:rPr>
      </w:pPr>
      <w:r w:rsidRPr="00AE6EDB">
        <w:rPr>
          <w:szCs w:val="22"/>
        </w:rPr>
        <w:t>Nárok na vianočný príspevok v roku 201</w:t>
      </w:r>
      <w:r w:rsidR="00C52E5E" w:rsidRPr="00AE6EDB">
        <w:rPr>
          <w:szCs w:val="22"/>
        </w:rPr>
        <w:t>5</w:t>
      </w:r>
      <w:r w:rsidRPr="00AE6EDB">
        <w:rPr>
          <w:szCs w:val="22"/>
        </w:rPr>
        <w:t xml:space="preserve"> vznikol dôchodcom, ktorí mali dôchodok nižší, resp. rovnajúci sa sume </w:t>
      </w:r>
      <w:r w:rsidR="00C52E5E" w:rsidRPr="00AE6EDB">
        <w:rPr>
          <w:szCs w:val="22"/>
        </w:rPr>
        <w:t>514,80</w:t>
      </w:r>
      <w:r w:rsidR="0054295F">
        <w:rPr>
          <w:szCs w:val="22"/>
        </w:rPr>
        <w:t> eur</w:t>
      </w:r>
      <w:r w:rsidRPr="00AE6EDB">
        <w:rPr>
          <w:szCs w:val="22"/>
        </w:rPr>
        <w:t xml:space="preserve">a. </w:t>
      </w:r>
    </w:p>
    <w:p w:rsidR="002625B2" w:rsidRPr="00AE6EDB" w:rsidRDefault="002625B2" w:rsidP="002625B2">
      <w:pPr>
        <w:ind w:firstLine="357"/>
      </w:pPr>
      <w:r w:rsidRPr="00AE6EDB">
        <w:t>Vianočný príspevok sa počítal v roku 201</w:t>
      </w:r>
      <w:r w:rsidR="00C52E5E" w:rsidRPr="00AE6EDB">
        <w:t>5</w:t>
      </w:r>
      <w:r w:rsidRPr="00AE6EDB">
        <w:t xml:space="preserve"> podľa vzorca: </w:t>
      </w:r>
    </w:p>
    <w:p w:rsidR="002625B2" w:rsidRPr="00AE6EDB" w:rsidRDefault="002625B2" w:rsidP="002625B2"/>
    <w:p w:rsidR="002625B2" w:rsidRPr="00AE6EDB" w:rsidRDefault="002625B2" w:rsidP="002625B2">
      <w:pPr>
        <w:jc w:val="center"/>
        <w:rPr>
          <w:i/>
        </w:rPr>
      </w:pPr>
      <w:r w:rsidRPr="00AE6EDB">
        <w:rPr>
          <w:i/>
        </w:rPr>
        <w:t>87,26 - 0,18 × (výška dôchodku - 198,09</w:t>
      </w:r>
      <w:bookmarkStart w:id="143" w:name="_Ref415033817"/>
      <w:r w:rsidRPr="00AE6EDB">
        <w:rPr>
          <w:rStyle w:val="Odkaznapoznmkupodiarou"/>
          <w:b/>
          <w:i/>
          <w:caps/>
        </w:rPr>
        <w:footnoteReference w:id="23"/>
      </w:r>
      <w:bookmarkEnd w:id="143"/>
      <w:r w:rsidRPr="00AE6EDB">
        <w:rPr>
          <w:i/>
        </w:rPr>
        <w:t>)</w:t>
      </w:r>
    </w:p>
    <w:p w:rsidR="002625B2" w:rsidRPr="00AE6EDB" w:rsidRDefault="002625B2" w:rsidP="002625B2">
      <w:pPr>
        <w:ind w:firstLine="567"/>
        <w:rPr>
          <w:bCs/>
          <w:szCs w:val="22"/>
          <w:highlight w:val="cyan"/>
        </w:rPr>
      </w:pPr>
    </w:p>
    <w:p w:rsidR="002625B2" w:rsidRPr="00AE6EDB" w:rsidRDefault="002625B2" w:rsidP="002625B2">
      <w:pPr>
        <w:jc w:val="left"/>
        <w:rPr>
          <w:b/>
          <w:i/>
          <w:szCs w:val="22"/>
          <w:highlight w:val="cyan"/>
        </w:rPr>
      </w:pPr>
    </w:p>
    <w:p w:rsidR="00B8076B" w:rsidRPr="00AE6EDB" w:rsidRDefault="00B8076B" w:rsidP="002625B2">
      <w:pPr>
        <w:spacing w:after="240"/>
        <w:rPr>
          <w:b/>
          <w:i/>
          <w:szCs w:val="22"/>
        </w:rPr>
      </w:pPr>
      <w:r w:rsidRPr="00AE6EDB">
        <w:rPr>
          <w:b/>
          <w:i/>
          <w:szCs w:val="22"/>
        </w:rPr>
        <w:t xml:space="preserve">Od 1. januára 2016 nadobudli účinnosť </w:t>
      </w:r>
      <w:r w:rsidR="00F43C26" w:rsidRPr="00AE6EDB">
        <w:rPr>
          <w:b/>
          <w:i/>
          <w:szCs w:val="22"/>
        </w:rPr>
        <w:t xml:space="preserve">nasledovné </w:t>
      </w:r>
      <w:r w:rsidRPr="00AE6EDB">
        <w:rPr>
          <w:b/>
          <w:i/>
          <w:szCs w:val="22"/>
        </w:rPr>
        <w:t xml:space="preserve">významné legislatívne zmeny, </w:t>
      </w:r>
      <w:r w:rsidR="00F43C26" w:rsidRPr="00AE6EDB">
        <w:rPr>
          <w:b/>
          <w:i/>
          <w:szCs w:val="22"/>
        </w:rPr>
        <w:br/>
      </w:r>
      <w:r w:rsidRPr="00AE6EDB">
        <w:rPr>
          <w:b/>
          <w:i/>
          <w:szCs w:val="22"/>
        </w:rPr>
        <w:t xml:space="preserve">prijaté v roku </w:t>
      </w:r>
      <w:r w:rsidR="002E7B8D" w:rsidRPr="00AE6EDB">
        <w:rPr>
          <w:b/>
          <w:i/>
          <w:szCs w:val="22"/>
        </w:rPr>
        <w:t>2015</w:t>
      </w:r>
      <w:r w:rsidRPr="00AE6EDB">
        <w:rPr>
          <w:b/>
          <w:i/>
          <w:szCs w:val="22"/>
        </w:rPr>
        <w:t>:</w:t>
      </w:r>
    </w:p>
    <w:p w:rsidR="002625B2" w:rsidRPr="00AE6EDB" w:rsidRDefault="00C52E5E" w:rsidP="002625B2">
      <w:pPr>
        <w:pStyle w:val="Odsekzoznamu"/>
        <w:numPr>
          <w:ilvl w:val="0"/>
          <w:numId w:val="23"/>
        </w:numPr>
      </w:pPr>
      <w:r w:rsidRPr="00AE6EDB">
        <w:t xml:space="preserve">Zákonom 407/2015 Z. z., ktorým sa mení a dopĺňa zákon o sociálnom poistení, došlo k </w:t>
      </w:r>
      <w:r w:rsidR="002625B2" w:rsidRPr="00AE6EDB">
        <w:rPr>
          <w:b/>
        </w:rPr>
        <w:t>zvýšeni</w:t>
      </w:r>
      <w:r w:rsidRPr="00AE6EDB">
        <w:rPr>
          <w:b/>
        </w:rPr>
        <w:t>u</w:t>
      </w:r>
      <w:r w:rsidR="002625B2" w:rsidRPr="00AE6EDB">
        <w:rPr>
          <w:b/>
        </w:rPr>
        <w:t xml:space="preserve"> materského</w:t>
      </w:r>
      <w:r w:rsidR="002625B2" w:rsidRPr="00AE6EDB">
        <w:t xml:space="preserve"> z pôvodných 65</w:t>
      </w:r>
      <w:r w:rsidR="00411759">
        <w:t> </w:t>
      </w:r>
      <w:r w:rsidR="002625B2" w:rsidRPr="00AE6EDB">
        <w:t>% na 70</w:t>
      </w:r>
      <w:r w:rsidR="00411759">
        <w:t> </w:t>
      </w:r>
      <w:r w:rsidR="002625B2" w:rsidRPr="00AE6EDB">
        <w:t>% denného vymeriavacieho základu alebo pravdepodobného denného vymeriavacieho základu. Zvýšenie materského sa vzťahuje aj na</w:t>
      </w:r>
      <w:r w:rsidR="00562B39" w:rsidRPr="00AE6EDB">
        <w:t> </w:t>
      </w:r>
      <w:r w:rsidR="002625B2" w:rsidRPr="00AE6EDB">
        <w:t>poistencov, ktorým nárok na materské vznikol pred 1. januárom 2016 a trvá aj po 31. decembri 2015. Uvedeným opatrením sa výraznejšie podporia rodičia detí, ktorí pred nástupom na materskú dovolenku vykonávali zárobkovú činnosť a boli povinne nemocensky poistení.</w:t>
      </w:r>
    </w:p>
    <w:p w:rsidR="002625B2" w:rsidRPr="00AE6EDB" w:rsidRDefault="00C52E5E" w:rsidP="002625B2">
      <w:pPr>
        <w:pStyle w:val="Odsekzoznamu"/>
        <w:numPr>
          <w:ilvl w:val="0"/>
          <w:numId w:val="23"/>
        </w:numPr>
      </w:pPr>
      <w:r w:rsidRPr="00AE6EDB">
        <w:t xml:space="preserve">Zákonom č. 407/2015 Z. z., ktorým sa mení a dopĺňa zákon o sociálnom poistení, </w:t>
      </w:r>
      <w:r w:rsidR="008100CC">
        <w:t>došlo</w:t>
      </w:r>
      <w:r w:rsidRPr="00AE6EDB">
        <w:t xml:space="preserve"> k</w:t>
      </w:r>
      <w:r w:rsidR="008100CC">
        <w:t> </w:t>
      </w:r>
      <w:r w:rsidR="002625B2" w:rsidRPr="00AE6EDB">
        <w:rPr>
          <w:b/>
        </w:rPr>
        <w:t>opätovné</w:t>
      </w:r>
      <w:r w:rsidRPr="00AE6EDB">
        <w:rPr>
          <w:b/>
        </w:rPr>
        <w:t>mu</w:t>
      </w:r>
      <w:r w:rsidR="002625B2" w:rsidRPr="00AE6EDB">
        <w:rPr>
          <w:b/>
        </w:rPr>
        <w:t xml:space="preserve"> priznani</w:t>
      </w:r>
      <w:r w:rsidRPr="00AE6EDB">
        <w:rPr>
          <w:b/>
        </w:rPr>
        <w:t>u</w:t>
      </w:r>
      <w:r w:rsidR="002625B2" w:rsidRPr="00AE6EDB">
        <w:rPr>
          <w:b/>
        </w:rPr>
        <w:t xml:space="preserve"> pozostalostných dôchodkov</w:t>
      </w:r>
      <w:r w:rsidR="002625B2" w:rsidRPr="00AE6EDB">
        <w:t>, čím sa odstránilo časové obmedzenie možnosti splnenia podmienok na trvalý nárok na vdovský dôchodok a vdovecký dôchodok. Nová právna úprava odstraňuje rozdielne postavenie vdov a vdovcov, ktorí ovdoveli pred 1. januárom 2004,</w:t>
      </w:r>
      <w:r w:rsidR="001C72AB" w:rsidRPr="00AE6EDB">
        <w:t xml:space="preserve"> </w:t>
      </w:r>
      <w:r w:rsidR="002625B2" w:rsidRPr="00AE6EDB">
        <w:t>v porovnaní s vdovami a vdovcami, ktorí ovdoveli po 31. decembri 2003. Právna úprava účinná po 31. decembri 2003 nevyžaduje, aby sa podmienky vzniku nároku na vdovecký dôchodok splnili do troch rokov od smrti manželky, resp. do iného zákonom určeného času na zachovanie nároku na tento dôchodok alebo na jeho výplatu aj po uplynutí jedného roka od smrti manžela. Nárok na</w:t>
      </w:r>
      <w:r w:rsidR="00A50C9D" w:rsidRPr="00AE6EDB">
        <w:t> </w:t>
      </w:r>
      <w:r w:rsidR="002625B2" w:rsidRPr="00AE6EDB">
        <w:t xml:space="preserve">pozostalostný dôchodok, resp. nárok na jeho výplatu, sa bude naďalej posudzovať podľa právnych predpisov účinných v čase vzniku sociálnej udalosti, ktorou je smrť manžela. Opätovný nárok na vdovský dôchodok, resp. na jeho výplatu je podmienený podaním žiadosti. Sociálna poisťovňa o ňom nebude rozhodovať ex offo, t. j. z úradnej povinnosti. </w:t>
      </w:r>
    </w:p>
    <w:p w:rsidR="002625B2" w:rsidRPr="00AE6EDB" w:rsidRDefault="00B37C46" w:rsidP="002625B2">
      <w:pPr>
        <w:pStyle w:val="Odsekzoznamu"/>
        <w:numPr>
          <w:ilvl w:val="0"/>
          <w:numId w:val="23"/>
        </w:numPr>
      </w:pPr>
      <w:r w:rsidRPr="00AE6EDB">
        <w:t>Zákonom č. 140/2015</w:t>
      </w:r>
      <w:r w:rsidR="006C624A" w:rsidRPr="00AE6EDB">
        <w:t xml:space="preserve"> Z. z., ktorým sa mení a dopĺňa zákon o sociálnom poistení, sa ustanovilo </w:t>
      </w:r>
      <w:r w:rsidR="002625B2" w:rsidRPr="00AE6EDB">
        <w:rPr>
          <w:b/>
        </w:rPr>
        <w:t xml:space="preserve">priznanie vyrovnávacieho </w:t>
      </w:r>
      <w:r w:rsidR="00416FF7">
        <w:rPr>
          <w:b/>
        </w:rPr>
        <w:t>príplatku</w:t>
      </w:r>
      <w:r w:rsidR="002625B2" w:rsidRPr="00AE6EDB">
        <w:t xml:space="preserve">, na ktorý má po splnení zákonom ustanovených podmienok nárok poberateľ slovenského starobného dôchodku, ktorý poberá aj český starobný dôchodok. Účelom vyrovnávacieho príplatku je čiastočne eliminovať poistencami negatívne vnímanú </w:t>
      </w:r>
      <w:r w:rsidR="002625B2" w:rsidRPr="00AE6EDB">
        <w:lastRenderedPageBreak/>
        <w:t>skutočnosť, že na základe rozdelenia ČSFR im bol priznaný dôchodok z Českej republiky za obdobia zamestnania pred rozdelením ČSFR a dôchodok zo Slovenskej republiky za</w:t>
      </w:r>
      <w:r w:rsidR="00A50C9D" w:rsidRPr="00AE6EDB">
        <w:t> </w:t>
      </w:r>
      <w:r w:rsidR="002625B2" w:rsidRPr="00AE6EDB">
        <w:t xml:space="preserve">obdobia dôchodkového poistenia, resp. zabezpečenia po rozdelení ČSFR, pričom úhrn súm týchto dôchodkov je z dôvodu rozdielnych právnych úprav dôchodkového poistenia v jednotlivých štátoch po rozdelení ČSFR nižší, ako by bola suma dôchodku, ak by sa priznal poistencovi výlučne podľa právnych predpisov Slovenskej republiky s prihliadnutím na celú dobu dôchodkového poistenia/zabezpečenia, tak pred, ako aj po rozdelení ČSFR. Rozdiel medzi týmito dôchodkami tvorí práve vyrovnávací príplatok. Principiálne rovnaká právna úprava, len v opačnom zmysle, bola prijatá v Českej republike. </w:t>
      </w:r>
    </w:p>
    <w:p w:rsidR="002625B2" w:rsidRPr="00AE6EDB" w:rsidRDefault="006C624A" w:rsidP="002625B2">
      <w:pPr>
        <w:pStyle w:val="Odsekzoznamu"/>
        <w:numPr>
          <w:ilvl w:val="0"/>
          <w:numId w:val="23"/>
        </w:numPr>
        <w:ind w:left="284" w:hanging="284"/>
        <w:rPr>
          <w:rStyle w:val="Textzstupnhosymbolu"/>
          <w:szCs w:val="22"/>
        </w:rPr>
      </w:pPr>
      <w:r w:rsidRPr="00AE6EDB">
        <w:t xml:space="preserve">Zákonom č. 378/2015 Z. z., ktorým sa mení a dopĺňa zákon o sociálnom poistení sa ustanovilo, že </w:t>
      </w:r>
      <w:r w:rsidR="002625B2" w:rsidRPr="00AE6EDB">
        <w:t xml:space="preserve">od </w:t>
      </w:r>
      <w:r w:rsidR="00416FF7">
        <w:t>2</w:t>
      </w:r>
      <w:r w:rsidR="002625B2" w:rsidRPr="00AE6EDB">
        <w:t xml:space="preserve">. januára 2016 budú môcť občania Slovenskej republiky absolvovať v rámci dobrovoľnej vojenskej prípravy vojenský výcvik a pripraviť sa tak na prípadnú obranu Slovenskej republiky. V rámci sociálneho poistenia sú tieto osoby </w:t>
      </w:r>
      <w:r w:rsidR="002625B2" w:rsidRPr="00AE6EDB">
        <w:rPr>
          <w:b/>
        </w:rPr>
        <w:t xml:space="preserve">pokryté úrazovými dávkami a dôchodkovým poistením počas dobrovoľnej vojenskej prípravy </w:t>
      </w:r>
      <w:r w:rsidR="002625B2" w:rsidRPr="00AE6EDB">
        <w:t xml:space="preserve">a pravidelného cvičenia alebo plnenia úloh </w:t>
      </w:r>
      <w:r w:rsidR="00C37E4A">
        <w:t>ozbrojených síl Slovenskej republiky</w:t>
      </w:r>
      <w:r w:rsidR="002625B2" w:rsidRPr="00AE6EDB">
        <w:t>.</w:t>
      </w:r>
      <w:r w:rsidR="001C72AB" w:rsidRPr="00AE6EDB">
        <w:t xml:space="preserve"> </w:t>
      </w:r>
      <w:r w:rsidR="00C37E4A">
        <w:t xml:space="preserve">Skupina poistencov štátu sa rozšírila o vojakov dobrovoľnej vojenskej prípravy za ktorých bude štát do Sociálnej poisťovne platiť </w:t>
      </w:r>
      <w:r w:rsidR="002625B2" w:rsidRPr="00AE6EDB">
        <w:t>poistné na dôchodkové poistenie, povinné príspevky na starobné dôchodkové sporenie, ak sú sporiteľmi</w:t>
      </w:r>
      <w:r w:rsidR="00056952">
        <w:t xml:space="preserve"> za predpokladu, že už nie sú povinne dôchodkovo poistení </w:t>
      </w:r>
      <w:r w:rsidR="002E300B">
        <w:t xml:space="preserve">podľa príslušných ustanovení zákona o sociálnom poistení </w:t>
      </w:r>
      <w:r w:rsidR="00056952">
        <w:t>(napr. ako zamestnanec, samostatne zárobkovo činná osoba, atď.)</w:t>
      </w:r>
      <w:r w:rsidR="002E300B">
        <w:t xml:space="preserve"> a nebol im priznaný invalidný dôchodok</w:t>
      </w:r>
      <w:r w:rsidR="002625B2" w:rsidRPr="00AE6EDB">
        <w:t xml:space="preserve">, ako aj uhrádzať náklady na dávky úrazového poistenia, ak vznikne úraz takejto osobe počas dobrovoľnej vojenskej prípravy, pravidelného cvičenia alebo plnenia úloh </w:t>
      </w:r>
      <w:r w:rsidR="00056952">
        <w:t xml:space="preserve">ozbrojených síl Slovenskej republiky. </w:t>
      </w:r>
      <w:proofErr w:type="spellStart"/>
      <w:r w:rsidR="00056952">
        <w:t>Okruhzamestnancov</w:t>
      </w:r>
      <w:proofErr w:type="spellEnd"/>
      <w:r w:rsidR="00056952">
        <w:t xml:space="preserve"> na účely dôchodkového poistenia sa rozšíril o fyzickú osobu v právnom vzťahu na základe dohody o zaradení do aktívnych záloh podľa osobitného predpisu počas pravidelného cvičenia alebo plnenia úloh ozbrojených síl Slovenskej </w:t>
      </w:r>
      <w:r w:rsidR="00056952" w:rsidRPr="0034751E">
        <w:rPr>
          <w:iCs/>
          <w:color w:val="1F497D"/>
        </w:rPr>
        <w:t>republiky</w:t>
      </w:r>
      <w:r w:rsidR="002625B2" w:rsidRPr="00AE6EDB">
        <w:t>.</w:t>
      </w:r>
    </w:p>
    <w:p w:rsidR="002625B2" w:rsidRPr="00AE6EDB" w:rsidRDefault="002625B2" w:rsidP="002625B2">
      <w:pPr>
        <w:rPr>
          <w:highlight w:val="cyan"/>
        </w:rPr>
      </w:pPr>
    </w:p>
    <w:p w:rsidR="002625B2" w:rsidRPr="00AE6EDB" w:rsidRDefault="002625B2" w:rsidP="002625B2">
      <w:pPr>
        <w:pStyle w:val="Nadpis6"/>
      </w:pPr>
      <w:bookmarkStart w:id="144" w:name="_Toc325440931"/>
      <w:bookmarkStart w:id="145" w:name="_Toc356482673"/>
      <w:bookmarkStart w:id="146" w:name="_Toc356916008"/>
      <w:bookmarkStart w:id="147" w:name="_Toc422233415"/>
      <w:bookmarkStart w:id="148" w:name="_Toc452469872"/>
      <w:bookmarkStart w:id="149" w:name="_Toc294026978"/>
      <w:bookmarkStart w:id="150" w:name="_Toc294029217"/>
      <w:bookmarkStart w:id="151" w:name="_Toc313878708"/>
      <w:bookmarkStart w:id="152" w:name="_Toc325438165"/>
      <w:bookmarkStart w:id="153" w:name="_Toc325440934"/>
      <w:bookmarkStart w:id="154" w:name="_Toc356482676"/>
      <w:bookmarkStart w:id="155" w:name="_Toc132369527"/>
      <w:r w:rsidRPr="00AE6EDB">
        <w:t>Nemocenské poistenie</w:t>
      </w:r>
      <w:bookmarkEnd w:id="144"/>
      <w:bookmarkEnd w:id="145"/>
      <w:bookmarkEnd w:id="146"/>
      <w:bookmarkEnd w:id="147"/>
      <w:bookmarkEnd w:id="148"/>
    </w:p>
    <w:p w:rsidR="002625B2" w:rsidRPr="00AE6EDB" w:rsidRDefault="002625B2" w:rsidP="002625B2">
      <w:pPr>
        <w:ind w:firstLine="431"/>
        <w:rPr>
          <w:bCs/>
          <w:szCs w:val="22"/>
        </w:rPr>
      </w:pPr>
      <w:r w:rsidRPr="00AE6EDB">
        <w:rPr>
          <w:bCs/>
          <w:szCs w:val="22"/>
        </w:rPr>
        <w:t xml:space="preserve">Nemocenské poistenie slúži na preklenutie sociálnych udalostí, ako napríklad dočasná pracovná neschopnosť, tehotenstvo či materstvo. Zo systému nemocenského poistenia sa vyplácajú dávky, ktoré sa členia na nemocenské (zamestnancovi poskytované spravidla až od 11. dňa trvania dočasnej pracovnej neschopnosti), ošetrovné, materské a vyrovnávaciu dávku. </w:t>
      </w:r>
    </w:p>
    <w:p w:rsidR="002625B2" w:rsidRPr="00AE6EDB" w:rsidRDefault="002625B2" w:rsidP="002625B2">
      <w:pPr>
        <w:pStyle w:val="Normlnysozarkami12"/>
        <w:ind w:firstLine="431"/>
        <w:rPr>
          <w:bCs/>
          <w:szCs w:val="22"/>
        </w:rPr>
      </w:pPr>
      <w:r w:rsidRPr="00AE6EDB">
        <w:rPr>
          <w:bCs/>
          <w:szCs w:val="22"/>
        </w:rPr>
        <w:t>Podľa zákona č. 462/2003 Z. z. o náhrade príjmu pri dočasnej pracovnej neschopnosti zamestnanca a o zmene a doplnení niektorých zákonov v znení neskorších predpisov za prvých 10 dní trvania dočasnej pracovnej neschopnosti zamestnanca vypláca zamestnávateľ náhradu príjmu pri dočasnej pracovnej neschopnosti zamestnanca a Sociálna poisťovňa poskytuje zamestnancovi nemocenské až od 11. dňa jeho dočasnej pracovnej neschopnosti.</w:t>
      </w:r>
    </w:p>
    <w:p w:rsidR="002625B2" w:rsidRPr="00AE6EDB" w:rsidRDefault="002625B2" w:rsidP="002625B2">
      <w:pPr>
        <w:pStyle w:val="Normlnysozarkami12"/>
        <w:ind w:firstLine="431"/>
      </w:pPr>
      <w:r w:rsidRPr="00AE6EDB">
        <w:t>Výdavky na nemocenské dávky</w:t>
      </w:r>
      <w:r w:rsidRPr="00AE6EDB">
        <w:rPr>
          <w:vertAlign w:val="superscript"/>
        </w:rPr>
        <w:footnoteReference w:id="24"/>
      </w:r>
      <w:r w:rsidRPr="00AE6EDB">
        <w:rPr>
          <w:sz w:val="16"/>
          <w:szCs w:val="16"/>
        </w:rPr>
        <w:t xml:space="preserve"> </w:t>
      </w:r>
      <w:r w:rsidRPr="00AE6EDB">
        <w:t>v roku 2015, hradené z rozpočtu Sociálnej poisťovne, boli v čiastke 415,09 mil.</w:t>
      </w:r>
      <w:r w:rsidR="0054295F">
        <w:t> eur</w:t>
      </w:r>
      <w:r w:rsidRPr="00AE6EDB">
        <w:t>. V porovnaní s rokom 2014 boli vyššie o 34,2</w:t>
      </w:r>
      <w:r w:rsidR="00056952">
        <w:t>7</w:t>
      </w:r>
      <w:r w:rsidRPr="00AE6EDB">
        <w:t> mil.</w:t>
      </w:r>
      <w:r w:rsidR="0054295F">
        <w:t> eur</w:t>
      </w:r>
      <w:r w:rsidRPr="00AE6EDB">
        <w:t xml:space="preserve"> (index rastu 1,09). Nárast výdavkov nastal z dôvodu vyššieho počtu prípadov. </w:t>
      </w:r>
    </w:p>
    <w:p w:rsidR="002625B2" w:rsidRPr="00AE6EDB" w:rsidRDefault="002625B2" w:rsidP="002625B2">
      <w:r w:rsidRPr="00AE6EDB">
        <w:t>V roku 2015 boli priemerné mesačné počty prípadov zúčtovaných nemocenských dávok nasledovné:</w:t>
      </w:r>
    </w:p>
    <w:p w:rsidR="002625B2" w:rsidRPr="00AE6EDB" w:rsidRDefault="002625B2" w:rsidP="002625B2">
      <w:pPr>
        <w:pStyle w:val="bullet1"/>
        <w:numPr>
          <w:ilvl w:val="0"/>
          <w:numId w:val="45"/>
        </w:numPr>
        <w:ind w:left="567" w:hanging="207"/>
        <w:rPr>
          <w:rFonts w:eastAsia="Calibri"/>
          <w:lang w:eastAsia="en-US"/>
        </w:rPr>
      </w:pPr>
      <w:r w:rsidRPr="00AE6EDB">
        <w:rPr>
          <w:rFonts w:eastAsia="Calibri"/>
          <w:lang w:eastAsia="en-US"/>
        </w:rPr>
        <w:t>nemocenské 10</w:t>
      </w:r>
      <w:r w:rsidR="00AC44CB">
        <w:rPr>
          <w:rFonts w:eastAsia="Calibri"/>
          <w:lang w:eastAsia="en-US"/>
        </w:rPr>
        <w:t>5 5</w:t>
      </w:r>
      <w:r w:rsidRPr="00AE6EDB">
        <w:rPr>
          <w:rFonts w:eastAsia="Calibri"/>
          <w:lang w:eastAsia="en-US"/>
        </w:rPr>
        <w:t>34 prípadov,</w:t>
      </w:r>
    </w:p>
    <w:p w:rsidR="002625B2" w:rsidRPr="00AE6EDB" w:rsidRDefault="002625B2" w:rsidP="002625B2">
      <w:pPr>
        <w:pStyle w:val="bullet1"/>
        <w:numPr>
          <w:ilvl w:val="0"/>
          <w:numId w:val="45"/>
        </w:numPr>
        <w:ind w:left="567" w:hanging="207"/>
        <w:rPr>
          <w:rFonts w:eastAsia="Calibri"/>
          <w:lang w:eastAsia="en-US"/>
        </w:rPr>
      </w:pPr>
      <w:r w:rsidRPr="00AE6EDB">
        <w:rPr>
          <w:rFonts w:eastAsia="Calibri"/>
          <w:lang w:eastAsia="en-US"/>
        </w:rPr>
        <w:t>ošetrovné 1</w:t>
      </w:r>
      <w:r w:rsidR="0054295F">
        <w:rPr>
          <w:rFonts w:eastAsia="Calibri"/>
          <w:lang w:eastAsia="en-US"/>
        </w:rPr>
        <w:t>0 7</w:t>
      </w:r>
      <w:r w:rsidRPr="00AE6EDB">
        <w:rPr>
          <w:rFonts w:eastAsia="Calibri"/>
          <w:lang w:eastAsia="en-US"/>
        </w:rPr>
        <w:t>02 prípadov,</w:t>
      </w:r>
    </w:p>
    <w:p w:rsidR="002625B2" w:rsidRPr="00AE6EDB" w:rsidRDefault="002625B2" w:rsidP="002625B2">
      <w:pPr>
        <w:pStyle w:val="bullet1"/>
        <w:numPr>
          <w:ilvl w:val="0"/>
          <w:numId w:val="45"/>
        </w:numPr>
        <w:ind w:left="567" w:hanging="207"/>
        <w:rPr>
          <w:rFonts w:eastAsia="Calibri"/>
          <w:lang w:eastAsia="en-US"/>
        </w:rPr>
      </w:pPr>
      <w:r w:rsidRPr="00AE6EDB">
        <w:rPr>
          <w:rFonts w:eastAsia="Calibri"/>
          <w:lang w:eastAsia="en-US"/>
        </w:rPr>
        <w:t>vyrovnávacia dávka 78 prípadov,</w:t>
      </w:r>
    </w:p>
    <w:p w:rsidR="002625B2" w:rsidRPr="00AE6EDB" w:rsidRDefault="002625B2" w:rsidP="002625B2">
      <w:pPr>
        <w:pStyle w:val="bullet1"/>
        <w:numPr>
          <w:ilvl w:val="0"/>
          <w:numId w:val="45"/>
        </w:numPr>
        <w:ind w:left="567" w:hanging="207"/>
        <w:rPr>
          <w:rFonts w:eastAsia="Calibri"/>
          <w:lang w:eastAsia="en-US"/>
        </w:rPr>
      </w:pPr>
      <w:r w:rsidRPr="00AE6EDB">
        <w:rPr>
          <w:rFonts w:eastAsia="Calibri"/>
          <w:lang w:eastAsia="en-US"/>
        </w:rPr>
        <w:t>materské 2</w:t>
      </w:r>
      <w:r w:rsidR="0054295F">
        <w:rPr>
          <w:rFonts w:eastAsia="Calibri"/>
          <w:lang w:eastAsia="en-US"/>
        </w:rPr>
        <w:t>4 3</w:t>
      </w:r>
      <w:r w:rsidRPr="00AE6EDB">
        <w:rPr>
          <w:rFonts w:eastAsia="Calibri"/>
          <w:lang w:eastAsia="en-US"/>
        </w:rPr>
        <w:t>95 prípadov.</w:t>
      </w:r>
    </w:p>
    <w:p w:rsidR="002625B2" w:rsidRPr="00AE6EDB" w:rsidRDefault="002625B2" w:rsidP="002625B2">
      <w:pPr>
        <w:rPr>
          <w:rFonts w:eastAsia="Calibri"/>
          <w:lang w:eastAsia="en-US"/>
        </w:rPr>
      </w:pPr>
      <w:r w:rsidRPr="00AE6EDB">
        <w:rPr>
          <w:rFonts w:eastAsia="Calibri"/>
          <w:lang w:eastAsia="en-US"/>
        </w:rPr>
        <w:t xml:space="preserve">Priemerný mesačný počet prípadov bol oproti roku 2014 vyšší o </w:t>
      </w:r>
      <w:r w:rsidR="00AC44CB">
        <w:rPr>
          <w:rFonts w:eastAsia="Calibri"/>
          <w:lang w:eastAsia="en-US"/>
        </w:rPr>
        <w:t>9 7</w:t>
      </w:r>
      <w:r w:rsidRPr="00AE6EDB">
        <w:rPr>
          <w:rFonts w:eastAsia="Calibri"/>
          <w:lang w:eastAsia="en-US"/>
        </w:rPr>
        <w:t>2</w:t>
      </w:r>
      <w:r w:rsidR="00056952">
        <w:rPr>
          <w:rFonts w:eastAsia="Calibri"/>
          <w:lang w:eastAsia="en-US"/>
        </w:rPr>
        <w:t>7</w:t>
      </w:r>
      <w:r w:rsidRPr="00AE6EDB">
        <w:rPr>
          <w:rFonts w:eastAsia="Calibri"/>
          <w:lang w:eastAsia="en-US"/>
        </w:rPr>
        <w:t xml:space="preserve"> (najvyšší nárast priemerného počtu prípadov bol zaznamenaný na nemocenskom, o </w:t>
      </w:r>
      <w:r w:rsidR="00AC44CB">
        <w:rPr>
          <w:rFonts w:eastAsia="Calibri"/>
          <w:lang w:eastAsia="en-US"/>
        </w:rPr>
        <w:t>7 1</w:t>
      </w:r>
      <w:r w:rsidRPr="00AE6EDB">
        <w:rPr>
          <w:rFonts w:eastAsia="Calibri"/>
          <w:lang w:eastAsia="en-US"/>
        </w:rPr>
        <w:t>5</w:t>
      </w:r>
      <w:r w:rsidR="00056952">
        <w:rPr>
          <w:rFonts w:eastAsia="Calibri"/>
          <w:lang w:eastAsia="en-US"/>
        </w:rPr>
        <w:t>5</w:t>
      </w:r>
      <w:r w:rsidRPr="00AE6EDB">
        <w:rPr>
          <w:rFonts w:eastAsia="Calibri"/>
          <w:lang w:eastAsia="en-US"/>
        </w:rPr>
        <w:t xml:space="preserve"> prípadov). Tento nárast bol spôsobený vyšším priemerným percentom dočasnej pracovnej neschopnosti. Priemerné percento dočasnej pracovnej neschopnosti (ďalej len „DPN“) pre chorobu a úraz v roku 2014 dosiahlo 3,19</w:t>
      </w:r>
      <w:r w:rsidR="005676EF">
        <w:rPr>
          <w:rFonts w:eastAsia="Calibri"/>
          <w:lang w:eastAsia="en-US"/>
        </w:rPr>
        <w:t> %</w:t>
      </w:r>
      <w:r w:rsidRPr="00AE6EDB">
        <w:rPr>
          <w:rFonts w:eastAsia="Calibri"/>
          <w:lang w:eastAsia="en-US"/>
        </w:rPr>
        <w:t xml:space="preserve"> a v roku 2015 vzrástlo na </w:t>
      </w:r>
      <w:r w:rsidRPr="00AE6EDB">
        <w:rPr>
          <w:rFonts w:eastAsia="Calibri"/>
          <w:bCs/>
          <w:lang w:eastAsia="en-US"/>
        </w:rPr>
        <w:t>3,23</w:t>
      </w:r>
      <w:r w:rsidR="005676EF">
        <w:rPr>
          <w:rFonts w:eastAsia="Calibri"/>
          <w:lang w:eastAsia="en-US"/>
        </w:rPr>
        <w:t> %</w:t>
      </w:r>
      <w:r w:rsidRPr="00AE6EDB">
        <w:rPr>
          <w:rFonts w:eastAsia="Calibri"/>
          <w:lang w:eastAsia="en-US"/>
        </w:rPr>
        <w:t xml:space="preserve"> z priemerného počtu poistencov v danom roku (najnižšie priemerné percento DPN bolo v Bratislavskom kraji 2,05</w:t>
      </w:r>
      <w:r w:rsidR="005676EF">
        <w:rPr>
          <w:rFonts w:eastAsia="Calibri"/>
          <w:lang w:eastAsia="en-US"/>
        </w:rPr>
        <w:t> %</w:t>
      </w:r>
      <w:r w:rsidRPr="00AE6EDB">
        <w:rPr>
          <w:rFonts w:eastAsia="Calibri"/>
          <w:lang w:eastAsia="en-US"/>
        </w:rPr>
        <w:t xml:space="preserve"> a najvyššie v Prešovskom kraji 4,09</w:t>
      </w:r>
      <w:r w:rsidR="005676EF">
        <w:rPr>
          <w:rFonts w:eastAsia="Calibri"/>
          <w:lang w:eastAsia="en-US"/>
        </w:rPr>
        <w:t> %</w:t>
      </w:r>
      <w:r w:rsidRPr="00AE6EDB">
        <w:rPr>
          <w:rFonts w:eastAsia="Calibri"/>
          <w:lang w:eastAsia="en-US"/>
        </w:rPr>
        <w:t xml:space="preserve">). Priemerná doba trvania práceneschopnosti v roku 2015 predstavovala 42,65 dní (najnižšia priemerná doba trvania </w:t>
      </w:r>
      <w:r w:rsidRPr="00AE6EDB">
        <w:rPr>
          <w:rFonts w:eastAsia="Calibri"/>
          <w:lang w:eastAsia="en-US"/>
        </w:rPr>
        <w:lastRenderedPageBreak/>
        <w:t xml:space="preserve">34,86 dní bola v Bratislavskom kraji a najvyššia 50,28 dní v Prešovskom kraji), čo znamenalo oproti roku 2014 pokles o 3,81 dňa. </w:t>
      </w:r>
    </w:p>
    <w:p w:rsidR="002625B2" w:rsidRPr="00AE6EDB" w:rsidRDefault="002625B2" w:rsidP="002625B2">
      <w:pPr>
        <w:pStyle w:val="Normlnysozarkami12"/>
        <w:ind w:firstLine="431"/>
      </w:pPr>
      <w:r w:rsidRPr="00AE6EDB">
        <w:t xml:space="preserve">Nižšie uvedená tabuľka naznačuje, že priemerné výšky vyplácaných nemocenských dávok s výnimkou vyrovnávacej dávky v roku 2015 sa v porovnaní s rokom 2014 mierne zvýšili. </w:t>
      </w:r>
    </w:p>
    <w:p w:rsidR="002625B2" w:rsidRPr="00AE6EDB" w:rsidRDefault="002625B2" w:rsidP="002625B2">
      <w:pPr>
        <w:pStyle w:val="Nadpis7"/>
      </w:pPr>
      <w:bookmarkStart w:id="156" w:name="_Toc294026951"/>
      <w:bookmarkStart w:id="157" w:name="_Toc294029190"/>
      <w:bookmarkStart w:id="158" w:name="_Toc313878681"/>
      <w:bookmarkStart w:id="159" w:name="_Toc325438163"/>
      <w:bookmarkStart w:id="160" w:name="_Toc325440932"/>
      <w:bookmarkStart w:id="161" w:name="_Toc356482674"/>
      <w:bookmarkStart w:id="162" w:name="_Toc325440933"/>
      <w:bookmarkStart w:id="163" w:name="_Toc356482675"/>
      <w:bookmarkStart w:id="164" w:name="_Toc356916009"/>
      <w:r w:rsidRPr="00AE6EDB">
        <w:t>Tabuľka 3.1 Počet prípadov a priemerná výška nemocenských dávok v roku 201</w:t>
      </w:r>
      <w:bookmarkEnd w:id="156"/>
      <w:bookmarkEnd w:id="157"/>
      <w:bookmarkEnd w:id="158"/>
      <w:bookmarkEnd w:id="159"/>
      <w:bookmarkEnd w:id="160"/>
      <w:bookmarkEnd w:id="161"/>
      <w:r w:rsidRPr="00AE6EDB">
        <w:t>5</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1E0" w:firstRow="1" w:lastRow="1" w:firstColumn="1" w:lastColumn="1" w:noHBand="0" w:noVBand="0"/>
      </w:tblPr>
      <w:tblGrid>
        <w:gridCol w:w="1985"/>
        <w:gridCol w:w="1785"/>
        <w:gridCol w:w="1815"/>
        <w:gridCol w:w="1816"/>
        <w:gridCol w:w="1816"/>
      </w:tblGrid>
      <w:tr w:rsidR="002625B2" w:rsidRPr="00AE6EDB" w:rsidTr="002625B2">
        <w:trPr>
          <w:trHeight w:val="496"/>
          <w:jc w:val="center"/>
        </w:trPr>
        <w:tc>
          <w:tcPr>
            <w:tcW w:w="1985"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Dávka</w:t>
            </w:r>
          </w:p>
        </w:tc>
        <w:tc>
          <w:tcPr>
            <w:tcW w:w="1785" w:type="dxa"/>
            <w:shd w:val="clear" w:color="auto" w:fill="BF0000" w:themeFill="accent3" w:themeFillShade="BF"/>
          </w:tcPr>
          <w:p w:rsidR="002625B2" w:rsidRPr="00AE6EDB" w:rsidRDefault="002625B2" w:rsidP="002625B2">
            <w:pPr>
              <w:jc w:val="center"/>
              <w:rPr>
                <w:b/>
                <w:color w:val="FFFFFF" w:themeColor="background1"/>
              </w:rPr>
            </w:pPr>
            <w:r w:rsidRPr="00AE6EDB">
              <w:rPr>
                <w:b/>
                <w:color w:val="FFFFFF" w:themeColor="background1"/>
              </w:rPr>
              <w:t xml:space="preserve">Počet vyplatených dávok </w:t>
            </w:r>
            <w:r w:rsidRPr="00AE6EDB">
              <w:rPr>
                <w:b/>
                <w:color w:val="FFFFFF" w:themeColor="background1"/>
              </w:rPr>
              <w:br/>
              <w:t>v roku 2015</w:t>
            </w:r>
          </w:p>
        </w:tc>
        <w:tc>
          <w:tcPr>
            <w:tcW w:w="1815"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 xml:space="preserve">Index </w:t>
            </w:r>
          </w:p>
          <w:p w:rsidR="002625B2" w:rsidRPr="00AE6EDB" w:rsidRDefault="002625B2" w:rsidP="002625B2">
            <w:pPr>
              <w:jc w:val="center"/>
              <w:rPr>
                <w:b/>
                <w:color w:val="FFFFFF" w:themeColor="background1"/>
              </w:rPr>
            </w:pPr>
            <w:r w:rsidRPr="00AE6EDB">
              <w:rPr>
                <w:b/>
                <w:color w:val="FFFFFF" w:themeColor="background1"/>
              </w:rPr>
              <w:t>2015/2014</w:t>
            </w:r>
          </w:p>
        </w:tc>
        <w:tc>
          <w:tcPr>
            <w:tcW w:w="1816"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Priemerná výška dávky v roku 2015 (v €)</w:t>
            </w:r>
          </w:p>
        </w:tc>
        <w:tc>
          <w:tcPr>
            <w:tcW w:w="1816" w:type="dxa"/>
            <w:shd w:val="clear" w:color="auto" w:fill="BF0000" w:themeFill="accent3" w:themeFillShade="BF"/>
            <w:vAlign w:val="center"/>
          </w:tcPr>
          <w:p w:rsidR="002625B2" w:rsidRPr="00AE6EDB" w:rsidRDefault="002625B2" w:rsidP="002625B2">
            <w:pPr>
              <w:jc w:val="center"/>
              <w:rPr>
                <w:b/>
                <w:color w:val="FFFFFF" w:themeColor="background1"/>
              </w:rPr>
            </w:pPr>
            <w:r w:rsidRPr="00AE6EDB">
              <w:rPr>
                <w:b/>
                <w:color w:val="FFFFFF" w:themeColor="background1"/>
              </w:rPr>
              <w:t xml:space="preserve">Index </w:t>
            </w:r>
          </w:p>
          <w:p w:rsidR="002625B2" w:rsidRPr="00AE6EDB" w:rsidRDefault="002625B2" w:rsidP="002625B2">
            <w:pPr>
              <w:jc w:val="center"/>
              <w:rPr>
                <w:b/>
                <w:color w:val="FFFFFF" w:themeColor="background1"/>
              </w:rPr>
            </w:pPr>
            <w:r w:rsidRPr="00AE6EDB">
              <w:rPr>
                <w:b/>
                <w:color w:val="FFFFFF" w:themeColor="background1"/>
              </w:rPr>
              <w:t>2015/2014</w:t>
            </w:r>
          </w:p>
        </w:tc>
      </w:tr>
      <w:tr w:rsidR="002625B2" w:rsidRPr="00AE6EDB" w:rsidTr="002625B2">
        <w:trPr>
          <w:trHeight w:val="283"/>
          <w:jc w:val="center"/>
        </w:trPr>
        <w:tc>
          <w:tcPr>
            <w:tcW w:w="1985" w:type="dxa"/>
            <w:vAlign w:val="center"/>
          </w:tcPr>
          <w:p w:rsidR="002625B2" w:rsidRPr="00AE6EDB" w:rsidRDefault="002625B2" w:rsidP="002625B2">
            <w:r w:rsidRPr="00AE6EDB">
              <w:t>Nemocenské</w:t>
            </w:r>
          </w:p>
        </w:tc>
        <w:tc>
          <w:tcPr>
            <w:tcW w:w="1785" w:type="dxa"/>
            <w:vAlign w:val="bottom"/>
          </w:tcPr>
          <w:p w:rsidR="002625B2" w:rsidRPr="00AE6EDB" w:rsidRDefault="0054295F" w:rsidP="002625B2">
            <w:pPr>
              <w:ind w:right="328"/>
              <w:jc w:val="right"/>
            </w:pPr>
            <w:r>
              <w:rPr>
                <w:szCs w:val="22"/>
              </w:rPr>
              <w:t>1 2</w:t>
            </w:r>
            <w:r w:rsidR="002625B2" w:rsidRPr="00AE6EDB">
              <w:rPr>
                <w:szCs w:val="22"/>
              </w:rPr>
              <w:t>6</w:t>
            </w:r>
            <w:r w:rsidR="00AC44CB">
              <w:rPr>
                <w:szCs w:val="22"/>
              </w:rPr>
              <w:t>6 4</w:t>
            </w:r>
            <w:r w:rsidR="002625B2" w:rsidRPr="00AE6EDB">
              <w:rPr>
                <w:szCs w:val="22"/>
              </w:rPr>
              <w:t>03</w:t>
            </w:r>
          </w:p>
        </w:tc>
        <w:tc>
          <w:tcPr>
            <w:tcW w:w="1815" w:type="dxa"/>
            <w:vAlign w:val="bottom"/>
          </w:tcPr>
          <w:p w:rsidR="002625B2" w:rsidRPr="00AE6EDB" w:rsidRDefault="002625B2" w:rsidP="002625B2">
            <w:pPr>
              <w:ind w:right="442"/>
              <w:jc w:val="right"/>
            </w:pPr>
            <w:r w:rsidRPr="00AE6EDB">
              <w:t>107,3</w:t>
            </w:r>
            <w:r w:rsidR="005676EF">
              <w:t> %</w:t>
            </w:r>
          </w:p>
        </w:tc>
        <w:tc>
          <w:tcPr>
            <w:tcW w:w="1816" w:type="dxa"/>
            <w:vAlign w:val="bottom"/>
          </w:tcPr>
          <w:p w:rsidR="002625B2" w:rsidRPr="00AE6EDB" w:rsidRDefault="002625B2" w:rsidP="002625B2">
            <w:pPr>
              <w:ind w:right="416"/>
              <w:jc w:val="right"/>
            </w:pPr>
            <w:r w:rsidRPr="00AE6EDB">
              <w:rPr>
                <w:szCs w:val="22"/>
              </w:rPr>
              <w:t>221</w:t>
            </w:r>
          </w:p>
        </w:tc>
        <w:tc>
          <w:tcPr>
            <w:tcW w:w="1816" w:type="dxa"/>
            <w:vAlign w:val="bottom"/>
          </w:tcPr>
          <w:p w:rsidR="002625B2" w:rsidRPr="00AE6EDB" w:rsidRDefault="002625B2" w:rsidP="00056952">
            <w:pPr>
              <w:ind w:right="389"/>
              <w:jc w:val="right"/>
            </w:pPr>
            <w:r w:rsidRPr="00AE6EDB">
              <w:rPr>
                <w:szCs w:val="22"/>
              </w:rPr>
              <w:t>102,</w:t>
            </w:r>
            <w:r w:rsidR="00056952">
              <w:rPr>
                <w:szCs w:val="22"/>
              </w:rPr>
              <w:t>0</w:t>
            </w:r>
            <w:r w:rsidR="005676EF">
              <w:rPr>
                <w:szCs w:val="22"/>
              </w:rPr>
              <w:t> %</w:t>
            </w:r>
          </w:p>
        </w:tc>
      </w:tr>
      <w:tr w:rsidR="002625B2" w:rsidRPr="00AE6EDB" w:rsidTr="002625B2">
        <w:trPr>
          <w:trHeight w:val="283"/>
          <w:jc w:val="center"/>
        </w:trPr>
        <w:tc>
          <w:tcPr>
            <w:tcW w:w="1985" w:type="dxa"/>
            <w:vAlign w:val="center"/>
          </w:tcPr>
          <w:p w:rsidR="002625B2" w:rsidRPr="00AE6EDB" w:rsidRDefault="002625B2" w:rsidP="002625B2">
            <w:r w:rsidRPr="00AE6EDB">
              <w:t>Ošetrovné</w:t>
            </w:r>
          </w:p>
        </w:tc>
        <w:tc>
          <w:tcPr>
            <w:tcW w:w="1785" w:type="dxa"/>
            <w:vAlign w:val="bottom"/>
          </w:tcPr>
          <w:p w:rsidR="002625B2" w:rsidRPr="00AE6EDB" w:rsidRDefault="002625B2" w:rsidP="002625B2">
            <w:pPr>
              <w:ind w:right="328"/>
              <w:jc w:val="right"/>
            </w:pPr>
            <w:r w:rsidRPr="00AE6EDB">
              <w:rPr>
                <w:szCs w:val="22"/>
              </w:rPr>
              <w:t>12</w:t>
            </w:r>
            <w:r w:rsidR="00AC44CB">
              <w:rPr>
                <w:szCs w:val="22"/>
              </w:rPr>
              <w:t>8 4</w:t>
            </w:r>
            <w:r w:rsidRPr="00AE6EDB">
              <w:rPr>
                <w:szCs w:val="22"/>
              </w:rPr>
              <w:t>26</w:t>
            </w:r>
          </w:p>
        </w:tc>
        <w:tc>
          <w:tcPr>
            <w:tcW w:w="1815" w:type="dxa"/>
            <w:vAlign w:val="bottom"/>
          </w:tcPr>
          <w:p w:rsidR="002625B2" w:rsidRPr="00AE6EDB" w:rsidRDefault="002625B2" w:rsidP="002625B2">
            <w:pPr>
              <w:ind w:right="442"/>
              <w:jc w:val="right"/>
            </w:pPr>
            <w:r w:rsidRPr="00AE6EDB">
              <w:t>114,2</w:t>
            </w:r>
            <w:r w:rsidR="005676EF">
              <w:t> %</w:t>
            </w:r>
          </w:p>
        </w:tc>
        <w:tc>
          <w:tcPr>
            <w:tcW w:w="1816" w:type="dxa"/>
            <w:vAlign w:val="bottom"/>
          </w:tcPr>
          <w:p w:rsidR="002625B2" w:rsidRPr="00AE6EDB" w:rsidRDefault="002625B2" w:rsidP="002625B2">
            <w:pPr>
              <w:ind w:right="416"/>
              <w:jc w:val="right"/>
            </w:pPr>
            <w:r w:rsidRPr="00AE6EDB">
              <w:rPr>
                <w:szCs w:val="22"/>
              </w:rPr>
              <w:t>82</w:t>
            </w:r>
          </w:p>
        </w:tc>
        <w:tc>
          <w:tcPr>
            <w:tcW w:w="1816" w:type="dxa"/>
            <w:vAlign w:val="bottom"/>
          </w:tcPr>
          <w:p w:rsidR="002625B2" w:rsidRPr="00AE6EDB" w:rsidRDefault="002625B2" w:rsidP="00056952">
            <w:pPr>
              <w:ind w:right="389"/>
              <w:jc w:val="right"/>
            </w:pPr>
            <w:r w:rsidRPr="00AE6EDB">
              <w:rPr>
                <w:szCs w:val="22"/>
              </w:rPr>
              <w:t>105,</w:t>
            </w:r>
            <w:r w:rsidR="00056952">
              <w:rPr>
                <w:szCs w:val="22"/>
              </w:rPr>
              <w:t>7</w:t>
            </w:r>
            <w:r w:rsidR="005676EF">
              <w:rPr>
                <w:szCs w:val="22"/>
              </w:rPr>
              <w:t> %</w:t>
            </w:r>
          </w:p>
        </w:tc>
      </w:tr>
      <w:tr w:rsidR="002625B2" w:rsidRPr="00AE6EDB" w:rsidTr="002625B2">
        <w:trPr>
          <w:trHeight w:val="283"/>
          <w:jc w:val="center"/>
        </w:trPr>
        <w:tc>
          <w:tcPr>
            <w:tcW w:w="1985" w:type="dxa"/>
            <w:vAlign w:val="center"/>
          </w:tcPr>
          <w:p w:rsidR="002625B2" w:rsidRPr="00AE6EDB" w:rsidRDefault="002625B2" w:rsidP="002625B2">
            <w:r w:rsidRPr="00AE6EDB">
              <w:t>Vyrovnávacia dávka</w:t>
            </w:r>
          </w:p>
        </w:tc>
        <w:tc>
          <w:tcPr>
            <w:tcW w:w="1785" w:type="dxa"/>
            <w:vAlign w:val="center"/>
          </w:tcPr>
          <w:p w:rsidR="002625B2" w:rsidRPr="00AE6EDB" w:rsidRDefault="002625B2" w:rsidP="002625B2">
            <w:pPr>
              <w:ind w:right="328"/>
              <w:jc w:val="right"/>
            </w:pPr>
            <w:r w:rsidRPr="00AE6EDB">
              <w:rPr>
                <w:szCs w:val="22"/>
              </w:rPr>
              <w:t>932</w:t>
            </w:r>
          </w:p>
        </w:tc>
        <w:tc>
          <w:tcPr>
            <w:tcW w:w="1815" w:type="dxa"/>
            <w:vAlign w:val="center"/>
          </w:tcPr>
          <w:p w:rsidR="002625B2" w:rsidRPr="00AE6EDB" w:rsidRDefault="002625B2" w:rsidP="00056952">
            <w:pPr>
              <w:ind w:right="442"/>
              <w:jc w:val="right"/>
            </w:pPr>
            <w:r w:rsidRPr="00AE6EDB">
              <w:t>78,</w:t>
            </w:r>
            <w:r w:rsidR="00056952">
              <w:t>79</w:t>
            </w:r>
            <w:r w:rsidR="005676EF">
              <w:t> %</w:t>
            </w:r>
          </w:p>
        </w:tc>
        <w:tc>
          <w:tcPr>
            <w:tcW w:w="1816" w:type="dxa"/>
            <w:vAlign w:val="center"/>
          </w:tcPr>
          <w:p w:rsidR="002625B2" w:rsidRPr="00AE6EDB" w:rsidRDefault="002625B2" w:rsidP="002625B2">
            <w:pPr>
              <w:ind w:right="416"/>
              <w:jc w:val="right"/>
            </w:pPr>
            <w:r w:rsidRPr="00AE6EDB">
              <w:rPr>
                <w:szCs w:val="22"/>
              </w:rPr>
              <w:t>54</w:t>
            </w:r>
          </w:p>
        </w:tc>
        <w:tc>
          <w:tcPr>
            <w:tcW w:w="1816" w:type="dxa"/>
            <w:vAlign w:val="center"/>
          </w:tcPr>
          <w:p w:rsidR="002625B2" w:rsidRPr="00AE6EDB" w:rsidRDefault="002625B2" w:rsidP="002625B2">
            <w:pPr>
              <w:ind w:right="389"/>
              <w:jc w:val="right"/>
            </w:pPr>
            <w:r w:rsidRPr="00AE6EDB">
              <w:rPr>
                <w:szCs w:val="22"/>
              </w:rPr>
              <w:t>88,3</w:t>
            </w:r>
            <w:r w:rsidR="005676EF">
              <w:rPr>
                <w:szCs w:val="22"/>
              </w:rPr>
              <w:t> %</w:t>
            </w:r>
          </w:p>
        </w:tc>
      </w:tr>
      <w:tr w:rsidR="002625B2" w:rsidRPr="00AE6EDB" w:rsidTr="002625B2">
        <w:trPr>
          <w:trHeight w:val="283"/>
          <w:jc w:val="center"/>
        </w:trPr>
        <w:tc>
          <w:tcPr>
            <w:tcW w:w="1985" w:type="dxa"/>
            <w:vAlign w:val="center"/>
          </w:tcPr>
          <w:p w:rsidR="002625B2" w:rsidRPr="00AE6EDB" w:rsidRDefault="002625B2" w:rsidP="002625B2">
            <w:r w:rsidRPr="00AE6EDB">
              <w:t>Materské</w:t>
            </w:r>
          </w:p>
        </w:tc>
        <w:tc>
          <w:tcPr>
            <w:tcW w:w="1785" w:type="dxa"/>
            <w:vAlign w:val="bottom"/>
          </w:tcPr>
          <w:p w:rsidR="002625B2" w:rsidRPr="00AE6EDB" w:rsidRDefault="002625B2" w:rsidP="002625B2">
            <w:pPr>
              <w:ind w:right="328"/>
              <w:jc w:val="right"/>
            </w:pPr>
            <w:r w:rsidRPr="00AE6EDB">
              <w:rPr>
                <w:szCs w:val="22"/>
              </w:rPr>
              <w:t>29</w:t>
            </w:r>
            <w:r w:rsidR="0054295F">
              <w:rPr>
                <w:szCs w:val="22"/>
              </w:rPr>
              <w:t>2 7</w:t>
            </w:r>
            <w:r w:rsidRPr="00AE6EDB">
              <w:rPr>
                <w:szCs w:val="22"/>
              </w:rPr>
              <w:t>37</w:t>
            </w:r>
          </w:p>
        </w:tc>
        <w:tc>
          <w:tcPr>
            <w:tcW w:w="1815" w:type="dxa"/>
            <w:vAlign w:val="bottom"/>
          </w:tcPr>
          <w:p w:rsidR="002625B2" w:rsidRPr="00AE6EDB" w:rsidRDefault="002625B2" w:rsidP="002625B2">
            <w:pPr>
              <w:ind w:right="442"/>
              <w:jc w:val="right"/>
            </w:pPr>
            <w:r w:rsidRPr="00AE6EDB">
              <w:t>105,5</w:t>
            </w:r>
            <w:r w:rsidR="005676EF">
              <w:t> %</w:t>
            </w:r>
          </w:p>
        </w:tc>
        <w:tc>
          <w:tcPr>
            <w:tcW w:w="1816" w:type="dxa"/>
            <w:vAlign w:val="bottom"/>
          </w:tcPr>
          <w:p w:rsidR="002625B2" w:rsidRPr="00AE6EDB" w:rsidRDefault="002625B2" w:rsidP="002625B2">
            <w:pPr>
              <w:ind w:right="416"/>
              <w:jc w:val="right"/>
            </w:pPr>
            <w:r w:rsidRPr="00AE6EDB">
              <w:rPr>
                <w:szCs w:val="22"/>
              </w:rPr>
              <w:t>430</w:t>
            </w:r>
          </w:p>
        </w:tc>
        <w:tc>
          <w:tcPr>
            <w:tcW w:w="1816" w:type="dxa"/>
            <w:vAlign w:val="bottom"/>
          </w:tcPr>
          <w:p w:rsidR="002625B2" w:rsidRPr="00AE6EDB" w:rsidRDefault="002625B2" w:rsidP="002625B2">
            <w:pPr>
              <w:ind w:right="389"/>
              <w:jc w:val="right"/>
            </w:pPr>
            <w:r w:rsidRPr="00AE6EDB">
              <w:rPr>
                <w:szCs w:val="22"/>
              </w:rPr>
              <w:t>101,7</w:t>
            </w:r>
            <w:r w:rsidR="005676EF">
              <w:rPr>
                <w:szCs w:val="22"/>
              </w:rPr>
              <w:t> %</w:t>
            </w:r>
          </w:p>
        </w:tc>
      </w:tr>
    </w:tbl>
    <w:p w:rsidR="002625B2" w:rsidRPr="00AE6EDB" w:rsidRDefault="002625B2" w:rsidP="002625B2">
      <w:pPr>
        <w:pStyle w:val="zdroj"/>
      </w:pPr>
      <w:r w:rsidRPr="00AE6EDB">
        <w:t>Zdroj: Sociálna poisťovňa</w:t>
      </w:r>
    </w:p>
    <w:p w:rsidR="00A50C9D" w:rsidRPr="00AE6EDB" w:rsidRDefault="00A50C9D">
      <w:pPr>
        <w:jc w:val="left"/>
        <w:rPr>
          <w:rFonts w:ascii="Times New Roman Bold" w:hAnsi="Times New Roman Bold"/>
          <w:b/>
          <w:color w:val="D83E2C" w:themeColor="accent2"/>
          <w:sz w:val="24"/>
          <w:szCs w:val="20"/>
          <w:lang w:eastAsia="cs-CZ"/>
        </w:rPr>
      </w:pPr>
      <w:bookmarkStart w:id="165" w:name="_Toc422233416"/>
      <w:bookmarkStart w:id="166" w:name="_Toc325440940"/>
      <w:bookmarkStart w:id="167" w:name="_Toc356482682"/>
      <w:bookmarkStart w:id="168" w:name="_Toc356482815"/>
      <w:bookmarkEnd w:id="149"/>
      <w:bookmarkEnd w:id="150"/>
      <w:bookmarkEnd w:id="151"/>
      <w:bookmarkEnd w:id="152"/>
      <w:bookmarkEnd w:id="153"/>
      <w:bookmarkEnd w:id="154"/>
      <w:bookmarkEnd w:id="155"/>
      <w:bookmarkEnd w:id="162"/>
      <w:bookmarkEnd w:id="163"/>
      <w:bookmarkEnd w:id="164"/>
    </w:p>
    <w:p w:rsidR="002625B2" w:rsidRPr="00AE6EDB" w:rsidRDefault="002625B2" w:rsidP="002625B2">
      <w:pPr>
        <w:pStyle w:val="Nadpis6"/>
      </w:pPr>
      <w:bookmarkStart w:id="169" w:name="_Toc452469873"/>
      <w:r w:rsidRPr="00AE6EDB">
        <w:t>Dôchodkové poistenie</w:t>
      </w:r>
      <w:bookmarkEnd w:id="165"/>
      <w:bookmarkEnd w:id="169"/>
    </w:p>
    <w:p w:rsidR="002625B2" w:rsidRPr="00AE6EDB" w:rsidRDefault="002625B2" w:rsidP="002625B2">
      <w:pPr>
        <w:ind w:firstLine="431"/>
        <w:rPr>
          <w:bCs/>
          <w:szCs w:val="22"/>
        </w:rPr>
      </w:pPr>
      <w:r w:rsidRPr="00AE6EDB">
        <w:rPr>
          <w:bCs/>
          <w:szCs w:val="22"/>
        </w:rPr>
        <w:t>Dôchodkové poistenie sa člení na starobné poistenie (poistenie na zabezpečenie príjmu v starobe a pre prípad úmrtia) a na invalidné poistenie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w:t>
      </w:r>
    </w:p>
    <w:p w:rsidR="002625B2" w:rsidRPr="00AE6EDB" w:rsidRDefault="002625B2" w:rsidP="002625B2">
      <w:pPr>
        <w:ind w:firstLine="431"/>
      </w:pPr>
      <w:r w:rsidRPr="00AE6EDB">
        <w:rPr>
          <w:bCs/>
          <w:szCs w:val="22"/>
        </w:rPr>
        <w:t xml:space="preserve"> </w:t>
      </w:r>
      <w:r w:rsidRPr="00AE6EDB">
        <w:t>V terminológii dôchodkových dávok znamená súbeh poberanie súčasne (súbežne) tzv. priameho dôchodku (starobného, predčasného starobného alebo invalidného) s nepriamym dôchodkom (vdovským dôchodkom alebo vdoveckým dôchodkom</w:t>
      </w:r>
      <w:r w:rsidR="003F2687" w:rsidRPr="00AE6EDB">
        <w:t>)</w:t>
      </w:r>
      <w:r w:rsidRPr="00AE6EDB">
        <w:t>, prípadne súbehu invalidného dôchodku s mierou poklesu schopnosti vykonávať zárobkovú činnosť do 70</w:t>
      </w:r>
      <w:r w:rsidR="005676EF">
        <w:t> %</w:t>
      </w:r>
      <w:r w:rsidRPr="00AE6EDB">
        <w:t xml:space="preserve"> so sirotským dôchodkom.</w:t>
      </w:r>
    </w:p>
    <w:p w:rsidR="002625B2" w:rsidRPr="00AE6EDB" w:rsidRDefault="002625B2" w:rsidP="002625B2">
      <w:pPr>
        <w:ind w:firstLine="431"/>
      </w:pPr>
      <w:r w:rsidRPr="00AE6EDB">
        <w:t xml:space="preserve">K 31. decembru 2015 bolo vyplácaných </w:t>
      </w:r>
      <w:r w:rsidR="0054295F">
        <w:rPr>
          <w:color w:val="000000"/>
          <w:szCs w:val="22"/>
        </w:rPr>
        <w:t>1 6</w:t>
      </w:r>
      <w:r w:rsidRPr="00AE6EDB">
        <w:rPr>
          <w:color w:val="000000"/>
          <w:szCs w:val="22"/>
        </w:rPr>
        <w:t>4</w:t>
      </w:r>
      <w:r w:rsidR="0054295F">
        <w:rPr>
          <w:color w:val="000000"/>
          <w:szCs w:val="22"/>
        </w:rPr>
        <w:t>2 9</w:t>
      </w:r>
      <w:r w:rsidRPr="00AE6EDB">
        <w:rPr>
          <w:color w:val="000000"/>
          <w:szCs w:val="22"/>
        </w:rPr>
        <w:t xml:space="preserve">19 </w:t>
      </w:r>
      <w:r w:rsidRPr="00AE6EDB">
        <w:t>dôchodkových dávok (bez dôchodkov hradených štátom – napr. tzv. invalidov z mladosti, dôchodkov manželky, sociálnych dôchodkov, ako aj bez dôchodkov vyplácaných do cudziny a dôchodkov neprevzatých do automatizovanej evidencie). Dôchodkov neprevzatých do automatizovanej evidencie bolo 20 a počet dôchodkov vyplácaných do cudziny bol 2</w:t>
      </w:r>
      <w:r w:rsidR="0054295F">
        <w:t>3 1</w:t>
      </w:r>
      <w:r w:rsidRPr="00AE6EDB">
        <w:t>70.</w:t>
      </w:r>
    </w:p>
    <w:p w:rsidR="002625B2" w:rsidRPr="00AE6EDB" w:rsidRDefault="002625B2" w:rsidP="002625B2">
      <w:pPr>
        <w:ind w:firstLine="431"/>
      </w:pPr>
      <w:bookmarkStart w:id="170" w:name="_Toc294027031"/>
      <w:bookmarkStart w:id="171" w:name="_Toc294029270"/>
      <w:bookmarkStart w:id="172" w:name="_Toc313878761"/>
      <w:bookmarkStart w:id="173" w:name="_Toc325438166"/>
      <w:bookmarkStart w:id="174" w:name="_Toc325440935"/>
      <w:bookmarkStart w:id="175" w:name="_Toc356482677"/>
      <w:r w:rsidRPr="00AE6EDB">
        <w:t>V porovnaní so stavom k 31. decembru 2014 bol počet vyplatených dôchodkov</w:t>
      </w:r>
      <w:r w:rsidRPr="00AE6EDB">
        <w:rPr>
          <w:rStyle w:val="Odkaznapoznmkupodiarou"/>
          <w:szCs w:val="22"/>
        </w:rPr>
        <w:footnoteReference w:id="25"/>
      </w:r>
      <w:r w:rsidRPr="00AE6EDB">
        <w:t xml:space="preserve"> v decembri 2015 vyšší o </w:t>
      </w:r>
      <w:r w:rsidR="00AC44CB">
        <w:t>9 1</w:t>
      </w:r>
      <w:r w:rsidRPr="00AE6EDB">
        <w:t>77, čo predstavuje medziročný nárast o 0,56</w:t>
      </w:r>
      <w:r w:rsidR="005676EF">
        <w:t> %</w:t>
      </w:r>
      <w:r w:rsidRPr="00AE6EDB">
        <w:t xml:space="preserve">. Pokles oproti roku 2014 zaznamenal počet vyplácaných vdovských dôchodkov (o </w:t>
      </w:r>
      <w:r w:rsidR="0054295F">
        <w:t>2 1</w:t>
      </w:r>
      <w:r w:rsidRPr="00AE6EDB">
        <w:t xml:space="preserve">59), sirotských dôchodkov (o </w:t>
      </w:r>
      <w:r w:rsidR="0054295F">
        <w:t>1 2</w:t>
      </w:r>
      <w:r w:rsidRPr="00AE6EDB">
        <w:t xml:space="preserve">52) a predčasných starobných dôchodkov (o </w:t>
      </w:r>
      <w:r w:rsidR="0054295F">
        <w:t>2 9</w:t>
      </w:r>
      <w:r w:rsidRPr="00AE6EDB">
        <w:t>97). Oproti roku 2014 nárast zaznamenal počet vyplácaných vdoveckých dôchodkov (o 760), starobných dôchodkov (o 1</w:t>
      </w:r>
      <w:r w:rsidR="0054295F">
        <w:t>3 3</w:t>
      </w:r>
      <w:r w:rsidRPr="00AE6EDB">
        <w:t>83) a invalidných dôchodkov (o </w:t>
      </w:r>
      <w:r w:rsidR="0054295F">
        <w:t>1 4</w:t>
      </w:r>
      <w:r w:rsidRPr="00AE6EDB">
        <w:t>42).</w:t>
      </w:r>
    </w:p>
    <w:p w:rsidR="00B04F17" w:rsidRDefault="00B04F17">
      <w:pPr>
        <w:jc w:val="left"/>
        <w:rPr>
          <w:b/>
        </w:rPr>
      </w:pPr>
      <w:r>
        <w:br w:type="page"/>
      </w:r>
    </w:p>
    <w:p w:rsidR="002625B2" w:rsidRPr="00AE6EDB" w:rsidRDefault="002625B2" w:rsidP="002625B2">
      <w:pPr>
        <w:pStyle w:val="Nadpis7"/>
      </w:pPr>
      <w:r w:rsidRPr="00AE6EDB">
        <w:lastRenderedPageBreak/>
        <w:t xml:space="preserve">Tabuľka 3.2 Počet vyplácaných dôchodkových dávok a priemerná výška dôchodkov </w:t>
      </w:r>
      <w:r w:rsidRPr="00AE6EDB">
        <w:br/>
        <w:t>v roku 2014 a 2015</w:t>
      </w:r>
    </w:p>
    <w:tbl>
      <w:tblPr>
        <w:tblW w:w="946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392"/>
        <w:gridCol w:w="1406"/>
        <w:gridCol w:w="1406"/>
        <w:gridCol w:w="1130"/>
        <w:gridCol w:w="1130"/>
      </w:tblGrid>
      <w:tr w:rsidR="002625B2" w:rsidRPr="00AE6EDB" w:rsidTr="002625B2">
        <w:trPr>
          <w:trHeight w:val="315"/>
          <w:jc w:val="center"/>
        </w:trPr>
        <w:tc>
          <w:tcPr>
            <w:tcW w:w="4392" w:type="dxa"/>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AE6EDB" w:rsidRDefault="002625B2" w:rsidP="002625B2">
            <w:pPr>
              <w:jc w:val="left"/>
              <w:rPr>
                <w:b/>
                <w:bCs/>
                <w:color w:val="FFFFFF"/>
              </w:rPr>
            </w:pPr>
            <w:bookmarkStart w:id="176" w:name="_Toc294026979"/>
            <w:bookmarkStart w:id="177" w:name="_Toc294029218"/>
            <w:bookmarkStart w:id="178" w:name="_Toc313878709"/>
            <w:r w:rsidRPr="00AE6EDB">
              <w:rPr>
                <w:b/>
                <w:bCs/>
                <w:color w:val="FFFFFF" w:themeColor="background1"/>
                <w:szCs w:val="22"/>
              </w:rPr>
              <w:t>Typ dôchodku</w:t>
            </w:r>
            <w:bookmarkEnd w:id="176"/>
            <w:bookmarkEnd w:id="177"/>
            <w:bookmarkEnd w:id="178"/>
          </w:p>
        </w:tc>
        <w:tc>
          <w:tcPr>
            <w:tcW w:w="2812"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AE6EDB" w:rsidRDefault="002625B2" w:rsidP="00575B81">
            <w:pPr>
              <w:jc w:val="center"/>
              <w:rPr>
                <w:b/>
                <w:bCs/>
                <w:color w:val="FFFFFF"/>
              </w:rPr>
            </w:pPr>
            <w:bookmarkStart w:id="179" w:name="_Toc294026980"/>
            <w:bookmarkStart w:id="180" w:name="_Toc294029219"/>
            <w:bookmarkStart w:id="181" w:name="_Toc313878710"/>
            <w:r w:rsidRPr="00AE6EDB">
              <w:rPr>
                <w:b/>
                <w:bCs/>
                <w:color w:val="FFFFFF" w:themeColor="background1"/>
                <w:szCs w:val="22"/>
              </w:rPr>
              <w:t>Počty vyplácaných dôchodkov k:</w:t>
            </w:r>
            <w:bookmarkEnd w:id="179"/>
            <w:bookmarkEnd w:id="180"/>
            <w:bookmarkEnd w:id="181"/>
          </w:p>
        </w:tc>
        <w:tc>
          <w:tcPr>
            <w:tcW w:w="2260"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AE6EDB" w:rsidRDefault="002625B2" w:rsidP="002625B2">
            <w:pPr>
              <w:jc w:val="center"/>
              <w:rPr>
                <w:b/>
                <w:bCs/>
                <w:color w:val="FFFFFF"/>
              </w:rPr>
            </w:pPr>
            <w:r w:rsidRPr="00AE6EDB">
              <w:rPr>
                <w:b/>
                <w:bCs/>
                <w:color w:val="FFFFFF"/>
                <w:szCs w:val="22"/>
              </w:rPr>
              <w:t>Priemerná výška (sólo) dôchodku v €</w:t>
            </w:r>
            <w:r w:rsidRPr="00AE6EDB">
              <w:rPr>
                <w:b/>
                <w:bCs/>
                <w:color w:val="FFFFFF" w:themeColor="background1"/>
                <w:szCs w:val="22"/>
              </w:rPr>
              <w:t>:</w:t>
            </w:r>
          </w:p>
        </w:tc>
      </w:tr>
      <w:tr w:rsidR="002625B2" w:rsidRPr="00AE6EDB" w:rsidTr="002625B2">
        <w:trPr>
          <w:trHeight w:val="315"/>
          <w:jc w:val="center"/>
        </w:trPr>
        <w:tc>
          <w:tcPr>
            <w:tcW w:w="4392" w:type="dxa"/>
            <w:tcBorders>
              <w:top w:val="single" w:sz="6" w:space="0" w:color="BF0000" w:themeColor="accent3" w:themeShade="BF"/>
            </w:tcBorders>
            <w:shd w:val="clear" w:color="auto" w:fill="auto"/>
            <w:noWrap/>
            <w:vAlign w:val="center"/>
            <w:hideMark/>
          </w:tcPr>
          <w:p w:rsidR="002625B2" w:rsidRPr="00AE6EDB" w:rsidRDefault="002625B2" w:rsidP="002625B2">
            <w:pPr>
              <w:jc w:val="center"/>
              <w:rPr>
                <w:color w:val="000000"/>
              </w:rPr>
            </w:pPr>
            <w:r w:rsidRPr="00AE6EDB">
              <w:rPr>
                <w:color w:val="000000"/>
                <w:szCs w:val="22"/>
              </w:rPr>
              <w:t> </w:t>
            </w:r>
          </w:p>
        </w:tc>
        <w:tc>
          <w:tcPr>
            <w:tcW w:w="1406" w:type="dxa"/>
            <w:tcBorders>
              <w:top w:val="single" w:sz="6" w:space="0" w:color="BF0000" w:themeColor="accent3" w:themeShade="BF"/>
            </w:tcBorders>
            <w:shd w:val="clear" w:color="auto" w:fill="auto"/>
            <w:noWrap/>
            <w:vAlign w:val="center"/>
            <w:hideMark/>
          </w:tcPr>
          <w:p w:rsidR="002625B2" w:rsidRPr="00AE6EDB" w:rsidRDefault="002625B2" w:rsidP="002625B2">
            <w:pPr>
              <w:jc w:val="center"/>
              <w:rPr>
                <w:color w:val="000000"/>
              </w:rPr>
            </w:pPr>
            <w:r w:rsidRPr="00AE6EDB">
              <w:rPr>
                <w:color w:val="000000"/>
                <w:szCs w:val="22"/>
              </w:rPr>
              <w:t>31.12.2014</w:t>
            </w:r>
          </w:p>
        </w:tc>
        <w:tc>
          <w:tcPr>
            <w:tcW w:w="1406" w:type="dxa"/>
            <w:tcBorders>
              <w:top w:val="single" w:sz="6" w:space="0" w:color="BF0000" w:themeColor="accent3" w:themeShade="BF"/>
            </w:tcBorders>
            <w:shd w:val="clear" w:color="auto" w:fill="auto"/>
            <w:noWrap/>
            <w:vAlign w:val="center"/>
            <w:hideMark/>
          </w:tcPr>
          <w:p w:rsidR="002625B2" w:rsidRPr="00AE6EDB" w:rsidRDefault="002625B2" w:rsidP="002625B2">
            <w:pPr>
              <w:jc w:val="center"/>
              <w:rPr>
                <w:color w:val="000000"/>
              </w:rPr>
            </w:pPr>
            <w:bookmarkStart w:id="182" w:name="_Toc294026983"/>
            <w:bookmarkStart w:id="183" w:name="_Toc294029222"/>
            <w:bookmarkStart w:id="184" w:name="_Toc313878713"/>
            <w:r w:rsidRPr="00AE6EDB">
              <w:rPr>
                <w:color w:val="000000"/>
                <w:szCs w:val="22"/>
              </w:rPr>
              <w:t>31.12.201</w:t>
            </w:r>
            <w:bookmarkEnd w:id="182"/>
            <w:bookmarkEnd w:id="183"/>
            <w:bookmarkEnd w:id="184"/>
            <w:r w:rsidRPr="00AE6EDB">
              <w:rPr>
                <w:color w:val="000000"/>
                <w:szCs w:val="22"/>
              </w:rPr>
              <w:t>5</w:t>
            </w:r>
          </w:p>
        </w:tc>
        <w:tc>
          <w:tcPr>
            <w:tcW w:w="1130" w:type="dxa"/>
            <w:tcBorders>
              <w:top w:val="single" w:sz="6" w:space="0" w:color="BF0000" w:themeColor="accent3" w:themeShade="BF"/>
            </w:tcBorders>
            <w:shd w:val="clear" w:color="auto" w:fill="auto"/>
            <w:noWrap/>
            <w:vAlign w:val="center"/>
            <w:hideMark/>
          </w:tcPr>
          <w:p w:rsidR="002625B2" w:rsidRPr="00AE6EDB" w:rsidRDefault="002625B2" w:rsidP="002625B2">
            <w:pPr>
              <w:jc w:val="center"/>
              <w:rPr>
                <w:color w:val="000000"/>
              </w:rPr>
            </w:pPr>
            <w:r w:rsidRPr="00AE6EDB">
              <w:rPr>
                <w:color w:val="000000"/>
                <w:szCs w:val="22"/>
              </w:rPr>
              <w:t>31.12.2014</w:t>
            </w:r>
          </w:p>
        </w:tc>
        <w:tc>
          <w:tcPr>
            <w:tcW w:w="1130" w:type="dxa"/>
            <w:tcBorders>
              <w:top w:val="single" w:sz="6" w:space="0" w:color="BF0000" w:themeColor="accent3" w:themeShade="BF"/>
            </w:tcBorders>
            <w:shd w:val="clear" w:color="auto" w:fill="auto"/>
            <w:noWrap/>
            <w:vAlign w:val="center"/>
            <w:hideMark/>
          </w:tcPr>
          <w:p w:rsidR="002625B2" w:rsidRPr="00AE6EDB" w:rsidRDefault="002625B2" w:rsidP="002625B2">
            <w:pPr>
              <w:jc w:val="center"/>
              <w:rPr>
                <w:color w:val="000000"/>
              </w:rPr>
            </w:pPr>
            <w:bookmarkStart w:id="185" w:name="_Toc294026985"/>
            <w:bookmarkStart w:id="186" w:name="_Toc294029224"/>
            <w:bookmarkStart w:id="187" w:name="_Toc313878715"/>
            <w:r w:rsidRPr="00AE6EDB">
              <w:rPr>
                <w:color w:val="000000"/>
                <w:szCs w:val="22"/>
              </w:rPr>
              <w:t>31.12.201</w:t>
            </w:r>
            <w:bookmarkEnd w:id="185"/>
            <w:bookmarkEnd w:id="186"/>
            <w:bookmarkEnd w:id="187"/>
            <w:r w:rsidRPr="00AE6EDB">
              <w:rPr>
                <w:color w:val="000000"/>
                <w:szCs w:val="22"/>
              </w:rPr>
              <w:t>5</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188" w:name="_Toc294026986"/>
            <w:bookmarkStart w:id="189" w:name="_Toc294029225"/>
            <w:bookmarkStart w:id="190" w:name="_Toc313878716"/>
            <w:r w:rsidRPr="00AE6EDB">
              <w:rPr>
                <w:color w:val="000000"/>
                <w:szCs w:val="22"/>
              </w:rPr>
              <w:t>Starobný (sólo + v súbehu) spolu</w:t>
            </w:r>
            <w:bookmarkEnd w:id="188"/>
            <w:bookmarkEnd w:id="189"/>
            <w:bookmarkEnd w:id="190"/>
          </w:p>
        </w:tc>
        <w:tc>
          <w:tcPr>
            <w:tcW w:w="1406" w:type="dxa"/>
            <w:shd w:val="clear" w:color="auto" w:fill="auto"/>
            <w:noWrap/>
            <w:vAlign w:val="center"/>
            <w:hideMark/>
          </w:tcPr>
          <w:p w:rsidR="002625B2" w:rsidRPr="00AE6EDB" w:rsidRDefault="0054295F" w:rsidP="002625B2">
            <w:pPr>
              <w:ind w:right="178"/>
              <w:jc w:val="right"/>
            </w:pPr>
            <w:r>
              <w:rPr>
                <w:szCs w:val="22"/>
              </w:rPr>
              <w:t>1 0</w:t>
            </w:r>
            <w:r w:rsidR="002625B2" w:rsidRPr="00AE6EDB">
              <w:rPr>
                <w:szCs w:val="22"/>
              </w:rPr>
              <w:t>1</w:t>
            </w:r>
            <w:r w:rsidR="00AC44CB">
              <w:rPr>
                <w:szCs w:val="22"/>
              </w:rPr>
              <w:t>8 8</w:t>
            </w:r>
            <w:r w:rsidR="002625B2" w:rsidRPr="00AE6EDB">
              <w:rPr>
                <w:szCs w:val="22"/>
              </w:rPr>
              <w:t>14</w:t>
            </w:r>
          </w:p>
        </w:tc>
        <w:tc>
          <w:tcPr>
            <w:tcW w:w="1406" w:type="dxa"/>
            <w:shd w:val="clear" w:color="auto" w:fill="auto"/>
            <w:noWrap/>
            <w:vAlign w:val="center"/>
            <w:hideMark/>
          </w:tcPr>
          <w:p w:rsidR="002625B2" w:rsidRPr="00AE6EDB" w:rsidRDefault="0054295F" w:rsidP="002625B2">
            <w:pPr>
              <w:ind w:right="178"/>
              <w:jc w:val="right"/>
              <w:rPr>
                <w:szCs w:val="22"/>
              </w:rPr>
            </w:pPr>
            <w:r>
              <w:rPr>
                <w:szCs w:val="22"/>
              </w:rPr>
              <w:t>1 0</w:t>
            </w:r>
            <w:r w:rsidR="002625B2" w:rsidRPr="00AE6EDB">
              <w:rPr>
                <w:szCs w:val="22"/>
              </w:rPr>
              <w:t>3</w:t>
            </w:r>
            <w:r>
              <w:rPr>
                <w:szCs w:val="22"/>
              </w:rPr>
              <w:t>2 1</w:t>
            </w:r>
            <w:r w:rsidR="002625B2" w:rsidRPr="00AE6EDB">
              <w:rPr>
                <w:szCs w:val="22"/>
              </w:rPr>
              <w:t>97</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400</w:t>
            </w:r>
          </w:p>
        </w:tc>
        <w:tc>
          <w:tcPr>
            <w:tcW w:w="1130" w:type="dxa"/>
            <w:shd w:val="clear" w:color="auto" w:fill="auto"/>
            <w:noWrap/>
            <w:vAlign w:val="center"/>
            <w:hideMark/>
          </w:tcPr>
          <w:p w:rsidR="002625B2" w:rsidRPr="00AE6EDB" w:rsidRDefault="002625B2" w:rsidP="002625B2">
            <w:pPr>
              <w:ind w:right="170"/>
              <w:jc w:val="right"/>
              <w:rPr>
                <w:color w:val="000000"/>
                <w:szCs w:val="22"/>
              </w:rPr>
            </w:pPr>
            <w:r w:rsidRPr="00AE6EDB">
              <w:rPr>
                <w:color w:val="000000"/>
                <w:szCs w:val="22"/>
              </w:rPr>
              <w:t>411</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191" w:name="_Toc294026991"/>
            <w:bookmarkStart w:id="192" w:name="_Toc294029230"/>
            <w:bookmarkStart w:id="193" w:name="_Toc313878721"/>
            <w:r w:rsidRPr="00AE6EDB">
              <w:rPr>
                <w:color w:val="000000"/>
                <w:szCs w:val="22"/>
              </w:rPr>
              <w:t xml:space="preserve">Predčasný starobný </w:t>
            </w:r>
            <w:bookmarkEnd w:id="191"/>
            <w:bookmarkEnd w:id="192"/>
            <w:bookmarkEnd w:id="193"/>
            <w:r w:rsidRPr="00AE6EDB">
              <w:rPr>
                <w:color w:val="000000"/>
                <w:szCs w:val="22"/>
              </w:rPr>
              <w:t>(sólo + v súbehu) spolu</w:t>
            </w:r>
          </w:p>
        </w:tc>
        <w:tc>
          <w:tcPr>
            <w:tcW w:w="1406" w:type="dxa"/>
            <w:shd w:val="clear" w:color="auto" w:fill="auto"/>
            <w:noWrap/>
            <w:vAlign w:val="center"/>
            <w:hideMark/>
          </w:tcPr>
          <w:p w:rsidR="002625B2" w:rsidRPr="00AE6EDB" w:rsidRDefault="002625B2" w:rsidP="002625B2">
            <w:pPr>
              <w:ind w:right="178"/>
              <w:jc w:val="right"/>
            </w:pPr>
            <w:r w:rsidRPr="00AE6EDB">
              <w:rPr>
                <w:szCs w:val="22"/>
              </w:rPr>
              <w:t>2</w:t>
            </w:r>
            <w:r w:rsidR="0054295F">
              <w:rPr>
                <w:szCs w:val="22"/>
              </w:rPr>
              <w:t>1 3</w:t>
            </w:r>
            <w:r w:rsidRPr="00AE6EDB">
              <w:rPr>
                <w:szCs w:val="22"/>
              </w:rPr>
              <w:t>48</w:t>
            </w:r>
          </w:p>
        </w:tc>
        <w:tc>
          <w:tcPr>
            <w:tcW w:w="1406" w:type="dxa"/>
            <w:shd w:val="clear" w:color="auto" w:fill="auto"/>
            <w:noWrap/>
            <w:vAlign w:val="center"/>
            <w:hideMark/>
          </w:tcPr>
          <w:p w:rsidR="002625B2" w:rsidRPr="00AE6EDB" w:rsidRDefault="002625B2" w:rsidP="002625B2">
            <w:pPr>
              <w:ind w:right="178"/>
              <w:jc w:val="right"/>
              <w:rPr>
                <w:szCs w:val="22"/>
              </w:rPr>
            </w:pPr>
            <w:r w:rsidRPr="00AE6EDB">
              <w:rPr>
                <w:szCs w:val="22"/>
              </w:rPr>
              <w:t>1</w:t>
            </w:r>
            <w:r w:rsidR="00AC44CB">
              <w:rPr>
                <w:szCs w:val="22"/>
              </w:rPr>
              <w:t>8 3</w:t>
            </w:r>
            <w:r w:rsidRPr="00AE6EDB">
              <w:rPr>
                <w:szCs w:val="22"/>
              </w:rPr>
              <w:t>51</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384</w:t>
            </w:r>
          </w:p>
        </w:tc>
        <w:tc>
          <w:tcPr>
            <w:tcW w:w="1130" w:type="dxa"/>
            <w:shd w:val="clear" w:color="auto" w:fill="auto"/>
            <w:noWrap/>
            <w:vAlign w:val="center"/>
            <w:hideMark/>
          </w:tcPr>
          <w:p w:rsidR="002625B2" w:rsidRPr="00AE6EDB" w:rsidRDefault="002625B2" w:rsidP="002625B2">
            <w:pPr>
              <w:ind w:right="170"/>
              <w:jc w:val="right"/>
              <w:rPr>
                <w:color w:val="000000"/>
                <w:szCs w:val="22"/>
              </w:rPr>
            </w:pPr>
            <w:r w:rsidRPr="00AE6EDB">
              <w:rPr>
                <w:color w:val="000000"/>
                <w:szCs w:val="22"/>
              </w:rPr>
              <w:t>393</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194" w:name="_Toc294026996"/>
            <w:bookmarkStart w:id="195" w:name="_Toc294029235"/>
            <w:bookmarkStart w:id="196" w:name="_Toc313878726"/>
            <w:r w:rsidRPr="00AE6EDB">
              <w:rPr>
                <w:color w:val="000000"/>
                <w:szCs w:val="22"/>
              </w:rPr>
              <w:t>Invalidný</w:t>
            </w:r>
            <w:bookmarkEnd w:id="194"/>
            <w:bookmarkEnd w:id="195"/>
            <w:bookmarkEnd w:id="196"/>
            <w:r w:rsidRPr="00AE6EDB">
              <w:rPr>
                <w:color w:val="000000"/>
                <w:szCs w:val="22"/>
              </w:rPr>
              <w:t xml:space="preserve"> (sólo + v súbehu) spolu</w:t>
            </w:r>
          </w:p>
        </w:tc>
        <w:tc>
          <w:tcPr>
            <w:tcW w:w="1406" w:type="dxa"/>
            <w:shd w:val="clear" w:color="auto" w:fill="auto"/>
            <w:noWrap/>
            <w:vAlign w:val="center"/>
            <w:hideMark/>
          </w:tcPr>
          <w:p w:rsidR="002625B2" w:rsidRPr="00AE6EDB" w:rsidRDefault="002625B2" w:rsidP="002625B2">
            <w:pPr>
              <w:ind w:right="178"/>
              <w:jc w:val="right"/>
            </w:pPr>
            <w:r w:rsidRPr="00AE6EDB">
              <w:rPr>
                <w:szCs w:val="22"/>
              </w:rPr>
              <w:t>23</w:t>
            </w:r>
            <w:r w:rsidR="0054295F">
              <w:rPr>
                <w:szCs w:val="22"/>
              </w:rPr>
              <w:t>3 0</w:t>
            </w:r>
            <w:r w:rsidRPr="00AE6EDB">
              <w:rPr>
                <w:szCs w:val="22"/>
              </w:rPr>
              <w:t>09</w:t>
            </w:r>
          </w:p>
        </w:tc>
        <w:tc>
          <w:tcPr>
            <w:tcW w:w="1406" w:type="dxa"/>
            <w:shd w:val="clear" w:color="auto" w:fill="auto"/>
            <w:noWrap/>
            <w:vAlign w:val="center"/>
            <w:hideMark/>
          </w:tcPr>
          <w:p w:rsidR="002625B2" w:rsidRPr="00AE6EDB" w:rsidRDefault="002625B2" w:rsidP="002625B2">
            <w:pPr>
              <w:ind w:right="178"/>
              <w:jc w:val="right"/>
              <w:rPr>
                <w:szCs w:val="22"/>
              </w:rPr>
            </w:pPr>
            <w:r w:rsidRPr="00AE6EDB">
              <w:rPr>
                <w:szCs w:val="22"/>
              </w:rPr>
              <w:t>23</w:t>
            </w:r>
            <w:r w:rsidR="0054295F">
              <w:rPr>
                <w:szCs w:val="22"/>
              </w:rPr>
              <w:t>4 4</w:t>
            </w:r>
            <w:r w:rsidRPr="00AE6EDB">
              <w:rPr>
                <w:szCs w:val="22"/>
              </w:rPr>
              <w:t>51</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267</w:t>
            </w:r>
          </w:p>
        </w:tc>
        <w:tc>
          <w:tcPr>
            <w:tcW w:w="1130" w:type="dxa"/>
            <w:shd w:val="clear" w:color="auto" w:fill="auto"/>
            <w:noWrap/>
            <w:vAlign w:val="center"/>
            <w:hideMark/>
          </w:tcPr>
          <w:p w:rsidR="002625B2" w:rsidRPr="00AE6EDB" w:rsidRDefault="002625B2" w:rsidP="002625B2">
            <w:pPr>
              <w:ind w:right="170"/>
              <w:jc w:val="right"/>
              <w:rPr>
                <w:color w:val="000000"/>
                <w:szCs w:val="22"/>
              </w:rPr>
            </w:pPr>
            <w:r w:rsidRPr="00AE6EDB">
              <w:rPr>
                <w:color w:val="000000"/>
                <w:szCs w:val="22"/>
              </w:rPr>
              <w:t>266</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197" w:name="_Toc294027001"/>
            <w:bookmarkStart w:id="198" w:name="_Toc294029240"/>
            <w:bookmarkStart w:id="199" w:name="_Toc313878731"/>
            <w:r w:rsidRPr="00AE6EDB">
              <w:rPr>
                <w:color w:val="000000"/>
                <w:szCs w:val="22"/>
              </w:rPr>
              <w:t>Vdovský (sólo+ v súbehu)</w:t>
            </w:r>
            <w:bookmarkEnd w:id="197"/>
            <w:bookmarkEnd w:id="198"/>
            <w:bookmarkEnd w:id="199"/>
          </w:p>
        </w:tc>
        <w:tc>
          <w:tcPr>
            <w:tcW w:w="1406" w:type="dxa"/>
            <w:shd w:val="clear" w:color="auto" w:fill="auto"/>
            <w:noWrap/>
            <w:vAlign w:val="center"/>
            <w:hideMark/>
          </w:tcPr>
          <w:p w:rsidR="002625B2" w:rsidRPr="00AE6EDB" w:rsidRDefault="002625B2" w:rsidP="002625B2">
            <w:pPr>
              <w:ind w:right="178"/>
              <w:jc w:val="right"/>
            </w:pPr>
            <w:r w:rsidRPr="00AE6EDB">
              <w:rPr>
                <w:szCs w:val="22"/>
              </w:rPr>
              <w:t>29</w:t>
            </w:r>
            <w:r w:rsidR="00AC44CB">
              <w:rPr>
                <w:szCs w:val="22"/>
              </w:rPr>
              <w:t>4 9</w:t>
            </w:r>
            <w:r w:rsidRPr="00AE6EDB">
              <w:rPr>
                <w:szCs w:val="22"/>
              </w:rPr>
              <w:t>86</w:t>
            </w:r>
          </w:p>
        </w:tc>
        <w:tc>
          <w:tcPr>
            <w:tcW w:w="1406" w:type="dxa"/>
            <w:shd w:val="clear" w:color="auto" w:fill="auto"/>
            <w:noWrap/>
            <w:vAlign w:val="center"/>
            <w:hideMark/>
          </w:tcPr>
          <w:p w:rsidR="002625B2" w:rsidRPr="00AE6EDB" w:rsidRDefault="002625B2" w:rsidP="002625B2">
            <w:pPr>
              <w:ind w:right="178"/>
              <w:jc w:val="right"/>
              <w:rPr>
                <w:szCs w:val="22"/>
              </w:rPr>
            </w:pPr>
            <w:r w:rsidRPr="00AE6EDB">
              <w:rPr>
                <w:szCs w:val="22"/>
              </w:rPr>
              <w:t>29</w:t>
            </w:r>
            <w:r w:rsidR="0054295F">
              <w:rPr>
                <w:szCs w:val="22"/>
              </w:rPr>
              <w:t>2 8</w:t>
            </w:r>
            <w:r w:rsidRPr="00AE6EDB">
              <w:rPr>
                <w:szCs w:val="22"/>
              </w:rPr>
              <w:t>27</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243</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rPr>
              <w:t>246</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200" w:name="_Toc294027006"/>
            <w:bookmarkStart w:id="201" w:name="_Toc294029245"/>
            <w:bookmarkStart w:id="202" w:name="_Toc313878736"/>
            <w:r w:rsidRPr="00AE6EDB">
              <w:rPr>
                <w:color w:val="000000"/>
                <w:szCs w:val="22"/>
              </w:rPr>
              <w:t xml:space="preserve">Vdovecký </w:t>
            </w:r>
            <w:bookmarkEnd w:id="200"/>
            <w:bookmarkEnd w:id="201"/>
            <w:bookmarkEnd w:id="202"/>
            <w:r w:rsidRPr="00AE6EDB">
              <w:rPr>
                <w:color w:val="000000"/>
                <w:szCs w:val="22"/>
              </w:rPr>
              <w:t>(sólo+ v súbehu)</w:t>
            </w:r>
          </w:p>
        </w:tc>
        <w:tc>
          <w:tcPr>
            <w:tcW w:w="1406" w:type="dxa"/>
            <w:shd w:val="clear" w:color="auto" w:fill="auto"/>
            <w:noWrap/>
            <w:vAlign w:val="center"/>
            <w:hideMark/>
          </w:tcPr>
          <w:p w:rsidR="002625B2" w:rsidRPr="00AE6EDB" w:rsidRDefault="002625B2" w:rsidP="002625B2">
            <w:pPr>
              <w:ind w:right="178"/>
              <w:jc w:val="right"/>
            </w:pPr>
            <w:r w:rsidRPr="00AE6EDB">
              <w:rPr>
                <w:szCs w:val="22"/>
              </w:rPr>
              <w:t>4</w:t>
            </w:r>
            <w:r w:rsidR="0054295F">
              <w:rPr>
                <w:szCs w:val="22"/>
              </w:rPr>
              <w:t>0 9</w:t>
            </w:r>
            <w:r w:rsidRPr="00AE6EDB">
              <w:rPr>
                <w:szCs w:val="22"/>
              </w:rPr>
              <w:t>60</w:t>
            </w:r>
          </w:p>
        </w:tc>
        <w:tc>
          <w:tcPr>
            <w:tcW w:w="1406" w:type="dxa"/>
            <w:shd w:val="clear" w:color="auto" w:fill="auto"/>
            <w:noWrap/>
            <w:vAlign w:val="center"/>
            <w:hideMark/>
          </w:tcPr>
          <w:p w:rsidR="002625B2" w:rsidRPr="00AE6EDB" w:rsidRDefault="002625B2" w:rsidP="002625B2">
            <w:pPr>
              <w:ind w:right="178"/>
              <w:jc w:val="right"/>
              <w:rPr>
                <w:szCs w:val="22"/>
              </w:rPr>
            </w:pPr>
            <w:r w:rsidRPr="00AE6EDB">
              <w:rPr>
                <w:szCs w:val="22"/>
              </w:rPr>
              <w:t>4</w:t>
            </w:r>
            <w:r w:rsidR="0054295F">
              <w:rPr>
                <w:szCs w:val="22"/>
              </w:rPr>
              <w:t>1 7</w:t>
            </w:r>
            <w:r w:rsidRPr="00AE6EDB">
              <w:rPr>
                <w:szCs w:val="22"/>
              </w:rPr>
              <w:t>20</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187</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rPr>
              <w:t>190</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r w:rsidRPr="00AE6EDB">
              <w:rPr>
                <w:color w:val="000000"/>
                <w:szCs w:val="22"/>
              </w:rPr>
              <w:t>Sirotský</w:t>
            </w:r>
          </w:p>
        </w:tc>
        <w:tc>
          <w:tcPr>
            <w:tcW w:w="1406" w:type="dxa"/>
            <w:shd w:val="clear" w:color="auto" w:fill="auto"/>
            <w:noWrap/>
            <w:vAlign w:val="center"/>
            <w:hideMark/>
          </w:tcPr>
          <w:p w:rsidR="002625B2" w:rsidRPr="00AE6EDB" w:rsidRDefault="002625B2" w:rsidP="002625B2">
            <w:pPr>
              <w:ind w:right="178"/>
              <w:jc w:val="right"/>
            </w:pPr>
            <w:r w:rsidRPr="00AE6EDB">
              <w:rPr>
                <w:szCs w:val="22"/>
              </w:rPr>
              <w:t>2</w:t>
            </w:r>
            <w:r w:rsidR="0054295F">
              <w:rPr>
                <w:szCs w:val="22"/>
              </w:rPr>
              <w:t>4 6</w:t>
            </w:r>
            <w:r w:rsidRPr="00AE6EDB">
              <w:rPr>
                <w:szCs w:val="22"/>
              </w:rPr>
              <w:t>25</w:t>
            </w:r>
          </w:p>
        </w:tc>
        <w:tc>
          <w:tcPr>
            <w:tcW w:w="1406" w:type="dxa"/>
            <w:shd w:val="clear" w:color="auto" w:fill="auto"/>
            <w:noWrap/>
            <w:vAlign w:val="center"/>
            <w:hideMark/>
          </w:tcPr>
          <w:p w:rsidR="002625B2" w:rsidRPr="00AE6EDB" w:rsidRDefault="002625B2" w:rsidP="002625B2">
            <w:pPr>
              <w:ind w:right="178"/>
              <w:jc w:val="right"/>
              <w:rPr>
                <w:szCs w:val="22"/>
              </w:rPr>
            </w:pPr>
            <w:r w:rsidRPr="00AE6EDB">
              <w:rPr>
                <w:szCs w:val="22"/>
              </w:rPr>
              <w:t>2</w:t>
            </w:r>
            <w:r w:rsidR="0054295F">
              <w:rPr>
                <w:szCs w:val="22"/>
              </w:rPr>
              <w:t>3 3</w:t>
            </w:r>
            <w:r w:rsidRPr="00AE6EDB">
              <w:rPr>
                <w:szCs w:val="22"/>
              </w:rPr>
              <w:t>73</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131</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rPr>
              <w:t>132</w:t>
            </w:r>
          </w:p>
        </w:tc>
      </w:tr>
      <w:tr w:rsidR="002625B2" w:rsidRPr="00AE6EDB" w:rsidTr="002625B2">
        <w:trPr>
          <w:trHeight w:hRule="exact" w:val="57"/>
          <w:jc w:val="center"/>
        </w:trPr>
        <w:tc>
          <w:tcPr>
            <w:tcW w:w="4392" w:type="dxa"/>
            <w:vMerge w:val="restart"/>
            <w:shd w:val="clear" w:color="auto" w:fill="auto"/>
            <w:noWrap/>
            <w:vAlign w:val="center"/>
            <w:hideMark/>
          </w:tcPr>
          <w:p w:rsidR="002625B2" w:rsidRPr="00AE6EDB" w:rsidRDefault="002625B2" w:rsidP="002625B2">
            <w:pPr>
              <w:jc w:val="left"/>
              <w:rPr>
                <w:color w:val="000000"/>
              </w:rPr>
            </w:pPr>
            <w:bookmarkStart w:id="203" w:name="_Toc294027016"/>
            <w:bookmarkStart w:id="204" w:name="_Toc294029255"/>
            <w:bookmarkStart w:id="205" w:name="_Toc313878746"/>
            <w:r w:rsidRPr="00AE6EDB">
              <w:rPr>
                <w:color w:val="000000"/>
                <w:szCs w:val="22"/>
              </w:rPr>
              <w:t>Spolu</w:t>
            </w:r>
            <w:bookmarkEnd w:id="203"/>
            <w:bookmarkEnd w:id="204"/>
            <w:bookmarkEnd w:id="205"/>
          </w:p>
        </w:tc>
        <w:tc>
          <w:tcPr>
            <w:tcW w:w="1406" w:type="dxa"/>
            <w:vMerge w:val="restart"/>
            <w:shd w:val="clear" w:color="auto" w:fill="auto"/>
            <w:noWrap/>
            <w:vAlign w:val="center"/>
            <w:hideMark/>
          </w:tcPr>
          <w:p w:rsidR="002625B2" w:rsidRPr="00AE6EDB" w:rsidRDefault="0054295F" w:rsidP="002625B2">
            <w:pPr>
              <w:ind w:right="178"/>
              <w:jc w:val="right"/>
            </w:pPr>
            <w:r>
              <w:rPr>
                <w:szCs w:val="22"/>
              </w:rPr>
              <w:t>1 6</w:t>
            </w:r>
            <w:r w:rsidR="002625B2" w:rsidRPr="00AE6EDB">
              <w:rPr>
                <w:szCs w:val="22"/>
              </w:rPr>
              <w:t>3</w:t>
            </w:r>
            <w:r>
              <w:rPr>
                <w:szCs w:val="22"/>
              </w:rPr>
              <w:t>3 7</w:t>
            </w:r>
            <w:r w:rsidR="002625B2" w:rsidRPr="00AE6EDB">
              <w:rPr>
                <w:szCs w:val="22"/>
              </w:rPr>
              <w:t>42</w:t>
            </w:r>
          </w:p>
        </w:tc>
        <w:tc>
          <w:tcPr>
            <w:tcW w:w="1406" w:type="dxa"/>
            <w:vMerge w:val="restart"/>
            <w:shd w:val="clear" w:color="auto" w:fill="auto"/>
            <w:noWrap/>
            <w:vAlign w:val="center"/>
            <w:hideMark/>
          </w:tcPr>
          <w:p w:rsidR="002625B2" w:rsidRPr="00AE6EDB" w:rsidRDefault="0054295F" w:rsidP="002625B2">
            <w:pPr>
              <w:ind w:right="178"/>
              <w:jc w:val="right"/>
            </w:pPr>
            <w:r>
              <w:t>1 6</w:t>
            </w:r>
            <w:r w:rsidR="002625B2" w:rsidRPr="00AE6EDB">
              <w:t>4</w:t>
            </w:r>
            <w:r>
              <w:t>2 9</w:t>
            </w:r>
            <w:r w:rsidR="002625B2" w:rsidRPr="00AE6EDB">
              <w:t>19</w:t>
            </w:r>
          </w:p>
        </w:tc>
        <w:tc>
          <w:tcPr>
            <w:tcW w:w="1130" w:type="dxa"/>
            <w:vMerge w:val="restart"/>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c>
          <w:tcPr>
            <w:tcW w:w="1130" w:type="dxa"/>
            <w:vMerge w:val="restart"/>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r>
      <w:tr w:rsidR="002625B2" w:rsidRPr="00AE6EDB" w:rsidTr="002625B2">
        <w:trPr>
          <w:trHeight w:val="253"/>
          <w:jc w:val="center"/>
        </w:trPr>
        <w:tc>
          <w:tcPr>
            <w:tcW w:w="4392" w:type="dxa"/>
            <w:vMerge/>
            <w:vAlign w:val="center"/>
            <w:hideMark/>
          </w:tcPr>
          <w:p w:rsidR="002625B2" w:rsidRPr="00AE6EDB" w:rsidRDefault="002625B2" w:rsidP="002625B2">
            <w:pPr>
              <w:jc w:val="left"/>
              <w:rPr>
                <w:color w:val="000000"/>
              </w:rPr>
            </w:pPr>
          </w:p>
        </w:tc>
        <w:tc>
          <w:tcPr>
            <w:tcW w:w="1406" w:type="dxa"/>
            <w:vMerge/>
            <w:vAlign w:val="center"/>
            <w:hideMark/>
          </w:tcPr>
          <w:p w:rsidR="002625B2" w:rsidRPr="00AE6EDB" w:rsidRDefault="002625B2" w:rsidP="002625B2">
            <w:pPr>
              <w:ind w:right="189"/>
              <w:jc w:val="right"/>
              <w:rPr>
                <w:color w:val="000000"/>
              </w:rPr>
            </w:pPr>
          </w:p>
        </w:tc>
        <w:tc>
          <w:tcPr>
            <w:tcW w:w="1406" w:type="dxa"/>
            <w:vMerge/>
            <w:vAlign w:val="center"/>
            <w:hideMark/>
          </w:tcPr>
          <w:p w:rsidR="002625B2" w:rsidRPr="00AE6EDB" w:rsidRDefault="002625B2" w:rsidP="002625B2">
            <w:pPr>
              <w:ind w:right="178"/>
              <w:jc w:val="right"/>
              <w:rPr>
                <w:color w:val="000000"/>
              </w:rPr>
            </w:pPr>
          </w:p>
        </w:tc>
        <w:tc>
          <w:tcPr>
            <w:tcW w:w="1130" w:type="dxa"/>
            <w:vMerge/>
            <w:vAlign w:val="center"/>
            <w:hideMark/>
          </w:tcPr>
          <w:p w:rsidR="002625B2" w:rsidRPr="00AE6EDB" w:rsidRDefault="002625B2" w:rsidP="002625B2">
            <w:pPr>
              <w:ind w:right="170"/>
              <w:jc w:val="right"/>
              <w:rPr>
                <w:color w:val="000000"/>
              </w:rPr>
            </w:pPr>
          </w:p>
        </w:tc>
        <w:tc>
          <w:tcPr>
            <w:tcW w:w="1130" w:type="dxa"/>
            <w:vMerge/>
            <w:vAlign w:val="center"/>
            <w:hideMark/>
          </w:tcPr>
          <w:p w:rsidR="002625B2" w:rsidRPr="00AE6EDB" w:rsidRDefault="002625B2" w:rsidP="002625B2">
            <w:pPr>
              <w:ind w:right="170"/>
              <w:jc w:val="right"/>
              <w:rPr>
                <w:color w:val="000000"/>
              </w:rPr>
            </w:pPr>
          </w:p>
        </w:tc>
      </w:tr>
      <w:tr w:rsidR="002625B2" w:rsidRPr="00AE6EDB" w:rsidTr="002625B2">
        <w:trPr>
          <w:trHeight w:val="315"/>
          <w:jc w:val="center"/>
        </w:trPr>
        <w:tc>
          <w:tcPr>
            <w:tcW w:w="4392" w:type="dxa"/>
            <w:shd w:val="clear" w:color="auto" w:fill="auto"/>
            <w:noWrap/>
            <w:vAlign w:val="center"/>
            <w:hideMark/>
          </w:tcPr>
          <w:p w:rsidR="002625B2" w:rsidRPr="00AE6EDB" w:rsidRDefault="002625B2" w:rsidP="002625B2">
            <w:pPr>
              <w:jc w:val="left"/>
              <w:rPr>
                <w:color w:val="000000"/>
              </w:rPr>
            </w:pPr>
            <w:bookmarkStart w:id="206" w:name="_Toc294027021"/>
            <w:bookmarkStart w:id="207" w:name="_Toc294029260"/>
            <w:bookmarkStart w:id="208" w:name="_Toc313878751"/>
            <w:r w:rsidRPr="00AE6EDB">
              <w:rPr>
                <w:color w:val="000000"/>
                <w:szCs w:val="22"/>
              </w:rPr>
              <w:t>Dôchodky neprevzaté do automatizovanej evidencie</w:t>
            </w:r>
            <w:bookmarkEnd w:id="206"/>
            <w:bookmarkEnd w:id="207"/>
            <w:bookmarkEnd w:id="208"/>
          </w:p>
        </w:tc>
        <w:tc>
          <w:tcPr>
            <w:tcW w:w="1406" w:type="dxa"/>
            <w:shd w:val="clear" w:color="auto" w:fill="auto"/>
            <w:noWrap/>
            <w:vAlign w:val="center"/>
            <w:hideMark/>
          </w:tcPr>
          <w:p w:rsidR="002625B2" w:rsidRPr="00AE6EDB" w:rsidRDefault="002625B2" w:rsidP="002625B2">
            <w:pPr>
              <w:ind w:right="178"/>
              <w:jc w:val="right"/>
            </w:pPr>
            <w:r w:rsidRPr="00AE6EDB">
              <w:rPr>
                <w:szCs w:val="22"/>
              </w:rPr>
              <w:t>70</w:t>
            </w:r>
          </w:p>
        </w:tc>
        <w:tc>
          <w:tcPr>
            <w:tcW w:w="1406" w:type="dxa"/>
            <w:shd w:val="clear" w:color="auto" w:fill="auto"/>
            <w:noWrap/>
            <w:vAlign w:val="center"/>
            <w:hideMark/>
          </w:tcPr>
          <w:p w:rsidR="002625B2" w:rsidRPr="00AE6EDB" w:rsidRDefault="002625B2" w:rsidP="002625B2">
            <w:pPr>
              <w:ind w:right="178"/>
              <w:jc w:val="right"/>
            </w:pPr>
            <w:r w:rsidRPr="00AE6EDB">
              <w:t>20</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r>
      <w:tr w:rsidR="002625B2" w:rsidRPr="00AE6EDB" w:rsidTr="002625B2">
        <w:trPr>
          <w:trHeight w:val="283"/>
          <w:jc w:val="center"/>
        </w:trPr>
        <w:tc>
          <w:tcPr>
            <w:tcW w:w="4392" w:type="dxa"/>
            <w:shd w:val="clear" w:color="auto" w:fill="auto"/>
            <w:noWrap/>
            <w:vAlign w:val="center"/>
            <w:hideMark/>
          </w:tcPr>
          <w:p w:rsidR="002625B2" w:rsidRPr="00AE6EDB" w:rsidRDefault="002625B2" w:rsidP="002625B2">
            <w:pPr>
              <w:jc w:val="left"/>
              <w:rPr>
                <w:color w:val="000000"/>
              </w:rPr>
            </w:pPr>
            <w:bookmarkStart w:id="209" w:name="_Toc294027026"/>
            <w:bookmarkStart w:id="210" w:name="_Toc294029265"/>
            <w:bookmarkStart w:id="211" w:name="_Toc313878756"/>
            <w:r w:rsidRPr="00AE6EDB">
              <w:rPr>
                <w:color w:val="000000"/>
                <w:szCs w:val="22"/>
              </w:rPr>
              <w:t>Dôchodky vyplácané do cudziny</w:t>
            </w:r>
            <w:bookmarkEnd w:id="209"/>
            <w:bookmarkEnd w:id="210"/>
            <w:bookmarkEnd w:id="211"/>
          </w:p>
        </w:tc>
        <w:tc>
          <w:tcPr>
            <w:tcW w:w="1406" w:type="dxa"/>
            <w:shd w:val="clear" w:color="auto" w:fill="auto"/>
            <w:noWrap/>
            <w:vAlign w:val="center"/>
            <w:hideMark/>
          </w:tcPr>
          <w:p w:rsidR="002625B2" w:rsidRPr="00AE6EDB" w:rsidRDefault="002625B2" w:rsidP="002625B2">
            <w:pPr>
              <w:ind w:right="178"/>
              <w:jc w:val="right"/>
            </w:pPr>
            <w:r w:rsidRPr="00AE6EDB">
              <w:rPr>
                <w:szCs w:val="22"/>
              </w:rPr>
              <w:t>2</w:t>
            </w:r>
            <w:r w:rsidR="0054295F">
              <w:rPr>
                <w:szCs w:val="22"/>
              </w:rPr>
              <w:t>1 6</w:t>
            </w:r>
            <w:r w:rsidRPr="00AE6EDB">
              <w:rPr>
                <w:szCs w:val="22"/>
              </w:rPr>
              <w:t>07</w:t>
            </w:r>
          </w:p>
        </w:tc>
        <w:tc>
          <w:tcPr>
            <w:tcW w:w="1406" w:type="dxa"/>
            <w:shd w:val="clear" w:color="auto" w:fill="auto"/>
            <w:noWrap/>
            <w:vAlign w:val="center"/>
            <w:hideMark/>
          </w:tcPr>
          <w:p w:rsidR="002625B2" w:rsidRPr="00AE6EDB" w:rsidRDefault="002625B2" w:rsidP="002625B2">
            <w:pPr>
              <w:ind w:right="178"/>
              <w:jc w:val="right"/>
            </w:pPr>
            <w:r w:rsidRPr="00AE6EDB">
              <w:t>2</w:t>
            </w:r>
            <w:r w:rsidR="0054295F">
              <w:t>3 1</w:t>
            </w:r>
            <w:r w:rsidRPr="00AE6EDB">
              <w:t>70</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c>
          <w:tcPr>
            <w:tcW w:w="1130" w:type="dxa"/>
            <w:shd w:val="clear" w:color="auto" w:fill="auto"/>
            <w:noWrap/>
            <w:vAlign w:val="center"/>
            <w:hideMark/>
          </w:tcPr>
          <w:p w:rsidR="002625B2" w:rsidRPr="00AE6EDB" w:rsidRDefault="002625B2" w:rsidP="002625B2">
            <w:pPr>
              <w:ind w:right="170"/>
              <w:jc w:val="right"/>
              <w:rPr>
                <w:color w:val="000000"/>
              </w:rPr>
            </w:pPr>
            <w:r w:rsidRPr="00AE6EDB">
              <w:rPr>
                <w:color w:val="000000"/>
                <w:szCs w:val="22"/>
              </w:rPr>
              <w:t>x</w:t>
            </w:r>
          </w:p>
        </w:tc>
      </w:tr>
    </w:tbl>
    <w:p w:rsidR="002625B2" w:rsidRPr="00AE6EDB" w:rsidRDefault="002625B2" w:rsidP="002625B2">
      <w:pPr>
        <w:pStyle w:val="zdroj"/>
      </w:pPr>
      <w:r w:rsidRPr="00AE6EDB">
        <w:t>Zdroj: Sociálna poisťovňa</w:t>
      </w:r>
    </w:p>
    <w:p w:rsidR="002625B2" w:rsidRPr="00AE6EDB" w:rsidRDefault="002625B2" w:rsidP="002625B2">
      <w:pPr>
        <w:pStyle w:val="Normlnysozarkami12"/>
        <w:ind w:firstLine="431"/>
      </w:pPr>
      <w:r w:rsidRPr="00AE6EDB">
        <w:t>V roku 2015 vplyvom vývoja makroekonomických ukazovateľov (najmä deflácia), valorizácie dôchodkových dávok a rastu aktuálnej dôchodkovej hodnoty došlo k zlepšeniu sociálnej situácie dôchodcov. Všetky dávky dôchodkového poistenia okrem sólo invalidného dôchodku a predčasného starobného dôchodku vyplácaného v súbehu s vdovským dôchodkom sa v priemere oproti roku 2014 zvýšili. Najvyšší nominálny nárast zaznamenali poberatelia starobného dôchodku vyplácaného v súbehu s vdoveckým dôchodkom a poberatelia starobného dôchodku vyplácaného v súbehu s vdov</w:t>
      </w:r>
      <w:r w:rsidR="00056952">
        <w:t>s</w:t>
      </w:r>
      <w:r w:rsidRPr="00AE6EDB">
        <w:t>kým dôchodkom.</w:t>
      </w:r>
    </w:p>
    <w:bookmarkEnd w:id="170"/>
    <w:bookmarkEnd w:id="171"/>
    <w:bookmarkEnd w:id="172"/>
    <w:bookmarkEnd w:id="173"/>
    <w:bookmarkEnd w:id="174"/>
    <w:bookmarkEnd w:id="175"/>
    <w:p w:rsidR="002625B2" w:rsidRPr="00AE6EDB" w:rsidRDefault="002625B2" w:rsidP="002625B2">
      <w:pPr>
        <w:pStyle w:val="Nadpis7"/>
        <w:rPr>
          <w:color w:val="000000" w:themeColor="text1"/>
        </w:rPr>
      </w:pPr>
      <w:r w:rsidRPr="00AE6EDB">
        <w:rPr>
          <w:color w:val="000000" w:themeColor="text1"/>
        </w:rPr>
        <w:t>Tabuľka 3.3 Priemerná výška dôchodkov v súbehu v rokoch 2014 a 2015 k 31. 12.</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5511"/>
        <w:gridCol w:w="1849"/>
        <w:gridCol w:w="1852"/>
      </w:tblGrid>
      <w:tr w:rsidR="002625B2" w:rsidRPr="00AE6EDB" w:rsidTr="002625B2">
        <w:trPr>
          <w:trHeight w:val="328"/>
          <w:jc w:val="center"/>
        </w:trPr>
        <w:tc>
          <w:tcPr>
            <w:tcW w:w="2991" w:type="pct"/>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12" w:name="_Toc294019709"/>
            <w:bookmarkStart w:id="213" w:name="_Toc294027032"/>
            <w:bookmarkStart w:id="214" w:name="_Toc294029271"/>
            <w:bookmarkStart w:id="215" w:name="_Toc313878762"/>
            <w:r w:rsidRPr="00AE6EDB">
              <w:rPr>
                <w:b/>
                <w:color w:val="FFFFFF" w:themeColor="background1"/>
              </w:rPr>
              <w:t>Druh dôchodku</w:t>
            </w:r>
            <w:bookmarkEnd w:id="212"/>
            <w:bookmarkEnd w:id="213"/>
            <w:bookmarkEnd w:id="214"/>
            <w:bookmarkEnd w:id="215"/>
          </w:p>
        </w:tc>
        <w:tc>
          <w:tcPr>
            <w:tcW w:w="2009" w:type="pct"/>
            <w:gridSpan w:val="2"/>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16" w:name="_Toc294019710"/>
            <w:bookmarkStart w:id="217" w:name="_Toc294027033"/>
            <w:bookmarkStart w:id="218" w:name="_Toc294029272"/>
            <w:bookmarkStart w:id="219" w:name="_Toc313878763"/>
            <w:r w:rsidRPr="00AE6EDB">
              <w:rPr>
                <w:b/>
                <w:color w:val="FFFFFF" w:themeColor="background1"/>
              </w:rPr>
              <w:t>Priemerná výška dôchodku*</w:t>
            </w:r>
            <w:r w:rsidRPr="00AE6EDB">
              <w:rPr>
                <w:b/>
                <w:color w:val="FFFFFF" w:themeColor="background1"/>
                <w:vertAlign w:val="superscript"/>
              </w:rPr>
              <w:t xml:space="preserve"> </w:t>
            </w:r>
            <w:r w:rsidRPr="00AE6EDB">
              <w:rPr>
                <w:b/>
                <w:color w:val="FFFFFF" w:themeColor="background1"/>
              </w:rPr>
              <w:t>v €</w:t>
            </w:r>
            <w:bookmarkEnd w:id="216"/>
            <w:bookmarkEnd w:id="217"/>
            <w:bookmarkEnd w:id="218"/>
            <w:bookmarkEnd w:id="219"/>
          </w:p>
        </w:tc>
      </w:tr>
      <w:tr w:rsidR="002625B2" w:rsidRPr="00AE6EDB" w:rsidTr="002625B2">
        <w:trPr>
          <w:trHeight w:val="328"/>
          <w:jc w:val="center"/>
        </w:trPr>
        <w:tc>
          <w:tcPr>
            <w:tcW w:w="2991" w:type="pct"/>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p>
        </w:tc>
        <w:tc>
          <w:tcPr>
            <w:tcW w:w="1004"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20" w:name="_Toc294019711"/>
            <w:bookmarkStart w:id="221" w:name="_Toc294027034"/>
            <w:bookmarkStart w:id="222" w:name="_Toc294029273"/>
            <w:bookmarkStart w:id="223" w:name="_Toc313878764"/>
            <w:r w:rsidRPr="00AE6EDB">
              <w:rPr>
                <w:b/>
                <w:color w:val="FFFFFF" w:themeColor="background1"/>
              </w:rPr>
              <w:t>rok 201</w:t>
            </w:r>
            <w:bookmarkEnd w:id="220"/>
            <w:bookmarkEnd w:id="221"/>
            <w:bookmarkEnd w:id="222"/>
            <w:bookmarkEnd w:id="223"/>
            <w:r w:rsidRPr="00AE6EDB">
              <w:rPr>
                <w:b/>
                <w:color w:val="FFFFFF" w:themeColor="background1"/>
              </w:rPr>
              <w:t>4</w:t>
            </w:r>
          </w:p>
        </w:tc>
        <w:tc>
          <w:tcPr>
            <w:tcW w:w="1005"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24" w:name="_Toc294019712"/>
            <w:bookmarkStart w:id="225" w:name="_Toc294027035"/>
            <w:bookmarkStart w:id="226" w:name="_Toc294029274"/>
            <w:bookmarkStart w:id="227" w:name="_Toc313878765"/>
            <w:r w:rsidRPr="00AE6EDB">
              <w:rPr>
                <w:b/>
                <w:color w:val="FFFFFF" w:themeColor="background1"/>
              </w:rPr>
              <w:t>rok 201</w:t>
            </w:r>
            <w:bookmarkEnd w:id="224"/>
            <w:bookmarkEnd w:id="225"/>
            <w:bookmarkEnd w:id="226"/>
            <w:bookmarkEnd w:id="227"/>
            <w:r w:rsidRPr="00AE6EDB">
              <w:rPr>
                <w:b/>
                <w:color w:val="FFFFFF" w:themeColor="background1"/>
              </w:rPr>
              <w:t>5</w:t>
            </w:r>
          </w:p>
        </w:tc>
      </w:tr>
      <w:tr w:rsidR="002625B2" w:rsidRPr="00AE6EDB" w:rsidTr="002625B2">
        <w:trPr>
          <w:trHeight w:val="328"/>
          <w:jc w:val="center"/>
        </w:trPr>
        <w:tc>
          <w:tcPr>
            <w:tcW w:w="2991" w:type="pct"/>
            <w:tcBorders>
              <w:top w:val="single" w:sz="6" w:space="0" w:color="BF0000" w:themeColor="accent3" w:themeShade="BF"/>
            </w:tcBorders>
            <w:noWrap/>
            <w:vAlign w:val="center"/>
          </w:tcPr>
          <w:p w:rsidR="002625B2" w:rsidRPr="00AE6EDB" w:rsidRDefault="002625B2" w:rsidP="002625B2">
            <w:pPr>
              <w:jc w:val="left"/>
              <w:rPr>
                <w:color w:val="000000"/>
                <w:szCs w:val="22"/>
              </w:rPr>
            </w:pPr>
            <w:bookmarkStart w:id="228" w:name="_Toc294019713"/>
            <w:bookmarkStart w:id="229" w:name="_Toc294027036"/>
            <w:bookmarkStart w:id="230" w:name="_Toc294029275"/>
            <w:bookmarkStart w:id="231" w:name="_Toc313878766"/>
            <w:r w:rsidRPr="00AE6EDB">
              <w:rPr>
                <w:color w:val="000000"/>
                <w:szCs w:val="22"/>
              </w:rPr>
              <w:t>starobný vyplácaný v súbehu s vdovským (ženy)</w:t>
            </w:r>
            <w:bookmarkEnd w:id="228"/>
            <w:bookmarkEnd w:id="229"/>
            <w:bookmarkEnd w:id="230"/>
            <w:bookmarkEnd w:id="231"/>
          </w:p>
        </w:tc>
        <w:tc>
          <w:tcPr>
            <w:tcW w:w="1004" w:type="pct"/>
            <w:tcBorders>
              <w:top w:val="single" w:sz="6" w:space="0" w:color="BF0000" w:themeColor="accent3" w:themeShade="BF"/>
            </w:tcBorders>
            <w:noWrap/>
            <w:vAlign w:val="center"/>
          </w:tcPr>
          <w:p w:rsidR="002625B2" w:rsidRPr="00AE6EDB" w:rsidRDefault="002625B2" w:rsidP="002625B2">
            <w:pPr>
              <w:ind w:right="699"/>
              <w:jc w:val="right"/>
            </w:pPr>
            <w:r w:rsidRPr="00AE6EDB">
              <w:t>440</w:t>
            </w:r>
          </w:p>
        </w:tc>
        <w:tc>
          <w:tcPr>
            <w:tcW w:w="1005" w:type="pct"/>
            <w:tcBorders>
              <w:top w:val="single" w:sz="6" w:space="0" w:color="BF0000" w:themeColor="accent3" w:themeShade="BF"/>
            </w:tcBorders>
            <w:noWrap/>
            <w:vAlign w:val="center"/>
          </w:tcPr>
          <w:p w:rsidR="002625B2" w:rsidRPr="00AE6EDB" w:rsidRDefault="002625B2" w:rsidP="002625B2">
            <w:pPr>
              <w:jc w:val="center"/>
              <w:rPr>
                <w:rFonts w:ascii="Calibri" w:eastAsiaTheme="minorHAnsi" w:hAnsi="Calibri"/>
                <w:szCs w:val="22"/>
              </w:rPr>
            </w:pPr>
            <w:r w:rsidRPr="00AE6EDB">
              <w:t>450</w:t>
            </w:r>
          </w:p>
        </w:tc>
      </w:tr>
      <w:tr w:rsidR="002625B2" w:rsidRPr="00AE6EDB" w:rsidTr="002625B2">
        <w:trPr>
          <w:trHeight w:val="328"/>
          <w:jc w:val="center"/>
        </w:trPr>
        <w:tc>
          <w:tcPr>
            <w:tcW w:w="2991" w:type="pct"/>
            <w:noWrap/>
            <w:vAlign w:val="center"/>
          </w:tcPr>
          <w:p w:rsidR="002625B2" w:rsidRPr="00AE6EDB" w:rsidRDefault="002625B2" w:rsidP="002625B2">
            <w:pPr>
              <w:jc w:val="left"/>
              <w:rPr>
                <w:color w:val="000000"/>
                <w:szCs w:val="22"/>
              </w:rPr>
            </w:pPr>
            <w:bookmarkStart w:id="232" w:name="_Toc294019716"/>
            <w:bookmarkStart w:id="233" w:name="_Toc294027039"/>
            <w:bookmarkStart w:id="234" w:name="_Toc294029278"/>
            <w:bookmarkStart w:id="235" w:name="_Toc313878769"/>
            <w:r w:rsidRPr="00AE6EDB">
              <w:rPr>
                <w:color w:val="000000"/>
                <w:szCs w:val="22"/>
              </w:rPr>
              <w:t>starobný vyplácaný v súbehu s vdoveckým (muži)</w:t>
            </w:r>
            <w:bookmarkEnd w:id="232"/>
            <w:bookmarkEnd w:id="233"/>
            <w:bookmarkEnd w:id="234"/>
            <w:bookmarkEnd w:id="235"/>
          </w:p>
        </w:tc>
        <w:tc>
          <w:tcPr>
            <w:tcW w:w="1004" w:type="pct"/>
            <w:noWrap/>
            <w:vAlign w:val="center"/>
          </w:tcPr>
          <w:p w:rsidR="002625B2" w:rsidRPr="00AE6EDB" w:rsidRDefault="002625B2" w:rsidP="002625B2">
            <w:pPr>
              <w:ind w:right="699"/>
              <w:jc w:val="right"/>
            </w:pPr>
            <w:r w:rsidRPr="00AE6EDB">
              <w:t>513</w:t>
            </w:r>
          </w:p>
        </w:tc>
        <w:tc>
          <w:tcPr>
            <w:tcW w:w="1005" w:type="pct"/>
            <w:noWrap/>
            <w:vAlign w:val="center"/>
          </w:tcPr>
          <w:p w:rsidR="002625B2" w:rsidRPr="00AE6EDB" w:rsidRDefault="002625B2" w:rsidP="002625B2">
            <w:pPr>
              <w:jc w:val="center"/>
              <w:rPr>
                <w:rFonts w:ascii="Calibri" w:eastAsiaTheme="minorHAnsi" w:hAnsi="Calibri"/>
                <w:szCs w:val="22"/>
              </w:rPr>
            </w:pPr>
            <w:r w:rsidRPr="00AE6EDB">
              <w:t>525</w:t>
            </w:r>
          </w:p>
        </w:tc>
      </w:tr>
      <w:tr w:rsidR="002625B2" w:rsidRPr="00AE6EDB" w:rsidTr="002625B2">
        <w:trPr>
          <w:trHeight w:val="328"/>
          <w:jc w:val="center"/>
        </w:trPr>
        <w:tc>
          <w:tcPr>
            <w:tcW w:w="2991" w:type="pct"/>
            <w:noWrap/>
            <w:vAlign w:val="center"/>
          </w:tcPr>
          <w:p w:rsidR="002625B2" w:rsidRPr="00AE6EDB" w:rsidRDefault="002625B2" w:rsidP="002625B2">
            <w:pPr>
              <w:jc w:val="left"/>
              <w:rPr>
                <w:color w:val="000000"/>
                <w:szCs w:val="22"/>
              </w:rPr>
            </w:pPr>
            <w:bookmarkStart w:id="236" w:name="_Toc294019719"/>
            <w:bookmarkStart w:id="237" w:name="_Toc294027042"/>
            <w:bookmarkStart w:id="238" w:name="_Toc294029281"/>
            <w:bookmarkStart w:id="239" w:name="_Toc313878772"/>
            <w:r w:rsidRPr="00AE6EDB">
              <w:rPr>
                <w:color w:val="000000"/>
                <w:szCs w:val="22"/>
              </w:rPr>
              <w:t>predčasný starobný vyplácaný v súbehu s vdovským (ženy)</w:t>
            </w:r>
            <w:bookmarkEnd w:id="236"/>
            <w:bookmarkEnd w:id="237"/>
            <w:bookmarkEnd w:id="238"/>
            <w:bookmarkEnd w:id="239"/>
          </w:p>
        </w:tc>
        <w:tc>
          <w:tcPr>
            <w:tcW w:w="1004" w:type="pct"/>
            <w:noWrap/>
            <w:vAlign w:val="center"/>
          </w:tcPr>
          <w:p w:rsidR="002625B2" w:rsidRPr="00AE6EDB" w:rsidRDefault="002625B2" w:rsidP="002625B2">
            <w:pPr>
              <w:ind w:right="699"/>
              <w:jc w:val="right"/>
            </w:pPr>
            <w:r w:rsidRPr="00AE6EDB">
              <w:t>467</w:t>
            </w:r>
          </w:p>
        </w:tc>
        <w:tc>
          <w:tcPr>
            <w:tcW w:w="1005" w:type="pct"/>
            <w:noWrap/>
            <w:vAlign w:val="center"/>
          </w:tcPr>
          <w:p w:rsidR="002625B2" w:rsidRPr="00AE6EDB" w:rsidRDefault="002625B2" w:rsidP="002625B2">
            <w:pPr>
              <w:jc w:val="center"/>
              <w:rPr>
                <w:rFonts w:ascii="Calibri" w:eastAsiaTheme="minorHAnsi" w:hAnsi="Calibri"/>
                <w:szCs w:val="22"/>
              </w:rPr>
            </w:pPr>
            <w:r w:rsidRPr="00AE6EDB">
              <w:t>464</w:t>
            </w:r>
          </w:p>
        </w:tc>
      </w:tr>
      <w:tr w:rsidR="002625B2" w:rsidRPr="00AE6EDB" w:rsidTr="002625B2">
        <w:trPr>
          <w:trHeight w:val="328"/>
          <w:jc w:val="center"/>
        </w:trPr>
        <w:tc>
          <w:tcPr>
            <w:tcW w:w="2991" w:type="pct"/>
            <w:noWrap/>
            <w:vAlign w:val="center"/>
          </w:tcPr>
          <w:p w:rsidR="002625B2" w:rsidRPr="00AE6EDB" w:rsidRDefault="002625B2" w:rsidP="002625B2">
            <w:pPr>
              <w:jc w:val="left"/>
              <w:rPr>
                <w:color w:val="000000"/>
                <w:szCs w:val="22"/>
              </w:rPr>
            </w:pPr>
            <w:bookmarkStart w:id="240" w:name="_Toc294019722"/>
            <w:bookmarkStart w:id="241" w:name="_Toc294027045"/>
            <w:bookmarkStart w:id="242" w:name="_Toc294029284"/>
            <w:bookmarkStart w:id="243" w:name="_Toc313878775"/>
            <w:r w:rsidRPr="00AE6EDB">
              <w:rPr>
                <w:color w:val="000000"/>
                <w:szCs w:val="22"/>
              </w:rPr>
              <w:t>predčasný starobný vyplácaný v súbehu s vdoveckým (muži)</w:t>
            </w:r>
            <w:bookmarkEnd w:id="240"/>
            <w:bookmarkEnd w:id="241"/>
            <w:bookmarkEnd w:id="242"/>
            <w:bookmarkEnd w:id="243"/>
          </w:p>
        </w:tc>
        <w:tc>
          <w:tcPr>
            <w:tcW w:w="1004" w:type="pct"/>
            <w:noWrap/>
            <w:vAlign w:val="center"/>
          </w:tcPr>
          <w:p w:rsidR="002625B2" w:rsidRPr="00AE6EDB" w:rsidRDefault="002625B2" w:rsidP="002625B2">
            <w:pPr>
              <w:ind w:right="699"/>
              <w:jc w:val="right"/>
            </w:pPr>
            <w:r w:rsidRPr="00AE6EDB">
              <w:t>501</w:t>
            </w:r>
          </w:p>
        </w:tc>
        <w:tc>
          <w:tcPr>
            <w:tcW w:w="1005" w:type="pct"/>
            <w:noWrap/>
            <w:vAlign w:val="center"/>
          </w:tcPr>
          <w:p w:rsidR="002625B2" w:rsidRPr="00AE6EDB" w:rsidRDefault="002625B2" w:rsidP="002625B2">
            <w:pPr>
              <w:jc w:val="center"/>
              <w:rPr>
                <w:rFonts w:ascii="Calibri" w:eastAsiaTheme="minorHAnsi" w:hAnsi="Calibri"/>
                <w:szCs w:val="22"/>
              </w:rPr>
            </w:pPr>
            <w:r w:rsidRPr="00AE6EDB">
              <w:t>502</w:t>
            </w:r>
          </w:p>
        </w:tc>
      </w:tr>
      <w:tr w:rsidR="002625B2" w:rsidRPr="00AE6EDB" w:rsidTr="002625B2">
        <w:trPr>
          <w:trHeight w:val="328"/>
          <w:jc w:val="center"/>
        </w:trPr>
        <w:tc>
          <w:tcPr>
            <w:tcW w:w="2991" w:type="pct"/>
            <w:noWrap/>
            <w:vAlign w:val="center"/>
          </w:tcPr>
          <w:p w:rsidR="002625B2" w:rsidRPr="00AE6EDB" w:rsidRDefault="002625B2" w:rsidP="002625B2">
            <w:pPr>
              <w:jc w:val="left"/>
              <w:rPr>
                <w:color w:val="000000"/>
                <w:szCs w:val="22"/>
              </w:rPr>
            </w:pPr>
            <w:bookmarkStart w:id="244" w:name="_Toc294019725"/>
            <w:bookmarkStart w:id="245" w:name="_Toc294027048"/>
            <w:bookmarkStart w:id="246" w:name="_Toc294029287"/>
            <w:bookmarkStart w:id="247" w:name="_Toc313878778"/>
            <w:r w:rsidRPr="00AE6EDB">
              <w:rPr>
                <w:color w:val="000000"/>
                <w:szCs w:val="22"/>
              </w:rPr>
              <w:t>invalidný vyplácaný v súbehu s vdovským (ženy)</w:t>
            </w:r>
            <w:bookmarkEnd w:id="244"/>
            <w:bookmarkEnd w:id="245"/>
            <w:bookmarkEnd w:id="246"/>
            <w:bookmarkEnd w:id="247"/>
          </w:p>
        </w:tc>
        <w:tc>
          <w:tcPr>
            <w:tcW w:w="1004" w:type="pct"/>
            <w:noWrap/>
            <w:vAlign w:val="center"/>
          </w:tcPr>
          <w:p w:rsidR="002625B2" w:rsidRPr="00AE6EDB" w:rsidRDefault="002625B2" w:rsidP="002625B2">
            <w:pPr>
              <w:ind w:right="699"/>
              <w:jc w:val="right"/>
            </w:pPr>
            <w:r w:rsidRPr="00AE6EDB">
              <w:t>393</w:t>
            </w:r>
          </w:p>
        </w:tc>
        <w:tc>
          <w:tcPr>
            <w:tcW w:w="1005" w:type="pct"/>
            <w:noWrap/>
            <w:vAlign w:val="center"/>
          </w:tcPr>
          <w:p w:rsidR="002625B2" w:rsidRPr="00AE6EDB" w:rsidRDefault="002625B2" w:rsidP="002625B2">
            <w:pPr>
              <w:jc w:val="center"/>
              <w:rPr>
                <w:rFonts w:ascii="Calibri" w:eastAsiaTheme="minorHAnsi" w:hAnsi="Calibri"/>
                <w:szCs w:val="22"/>
              </w:rPr>
            </w:pPr>
            <w:r w:rsidRPr="00AE6EDB">
              <w:t>396</w:t>
            </w:r>
          </w:p>
        </w:tc>
      </w:tr>
      <w:tr w:rsidR="002625B2" w:rsidRPr="00AE6EDB" w:rsidTr="002625B2">
        <w:trPr>
          <w:trHeight w:val="328"/>
          <w:jc w:val="center"/>
        </w:trPr>
        <w:tc>
          <w:tcPr>
            <w:tcW w:w="2991" w:type="pct"/>
            <w:noWrap/>
            <w:vAlign w:val="center"/>
          </w:tcPr>
          <w:p w:rsidR="002625B2" w:rsidRPr="00AE6EDB" w:rsidRDefault="002625B2" w:rsidP="002625B2">
            <w:pPr>
              <w:jc w:val="left"/>
              <w:rPr>
                <w:color w:val="000000"/>
                <w:szCs w:val="22"/>
              </w:rPr>
            </w:pPr>
            <w:bookmarkStart w:id="248" w:name="_Toc294019728"/>
            <w:bookmarkStart w:id="249" w:name="_Toc294027051"/>
            <w:bookmarkStart w:id="250" w:name="_Toc294029290"/>
            <w:bookmarkStart w:id="251" w:name="_Toc313878781"/>
            <w:r w:rsidRPr="00AE6EDB">
              <w:rPr>
                <w:color w:val="000000"/>
                <w:szCs w:val="22"/>
              </w:rPr>
              <w:t>invalidný vyplácaný v súbehu s vdoveckým (muži)</w:t>
            </w:r>
            <w:bookmarkEnd w:id="248"/>
            <w:bookmarkEnd w:id="249"/>
            <w:bookmarkEnd w:id="250"/>
            <w:bookmarkEnd w:id="251"/>
          </w:p>
        </w:tc>
        <w:tc>
          <w:tcPr>
            <w:tcW w:w="1004" w:type="pct"/>
            <w:noWrap/>
            <w:vAlign w:val="center"/>
          </w:tcPr>
          <w:p w:rsidR="002625B2" w:rsidRPr="00AE6EDB" w:rsidRDefault="002625B2" w:rsidP="002625B2">
            <w:pPr>
              <w:ind w:right="699"/>
              <w:jc w:val="right"/>
            </w:pPr>
            <w:r w:rsidRPr="00AE6EDB">
              <w:t>422</w:t>
            </w:r>
          </w:p>
        </w:tc>
        <w:tc>
          <w:tcPr>
            <w:tcW w:w="1005" w:type="pct"/>
            <w:noWrap/>
            <w:vAlign w:val="center"/>
          </w:tcPr>
          <w:p w:rsidR="002625B2" w:rsidRPr="00AE6EDB" w:rsidRDefault="002625B2" w:rsidP="002625B2">
            <w:pPr>
              <w:jc w:val="center"/>
              <w:rPr>
                <w:rFonts w:ascii="Calibri" w:eastAsiaTheme="minorHAnsi" w:hAnsi="Calibri"/>
                <w:szCs w:val="22"/>
              </w:rPr>
            </w:pPr>
            <w:r w:rsidRPr="00AE6EDB">
              <w:t>424</w:t>
            </w:r>
          </w:p>
        </w:tc>
      </w:tr>
    </w:tbl>
    <w:p w:rsidR="002625B2" w:rsidRPr="00AE6EDB" w:rsidRDefault="002625B2" w:rsidP="002625B2">
      <w:pPr>
        <w:pStyle w:val="zdroj"/>
        <w:spacing w:after="0"/>
      </w:pPr>
      <w:r w:rsidRPr="00AE6EDB">
        <w:t>Zdroj: Sociálna poisťovňa</w:t>
      </w:r>
    </w:p>
    <w:p w:rsidR="002625B2" w:rsidRPr="00AE6EDB" w:rsidRDefault="002625B2" w:rsidP="002625B2">
      <w:pPr>
        <w:pStyle w:val="zdroj"/>
        <w:spacing w:before="0"/>
      </w:pPr>
      <w:r w:rsidRPr="00AE6EDB">
        <w:t>*priemerná výška vypočítaná z úhrnnej sumy oboch vyplácaných dôchodkov</w:t>
      </w:r>
    </w:p>
    <w:p w:rsidR="002625B2" w:rsidRPr="00AE6EDB" w:rsidRDefault="002625B2" w:rsidP="002625B2">
      <w:pPr>
        <w:ind w:firstLine="431"/>
      </w:pPr>
      <w:bookmarkStart w:id="252" w:name="_Toc325440936"/>
      <w:bookmarkStart w:id="253" w:name="_Toc356482678"/>
      <w:bookmarkStart w:id="254" w:name="_Toc356916010"/>
      <w:r w:rsidRPr="00AE6EDB">
        <w:rPr>
          <w:b/>
        </w:rPr>
        <w:t>Výdavky</w:t>
      </w:r>
      <w:r w:rsidRPr="00AE6EDB">
        <w:rPr>
          <w:rStyle w:val="Odkaznapoznmkupodiarou"/>
          <w:szCs w:val="22"/>
        </w:rPr>
        <w:footnoteReference w:id="26"/>
      </w:r>
      <w:r w:rsidRPr="00AE6EDB">
        <w:t xml:space="preserve"> na (systémové) dávky dôchodkového poistenia v roku 2015 boli 6,4 mld.</w:t>
      </w:r>
      <w:r w:rsidR="0054295F">
        <w:t> eur</w:t>
      </w:r>
      <w:r w:rsidRPr="00AE6EDB">
        <w:t>, čo predstavuje oproti roku 2014 nárast výdavkov o 2,8</w:t>
      </w:r>
      <w:r w:rsidR="005676EF">
        <w:t> %</w:t>
      </w:r>
      <w:r w:rsidRPr="00AE6EDB">
        <w:t>. Okrem toho štátom hradené dôchodkové dávky (dôchodok manželky, sociálny dôchodok, tzv. invalidný dôchodok z mladosti, zvýšenie pre bezvládnosť, zvýšenie dôchodku z dôvodu jediného zdroja príjmu, za odboj a rehabilitáciu, vrátane príplatkov za štátnu službu) predstavovali 55,3 mil.</w:t>
      </w:r>
      <w:r w:rsidR="0054295F">
        <w:t> eur</w:t>
      </w:r>
      <w:r w:rsidRPr="00AE6EDB">
        <w:t xml:space="preserve"> (nárast oproti roku 2014 o 4,9</w:t>
      </w:r>
      <w:r w:rsidR="005676EF">
        <w:t> %</w:t>
      </w:r>
      <w:r w:rsidRPr="00AE6EDB">
        <w:t xml:space="preserve">). </w:t>
      </w:r>
    </w:p>
    <w:p w:rsidR="002625B2" w:rsidRPr="00AE6EDB" w:rsidRDefault="002625B2" w:rsidP="002625B2">
      <w:pPr>
        <w:ind w:firstLine="431"/>
        <w:rPr>
          <w:szCs w:val="22"/>
        </w:rPr>
      </w:pPr>
      <w:r w:rsidRPr="00AE6EDB">
        <w:rPr>
          <w:b/>
        </w:rPr>
        <w:t>Výdavky na výplatu vianočného príspevku</w:t>
      </w:r>
      <w:r w:rsidRPr="00AE6EDB">
        <w:rPr>
          <w:rStyle w:val="Odkaznapoznmkupodiarou"/>
          <w:b/>
        </w:rPr>
        <w:footnoteReference w:id="27"/>
      </w:r>
      <w:r w:rsidRPr="00AE6EDB">
        <w:t xml:space="preserve"> niektorým poberateľom dôchodku v roku 2015 (bez doplatkov) predstavovali 77,</w:t>
      </w:r>
      <w:r w:rsidR="00056952">
        <w:t>2</w:t>
      </w:r>
      <w:r w:rsidRPr="00AE6EDB">
        <w:t> mil.</w:t>
      </w:r>
      <w:r w:rsidR="0054295F">
        <w:t> eur</w:t>
      </w:r>
      <w:r w:rsidRPr="00AE6EDB">
        <w:t>, pričom v roku 2014 to bolo 78,</w:t>
      </w:r>
      <w:r w:rsidR="00056952">
        <w:t>2</w:t>
      </w:r>
      <w:r w:rsidRPr="00AE6EDB">
        <w:t xml:space="preserve"> mil.</w:t>
      </w:r>
      <w:r w:rsidR="0054295F">
        <w:t> eur</w:t>
      </w:r>
      <w:r w:rsidRPr="00AE6EDB">
        <w:t xml:space="preserve">. </w:t>
      </w:r>
      <w:r w:rsidRPr="00AE6EDB">
        <w:rPr>
          <w:szCs w:val="22"/>
        </w:rPr>
        <w:t xml:space="preserve">Celkový počet dôchodcov, ktorým bol vyplatený vianočný príspevok v roku 2015 dosiahol </w:t>
      </w:r>
      <w:r w:rsidR="0054295F">
        <w:rPr>
          <w:szCs w:val="22"/>
        </w:rPr>
        <w:t>1 1</w:t>
      </w:r>
      <w:r w:rsidRPr="00AE6EDB">
        <w:rPr>
          <w:szCs w:val="22"/>
        </w:rPr>
        <w:t>4</w:t>
      </w:r>
      <w:r w:rsidR="00056952">
        <w:rPr>
          <w:szCs w:val="22"/>
        </w:rPr>
        <w:t>1</w:t>
      </w:r>
      <w:r w:rsidR="0054295F">
        <w:rPr>
          <w:szCs w:val="22"/>
        </w:rPr>
        <w:t> </w:t>
      </w:r>
      <w:r w:rsidR="00056952">
        <w:rPr>
          <w:szCs w:val="22"/>
        </w:rPr>
        <w:t>551</w:t>
      </w:r>
      <w:r w:rsidRPr="00AE6EDB">
        <w:rPr>
          <w:szCs w:val="22"/>
        </w:rPr>
        <w:t xml:space="preserve"> osôb, kým v roku 2014 to bolo </w:t>
      </w:r>
      <w:r w:rsidR="0054295F">
        <w:rPr>
          <w:szCs w:val="22"/>
        </w:rPr>
        <w:t>1 1</w:t>
      </w:r>
      <w:r w:rsidRPr="00AE6EDB">
        <w:rPr>
          <w:szCs w:val="22"/>
        </w:rPr>
        <w:t>1</w:t>
      </w:r>
      <w:r w:rsidR="00056952">
        <w:rPr>
          <w:szCs w:val="22"/>
        </w:rPr>
        <w:t>8</w:t>
      </w:r>
      <w:r w:rsidR="00AC44CB">
        <w:rPr>
          <w:szCs w:val="22"/>
        </w:rPr>
        <w:t> </w:t>
      </w:r>
      <w:r w:rsidR="00056952">
        <w:rPr>
          <w:szCs w:val="22"/>
        </w:rPr>
        <w:t>655</w:t>
      </w:r>
      <w:r w:rsidRPr="00AE6EDB">
        <w:rPr>
          <w:szCs w:val="22"/>
        </w:rPr>
        <w:t xml:space="preserve"> osôb. Výdavky na zvýšenie sumy starobného dôchodku a sumy </w:t>
      </w:r>
      <w:r w:rsidRPr="00AE6EDB">
        <w:rPr>
          <w:szCs w:val="22"/>
        </w:rPr>
        <w:lastRenderedPageBreak/>
        <w:t>invalidného dôchodku vyplácaného po dovŕšení dôchodkového veku na sumu minimálneho dôchodku</w:t>
      </w:r>
      <w:r w:rsidRPr="00AE6EDB">
        <w:rPr>
          <w:rStyle w:val="Odkaznapoznmkupodiarou"/>
          <w:szCs w:val="22"/>
        </w:rPr>
        <w:footnoteReference w:id="28"/>
      </w:r>
      <w:r w:rsidRPr="00AE6EDB">
        <w:rPr>
          <w:szCs w:val="22"/>
        </w:rPr>
        <w:t xml:space="preserve"> predstavovali </w:t>
      </w:r>
      <w:r w:rsidRPr="00AE6EDB">
        <w:t>ďalších</w:t>
      </w:r>
      <w:r w:rsidRPr="00AE6EDB">
        <w:rPr>
          <w:szCs w:val="22"/>
        </w:rPr>
        <w:t xml:space="preserve"> 8,2 mil.</w:t>
      </w:r>
      <w:r w:rsidR="0054295F">
        <w:rPr>
          <w:szCs w:val="22"/>
        </w:rPr>
        <w:t> eur</w:t>
      </w:r>
      <w:r w:rsidRPr="00AE6EDB">
        <w:rPr>
          <w:szCs w:val="22"/>
        </w:rPr>
        <w:t>.</w:t>
      </w:r>
    </w:p>
    <w:p w:rsidR="002625B2" w:rsidRPr="00AE6EDB" w:rsidRDefault="002625B2" w:rsidP="002625B2">
      <w:pPr>
        <w:pStyle w:val="Normlnysozarkami12"/>
        <w:ind w:firstLine="431"/>
      </w:pPr>
      <w:r w:rsidRPr="00AE6EDB">
        <w:t xml:space="preserve">K 31. decembru 2015 bolo zaznamenaných </w:t>
      </w:r>
      <w:r w:rsidR="00AC44CB">
        <w:t>8 3</w:t>
      </w:r>
      <w:r w:rsidRPr="00AE6EDB">
        <w:t xml:space="preserve">09 poberateľov sólo starobných dôchodkov </w:t>
      </w:r>
      <w:r w:rsidR="00EC06F7" w:rsidRPr="00AE6EDB">
        <w:br/>
      </w:r>
      <w:r w:rsidRPr="00AE6EDB">
        <w:t>(t. j. 1,12</w:t>
      </w:r>
      <w:r w:rsidR="005676EF">
        <w:t> %</w:t>
      </w:r>
      <w:r w:rsidRPr="00AE6EDB">
        <w:t>) presahujúcich priemernú mesačnú mzdu v hospodárstve Slovenskej republiky (883</w:t>
      </w:r>
      <w:r w:rsidR="0054295F">
        <w:t> eur</w:t>
      </w:r>
      <w:r w:rsidRPr="00AE6EDB">
        <w:t>). Pomer priemerného starobného sólo dôchodku vyplácaného k 31. decembru 2015 k priemernej mesačnej mzde za rok 2015 v hospodárstve Slovenskej republiky bol 46,55</w:t>
      </w:r>
      <w:r w:rsidR="005676EF">
        <w:t> %</w:t>
      </w:r>
      <w:r w:rsidRPr="00AE6EDB">
        <w:t>, čo je mierny pokles v porovnaní s rokom 2014 (pokles o 0,09 p. b.).</w:t>
      </w:r>
    </w:p>
    <w:p w:rsidR="002625B2" w:rsidRPr="00AE6EDB" w:rsidRDefault="002625B2" w:rsidP="002625B2">
      <w:pPr>
        <w:pStyle w:val="Nadpis6"/>
      </w:pPr>
      <w:bookmarkStart w:id="255" w:name="_Toc422233417"/>
      <w:bookmarkStart w:id="256" w:name="_Toc452469874"/>
      <w:r w:rsidRPr="00AE6EDB">
        <w:t>Úrazové poistenie</w:t>
      </w:r>
      <w:bookmarkEnd w:id="252"/>
      <w:bookmarkEnd w:id="253"/>
      <w:bookmarkEnd w:id="254"/>
      <w:bookmarkEnd w:id="255"/>
      <w:bookmarkEnd w:id="256"/>
    </w:p>
    <w:p w:rsidR="002625B2" w:rsidRPr="00AE6EDB" w:rsidRDefault="002625B2" w:rsidP="002625B2">
      <w:pPr>
        <w:pStyle w:val="Normlnysozarkami12"/>
        <w:ind w:firstLine="431"/>
        <w:rPr>
          <w:bCs/>
          <w:szCs w:val="22"/>
        </w:rPr>
      </w:pPr>
      <w:bookmarkStart w:id="257" w:name="_Toc325440937"/>
      <w:bookmarkStart w:id="258" w:name="_Toc356482679"/>
      <w:bookmarkStart w:id="259" w:name="_Toc356916011"/>
      <w:r w:rsidRPr="00AE6EDB">
        <w:rPr>
          <w:bCs/>
          <w:szCs w:val="22"/>
        </w:rPr>
        <w:t>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rsidR="002625B2" w:rsidRPr="00AE6EDB" w:rsidRDefault="002625B2" w:rsidP="002625B2">
      <w:pPr>
        <w:pStyle w:val="Normlnysozarkami12"/>
        <w:ind w:firstLine="431"/>
      </w:pPr>
      <w:r w:rsidRPr="00AE6EDB">
        <w:t>Celková suma vyplatených dávok v roku 2015</w:t>
      </w:r>
      <w:r w:rsidRPr="00AE6EDB">
        <w:rPr>
          <w:vertAlign w:val="superscript"/>
        </w:rPr>
        <w:footnoteReference w:id="29"/>
      </w:r>
      <w:r w:rsidRPr="00AE6EDB">
        <w:t xml:space="preserve"> bola 46,7 mil.</w:t>
      </w:r>
      <w:r w:rsidR="0054295F">
        <w:t> eur</w:t>
      </w:r>
      <w:r w:rsidRPr="00AE6EDB">
        <w:t>, čo predstavuje 4,80 </w:t>
      </w:r>
      <w:r w:rsidR="003F2687" w:rsidRPr="00AE6EDB">
        <w:t>percentné zvýšenie</w:t>
      </w:r>
      <w:r w:rsidRPr="00AE6EDB">
        <w:t xml:space="preserve"> výdavkov</w:t>
      </w:r>
      <w:r w:rsidR="003F2687" w:rsidRPr="00AE6EDB">
        <w:t xml:space="preserve"> oproti roku</w:t>
      </w:r>
      <w:r w:rsidRPr="00AE6EDB">
        <w:t xml:space="preserve"> 2014. Najpočetnejšia a finančne najnáročnejšia dávka je úrazová renta. Za rok 2015</w:t>
      </w:r>
      <w:r w:rsidRPr="00AE6EDB">
        <w:rPr>
          <w:vertAlign w:val="superscript"/>
        </w:rPr>
        <w:footnoteReference w:id="30"/>
      </w:r>
      <w:r w:rsidRPr="00AE6EDB">
        <w:t xml:space="preserve"> bolo vyplatených 8</w:t>
      </w:r>
      <w:r w:rsidR="0054295F">
        <w:t>4 7</w:t>
      </w:r>
      <w:r w:rsidRPr="00AE6EDB">
        <w:t>29 úrazových rent, čo predstavuje oproti roku 2014 nárast o 1,4</w:t>
      </w:r>
      <w:r w:rsidR="005676EF">
        <w:t> %</w:t>
      </w:r>
      <w:r w:rsidRPr="00AE6EDB">
        <w:t>. Priemerná výška tejto dávky za rok 2015 bola 300,10</w:t>
      </w:r>
      <w:r w:rsidR="0054295F">
        <w:t> eur</w:t>
      </w:r>
      <w:r w:rsidR="00CD5A09">
        <w:t>a</w:t>
      </w:r>
      <w:r w:rsidRPr="00AE6EDB">
        <w:t>, t. j. 3,1</w:t>
      </w:r>
      <w:r w:rsidR="005676EF">
        <w:t> %</w:t>
      </w:r>
      <w:r w:rsidRPr="00AE6EDB">
        <w:t xml:space="preserve"> nárast oproti roku 2014. Na túto dávku bolo vynaložených 24,9 mil.</w:t>
      </w:r>
      <w:r w:rsidR="0054295F">
        <w:t> eur</w:t>
      </w:r>
      <w:r w:rsidRPr="00AE6EDB">
        <w:t xml:space="preserve"> (53,4</w:t>
      </w:r>
      <w:r w:rsidR="005676EF">
        <w:t> %</w:t>
      </w:r>
      <w:r w:rsidRPr="00AE6EDB">
        <w:t xml:space="preserve"> všetkých výdavkov základného fondu úrazového poistenia). Druhou najpočetnejšie vyplácanou dávkou bol úrazový príplatok v rozsahu 2</w:t>
      </w:r>
      <w:r w:rsidR="00AC44CB">
        <w:t>7 6</w:t>
      </w:r>
      <w:r w:rsidRPr="00AE6EDB">
        <w:t>80 prípadov, čo oproti roku 2014 predstavuje pokles o 2,4</w:t>
      </w:r>
      <w:r w:rsidR="005676EF">
        <w:t> %</w:t>
      </w:r>
      <w:r w:rsidRPr="00AE6EDB">
        <w:t>. Najvyššiu priemernú výšku na jeden prípad predstavovali dávky: náhrada za sťaženie spoločenského uplatnenia (1</w:t>
      </w:r>
      <w:r w:rsidR="00AC44CB">
        <w:t>6 4</w:t>
      </w:r>
      <w:r w:rsidRPr="00AE6EDB">
        <w:t>73</w:t>
      </w:r>
      <w:r w:rsidR="0054295F">
        <w:t> eur</w:t>
      </w:r>
      <w:r w:rsidRPr="00AE6EDB">
        <w:t>) a náhrada za stratu zárobku po skončení pracovnej neschopnosti (1</w:t>
      </w:r>
      <w:r w:rsidR="0054295F">
        <w:t>3 8</w:t>
      </w:r>
      <w:r w:rsidRPr="00AE6EDB">
        <w:t>34</w:t>
      </w:r>
      <w:r w:rsidR="0054295F">
        <w:t> eur</w:t>
      </w:r>
      <w:r w:rsidRPr="00AE6EDB">
        <w:t>) – ide však o menej početné dávky.</w:t>
      </w:r>
      <w:r w:rsidR="006C624A" w:rsidRPr="00AE6EDB">
        <w:rPr>
          <w:rStyle w:val="Odkaznapoznmkupodiarou"/>
        </w:rPr>
        <w:t xml:space="preserve"> </w:t>
      </w:r>
      <w:r w:rsidR="006C624A" w:rsidRPr="00AE6EDB">
        <w:rPr>
          <w:rStyle w:val="Odkaznapoznmkupodiarou"/>
        </w:rPr>
        <w:footnoteReference w:id="31"/>
      </w:r>
    </w:p>
    <w:p w:rsidR="002625B2" w:rsidRPr="00AE6EDB" w:rsidRDefault="002625B2" w:rsidP="002625B2">
      <w:pPr>
        <w:pStyle w:val="Nadpis6"/>
      </w:pPr>
      <w:bookmarkStart w:id="260" w:name="_Toc422233418"/>
      <w:bookmarkStart w:id="261" w:name="_Toc452469875"/>
      <w:r w:rsidRPr="00AE6EDB">
        <w:t>Garančné poistenie</w:t>
      </w:r>
      <w:bookmarkEnd w:id="257"/>
      <w:bookmarkEnd w:id="258"/>
      <w:bookmarkEnd w:id="259"/>
      <w:bookmarkEnd w:id="260"/>
      <w:bookmarkEnd w:id="261"/>
    </w:p>
    <w:p w:rsidR="002625B2" w:rsidRPr="00AE6EDB" w:rsidRDefault="002625B2" w:rsidP="002625B2">
      <w:pPr>
        <w:pStyle w:val="Normlnysozarkami12"/>
        <w:ind w:firstLine="431"/>
        <w:rPr>
          <w:bCs/>
          <w:szCs w:val="22"/>
        </w:rPr>
      </w:pPr>
      <w:bookmarkStart w:id="262" w:name="_Toc294027056"/>
      <w:bookmarkStart w:id="263" w:name="_Toc294029295"/>
      <w:bookmarkStart w:id="264" w:name="_Toc313878786"/>
      <w:bookmarkStart w:id="265" w:name="_Toc325438169"/>
      <w:bookmarkStart w:id="266" w:name="_Toc325440938"/>
      <w:bookmarkStart w:id="267" w:name="_Toc356482680"/>
      <w:r w:rsidRPr="00AE6EDB">
        <w:rPr>
          <w:bCs/>
          <w:szCs w:val="22"/>
        </w:rPr>
        <w:t>Garančné poistenie je poistením pre prípad platobnej neschopnosti zamestnávateľa na uspokojenie nárokov zamestnanca. Pri tomto druhu poistenia platí poistné len zamestnávateľ a poisteným je zamestnanec, pre prípad platobnej neschopnosti zamestnávateľa. 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povinné príspevky na starobné dôchodkové sporenie nezaplatené zamestnávateľom do základného fondu príspevkov na starobné dôchodkové sporenie v zákonom ustanovenej lehote. V rámci garančného poistenia nevystupuje ako subjekt SZČO a vzhľadom na charakter poistných vzťahov nie je daná ani možnosť dobrovoľnej účasti na tomto druhu poistenia</w:t>
      </w:r>
      <w:r w:rsidRPr="00AE6EDB">
        <w:rPr>
          <w:rStyle w:val="Odkaznapoznmkupodiarou"/>
          <w:bCs/>
          <w:szCs w:val="22"/>
        </w:rPr>
        <w:footnoteReference w:id="32"/>
      </w:r>
      <w:r w:rsidRPr="00AE6EDB">
        <w:rPr>
          <w:bCs/>
          <w:szCs w:val="22"/>
        </w:rPr>
        <w:t>.</w:t>
      </w:r>
    </w:p>
    <w:bookmarkEnd w:id="262"/>
    <w:bookmarkEnd w:id="263"/>
    <w:bookmarkEnd w:id="264"/>
    <w:bookmarkEnd w:id="265"/>
    <w:bookmarkEnd w:id="266"/>
    <w:bookmarkEnd w:id="267"/>
    <w:p w:rsidR="002625B2" w:rsidRPr="00AE6EDB" w:rsidRDefault="002625B2" w:rsidP="002625B2">
      <w:pPr>
        <w:ind w:firstLine="431"/>
      </w:pPr>
      <w:r w:rsidRPr="00AE6EDB">
        <w:t xml:space="preserve">Za rok 2015 bolo vyplatených </w:t>
      </w:r>
      <w:r w:rsidR="0054295F">
        <w:t>2 3</w:t>
      </w:r>
      <w:r w:rsidRPr="00AE6EDB">
        <w:t>53 dávok (tabuľka 3.4), čo v porovnaní s rokom 2014 predstavuje pokles o 23,5</w:t>
      </w:r>
      <w:r w:rsidR="005676EF">
        <w:t> %</w:t>
      </w:r>
      <w:r w:rsidRPr="00AE6EDB">
        <w:t>. Celkový objem vyplatených prostriedkov na dávku garančného poistenia bol 12,7 mil.</w:t>
      </w:r>
      <w:r w:rsidR="0054295F">
        <w:t> eur</w:t>
      </w:r>
      <w:r w:rsidRPr="00AE6EDB">
        <w:t xml:space="preserve"> (vrátane povinných príspevkov na starobné dôchodkové sporenie nezaplatených zamestnávateľom do základného fondu príspevkov na starobné sporenie v zákonom ustanovenej lehote), oproti predchádzajúcemu roku ide o 10,6-percentné zníženie. </w:t>
      </w:r>
    </w:p>
    <w:p w:rsidR="002625B2" w:rsidRPr="00AE6EDB" w:rsidRDefault="002625B2" w:rsidP="002625B2">
      <w:pPr>
        <w:ind w:firstLine="431"/>
        <w:rPr>
          <w:rFonts w:ascii="Arial" w:hAnsi="Arial" w:cs="Arial"/>
          <w:sz w:val="20"/>
          <w:szCs w:val="20"/>
        </w:rPr>
      </w:pPr>
      <w:r w:rsidRPr="00AE6EDB">
        <w:t xml:space="preserve">Priemerná výška dávky za rok 2015 činila </w:t>
      </w:r>
      <w:r w:rsidR="0054295F">
        <w:rPr>
          <w:szCs w:val="22"/>
        </w:rPr>
        <w:t>1 5</w:t>
      </w:r>
      <w:r w:rsidRPr="00AE6EDB">
        <w:rPr>
          <w:szCs w:val="22"/>
        </w:rPr>
        <w:t>97,98</w:t>
      </w:r>
      <w:r w:rsidR="0054295F">
        <w:rPr>
          <w:szCs w:val="22"/>
        </w:rPr>
        <w:t> eur</w:t>
      </w:r>
      <w:r w:rsidRPr="00AE6EDB">
        <w:t>a, čo predstavuje nárast o 19,4</w:t>
      </w:r>
      <w:r w:rsidR="005676EF">
        <w:t> %</w:t>
      </w:r>
      <w:r w:rsidRPr="00AE6EDB">
        <w:t xml:space="preserve"> oproti roku 2014.</w:t>
      </w:r>
    </w:p>
    <w:p w:rsidR="002625B2" w:rsidRPr="00AE6EDB" w:rsidRDefault="002625B2" w:rsidP="002625B2">
      <w:pPr>
        <w:pStyle w:val="Nadpis7"/>
      </w:pPr>
      <w:r w:rsidRPr="00AE6EDB">
        <w:lastRenderedPageBreak/>
        <w:t xml:space="preserve">Tabuľka 3.4 Výdavky na dávku garančného poistenia, počet prípadov a priemerná </w:t>
      </w:r>
      <w:r w:rsidRPr="00AE6EDB">
        <w:br/>
        <w:t>výška dávky v eurách v roku 2015</w:t>
      </w:r>
    </w:p>
    <w:tbl>
      <w:tblPr>
        <w:tblW w:w="698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022"/>
        <w:gridCol w:w="1618"/>
        <w:gridCol w:w="1619"/>
        <w:gridCol w:w="1724"/>
      </w:tblGrid>
      <w:tr w:rsidR="002625B2" w:rsidRPr="00AE6EDB" w:rsidTr="002625B2">
        <w:trPr>
          <w:trHeight w:val="749"/>
          <w:jc w:val="center"/>
        </w:trPr>
        <w:tc>
          <w:tcPr>
            <w:tcW w:w="202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68" w:name="_Toc294019733"/>
            <w:bookmarkStart w:id="269" w:name="_Toc294027057"/>
            <w:bookmarkStart w:id="270" w:name="_Toc294029296"/>
            <w:bookmarkStart w:id="271" w:name="_Toc313878787"/>
            <w:r w:rsidRPr="00AE6EDB">
              <w:rPr>
                <w:b/>
                <w:color w:val="FFFFFF" w:themeColor="background1"/>
              </w:rPr>
              <w:t>Obdobie</w:t>
            </w:r>
            <w:bookmarkEnd w:id="268"/>
            <w:bookmarkEnd w:id="269"/>
            <w:bookmarkEnd w:id="270"/>
            <w:bookmarkEnd w:id="271"/>
          </w:p>
        </w:tc>
        <w:tc>
          <w:tcPr>
            <w:tcW w:w="161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bookmarkStart w:id="272" w:name="_Toc294019734"/>
            <w:bookmarkStart w:id="273" w:name="_Toc294027058"/>
            <w:bookmarkStart w:id="274" w:name="_Toc294029297"/>
            <w:bookmarkStart w:id="275" w:name="_Toc313878788"/>
            <w:r w:rsidRPr="00AE6EDB">
              <w:rPr>
                <w:b/>
                <w:color w:val="FFFFFF" w:themeColor="background1"/>
              </w:rPr>
              <w:t>Počet prípadov</w:t>
            </w:r>
            <w:bookmarkEnd w:id="272"/>
            <w:bookmarkEnd w:id="273"/>
            <w:bookmarkEnd w:id="274"/>
            <w:bookmarkEnd w:id="275"/>
          </w:p>
        </w:tc>
        <w:tc>
          <w:tcPr>
            <w:tcW w:w="1619"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625B2" w:rsidRPr="00AE6EDB" w:rsidRDefault="002625B2" w:rsidP="002625B2">
            <w:pPr>
              <w:jc w:val="center"/>
              <w:rPr>
                <w:b/>
                <w:color w:val="FFFFFF" w:themeColor="background1"/>
              </w:rPr>
            </w:pPr>
            <w:bookmarkStart w:id="276" w:name="_Toc294019735"/>
            <w:bookmarkStart w:id="277" w:name="_Toc294027059"/>
            <w:bookmarkStart w:id="278" w:name="_Toc294029298"/>
            <w:bookmarkStart w:id="279" w:name="_Toc313878789"/>
            <w:r w:rsidRPr="00AE6EDB">
              <w:rPr>
                <w:b/>
                <w:color w:val="FFFFFF" w:themeColor="background1"/>
              </w:rPr>
              <w:t>Priemerná výška dávky v €</w:t>
            </w:r>
            <w:bookmarkEnd w:id="276"/>
            <w:bookmarkEnd w:id="277"/>
            <w:bookmarkEnd w:id="278"/>
            <w:bookmarkEnd w:id="279"/>
          </w:p>
        </w:tc>
        <w:tc>
          <w:tcPr>
            <w:tcW w:w="172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AE6EDB" w:rsidRDefault="002625B2" w:rsidP="002625B2">
            <w:pPr>
              <w:jc w:val="center"/>
              <w:rPr>
                <w:b/>
                <w:color w:val="FFFFFF" w:themeColor="background1"/>
              </w:rPr>
            </w:pPr>
            <w:bookmarkStart w:id="280" w:name="_Toc294019736"/>
            <w:bookmarkStart w:id="281" w:name="_Toc294027060"/>
            <w:bookmarkStart w:id="282" w:name="_Toc294029299"/>
            <w:bookmarkStart w:id="283" w:name="_Toc313878790"/>
            <w:r w:rsidRPr="00AE6EDB">
              <w:rPr>
                <w:b/>
                <w:color w:val="FFFFFF" w:themeColor="background1"/>
              </w:rPr>
              <w:t>Výdavky na dávku garančného poistenia v tis. €</w:t>
            </w:r>
            <w:bookmarkEnd w:id="280"/>
            <w:bookmarkEnd w:id="281"/>
            <w:bookmarkEnd w:id="282"/>
            <w:bookmarkEnd w:id="283"/>
          </w:p>
        </w:tc>
      </w:tr>
      <w:tr w:rsidR="002625B2" w:rsidRPr="00AE6EDB" w:rsidTr="002625B2">
        <w:trPr>
          <w:trHeight w:val="275"/>
          <w:jc w:val="center"/>
        </w:trPr>
        <w:tc>
          <w:tcPr>
            <w:tcW w:w="2022" w:type="dxa"/>
            <w:tcBorders>
              <w:top w:val="single" w:sz="6" w:space="0" w:color="BF0000" w:themeColor="accent3" w:themeShade="BF"/>
            </w:tcBorders>
            <w:noWrap/>
            <w:vAlign w:val="bottom"/>
          </w:tcPr>
          <w:p w:rsidR="002625B2" w:rsidRPr="00AE6EDB" w:rsidRDefault="002625B2" w:rsidP="002625B2">
            <w:bookmarkStart w:id="284" w:name="_Toc294019737"/>
            <w:bookmarkStart w:id="285" w:name="_Toc294027061"/>
            <w:bookmarkStart w:id="286" w:name="_Toc294029300"/>
            <w:bookmarkStart w:id="287" w:name="_Toc313878791"/>
            <w:r w:rsidRPr="00AE6EDB">
              <w:t>Január</w:t>
            </w:r>
            <w:bookmarkEnd w:id="284"/>
            <w:bookmarkEnd w:id="285"/>
            <w:bookmarkEnd w:id="286"/>
            <w:bookmarkEnd w:id="287"/>
          </w:p>
        </w:tc>
        <w:tc>
          <w:tcPr>
            <w:tcW w:w="1618" w:type="dxa"/>
            <w:tcBorders>
              <w:top w:val="single" w:sz="6" w:space="0" w:color="BF0000" w:themeColor="accent3" w:themeShade="BF"/>
            </w:tcBorders>
            <w:noWrap/>
            <w:vAlign w:val="bottom"/>
          </w:tcPr>
          <w:p w:rsidR="002625B2" w:rsidRPr="00AE6EDB" w:rsidRDefault="002625B2" w:rsidP="002625B2">
            <w:pPr>
              <w:ind w:right="414"/>
              <w:jc w:val="right"/>
              <w:rPr>
                <w:szCs w:val="22"/>
              </w:rPr>
            </w:pPr>
            <w:r w:rsidRPr="00AE6EDB">
              <w:rPr>
                <w:szCs w:val="22"/>
              </w:rPr>
              <w:t>83</w:t>
            </w:r>
          </w:p>
        </w:tc>
        <w:tc>
          <w:tcPr>
            <w:tcW w:w="1619" w:type="dxa"/>
            <w:tcBorders>
              <w:top w:val="single" w:sz="6" w:space="0" w:color="BF0000" w:themeColor="accent3" w:themeShade="BF"/>
            </w:tcBorders>
            <w:noWrap/>
            <w:vAlign w:val="bottom"/>
          </w:tcPr>
          <w:p w:rsidR="002625B2" w:rsidRPr="00AE6EDB" w:rsidRDefault="0054295F" w:rsidP="002625B2">
            <w:pPr>
              <w:ind w:right="414"/>
              <w:jc w:val="right"/>
              <w:rPr>
                <w:szCs w:val="22"/>
              </w:rPr>
            </w:pPr>
            <w:r>
              <w:rPr>
                <w:szCs w:val="22"/>
              </w:rPr>
              <w:t>1 4</w:t>
            </w:r>
            <w:r w:rsidR="002625B2" w:rsidRPr="00AE6EDB">
              <w:rPr>
                <w:szCs w:val="22"/>
              </w:rPr>
              <w:t>58,18</w:t>
            </w:r>
          </w:p>
        </w:tc>
        <w:tc>
          <w:tcPr>
            <w:tcW w:w="1724" w:type="dxa"/>
            <w:tcBorders>
              <w:top w:val="single" w:sz="6" w:space="0" w:color="BF0000" w:themeColor="accent3" w:themeShade="BF"/>
            </w:tcBorders>
            <w:noWrap/>
          </w:tcPr>
          <w:p w:rsidR="002625B2" w:rsidRPr="00AE6EDB" w:rsidRDefault="002625B2" w:rsidP="002625B2">
            <w:pPr>
              <w:ind w:right="414"/>
              <w:jc w:val="right"/>
              <w:rPr>
                <w:szCs w:val="22"/>
              </w:rPr>
            </w:pPr>
            <w:r w:rsidRPr="00AE6EDB">
              <w:rPr>
                <w:szCs w:val="22"/>
              </w:rPr>
              <w:t>114,0</w:t>
            </w:r>
          </w:p>
        </w:tc>
      </w:tr>
      <w:tr w:rsidR="002625B2" w:rsidRPr="00AE6EDB" w:rsidTr="002625B2">
        <w:trPr>
          <w:trHeight w:val="275"/>
          <w:jc w:val="center"/>
        </w:trPr>
        <w:tc>
          <w:tcPr>
            <w:tcW w:w="2022" w:type="dxa"/>
            <w:noWrap/>
            <w:vAlign w:val="bottom"/>
          </w:tcPr>
          <w:p w:rsidR="002625B2" w:rsidRPr="00AE6EDB" w:rsidRDefault="002625B2" w:rsidP="002625B2">
            <w:bookmarkStart w:id="288" w:name="_Toc294019741"/>
            <w:bookmarkStart w:id="289" w:name="_Toc294027065"/>
            <w:bookmarkStart w:id="290" w:name="_Toc294029304"/>
            <w:bookmarkStart w:id="291" w:name="_Toc313878795"/>
            <w:r w:rsidRPr="00AE6EDB">
              <w:t>Február</w:t>
            </w:r>
            <w:bookmarkEnd w:id="288"/>
            <w:bookmarkEnd w:id="289"/>
            <w:bookmarkEnd w:id="290"/>
            <w:bookmarkEnd w:id="291"/>
          </w:p>
        </w:tc>
        <w:tc>
          <w:tcPr>
            <w:tcW w:w="1618" w:type="dxa"/>
            <w:noWrap/>
            <w:vAlign w:val="bottom"/>
          </w:tcPr>
          <w:p w:rsidR="002625B2" w:rsidRPr="00AE6EDB" w:rsidRDefault="002625B2" w:rsidP="002625B2">
            <w:pPr>
              <w:ind w:right="414"/>
              <w:jc w:val="right"/>
              <w:rPr>
                <w:szCs w:val="22"/>
              </w:rPr>
            </w:pPr>
            <w:r w:rsidRPr="00AE6EDB">
              <w:rPr>
                <w:szCs w:val="22"/>
              </w:rPr>
              <w:t>149</w:t>
            </w:r>
          </w:p>
        </w:tc>
        <w:tc>
          <w:tcPr>
            <w:tcW w:w="1619" w:type="dxa"/>
            <w:noWrap/>
            <w:vAlign w:val="bottom"/>
          </w:tcPr>
          <w:p w:rsidR="002625B2" w:rsidRPr="00AE6EDB" w:rsidRDefault="0054295F" w:rsidP="002625B2">
            <w:pPr>
              <w:ind w:right="414"/>
              <w:jc w:val="right"/>
              <w:rPr>
                <w:szCs w:val="22"/>
              </w:rPr>
            </w:pPr>
            <w:r>
              <w:rPr>
                <w:szCs w:val="22"/>
              </w:rPr>
              <w:t>1 5</w:t>
            </w:r>
            <w:r w:rsidR="002625B2" w:rsidRPr="00AE6EDB">
              <w:rPr>
                <w:szCs w:val="22"/>
              </w:rPr>
              <w:t>51,91</w:t>
            </w:r>
          </w:p>
        </w:tc>
        <w:tc>
          <w:tcPr>
            <w:tcW w:w="1724" w:type="dxa"/>
            <w:noWrap/>
          </w:tcPr>
          <w:p w:rsidR="002625B2" w:rsidRPr="00AE6EDB" w:rsidRDefault="002625B2" w:rsidP="002625B2">
            <w:pPr>
              <w:ind w:right="414"/>
              <w:jc w:val="right"/>
              <w:rPr>
                <w:szCs w:val="22"/>
              </w:rPr>
            </w:pPr>
            <w:r w:rsidRPr="00AE6EDB">
              <w:rPr>
                <w:szCs w:val="22"/>
              </w:rPr>
              <w:t>224,2</w:t>
            </w:r>
          </w:p>
        </w:tc>
      </w:tr>
      <w:tr w:rsidR="002625B2" w:rsidRPr="00AE6EDB" w:rsidTr="002625B2">
        <w:trPr>
          <w:trHeight w:val="275"/>
          <w:jc w:val="center"/>
        </w:trPr>
        <w:tc>
          <w:tcPr>
            <w:tcW w:w="2022" w:type="dxa"/>
            <w:noWrap/>
            <w:vAlign w:val="bottom"/>
          </w:tcPr>
          <w:p w:rsidR="002625B2" w:rsidRPr="00AE6EDB" w:rsidRDefault="002625B2" w:rsidP="002625B2">
            <w:bookmarkStart w:id="292" w:name="_Toc294019745"/>
            <w:bookmarkStart w:id="293" w:name="_Toc294027069"/>
            <w:bookmarkStart w:id="294" w:name="_Toc294029308"/>
            <w:bookmarkStart w:id="295" w:name="_Toc313878799"/>
            <w:r w:rsidRPr="00AE6EDB">
              <w:t>Marec</w:t>
            </w:r>
            <w:bookmarkEnd w:id="292"/>
            <w:bookmarkEnd w:id="293"/>
            <w:bookmarkEnd w:id="294"/>
            <w:bookmarkEnd w:id="295"/>
          </w:p>
        </w:tc>
        <w:tc>
          <w:tcPr>
            <w:tcW w:w="1618" w:type="dxa"/>
            <w:noWrap/>
            <w:vAlign w:val="bottom"/>
          </w:tcPr>
          <w:p w:rsidR="002625B2" w:rsidRPr="00AE6EDB" w:rsidRDefault="002625B2" w:rsidP="002625B2">
            <w:pPr>
              <w:ind w:right="414"/>
              <w:jc w:val="right"/>
              <w:rPr>
                <w:szCs w:val="22"/>
              </w:rPr>
            </w:pPr>
            <w:r w:rsidRPr="00AE6EDB">
              <w:rPr>
                <w:szCs w:val="22"/>
              </w:rPr>
              <w:t>148</w:t>
            </w:r>
          </w:p>
        </w:tc>
        <w:tc>
          <w:tcPr>
            <w:tcW w:w="1619" w:type="dxa"/>
            <w:noWrap/>
            <w:vAlign w:val="bottom"/>
          </w:tcPr>
          <w:p w:rsidR="002625B2" w:rsidRPr="00AE6EDB" w:rsidRDefault="0054295F" w:rsidP="002625B2">
            <w:pPr>
              <w:ind w:right="414"/>
              <w:jc w:val="right"/>
              <w:rPr>
                <w:szCs w:val="22"/>
              </w:rPr>
            </w:pPr>
            <w:r>
              <w:rPr>
                <w:szCs w:val="22"/>
              </w:rPr>
              <w:t>1 7</w:t>
            </w:r>
            <w:r w:rsidR="002625B2" w:rsidRPr="00AE6EDB">
              <w:rPr>
                <w:szCs w:val="22"/>
              </w:rPr>
              <w:t>55,00</w:t>
            </w:r>
          </w:p>
        </w:tc>
        <w:tc>
          <w:tcPr>
            <w:tcW w:w="1724" w:type="dxa"/>
            <w:noWrap/>
          </w:tcPr>
          <w:p w:rsidR="002625B2" w:rsidRPr="00AE6EDB" w:rsidRDefault="002625B2" w:rsidP="002625B2">
            <w:pPr>
              <w:ind w:right="414"/>
              <w:jc w:val="right"/>
              <w:rPr>
                <w:szCs w:val="22"/>
              </w:rPr>
            </w:pPr>
            <w:r w:rsidRPr="00AE6EDB">
              <w:rPr>
                <w:szCs w:val="22"/>
              </w:rPr>
              <w:t>252,7</w:t>
            </w:r>
          </w:p>
        </w:tc>
      </w:tr>
      <w:tr w:rsidR="002625B2" w:rsidRPr="00AE6EDB" w:rsidTr="002625B2">
        <w:trPr>
          <w:trHeight w:val="275"/>
          <w:jc w:val="center"/>
        </w:trPr>
        <w:tc>
          <w:tcPr>
            <w:tcW w:w="2022" w:type="dxa"/>
            <w:noWrap/>
            <w:vAlign w:val="bottom"/>
          </w:tcPr>
          <w:p w:rsidR="002625B2" w:rsidRPr="00AE6EDB" w:rsidRDefault="002625B2" w:rsidP="002625B2">
            <w:bookmarkStart w:id="296" w:name="_Toc294019749"/>
            <w:bookmarkStart w:id="297" w:name="_Toc294027073"/>
            <w:bookmarkStart w:id="298" w:name="_Toc294029312"/>
            <w:bookmarkStart w:id="299" w:name="_Toc313878803"/>
            <w:r w:rsidRPr="00AE6EDB">
              <w:t>Apríl</w:t>
            </w:r>
            <w:bookmarkEnd w:id="296"/>
            <w:bookmarkEnd w:id="297"/>
            <w:bookmarkEnd w:id="298"/>
            <w:bookmarkEnd w:id="299"/>
          </w:p>
        </w:tc>
        <w:tc>
          <w:tcPr>
            <w:tcW w:w="1618" w:type="dxa"/>
            <w:noWrap/>
            <w:vAlign w:val="bottom"/>
          </w:tcPr>
          <w:p w:rsidR="002625B2" w:rsidRPr="00AE6EDB" w:rsidRDefault="002625B2" w:rsidP="002625B2">
            <w:pPr>
              <w:ind w:right="414"/>
              <w:jc w:val="right"/>
              <w:rPr>
                <w:szCs w:val="22"/>
              </w:rPr>
            </w:pPr>
            <w:r w:rsidRPr="00AE6EDB">
              <w:rPr>
                <w:szCs w:val="22"/>
              </w:rPr>
              <w:t>165</w:t>
            </w:r>
          </w:p>
        </w:tc>
        <w:tc>
          <w:tcPr>
            <w:tcW w:w="1619" w:type="dxa"/>
            <w:noWrap/>
            <w:vAlign w:val="bottom"/>
          </w:tcPr>
          <w:p w:rsidR="002625B2" w:rsidRPr="00AE6EDB" w:rsidRDefault="0054295F" w:rsidP="002625B2">
            <w:pPr>
              <w:ind w:right="414"/>
              <w:jc w:val="right"/>
              <w:rPr>
                <w:szCs w:val="22"/>
              </w:rPr>
            </w:pPr>
            <w:r>
              <w:rPr>
                <w:szCs w:val="22"/>
              </w:rPr>
              <w:t>1 6</w:t>
            </w:r>
            <w:r w:rsidR="002625B2" w:rsidRPr="00AE6EDB">
              <w:rPr>
                <w:szCs w:val="22"/>
              </w:rPr>
              <w:t>47,95</w:t>
            </w:r>
          </w:p>
        </w:tc>
        <w:tc>
          <w:tcPr>
            <w:tcW w:w="1724" w:type="dxa"/>
            <w:noWrap/>
          </w:tcPr>
          <w:p w:rsidR="002625B2" w:rsidRPr="00AE6EDB" w:rsidRDefault="002625B2" w:rsidP="002625B2">
            <w:pPr>
              <w:ind w:right="414"/>
              <w:jc w:val="right"/>
              <w:rPr>
                <w:szCs w:val="22"/>
              </w:rPr>
            </w:pPr>
            <w:r w:rsidRPr="00AE6EDB">
              <w:rPr>
                <w:szCs w:val="22"/>
              </w:rPr>
              <w:t>264,9</w:t>
            </w:r>
          </w:p>
        </w:tc>
      </w:tr>
      <w:tr w:rsidR="002625B2" w:rsidRPr="00AE6EDB" w:rsidTr="002625B2">
        <w:trPr>
          <w:trHeight w:val="275"/>
          <w:jc w:val="center"/>
        </w:trPr>
        <w:tc>
          <w:tcPr>
            <w:tcW w:w="2022" w:type="dxa"/>
            <w:noWrap/>
            <w:vAlign w:val="bottom"/>
          </w:tcPr>
          <w:p w:rsidR="002625B2" w:rsidRPr="00AE6EDB" w:rsidRDefault="002625B2" w:rsidP="002625B2">
            <w:bookmarkStart w:id="300" w:name="_Toc294019753"/>
            <w:bookmarkStart w:id="301" w:name="_Toc294027077"/>
            <w:bookmarkStart w:id="302" w:name="_Toc294029316"/>
            <w:bookmarkStart w:id="303" w:name="_Toc313878807"/>
            <w:r w:rsidRPr="00AE6EDB">
              <w:t>Máj</w:t>
            </w:r>
            <w:bookmarkEnd w:id="300"/>
            <w:bookmarkEnd w:id="301"/>
            <w:bookmarkEnd w:id="302"/>
            <w:bookmarkEnd w:id="303"/>
          </w:p>
        </w:tc>
        <w:tc>
          <w:tcPr>
            <w:tcW w:w="1618" w:type="dxa"/>
            <w:noWrap/>
            <w:vAlign w:val="bottom"/>
          </w:tcPr>
          <w:p w:rsidR="002625B2" w:rsidRPr="00AE6EDB" w:rsidRDefault="002625B2" w:rsidP="002625B2">
            <w:pPr>
              <w:ind w:right="414"/>
              <w:jc w:val="right"/>
              <w:rPr>
                <w:szCs w:val="22"/>
              </w:rPr>
            </w:pPr>
            <w:r w:rsidRPr="00AE6EDB">
              <w:rPr>
                <w:szCs w:val="22"/>
              </w:rPr>
              <w:t>398</w:t>
            </w:r>
          </w:p>
        </w:tc>
        <w:tc>
          <w:tcPr>
            <w:tcW w:w="1619" w:type="dxa"/>
            <w:noWrap/>
            <w:vAlign w:val="bottom"/>
          </w:tcPr>
          <w:p w:rsidR="002625B2" w:rsidRPr="00AE6EDB" w:rsidRDefault="0054295F" w:rsidP="002625B2">
            <w:pPr>
              <w:ind w:right="414"/>
              <w:jc w:val="right"/>
              <w:rPr>
                <w:szCs w:val="22"/>
              </w:rPr>
            </w:pPr>
            <w:r>
              <w:rPr>
                <w:szCs w:val="22"/>
              </w:rPr>
              <w:t>1 6</w:t>
            </w:r>
            <w:r w:rsidR="002625B2" w:rsidRPr="00AE6EDB">
              <w:rPr>
                <w:szCs w:val="22"/>
              </w:rPr>
              <w:t>27,46</w:t>
            </w:r>
          </w:p>
        </w:tc>
        <w:tc>
          <w:tcPr>
            <w:tcW w:w="1724" w:type="dxa"/>
            <w:noWrap/>
          </w:tcPr>
          <w:p w:rsidR="002625B2" w:rsidRPr="00AE6EDB" w:rsidRDefault="002625B2" w:rsidP="002625B2">
            <w:pPr>
              <w:ind w:right="414"/>
              <w:jc w:val="right"/>
              <w:rPr>
                <w:szCs w:val="22"/>
              </w:rPr>
            </w:pPr>
            <w:r w:rsidRPr="00AE6EDB">
              <w:rPr>
                <w:szCs w:val="22"/>
              </w:rPr>
              <w:t>640,7</w:t>
            </w:r>
          </w:p>
        </w:tc>
      </w:tr>
      <w:tr w:rsidR="002625B2" w:rsidRPr="00AE6EDB" w:rsidTr="002625B2">
        <w:trPr>
          <w:trHeight w:val="275"/>
          <w:jc w:val="center"/>
        </w:trPr>
        <w:tc>
          <w:tcPr>
            <w:tcW w:w="2022" w:type="dxa"/>
            <w:noWrap/>
            <w:vAlign w:val="bottom"/>
          </w:tcPr>
          <w:p w:rsidR="002625B2" w:rsidRPr="00AE6EDB" w:rsidRDefault="002625B2" w:rsidP="002625B2">
            <w:bookmarkStart w:id="304" w:name="_Toc294019757"/>
            <w:bookmarkStart w:id="305" w:name="_Toc294027081"/>
            <w:bookmarkStart w:id="306" w:name="_Toc294029320"/>
            <w:bookmarkStart w:id="307" w:name="_Toc313878811"/>
            <w:r w:rsidRPr="00AE6EDB">
              <w:t>Jún</w:t>
            </w:r>
            <w:bookmarkEnd w:id="304"/>
            <w:bookmarkEnd w:id="305"/>
            <w:bookmarkEnd w:id="306"/>
            <w:bookmarkEnd w:id="307"/>
          </w:p>
        </w:tc>
        <w:tc>
          <w:tcPr>
            <w:tcW w:w="1618" w:type="dxa"/>
            <w:noWrap/>
            <w:vAlign w:val="bottom"/>
          </w:tcPr>
          <w:p w:rsidR="002625B2" w:rsidRPr="00AE6EDB" w:rsidRDefault="002625B2" w:rsidP="002625B2">
            <w:pPr>
              <w:ind w:right="414"/>
              <w:jc w:val="right"/>
              <w:rPr>
                <w:szCs w:val="22"/>
              </w:rPr>
            </w:pPr>
            <w:r w:rsidRPr="00AE6EDB">
              <w:rPr>
                <w:szCs w:val="22"/>
              </w:rPr>
              <w:t>461</w:t>
            </w:r>
          </w:p>
        </w:tc>
        <w:tc>
          <w:tcPr>
            <w:tcW w:w="1619" w:type="dxa"/>
            <w:noWrap/>
            <w:vAlign w:val="bottom"/>
          </w:tcPr>
          <w:p w:rsidR="002625B2" w:rsidRPr="00AE6EDB" w:rsidRDefault="0054295F" w:rsidP="002625B2">
            <w:pPr>
              <w:ind w:right="414"/>
              <w:jc w:val="right"/>
              <w:rPr>
                <w:szCs w:val="22"/>
              </w:rPr>
            </w:pPr>
            <w:r>
              <w:rPr>
                <w:szCs w:val="22"/>
              </w:rPr>
              <w:t>1 7</w:t>
            </w:r>
            <w:r w:rsidR="002625B2" w:rsidRPr="00AE6EDB">
              <w:rPr>
                <w:szCs w:val="22"/>
              </w:rPr>
              <w:t>34,01</w:t>
            </w:r>
          </w:p>
        </w:tc>
        <w:tc>
          <w:tcPr>
            <w:tcW w:w="1724" w:type="dxa"/>
            <w:noWrap/>
          </w:tcPr>
          <w:p w:rsidR="002625B2" w:rsidRPr="00AE6EDB" w:rsidRDefault="002625B2" w:rsidP="002625B2">
            <w:pPr>
              <w:ind w:right="414"/>
              <w:jc w:val="right"/>
              <w:rPr>
                <w:szCs w:val="22"/>
              </w:rPr>
            </w:pPr>
            <w:r w:rsidRPr="00AE6EDB">
              <w:rPr>
                <w:szCs w:val="22"/>
              </w:rPr>
              <w:t>792,9</w:t>
            </w:r>
          </w:p>
        </w:tc>
      </w:tr>
      <w:tr w:rsidR="002625B2" w:rsidRPr="00AE6EDB" w:rsidTr="002625B2">
        <w:trPr>
          <w:trHeight w:val="275"/>
          <w:jc w:val="center"/>
        </w:trPr>
        <w:tc>
          <w:tcPr>
            <w:tcW w:w="2022" w:type="dxa"/>
            <w:noWrap/>
            <w:vAlign w:val="bottom"/>
          </w:tcPr>
          <w:p w:rsidR="002625B2" w:rsidRPr="00AE6EDB" w:rsidRDefault="002625B2" w:rsidP="002625B2">
            <w:bookmarkStart w:id="308" w:name="_Toc294019761"/>
            <w:bookmarkStart w:id="309" w:name="_Toc294027085"/>
            <w:bookmarkStart w:id="310" w:name="_Toc294029324"/>
            <w:bookmarkStart w:id="311" w:name="_Toc313878815"/>
            <w:r w:rsidRPr="00AE6EDB">
              <w:t>Júl</w:t>
            </w:r>
            <w:bookmarkEnd w:id="308"/>
            <w:bookmarkEnd w:id="309"/>
            <w:bookmarkEnd w:id="310"/>
            <w:bookmarkEnd w:id="311"/>
          </w:p>
        </w:tc>
        <w:tc>
          <w:tcPr>
            <w:tcW w:w="1618" w:type="dxa"/>
            <w:noWrap/>
            <w:vAlign w:val="bottom"/>
          </w:tcPr>
          <w:p w:rsidR="002625B2" w:rsidRPr="00AE6EDB" w:rsidRDefault="002625B2" w:rsidP="002625B2">
            <w:pPr>
              <w:ind w:right="414"/>
              <w:jc w:val="right"/>
              <w:rPr>
                <w:szCs w:val="22"/>
              </w:rPr>
            </w:pPr>
            <w:r w:rsidRPr="00AE6EDB">
              <w:rPr>
                <w:szCs w:val="22"/>
              </w:rPr>
              <w:t>218</w:t>
            </w:r>
          </w:p>
        </w:tc>
        <w:tc>
          <w:tcPr>
            <w:tcW w:w="1619" w:type="dxa"/>
            <w:noWrap/>
            <w:vAlign w:val="bottom"/>
          </w:tcPr>
          <w:p w:rsidR="002625B2" w:rsidRPr="00AE6EDB" w:rsidRDefault="0054295F" w:rsidP="002625B2">
            <w:pPr>
              <w:ind w:right="414"/>
              <w:jc w:val="right"/>
              <w:rPr>
                <w:szCs w:val="22"/>
              </w:rPr>
            </w:pPr>
            <w:r>
              <w:rPr>
                <w:szCs w:val="22"/>
              </w:rPr>
              <w:t>1 7</w:t>
            </w:r>
            <w:r w:rsidR="002625B2" w:rsidRPr="00AE6EDB">
              <w:rPr>
                <w:szCs w:val="22"/>
              </w:rPr>
              <w:t>36,24</w:t>
            </w:r>
          </w:p>
        </w:tc>
        <w:tc>
          <w:tcPr>
            <w:tcW w:w="1724" w:type="dxa"/>
            <w:noWrap/>
          </w:tcPr>
          <w:p w:rsidR="002625B2" w:rsidRPr="00AE6EDB" w:rsidRDefault="002625B2" w:rsidP="002625B2">
            <w:pPr>
              <w:ind w:right="414"/>
              <w:jc w:val="right"/>
              <w:rPr>
                <w:szCs w:val="22"/>
              </w:rPr>
            </w:pPr>
            <w:r w:rsidRPr="00AE6EDB">
              <w:rPr>
                <w:szCs w:val="22"/>
              </w:rPr>
              <w:t>369,3</w:t>
            </w:r>
          </w:p>
        </w:tc>
      </w:tr>
      <w:tr w:rsidR="002625B2" w:rsidRPr="00AE6EDB" w:rsidTr="002625B2">
        <w:trPr>
          <w:trHeight w:val="275"/>
          <w:jc w:val="center"/>
        </w:trPr>
        <w:tc>
          <w:tcPr>
            <w:tcW w:w="2022" w:type="dxa"/>
            <w:noWrap/>
            <w:vAlign w:val="bottom"/>
          </w:tcPr>
          <w:p w:rsidR="002625B2" w:rsidRPr="00AE6EDB" w:rsidRDefault="002625B2" w:rsidP="002625B2">
            <w:bookmarkStart w:id="312" w:name="_Toc294019765"/>
            <w:bookmarkStart w:id="313" w:name="_Toc294027089"/>
            <w:bookmarkStart w:id="314" w:name="_Toc294029328"/>
            <w:bookmarkStart w:id="315" w:name="_Toc313878819"/>
            <w:r w:rsidRPr="00AE6EDB">
              <w:t>August</w:t>
            </w:r>
            <w:bookmarkEnd w:id="312"/>
            <w:bookmarkEnd w:id="313"/>
            <w:bookmarkEnd w:id="314"/>
            <w:bookmarkEnd w:id="315"/>
          </w:p>
        </w:tc>
        <w:tc>
          <w:tcPr>
            <w:tcW w:w="1618" w:type="dxa"/>
            <w:noWrap/>
            <w:vAlign w:val="bottom"/>
          </w:tcPr>
          <w:p w:rsidR="002625B2" w:rsidRPr="00AE6EDB" w:rsidRDefault="002625B2" w:rsidP="002625B2">
            <w:pPr>
              <w:ind w:right="414"/>
              <w:jc w:val="right"/>
              <w:rPr>
                <w:szCs w:val="22"/>
              </w:rPr>
            </w:pPr>
            <w:r w:rsidRPr="00AE6EDB">
              <w:rPr>
                <w:szCs w:val="22"/>
              </w:rPr>
              <w:t>210</w:t>
            </w:r>
          </w:p>
        </w:tc>
        <w:tc>
          <w:tcPr>
            <w:tcW w:w="1619" w:type="dxa"/>
            <w:noWrap/>
            <w:vAlign w:val="bottom"/>
          </w:tcPr>
          <w:p w:rsidR="002625B2" w:rsidRPr="00AE6EDB" w:rsidRDefault="0054295F" w:rsidP="002625B2">
            <w:pPr>
              <w:ind w:right="414"/>
              <w:jc w:val="right"/>
              <w:rPr>
                <w:szCs w:val="22"/>
              </w:rPr>
            </w:pPr>
            <w:r>
              <w:rPr>
                <w:szCs w:val="22"/>
              </w:rPr>
              <w:t>1 3</w:t>
            </w:r>
            <w:r w:rsidR="002625B2" w:rsidRPr="00AE6EDB">
              <w:rPr>
                <w:szCs w:val="22"/>
              </w:rPr>
              <w:t>63,82</w:t>
            </w:r>
          </w:p>
        </w:tc>
        <w:tc>
          <w:tcPr>
            <w:tcW w:w="1724" w:type="dxa"/>
            <w:noWrap/>
          </w:tcPr>
          <w:p w:rsidR="002625B2" w:rsidRPr="00AE6EDB" w:rsidRDefault="002625B2" w:rsidP="002625B2">
            <w:pPr>
              <w:ind w:right="414"/>
              <w:jc w:val="right"/>
              <w:rPr>
                <w:szCs w:val="22"/>
              </w:rPr>
            </w:pPr>
            <w:r w:rsidRPr="00AE6EDB">
              <w:rPr>
                <w:szCs w:val="22"/>
              </w:rPr>
              <w:t>279,4</w:t>
            </w:r>
          </w:p>
        </w:tc>
      </w:tr>
      <w:tr w:rsidR="002625B2" w:rsidRPr="00AE6EDB" w:rsidTr="002625B2">
        <w:trPr>
          <w:trHeight w:val="275"/>
          <w:jc w:val="center"/>
        </w:trPr>
        <w:tc>
          <w:tcPr>
            <w:tcW w:w="2022" w:type="dxa"/>
            <w:noWrap/>
            <w:vAlign w:val="bottom"/>
          </w:tcPr>
          <w:p w:rsidR="002625B2" w:rsidRPr="00AE6EDB" w:rsidRDefault="002625B2" w:rsidP="002625B2">
            <w:bookmarkStart w:id="316" w:name="_Toc294019769"/>
            <w:bookmarkStart w:id="317" w:name="_Toc294027093"/>
            <w:bookmarkStart w:id="318" w:name="_Toc294029332"/>
            <w:bookmarkStart w:id="319" w:name="_Toc313878823"/>
            <w:r w:rsidRPr="00AE6EDB">
              <w:t>September</w:t>
            </w:r>
            <w:bookmarkEnd w:id="316"/>
            <w:bookmarkEnd w:id="317"/>
            <w:bookmarkEnd w:id="318"/>
            <w:bookmarkEnd w:id="319"/>
          </w:p>
        </w:tc>
        <w:tc>
          <w:tcPr>
            <w:tcW w:w="1618" w:type="dxa"/>
            <w:noWrap/>
            <w:vAlign w:val="bottom"/>
          </w:tcPr>
          <w:p w:rsidR="002625B2" w:rsidRPr="00AE6EDB" w:rsidRDefault="002625B2" w:rsidP="002625B2">
            <w:pPr>
              <w:ind w:right="414"/>
              <w:jc w:val="right"/>
              <w:rPr>
                <w:szCs w:val="22"/>
              </w:rPr>
            </w:pPr>
            <w:r w:rsidRPr="00AE6EDB">
              <w:rPr>
                <w:szCs w:val="22"/>
              </w:rPr>
              <w:t>115</w:t>
            </w:r>
          </w:p>
        </w:tc>
        <w:tc>
          <w:tcPr>
            <w:tcW w:w="1619" w:type="dxa"/>
            <w:noWrap/>
            <w:vAlign w:val="bottom"/>
          </w:tcPr>
          <w:p w:rsidR="002625B2" w:rsidRPr="00AE6EDB" w:rsidRDefault="0054295F" w:rsidP="002625B2">
            <w:pPr>
              <w:ind w:right="414"/>
              <w:jc w:val="right"/>
              <w:rPr>
                <w:szCs w:val="22"/>
              </w:rPr>
            </w:pPr>
            <w:r>
              <w:rPr>
                <w:szCs w:val="22"/>
              </w:rPr>
              <w:t>1 3</w:t>
            </w:r>
            <w:r w:rsidR="002625B2" w:rsidRPr="00AE6EDB">
              <w:rPr>
                <w:szCs w:val="22"/>
              </w:rPr>
              <w:t>70,70</w:t>
            </w:r>
          </w:p>
        </w:tc>
        <w:tc>
          <w:tcPr>
            <w:tcW w:w="1724" w:type="dxa"/>
            <w:noWrap/>
          </w:tcPr>
          <w:p w:rsidR="002625B2" w:rsidRPr="00AE6EDB" w:rsidRDefault="002625B2" w:rsidP="002625B2">
            <w:pPr>
              <w:ind w:right="414"/>
              <w:jc w:val="right"/>
              <w:rPr>
                <w:szCs w:val="22"/>
              </w:rPr>
            </w:pPr>
            <w:r w:rsidRPr="00AE6EDB">
              <w:rPr>
                <w:szCs w:val="22"/>
              </w:rPr>
              <w:t>150,6</w:t>
            </w:r>
          </w:p>
        </w:tc>
      </w:tr>
      <w:tr w:rsidR="002625B2" w:rsidRPr="00AE6EDB" w:rsidTr="002625B2">
        <w:trPr>
          <w:trHeight w:val="275"/>
          <w:jc w:val="center"/>
        </w:trPr>
        <w:tc>
          <w:tcPr>
            <w:tcW w:w="2022" w:type="dxa"/>
            <w:noWrap/>
            <w:vAlign w:val="bottom"/>
          </w:tcPr>
          <w:p w:rsidR="002625B2" w:rsidRPr="00AE6EDB" w:rsidRDefault="002625B2" w:rsidP="002625B2">
            <w:bookmarkStart w:id="320" w:name="_Toc294019773"/>
            <w:bookmarkStart w:id="321" w:name="_Toc294027097"/>
            <w:bookmarkStart w:id="322" w:name="_Toc294029336"/>
            <w:bookmarkStart w:id="323" w:name="_Toc313878827"/>
            <w:r w:rsidRPr="00AE6EDB">
              <w:t>Október</w:t>
            </w:r>
            <w:bookmarkEnd w:id="320"/>
            <w:bookmarkEnd w:id="321"/>
            <w:bookmarkEnd w:id="322"/>
            <w:bookmarkEnd w:id="323"/>
          </w:p>
        </w:tc>
        <w:tc>
          <w:tcPr>
            <w:tcW w:w="1618" w:type="dxa"/>
            <w:noWrap/>
            <w:vAlign w:val="bottom"/>
          </w:tcPr>
          <w:p w:rsidR="002625B2" w:rsidRPr="00AE6EDB" w:rsidRDefault="002625B2" w:rsidP="002625B2">
            <w:pPr>
              <w:ind w:right="414"/>
              <w:jc w:val="right"/>
              <w:rPr>
                <w:szCs w:val="22"/>
              </w:rPr>
            </w:pPr>
            <w:r w:rsidRPr="00AE6EDB">
              <w:rPr>
                <w:szCs w:val="22"/>
              </w:rPr>
              <w:t>247</w:t>
            </w:r>
          </w:p>
        </w:tc>
        <w:tc>
          <w:tcPr>
            <w:tcW w:w="1619" w:type="dxa"/>
            <w:noWrap/>
            <w:vAlign w:val="bottom"/>
          </w:tcPr>
          <w:p w:rsidR="002625B2" w:rsidRPr="00AE6EDB" w:rsidRDefault="0054295F" w:rsidP="002625B2">
            <w:pPr>
              <w:ind w:right="414"/>
              <w:jc w:val="right"/>
              <w:rPr>
                <w:szCs w:val="22"/>
              </w:rPr>
            </w:pPr>
            <w:r>
              <w:rPr>
                <w:szCs w:val="22"/>
              </w:rPr>
              <w:t>1 6</w:t>
            </w:r>
            <w:r w:rsidR="002625B2" w:rsidRPr="00AE6EDB">
              <w:rPr>
                <w:szCs w:val="22"/>
              </w:rPr>
              <w:t>01,43</w:t>
            </w:r>
          </w:p>
        </w:tc>
        <w:tc>
          <w:tcPr>
            <w:tcW w:w="1724" w:type="dxa"/>
            <w:noWrap/>
          </w:tcPr>
          <w:p w:rsidR="002625B2" w:rsidRPr="00AE6EDB" w:rsidRDefault="002625B2" w:rsidP="002625B2">
            <w:pPr>
              <w:ind w:right="414"/>
              <w:jc w:val="right"/>
              <w:rPr>
                <w:szCs w:val="22"/>
              </w:rPr>
            </w:pPr>
            <w:r w:rsidRPr="00AE6EDB">
              <w:rPr>
                <w:szCs w:val="22"/>
              </w:rPr>
              <w:t>381,1</w:t>
            </w:r>
          </w:p>
        </w:tc>
      </w:tr>
      <w:tr w:rsidR="002625B2" w:rsidRPr="00AE6EDB" w:rsidTr="002625B2">
        <w:trPr>
          <w:trHeight w:val="275"/>
          <w:jc w:val="center"/>
        </w:trPr>
        <w:tc>
          <w:tcPr>
            <w:tcW w:w="2022" w:type="dxa"/>
            <w:noWrap/>
            <w:vAlign w:val="bottom"/>
          </w:tcPr>
          <w:p w:rsidR="002625B2" w:rsidRPr="00AE6EDB" w:rsidRDefault="002625B2" w:rsidP="002625B2">
            <w:bookmarkStart w:id="324" w:name="_Toc294019777"/>
            <w:bookmarkStart w:id="325" w:name="_Toc294027101"/>
            <w:bookmarkStart w:id="326" w:name="_Toc294029340"/>
            <w:bookmarkStart w:id="327" w:name="_Toc313878831"/>
            <w:r w:rsidRPr="00AE6EDB">
              <w:t>November</w:t>
            </w:r>
            <w:bookmarkEnd w:id="324"/>
            <w:bookmarkEnd w:id="325"/>
            <w:bookmarkEnd w:id="326"/>
            <w:bookmarkEnd w:id="327"/>
          </w:p>
        </w:tc>
        <w:tc>
          <w:tcPr>
            <w:tcW w:w="1618" w:type="dxa"/>
            <w:noWrap/>
            <w:vAlign w:val="bottom"/>
          </w:tcPr>
          <w:p w:rsidR="002625B2" w:rsidRPr="00AE6EDB" w:rsidRDefault="002625B2" w:rsidP="002625B2">
            <w:pPr>
              <w:ind w:right="414"/>
              <w:jc w:val="right"/>
              <w:rPr>
                <w:szCs w:val="22"/>
              </w:rPr>
            </w:pPr>
            <w:r w:rsidRPr="00AE6EDB">
              <w:rPr>
                <w:szCs w:val="22"/>
              </w:rPr>
              <w:t>92</w:t>
            </w:r>
          </w:p>
        </w:tc>
        <w:tc>
          <w:tcPr>
            <w:tcW w:w="1619" w:type="dxa"/>
            <w:noWrap/>
            <w:vAlign w:val="bottom"/>
          </w:tcPr>
          <w:p w:rsidR="002625B2" w:rsidRPr="00AE6EDB" w:rsidRDefault="0054295F" w:rsidP="002625B2">
            <w:pPr>
              <w:ind w:right="414"/>
              <w:jc w:val="right"/>
              <w:rPr>
                <w:szCs w:val="22"/>
              </w:rPr>
            </w:pPr>
            <w:r>
              <w:rPr>
                <w:szCs w:val="22"/>
              </w:rPr>
              <w:t>1 4</w:t>
            </w:r>
            <w:r w:rsidR="002625B2" w:rsidRPr="00AE6EDB">
              <w:rPr>
                <w:szCs w:val="22"/>
              </w:rPr>
              <w:t>13,88</w:t>
            </w:r>
          </w:p>
        </w:tc>
        <w:tc>
          <w:tcPr>
            <w:tcW w:w="1724" w:type="dxa"/>
            <w:noWrap/>
          </w:tcPr>
          <w:p w:rsidR="002625B2" w:rsidRPr="00AE6EDB" w:rsidRDefault="002625B2" w:rsidP="002625B2">
            <w:pPr>
              <w:ind w:right="414"/>
              <w:jc w:val="right"/>
              <w:rPr>
                <w:szCs w:val="22"/>
              </w:rPr>
            </w:pPr>
            <w:r w:rsidRPr="00AE6EDB">
              <w:rPr>
                <w:szCs w:val="22"/>
              </w:rPr>
              <w:t>130,1</w:t>
            </w:r>
          </w:p>
        </w:tc>
      </w:tr>
      <w:tr w:rsidR="002625B2" w:rsidRPr="00AE6EDB" w:rsidTr="002625B2">
        <w:trPr>
          <w:trHeight w:val="275"/>
          <w:jc w:val="center"/>
        </w:trPr>
        <w:tc>
          <w:tcPr>
            <w:tcW w:w="2022" w:type="dxa"/>
            <w:noWrap/>
            <w:vAlign w:val="bottom"/>
          </w:tcPr>
          <w:p w:rsidR="002625B2" w:rsidRPr="00AE6EDB" w:rsidRDefault="002625B2" w:rsidP="002625B2">
            <w:bookmarkStart w:id="328" w:name="_Toc294019781"/>
            <w:bookmarkStart w:id="329" w:name="_Toc294027105"/>
            <w:bookmarkStart w:id="330" w:name="_Toc294029344"/>
            <w:bookmarkStart w:id="331" w:name="_Toc313878835"/>
            <w:r w:rsidRPr="00AE6EDB">
              <w:t>December</w:t>
            </w:r>
            <w:bookmarkEnd w:id="328"/>
            <w:bookmarkEnd w:id="329"/>
            <w:bookmarkEnd w:id="330"/>
            <w:bookmarkEnd w:id="331"/>
          </w:p>
        </w:tc>
        <w:tc>
          <w:tcPr>
            <w:tcW w:w="1618" w:type="dxa"/>
            <w:noWrap/>
            <w:vAlign w:val="bottom"/>
          </w:tcPr>
          <w:p w:rsidR="002625B2" w:rsidRPr="00AE6EDB" w:rsidRDefault="002625B2" w:rsidP="002625B2">
            <w:pPr>
              <w:ind w:right="414"/>
              <w:jc w:val="right"/>
              <w:rPr>
                <w:szCs w:val="22"/>
              </w:rPr>
            </w:pPr>
            <w:r w:rsidRPr="00AE6EDB">
              <w:rPr>
                <w:szCs w:val="22"/>
              </w:rPr>
              <w:t>67</w:t>
            </w:r>
          </w:p>
        </w:tc>
        <w:tc>
          <w:tcPr>
            <w:tcW w:w="1619" w:type="dxa"/>
            <w:noWrap/>
            <w:vAlign w:val="bottom"/>
          </w:tcPr>
          <w:p w:rsidR="002625B2" w:rsidRPr="00AE6EDB" w:rsidRDefault="0054295F" w:rsidP="002625B2">
            <w:pPr>
              <w:ind w:right="414"/>
              <w:jc w:val="right"/>
              <w:rPr>
                <w:szCs w:val="22"/>
              </w:rPr>
            </w:pPr>
            <w:r>
              <w:rPr>
                <w:szCs w:val="22"/>
              </w:rPr>
              <w:t>1 2</w:t>
            </w:r>
            <w:r w:rsidR="002625B2" w:rsidRPr="00AE6EDB">
              <w:rPr>
                <w:szCs w:val="22"/>
              </w:rPr>
              <w:t>43,40</w:t>
            </w:r>
          </w:p>
        </w:tc>
        <w:tc>
          <w:tcPr>
            <w:tcW w:w="1724" w:type="dxa"/>
            <w:noWrap/>
          </w:tcPr>
          <w:p w:rsidR="002625B2" w:rsidRPr="00AE6EDB" w:rsidRDefault="002625B2" w:rsidP="002625B2">
            <w:pPr>
              <w:ind w:right="414"/>
              <w:jc w:val="right"/>
              <w:rPr>
                <w:szCs w:val="22"/>
              </w:rPr>
            </w:pPr>
            <w:r w:rsidRPr="00AE6EDB">
              <w:rPr>
                <w:szCs w:val="22"/>
              </w:rPr>
              <w:t>82,8</w:t>
            </w:r>
          </w:p>
        </w:tc>
      </w:tr>
      <w:tr w:rsidR="002625B2" w:rsidRPr="00AE6EDB" w:rsidTr="002625B2">
        <w:trPr>
          <w:trHeight w:val="275"/>
          <w:jc w:val="center"/>
        </w:trPr>
        <w:tc>
          <w:tcPr>
            <w:tcW w:w="2022" w:type="dxa"/>
            <w:noWrap/>
            <w:vAlign w:val="bottom"/>
          </w:tcPr>
          <w:p w:rsidR="002625B2" w:rsidRPr="00AE6EDB" w:rsidRDefault="002625B2" w:rsidP="002625B2">
            <w:pPr>
              <w:rPr>
                <w:b/>
              </w:rPr>
            </w:pPr>
            <w:bookmarkStart w:id="332" w:name="_Toc294019785"/>
            <w:bookmarkStart w:id="333" w:name="_Toc294027109"/>
            <w:bookmarkStart w:id="334" w:name="_Toc294029348"/>
            <w:bookmarkStart w:id="335" w:name="_Toc313878839"/>
            <w:r w:rsidRPr="00AE6EDB">
              <w:rPr>
                <w:b/>
              </w:rPr>
              <w:t>Celkom</w:t>
            </w:r>
            <w:bookmarkEnd w:id="332"/>
            <w:bookmarkEnd w:id="333"/>
            <w:bookmarkEnd w:id="334"/>
            <w:bookmarkEnd w:id="335"/>
          </w:p>
        </w:tc>
        <w:tc>
          <w:tcPr>
            <w:tcW w:w="1618" w:type="dxa"/>
            <w:noWrap/>
            <w:vAlign w:val="bottom"/>
          </w:tcPr>
          <w:p w:rsidR="002625B2" w:rsidRPr="00AE6EDB" w:rsidRDefault="0054295F" w:rsidP="002625B2">
            <w:pPr>
              <w:ind w:right="414"/>
              <w:jc w:val="right"/>
              <w:rPr>
                <w:b/>
                <w:szCs w:val="22"/>
              </w:rPr>
            </w:pPr>
            <w:r>
              <w:rPr>
                <w:b/>
                <w:szCs w:val="22"/>
              </w:rPr>
              <w:t>2 3</w:t>
            </w:r>
            <w:r w:rsidR="002625B2" w:rsidRPr="00AE6EDB">
              <w:rPr>
                <w:b/>
                <w:szCs w:val="22"/>
              </w:rPr>
              <w:t>53</w:t>
            </w:r>
          </w:p>
        </w:tc>
        <w:tc>
          <w:tcPr>
            <w:tcW w:w="1619" w:type="dxa"/>
            <w:noWrap/>
            <w:vAlign w:val="bottom"/>
          </w:tcPr>
          <w:p w:rsidR="002625B2" w:rsidRPr="00AE6EDB" w:rsidRDefault="002625B2" w:rsidP="002625B2">
            <w:pPr>
              <w:ind w:right="414"/>
              <w:jc w:val="right"/>
              <w:rPr>
                <w:b/>
                <w:szCs w:val="22"/>
              </w:rPr>
            </w:pPr>
            <w:r w:rsidRPr="00AE6EDB">
              <w:rPr>
                <w:b/>
                <w:szCs w:val="22"/>
              </w:rPr>
              <w:t>x</w:t>
            </w:r>
          </w:p>
        </w:tc>
        <w:tc>
          <w:tcPr>
            <w:tcW w:w="1724" w:type="dxa"/>
            <w:noWrap/>
          </w:tcPr>
          <w:p w:rsidR="002625B2" w:rsidRPr="00AE6EDB" w:rsidRDefault="0054295F" w:rsidP="002625B2">
            <w:pPr>
              <w:ind w:right="414"/>
              <w:jc w:val="right"/>
              <w:rPr>
                <w:b/>
                <w:szCs w:val="22"/>
              </w:rPr>
            </w:pPr>
            <w:r>
              <w:rPr>
                <w:b/>
                <w:szCs w:val="22"/>
              </w:rPr>
              <w:t>3 6</w:t>
            </w:r>
            <w:r w:rsidR="002625B2" w:rsidRPr="00AE6EDB">
              <w:rPr>
                <w:b/>
                <w:szCs w:val="22"/>
              </w:rPr>
              <w:t>82,9</w:t>
            </w:r>
          </w:p>
        </w:tc>
      </w:tr>
      <w:tr w:rsidR="002625B2" w:rsidRPr="00AE6EDB" w:rsidTr="002625B2">
        <w:trPr>
          <w:trHeight w:val="275"/>
          <w:jc w:val="center"/>
        </w:trPr>
        <w:tc>
          <w:tcPr>
            <w:tcW w:w="2022" w:type="dxa"/>
            <w:noWrap/>
            <w:vAlign w:val="bottom"/>
          </w:tcPr>
          <w:p w:rsidR="002625B2" w:rsidRPr="00AE6EDB" w:rsidRDefault="002625B2" w:rsidP="002625B2">
            <w:pPr>
              <w:rPr>
                <w:b/>
              </w:rPr>
            </w:pPr>
            <w:bookmarkStart w:id="336" w:name="_Toc294019789"/>
            <w:bookmarkStart w:id="337" w:name="_Toc294027113"/>
            <w:bookmarkStart w:id="338" w:name="_Toc294029352"/>
            <w:bookmarkStart w:id="339" w:name="_Toc313878843"/>
            <w:r w:rsidRPr="00AE6EDB">
              <w:rPr>
                <w:b/>
              </w:rPr>
              <w:t>Priemer</w:t>
            </w:r>
            <w:bookmarkEnd w:id="336"/>
            <w:bookmarkEnd w:id="337"/>
            <w:bookmarkEnd w:id="338"/>
            <w:bookmarkEnd w:id="339"/>
            <w:r w:rsidRPr="00AE6EDB">
              <w:rPr>
                <w:b/>
              </w:rPr>
              <w:t xml:space="preserve"> </w:t>
            </w:r>
          </w:p>
        </w:tc>
        <w:tc>
          <w:tcPr>
            <w:tcW w:w="1618" w:type="dxa"/>
            <w:noWrap/>
            <w:vAlign w:val="bottom"/>
          </w:tcPr>
          <w:p w:rsidR="002625B2" w:rsidRPr="00AE6EDB" w:rsidRDefault="002625B2" w:rsidP="002625B2">
            <w:pPr>
              <w:ind w:right="414"/>
              <w:jc w:val="right"/>
              <w:rPr>
                <w:b/>
                <w:szCs w:val="22"/>
              </w:rPr>
            </w:pPr>
            <w:r w:rsidRPr="00AE6EDB">
              <w:rPr>
                <w:b/>
                <w:szCs w:val="22"/>
              </w:rPr>
              <w:t>196</w:t>
            </w:r>
          </w:p>
        </w:tc>
        <w:tc>
          <w:tcPr>
            <w:tcW w:w="1619" w:type="dxa"/>
            <w:noWrap/>
            <w:vAlign w:val="bottom"/>
          </w:tcPr>
          <w:p w:rsidR="002625B2" w:rsidRPr="00AE6EDB" w:rsidRDefault="0054295F" w:rsidP="002625B2">
            <w:pPr>
              <w:ind w:right="414"/>
              <w:jc w:val="right"/>
              <w:rPr>
                <w:b/>
                <w:szCs w:val="22"/>
              </w:rPr>
            </w:pPr>
            <w:r>
              <w:rPr>
                <w:b/>
                <w:bCs/>
                <w:szCs w:val="22"/>
              </w:rPr>
              <w:t>1 5</w:t>
            </w:r>
            <w:r w:rsidR="002625B2" w:rsidRPr="00AE6EDB">
              <w:rPr>
                <w:b/>
                <w:bCs/>
                <w:szCs w:val="22"/>
              </w:rPr>
              <w:t>97,98</w:t>
            </w:r>
          </w:p>
        </w:tc>
        <w:tc>
          <w:tcPr>
            <w:tcW w:w="1724" w:type="dxa"/>
            <w:noWrap/>
          </w:tcPr>
          <w:p w:rsidR="002625B2" w:rsidRPr="00AE6EDB" w:rsidRDefault="002625B2" w:rsidP="002625B2">
            <w:pPr>
              <w:ind w:right="414"/>
              <w:jc w:val="right"/>
              <w:rPr>
                <w:b/>
                <w:szCs w:val="22"/>
              </w:rPr>
            </w:pPr>
            <w:r w:rsidRPr="00AE6EDB">
              <w:rPr>
                <w:b/>
                <w:szCs w:val="22"/>
              </w:rPr>
              <w:t>306,9</w:t>
            </w:r>
          </w:p>
        </w:tc>
      </w:tr>
    </w:tbl>
    <w:p w:rsidR="002625B2" w:rsidRPr="00AE6EDB" w:rsidRDefault="002625B2" w:rsidP="002625B2">
      <w:pPr>
        <w:pStyle w:val="zdroj"/>
        <w:ind w:firstLine="1134"/>
      </w:pPr>
      <w:r w:rsidRPr="00AE6EDB">
        <w:t>Zdroj: Sociálna poisťovňa</w:t>
      </w:r>
    </w:p>
    <w:p w:rsidR="002625B2" w:rsidRPr="00AE6EDB" w:rsidRDefault="002625B2" w:rsidP="002625B2">
      <w:pPr>
        <w:pStyle w:val="zdroj"/>
        <w:rPr>
          <w:color w:val="7F2016" w:themeColor="accent1"/>
          <w:highlight w:val="cyan"/>
        </w:rPr>
      </w:pPr>
    </w:p>
    <w:p w:rsidR="002625B2" w:rsidRPr="00AE6EDB" w:rsidRDefault="002625B2" w:rsidP="002625B2">
      <w:pPr>
        <w:pStyle w:val="Nadpis6"/>
      </w:pPr>
      <w:bookmarkStart w:id="340" w:name="_Toc325440939"/>
      <w:bookmarkStart w:id="341" w:name="_Toc356482681"/>
      <w:bookmarkStart w:id="342" w:name="_Toc356916012"/>
      <w:bookmarkStart w:id="343" w:name="_Toc422233419"/>
      <w:bookmarkStart w:id="344" w:name="_Toc452469876"/>
      <w:bookmarkEnd w:id="166"/>
      <w:bookmarkEnd w:id="167"/>
      <w:bookmarkEnd w:id="168"/>
      <w:r w:rsidRPr="00AE6EDB">
        <w:t>Poistenie v nezamestnanosti</w:t>
      </w:r>
      <w:bookmarkEnd w:id="340"/>
      <w:bookmarkEnd w:id="341"/>
      <w:bookmarkEnd w:id="342"/>
      <w:bookmarkEnd w:id="343"/>
      <w:bookmarkEnd w:id="344"/>
    </w:p>
    <w:p w:rsidR="002625B2" w:rsidRPr="00AE6EDB" w:rsidRDefault="002625B2" w:rsidP="002625B2">
      <w:pPr>
        <w:pStyle w:val="Normlnysozarkami12"/>
        <w:ind w:firstLine="431"/>
        <w:rPr>
          <w:bCs/>
          <w:szCs w:val="22"/>
        </w:rPr>
      </w:pPr>
      <w:r w:rsidRPr="00AE6EDB">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2625B2" w:rsidRPr="00AE6EDB" w:rsidRDefault="002625B2" w:rsidP="002625B2">
      <w:pPr>
        <w:ind w:firstLine="431"/>
        <w:rPr>
          <w:rFonts w:ascii="Arial" w:hAnsi="Arial" w:cs="Arial"/>
          <w:sz w:val="20"/>
          <w:szCs w:val="20"/>
        </w:rPr>
      </w:pPr>
      <w:r w:rsidRPr="00AE6EDB">
        <w:t>V roku 2015 predstavoval priemerný mesačný počet poberateľov dávky</w:t>
      </w:r>
      <w:r w:rsidRPr="00AE6EDB">
        <w:rPr>
          <w:vertAlign w:val="superscript"/>
        </w:rPr>
        <w:footnoteReference w:id="33"/>
      </w:r>
      <w:r w:rsidRPr="00AE6EDB">
        <w:t xml:space="preserve"> v nezamestnanosti 3</w:t>
      </w:r>
      <w:r w:rsidR="0054295F">
        <w:t>4 5</w:t>
      </w:r>
      <w:r w:rsidR="00056952">
        <w:t>57</w:t>
      </w:r>
      <w:r w:rsidRPr="00AE6EDB">
        <w:rPr>
          <w:szCs w:val="22"/>
        </w:rPr>
        <w:t xml:space="preserve"> </w:t>
      </w:r>
      <w:r w:rsidRPr="00AE6EDB">
        <w:t>osôb, t. j. pokles približne o 2,5</w:t>
      </w:r>
      <w:r w:rsidR="005676EF">
        <w:t> %</w:t>
      </w:r>
      <w:r w:rsidRPr="00AE6EDB">
        <w:t xml:space="preserve"> oproti priemernému mesačnému počtu v roku 2014. Počet osôb, ktoré v roku 2015 boli poberateľmi dávky v nezamestnanosti predstavuje 12</w:t>
      </w:r>
      <w:r w:rsidR="0054295F">
        <w:t>0 6</w:t>
      </w:r>
      <w:r w:rsidRPr="00AE6EDB">
        <w:t>63, z čoho bolo 6</w:t>
      </w:r>
      <w:r w:rsidR="0054295F">
        <w:t>1 4</w:t>
      </w:r>
      <w:r w:rsidRPr="00AE6EDB">
        <w:t>53 žien (50,9</w:t>
      </w:r>
      <w:r w:rsidR="005676EF">
        <w:t> %</w:t>
      </w:r>
      <w:r w:rsidRPr="00AE6EDB">
        <w:t>) a 5</w:t>
      </w:r>
      <w:r w:rsidR="00AC44CB">
        <w:t>9 2</w:t>
      </w:r>
      <w:r w:rsidRPr="00AE6EDB">
        <w:t>10 mužov (49,1</w:t>
      </w:r>
      <w:r w:rsidR="005676EF">
        <w:t> %</w:t>
      </w:r>
      <w:r w:rsidRPr="00AE6EDB">
        <w:t>). Z hľadiska vekovej štruktúry bol najväčší podiel poberateľov dávky v nezamestnanosti vo vekovej skupine 30 – 39 ročných (najväčšia skupina mužov poberateľov dávky v nezamestnanosti bola vo veku 25 – 34 rokov a najväčšia skupina žien poberate</w:t>
      </w:r>
      <w:r w:rsidR="00190942" w:rsidRPr="00AE6EDB">
        <w:t>liek</w:t>
      </w:r>
      <w:r w:rsidRPr="00AE6EDB">
        <w:t xml:space="preserve"> dávky v nezamestnanosti bola vo veku 30 – 39 rokov).</w:t>
      </w:r>
    </w:p>
    <w:p w:rsidR="002625B2" w:rsidRPr="00AE6EDB" w:rsidRDefault="002625B2" w:rsidP="002625B2">
      <w:pPr>
        <w:pStyle w:val="Normlnysozarkami12"/>
        <w:ind w:firstLine="431"/>
      </w:pPr>
      <w:r w:rsidRPr="00AE6EDB">
        <w:t>Výdavky na dávky v nezamestnanosti v roku 2015 dosiahli sumu 158,6 mil.</w:t>
      </w:r>
      <w:r w:rsidR="0054295F">
        <w:t> eur</w:t>
      </w:r>
      <w:r w:rsidRPr="00AE6EDB">
        <w:t>, t. j. nárast výdavkov o 2,5</w:t>
      </w:r>
      <w:r w:rsidR="005676EF">
        <w:t> %</w:t>
      </w:r>
      <w:r w:rsidRPr="00AE6EDB">
        <w:t xml:space="preserve"> oproti roku 2014. Priemerná mesačná výška dávky v roku 2015 bola 344,50</w:t>
      </w:r>
      <w:r w:rsidR="0054295F">
        <w:t> eur</w:t>
      </w:r>
      <w:r w:rsidRPr="00AE6EDB">
        <w:t>a, čo je o 3,5</w:t>
      </w:r>
      <w:r w:rsidR="005676EF">
        <w:t> %</w:t>
      </w:r>
      <w:r w:rsidRPr="00AE6EDB">
        <w:t xml:space="preserve"> viac ako v roku 2014.</w:t>
      </w:r>
    </w:p>
    <w:p w:rsidR="002625B2" w:rsidRPr="00AE6EDB" w:rsidRDefault="002625B2" w:rsidP="002625B2">
      <w:pPr>
        <w:pStyle w:val="Normlnysozarkami12"/>
        <w:ind w:firstLine="431"/>
        <w:rPr>
          <w:rFonts w:ascii="Times New Roman Bold" w:hAnsi="Times New Roman Bold"/>
          <w:b/>
          <w:bCs/>
          <w:iCs/>
          <w:sz w:val="28"/>
          <w:szCs w:val="22"/>
          <w:lang w:eastAsia="cs-CZ"/>
        </w:rPr>
      </w:pPr>
    </w:p>
    <w:p w:rsidR="00190942" w:rsidRPr="00AE6EDB" w:rsidRDefault="00190942">
      <w:pPr>
        <w:jc w:val="left"/>
        <w:rPr>
          <w:rFonts w:ascii="Times New Roman Bold" w:hAnsi="Times New Roman Bold"/>
          <w:b/>
          <w:bCs/>
          <w:iCs/>
          <w:color w:val="A42C1E" w:themeColor="accent2" w:themeShade="BF"/>
          <w:sz w:val="28"/>
          <w:szCs w:val="22"/>
          <w:lang w:eastAsia="cs-CZ"/>
        </w:rPr>
      </w:pPr>
      <w:bookmarkStart w:id="345" w:name="_Toc356916013"/>
      <w:bookmarkStart w:id="346" w:name="_Toc422233420"/>
      <w:bookmarkStart w:id="347" w:name="_Toc325440949"/>
      <w:bookmarkStart w:id="348" w:name="_Toc356482691"/>
      <w:bookmarkStart w:id="349" w:name="_Toc356916015"/>
      <w:r w:rsidRPr="00AE6EDB">
        <w:br w:type="page"/>
      </w:r>
    </w:p>
    <w:p w:rsidR="000A7585" w:rsidRPr="00AE6EDB" w:rsidRDefault="000A7585" w:rsidP="000A7585">
      <w:pPr>
        <w:pStyle w:val="nadpis2"/>
      </w:pPr>
      <w:bookmarkStart w:id="350" w:name="_Toc452469877"/>
      <w:r w:rsidRPr="00AE6EDB">
        <w:lastRenderedPageBreak/>
        <w:t>Dôchodkové sporenie</w:t>
      </w:r>
      <w:bookmarkEnd w:id="345"/>
      <w:bookmarkEnd w:id="346"/>
      <w:bookmarkEnd w:id="350"/>
    </w:p>
    <w:p w:rsidR="000A7585" w:rsidRPr="00AE6EDB" w:rsidRDefault="000A7585" w:rsidP="000A7585">
      <w:pPr>
        <w:ind w:firstLine="431"/>
      </w:pPr>
      <w:r w:rsidRPr="00AE6EDB">
        <w:t>Dôchodkové sporenie v súčasnosti tvorí starobné dôchodkové sporenie a doplnkové dôchodkové sporenie:</w:t>
      </w:r>
    </w:p>
    <w:p w:rsidR="000A7585" w:rsidRPr="00AE6EDB" w:rsidRDefault="000A7585" w:rsidP="000A7585">
      <w:pPr>
        <w:ind w:left="360" w:hanging="360"/>
      </w:pPr>
      <w:bookmarkStart w:id="351" w:name="_Toc165882926"/>
      <w:bookmarkStart w:id="352" w:name="_Toc325440941"/>
      <w:bookmarkStart w:id="353" w:name="_Toc356482683"/>
      <w:bookmarkStart w:id="354" w:name="_Toc356916014"/>
      <w:r w:rsidRPr="00AE6EDB">
        <w:rPr>
          <w:b/>
        </w:rPr>
        <w:t>II. pilier – starobné dôchodkové sporenie</w:t>
      </w:r>
      <w:r w:rsidRPr="00AE6EDB">
        <w:t>, príspevkovo definované, financované prostredníctvom kapitalizácie, vykonávané dôchodkovými správcovskými spoločnosťami na základe zákona č. 43/2004 Z. z. o starobnom dôchodkovom sporení a o zmene a doplnení niektorých zákonov v znení neskorších predpisov (ďalej len „zákon o starobnom dôchodkovom sporení“), ktorý nadobudol účinnosť 1. januára 2005.</w:t>
      </w:r>
    </w:p>
    <w:p w:rsidR="000A7585" w:rsidRPr="00AE6EDB" w:rsidRDefault="000A7585" w:rsidP="000A7585">
      <w:pPr>
        <w:ind w:left="357" w:hanging="357"/>
      </w:pPr>
      <w:r w:rsidRPr="00AE6EDB">
        <w:rPr>
          <w:b/>
        </w:rPr>
        <w:t>III. pilier – doplnkové dôchodkové sporenie</w:t>
      </w:r>
      <w:r w:rsidRPr="00AE6EDB">
        <w:t>, príspevkovo definované, financované prostredníctvom kapitalizácie, vykonávané doplnkovými dôchodkovými spoločnosťami na základe zákona č. 650/2004 Z. z. o doplnkovom dôchodkovom sporení a o zmene a doplnení niektorých zákonov v znení neskorších predpisov (ďalej len „zákon o doplnkovom dôchodkovom sporení“), ktorý nadobudol účinnosť 1. januára 2005.</w:t>
      </w:r>
    </w:p>
    <w:p w:rsidR="000A7585" w:rsidRPr="00AE6EDB" w:rsidRDefault="000A7585" w:rsidP="000A7585">
      <w:pPr>
        <w:pStyle w:val="Nadpis6"/>
      </w:pPr>
      <w:bookmarkStart w:id="355" w:name="_Toc422233421"/>
      <w:bookmarkStart w:id="356" w:name="_Toc452469878"/>
      <w:r w:rsidRPr="00AE6EDB">
        <w:t>Starobné dôchodkové sporenie</w:t>
      </w:r>
      <w:bookmarkEnd w:id="351"/>
      <w:bookmarkEnd w:id="352"/>
      <w:bookmarkEnd w:id="353"/>
      <w:bookmarkEnd w:id="354"/>
      <w:bookmarkEnd w:id="355"/>
      <w:bookmarkEnd w:id="356"/>
    </w:p>
    <w:p w:rsidR="000A7585" w:rsidRPr="00AE6EDB" w:rsidRDefault="000A7585" w:rsidP="00CE15D0">
      <w:pPr>
        <w:spacing w:after="60"/>
        <w:ind w:firstLine="431"/>
      </w:pPr>
      <w:r w:rsidRPr="00AE6EDB">
        <w:t xml:space="preserve">Cieľom zavedenia starobného dôchodkového sporenia, ktorý je súčasťou povinného dôchodkového systému, bolo </w:t>
      </w:r>
      <w:proofErr w:type="spellStart"/>
      <w:r w:rsidRPr="00AE6EDB">
        <w:t>diverzifikovať</w:t>
      </w:r>
      <w:proofErr w:type="spellEnd"/>
      <w:r w:rsidRPr="00AE6EDB">
        <w:t xml:space="preserve"> riziká jednotlivých spôsobov financovania dôchodkových dávok, t. j. priebežného spôsobu financovania a kapitalizačného spôsobu financovania.</w:t>
      </w:r>
    </w:p>
    <w:p w:rsidR="000A7585" w:rsidRPr="00AE6EDB" w:rsidRDefault="000A7585" w:rsidP="00CE15D0">
      <w:pPr>
        <w:spacing w:after="60"/>
        <w:ind w:firstLine="431"/>
      </w:pPr>
      <w:r w:rsidRPr="00AE6EDB">
        <w:t xml:space="preserve">Starobné dôchodkové sporenie (II. pilier) je príspevkovo definované a financované z príspevkov na starobné dôchodkové sporenie (ďalej len „príspevky“) odvádzaných na osobné dôchodkové účty sporiteľov. </w:t>
      </w:r>
    </w:p>
    <w:p w:rsidR="000A7585" w:rsidRPr="00AE6EDB" w:rsidRDefault="000A7585" w:rsidP="000A7585">
      <w:pPr>
        <w:ind w:firstLine="431"/>
      </w:pPr>
      <w:r w:rsidRPr="00AE6EDB">
        <w:t xml:space="preserve">Najzásadnejšou novinkou v oblasti starobného dôchodkového sporenia </w:t>
      </w:r>
      <w:r w:rsidRPr="00AE6EDB">
        <w:rPr>
          <w:szCs w:val="22"/>
          <w:lang w:eastAsia="cs-CZ"/>
        </w:rPr>
        <w:t>bolo v roku 2015 začatie vyplácania dôchodkov z tohto systému. Jeho predpokladom bolo prijatie tzv. anuitnej novely. Anuitná novela, t.j. zákon č. 183/2014 Z. z., ktorým sa mení a dopĺňa zákon č. 43/2004 Z. z. o starobnom dôchodkovom sporení a o zmene a doplnení niektorých zákonov v znení neskorších predpisov a</w:t>
      </w:r>
      <w:r w:rsidR="00190942" w:rsidRPr="00AE6EDB">
        <w:rPr>
          <w:szCs w:val="22"/>
          <w:lang w:eastAsia="cs-CZ"/>
        </w:rPr>
        <w:t> </w:t>
      </w:r>
      <w:r w:rsidRPr="00AE6EDB">
        <w:rPr>
          <w:szCs w:val="22"/>
          <w:lang w:eastAsia="cs-CZ"/>
        </w:rPr>
        <w:t>ktorým sa menia a dopĺňajú niektoré zákony bola prijatá s delenou účinnosťou (od 1.</w:t>
      </w:r>
      <w:r w:rsidR="008100CC">
        <w:rPr>
          <w:szCs w:val="22"/>
          <w:lang w:eastAsia="cs-CZ"/>
        </w:rPr>
        <w:t> </w:t>
      </w:r>
      <w:r w:rsidRPr="00AE6EDB">
        <w:rPr>
          <w:szCs w:val="22"/>
          <w:lang w:eastAsia="cs-CZ"/>
        </w:rPr>
        <w:t>7.</w:t>
      </w:r>
      <w:r w:rsidR="008100CC">
        <w:rPr>
          <w:szCs w:val="22"/>
          <w:lang w:eastAsia="cs-CZ"/>
        </w:rPr>
        <w:t> </w:t>
      </w:r>
      <w:r w:rsidRPr="00AE6EDB">
        <w:rPr>
          <w:szCs w:val="22"/>
          <w:lang w:eastAsia="cs-CZ"/>
        </w:rPr>
        <w:t>2014 a</w:t>
      </w:r>
      <w:r w:rsidR="00190942" w:rsidRPr="00AE6EDB">
        <w:rPr>
          <w:szCs w:val="22"/>
          <w:lang w:eastAsia="cs-CZ"/>
        </w:rPr>
        <w:t> </w:t>
      </w:r>
      <w:r w:rsidRPr="00AE6EDB">
        <w:rPr>
          <w:szCs w:val="22"/>
          <w:lang w:eastAsia="cs-CZ"/>
        </w:rPr>
        <w:t>od</w:t>
      </w:r>
      <w:r w:rsidR="00190942" w:rsidRPr="00AE6EDB">
        <w:rPr>
          <w:szCs w:val="22"/>
          <w:lang w:eastAsia="cs-CZ"/>
        </w:rPr>
        <w:t> </w:t>
      </w:r>
      <w:r w:rsidRPr="00AE6EDB">
        <w:rPr>
          <w:szCs w:val="22"/>
          <w:lang w:eastAsia="cs-CZ"/>
        </w:rPr>
        <w:t>1.</w:t>
      </w:r>
      <w:r w:rsidR="008100CC">
        <w:rPr>
          <w:szCs w:val="22"/>
          <w:lang w:eastAsia="cs-CZ"/>
        </w:rPr>
        <w:t> </w:t>
      </w:r>
      <w:r w:rsidRPr="00AE6EDB">
        <w:rPr>
          <w:szCs w:val="22"/>
          <w:lang w:eastAsia="cs-CZ"/>
        </w:rPr>
        <w:t>1.</w:t>
      </w:r>
      <w:r w:rsidR="008100CC">
        <w:rPr>
          <w:szCs w:val="22"/>
          <w:lang w:eastAsia="cs-CZ"/>
        </w:rPr>
        <w:t> </w:t>
      </w:r>
      <w:r w:rsidRPr="00AE6EDB">
        <w:rPr>
          <w:szCs w:val="22"/>
          <w:lang w:eastAsia="cs-CZ"/>
        </w:rPr>
        <w:t>2015)</w:t>
      </w:r>
      <w:r w:rsidRPr="00AE6EDB">
        <w:t>.</w:t>
      </w:r>
    </w:p>
    <w:p w:rsidR="000A7585" w:rsidRPr="00AE6EDB" w:rsidRDefault="000A7585" w:rsidP="000A7585">
      <w:pPr>
        <w:ind w:firstLine="431"/>
        <w:rPr>
          <w:highlight w:val="cyan"/>
        </w:rPr>
      </w:pPr>
    </w:p>
    <w:p w:rsidR="000A7585" w:rsidRPr="00AE6EDB" w:rsidRDefault="000A7585" w:rsidP="000A7585">
      <w:pPr>
        <w:spacing w:after="120"/>
        <w:rPr>
          <w:b/>
          <w:i/>
        </w:rPr>
      </w:pPr>
      <w:r w:rsidRPr="00AE6EDB">
        <w:rPr>
          <w:b/>
          <w:i/>
        </w:rPr>
        <w:t xml:space="preserve">Medzi najdôležitejšie oblasti, ktoré zmenila alebo zadefinovala anuitná novela patria: </w:t>
      </w:r>
    </w:p>
    <w:p w:rsidR="000A7585" w:rsidRPr="00AE6EDB" w:rsidRDefault="000A7585" w:rsidP="000A7585">
      <w:pPr>
        <w:shd w:val="clear" w:color="auto" w:fill="FFFFFF"/>
        <w:rPr>
          <w:b/>
        </w:rPr>
      </w:pPr>
      <w:r w:rsidRPr="00AE6EDB">
        <w:rPr>
          <w:b/>
        </w:rPr>
        <w:t>Zmeny v oblasti dôchodkov:</w:t>
      </w:r>
    </w:p>
    <w:p w:rsidR="000A7585" w:rsidRPr="00AE6EDB" w:rsidRDefault="000A7585" w:rsidP="000A7585">
      <w:pPr>
        <w:shd w:val="clear" w:color="auto" w:fill="FFFFFF"/>
        <w:ind w:firstLine="431"/>
      </w:pPr>
      <w:r w:rsidRPr="00AE6EDB">
        <w:t xml:space="preserve">Z II. piliera sa môžu vyplácať dôchodky tromi formami. Zachovaná zostala forma doživotného dôchodku, ktorý vyplácajú poisťovne a taktiež programový výber vyplácaný dôchodkovými správcovskými spoločnosťami, aj keď podmienky výplaty dôchodku týmito formami boli značne zmenené. Anuitná novela zaviedla ďalšiu formu výplaty dôchodku – dočasný dôchodok. Rovnako ako pri doživotnom dôchodku, aj pri tejto forme ide o poistný produkt, ktorý je vyplácaný poisťovňami. </w:t>
      </w:r>
    </w:p>
    <w:p w:rsidR="000A7585" w:rsidRPr="00AE6EDB" w:rsidRDefault="000A7585" w:rsidP="000A7585">
      <w:pPr>
        <w:shd w:val="clear" w:color="auto" w:fill="FFFFFF"/>
        <w:ind w:firstLine="431"/>
      </w:pPr>
      <w:r w:rsidRPr="00AE6EDB">
        <w:t>Anuitná novela tiež umožnila prístup k úsporám v II. pilieri všetkým sporiteľom, ktorí by na základe predošlej právnej úpravy nemohli získať svoje nasporené prostriedky. Ide napríklad o sporiteľov s nízkou nasporenou sumou, za ktorú si nedokážu zakúpiť doživotný dôchodok. Pre týchto sporiteľov je určený programový výber alebo dočasný dôchodok v striktne regulovanom režime maximalizujúcom dobu výplaty. Anuitnou novelou taktiež došlo k zrušeniu podmienky minimálneho obdobia sporenia v dĺžke 10 rokov. Jedinou podmienkou na výplatu starobného dôchodku je dovŕšenie dôchodkového veku, čím sa umožnil prístup k úsporám v II. pilieri aj pre tých sporiteľov, pri ktorých nie je z objektívnych dôvodov reálne očakávať splnenie podmienky 10 rokov sporenia (napr. z dôvodu dovŕšenia dôchodkového veku). Pri aktuálnom znení zákona už podmienka minimálneho sporenia v dĺžke 10 rokov stratila svoje opodstatnenie aj z dôvodu, že prvú zmluvu o starobnom dôchodkovom sporení môže uzatvoriť len fyzická osoba, ktorá ešte nedovŕšila 35 rokov veku.</w:t>
      </w:r>
    </w:p>
    <w:p w:rsidR="000A7585" w:rsidRPr="00AE6EDB" w:rsidRDefault="000A7585" w:rsidP="000A7585">
      <w:pPr>
        <w:shd w:val="clear" w:color="auto" w:fill="FFFFFF"/>
        <w:ind w:firstLine="431"/>
        <w:rPr>
          <w:szCs w:val="22"/>
          <w:lang w:eastAsia="cs-CZ"/>
        </w:rPr>
      </w:pPr>
      <w:r w:rsidRPr="00AE6EDB">
        <w:rPr>
          <w:szCs w:val="22"/>
          <w:lang w:eastAsia="cs-CZ"/>
        </w:rPr>
        <w:t>Anuitnou novelou zostala zachovaná možnosť vyplácania predčasného starobného dôchodku. Predčasný starobný dôchodok sa vypláca takému sporiteľovi, ktorému už bol priznaný predčasný starobný dôchodok z I. piliera</w:t>
      </w:r>
      <w:r w:rsidR="00C50937" w:rsidRPr="00AE6EDB">
        <w:rPr>
          <w:szCs w:val="22"/>
          <w:lang w:eastAsia="cs-CZ"/>
        </w:rPr>
        <w:t>; tento</w:t>
      </w:r>
      <w:r w:rsidRPr="00AE6EDB">
        <w:rPr>
          <w:szCs w:val="22"/>
          <w:lang w:eastAsia="cs-CZ"/>
        </w:rPr>
        <w:t xml:space="preserve"> musí byť vyšší ako 1,2 násobok životného minima pre jednu plnoletú fyzickú osobu. Ak sporiteľ nemá nárok na predčasný starobný dôchodok z I. piliera vyšší ako 1,2-násobok sumy životného minima pre jednu plnoletú fyzickú osobu, môže si pomôcť úsporami </w:t>
      </w:r>
      <w:r w:rsidRPr="00AE6EDB">
        <w:rPr>
          <w:szCs w:val="22"/>
          <w:lang w:eastAsia="cs-CZ"/>
        </w:rPr>
        <w:lastRenderedPageBreak/>
        <w:t>v II. pilieri. Má teda nárok na predčasný starobný dôchodok aj vtedy, ak jeho predčasný starobný dôchodok z oboch pilierov bude vyšší ako 1,2 násobok životného minima pre jednu plnoletú fyzickú osobu. V prípade predčasného starobného dôchodku musia byť splnené podmienky, že sporiteľ získal najmenej 15 rokov dôchodkového poistenia a do dovŕšenia dôchodkového veku mu chýbajú maximálne 2 roky.</w:t>
      </w:r>
    </w:p>
    <w:p w:rsidR="000A7585" w:rsidRPr="00AE6EDB" w:rsidRDefault="000A7585" w:rsidP="000A7585">
      <w:pPr>
        <w:shd w:val="clear" w:color="auto" w:fill="FFFFFF"/>
        <w:ind w:firstLine="431"/>
        <w:rPr>
          <w:szCs w:val="22"/>
          <w:lang w:eastAsia="cs-CZ"/>
        </w:rPr>
      </w:pPr>
      <w:r w:rsidRPr="00AE6EDB">
        <w:rPr>
          <w:szCs w:val="22"/>
          <w:lang w:eastAsia="cs-CZ"/>
        </w:rPr>
        <w:t xml:space="preserve">Sporiteľ si môže na vyplácanie predčasného starobného alebo starobného dôchodku vybrať doživotný dôchodok bez zvyšovania a bez pozostalostného krytia, doživotný dôchodok so zvyšovaním (indexáciou), s pozostalostným krytím (krytie pozostalých na jeden alebo dva roky po smrti poberateľa dôchodku) alebo ich kombináciu. </w:t>
      </w:r>
    </w:p>
    <w:p w:rsidR="000A7585" w:rsidRPr="00AE6EDB" w:rsidRDefault="000A7585" w:rsidP="000A7585">
      <w:pPr>
        <w:shd w:val="clear" w:color="auto" w:fill="FFFFFF"/>
        <w:ind w:firstLine="431"/>
        <w:rPr>
          <w:szCs w:val="22"/>
          <w:lang w:eastAsia="cs-CZ"/>
        </w:rPr>
      </w:pPr>
      <w:r w:rsidRPr="00AE6EDB">
        <w:rPr>
          <w:szCs w:val="22"/>
          <w:lang w:eastAsia="cs-CZ"/>
        </w:rPr>
        <w:t>Sporiteľ, ktorý dovŕši dôchodkový vek a nebude poberať dôchodok programovým výberom</w:t>
      </w:r>
      <w:r w:rsidR="00F67F7C">
        <w:rPr>
          <w:szCs w:val="22"/>
          <w:lang w:eastAsia="cs-CZ"/>
        </w:rPr>
        <w:t>,</w:t>
      </w:r>
      <w:r w:rsidRPr="00AE6EDB">
        <w:rPr>
          <w:szCs w:val="22"/>
          <w:lang w:eastAsia="cs-CZ"/>
        </w:rPr>
        <w:t xml:space="preserve"> môže požiadať o dávku výnos z investovania. Ide o pravidelne vyplácanú dávku sporiteľovou </w:t>
      </w:r>
      <w:r w:rsidR="00E84ADC" w:rsidRPr="00AE6EDB">
        <w:rPr>
          <w:szCs w:val="22"/>
          <w:lang w:eastAsia="cs-CZ"/>
        </w:rPr>
        <w:t>dôchodkovou správcovskou spoločnosťou</w:t>
      </w:r>
      <w:r w:rsidRPr="00AE6EDB">
        <w:rPr>
          <w:szCs w:val="22"/>
          <w:lang w:eastAsia="cs-CZ"/>
        </w:rPr>
        <w:t xml:space="preserve"> z výnosov z jeho majetku, ktorý má v dôchodkovom fonde.</w:t>
      </w:r>
    </w:p>
    <w:p w:rsidR="000A7585" w:rsidRPr="00AE6EDB" w:rsidRDefault="000A7585" w:rsidP="000A7585">
      <w:pPr>
        <w:shd w:val="clear" w:color="auto" w:fill="FFFFFF"/>
        <w:ind w:firstLine="431"/>
        <w:rPr>
          <w:szCs w:val="22"/>
          <w:lang w:eastAsia="cs-CZ"/>
        </w:rPr>
      </w:pPr>
      <w:r w:rsidRPr="00AE6EDB">
        <w:rPr>
          <w:szCs w:val="22"/>
          <w:lang w:eastAsia="cs-CZ"/>
        </w:rPr>
        <w:t xml:space="preserve">Ak si sporiteľ platil aj dobrovoľné príspevky na starobné dôchodkové sporenie, po dovŕšení dôchodkového veku si ich môže vybrať formou programového výberu bez nutnosti splnenia dodatočných podmienok. </w:t>
      </w:r>
    </w:p>
    <w:p w:rsidR="000A7585" w:rsidRPr="00AE6EDB" w:rsidRDefault="000A7585" w:rsidP="000A7585">
      <w:pPr>
        <w:shd w:val="clear" w:color="auto" w:fill="FFFFFF"/>
        <w:rPr>
          <w:highlight w:val="cyan"/>
        </w:rPr>
      </w:pPr>
    </w:p>
    <w:p w:rsidR="000A7585" w:rsidRPr="00AE6EDB" w:rsidRDefault="000A7585" w:rsidP="000A7585">
      <w:pPr>
        <w:shd w:val="clear" w:color="auto" w:fill="FFFFFF"/>
        <w:rPr>
          <w:b/>
        </w:rPr>
      </w:pPr>
      <w:r w:rsidRPr="00AE6EDB">
        <w:rPr>
          <w:b/>
        </w:rPr>
        <w:t>Zmeny v oblasti informačných povinností:</w:t>
      </w:r>
    </w:p>
    <w:p w:rsidR="000A7585" w:rsidRPr="00AE6EDB" w:rsidRDefault="000A7585" w:rsidP="000A7585">
      <w:pPr>
        <w:shd w:val="clear" w:color="auto" w:fill="FFFFFF"/>
        <w:ind w:firstLine="431"/>
      </w:pPr>
      <w:r w:rsidRPr="00AE6EDB">
        <w:t xml:space="preserve">Sporitelia majú od 1. januára 2015 k dispozícii niekoľko zdrojov informácií o vyplácaní dôchodkov z II. piliera. Všetky dôležité informácie nájdu na webovom sídle Sociálnej poisťovne a dôchodkových správcovských spoločností. Sporitelia tiež môžu požiadať dôchodkové správcovské spoločnosti, v ktorých si sporia, o bezplatné zaslanie informačného balíčka. V ňom sa dozvedia napr. ako a kde môžu o dôchodok požiadať alebo informácie o jednotlivých formách výplaty dôchodkov spolu s praktickými príkladmi. </w:t>
      </w:r>
    </w:p>
    <w:p w:rsidR="000A7585" w:rsidRPr="00AE6EDB" w:rsidRDefault="000A7585" w:rsidP="000A7585">
      <w:pPr>
        <w:shd w:val="clear" w:color="auto" w:fill="FFFFFF"/>
        <w:rPr>
          <w:highlight w:val="cyan"/>
        </w:rPr>
      </w:pPr>
    </w:p>
    <w:p w:rsidR="000A7585" w:rsidRPr="00AE6EDB" w:rsidRDefault="000A7585" w:rsidP="000A7585">
      <w:pPr>
        <w:shd w:val="clear" w:color="auto" w:fill="FFFFFF"/>
        <w:rPr>
          <w:b/>
        </w:rPr>
      </w:pPr>
      <w:r w:rsidRPr="00AE6EDB">
        <w:rPr>
          <w:b/>
        </w:rPr>
        <w:t>Zmeny v oblasti sprostredkovania ponúk:</w:t>
      </w:r>
    </w:p>
    <w:p w:rsidR="000A7585" w:rsidRPr="00AE6EDB" w:rsidRDefault="000A7585" w:rsidP="000A7585">
      <w:pPr>
        <w:shd w:val="clear" w:color="auto" w:fill="FFFFFF"/>
        <w:ind w:firstLine="431"/>
      </w:pPr>
      <w:r w:rsidRPr="00AE6EDB">
        <w:t xml:space="preserve">Sociálna poisťovňa zriadila a spravuje Centrálny informačný ponukový systém (CIPS), ktorý slúži na sprostredkovanie ponúk dôchodkov pre sporiteľov. Takýto systém zabezpečuje transparentnosť systému a znižuje administratívnu záťaž sporiteľa, ktorý dostane všetky ponuky na jednom mieste. Vďaka tomu si sporiteľ môže rýchlo porovnať ponuky jednotlivých poisťovní bez toho, aby každú z nich osobne navštívil. Existencia CIPS umožnila zakázať sprostredkovateľskú činnosť pri vyplácaní dôchodkov, čím sa zamedzuje vzniku jedného z najväčších nákladov vstupujúcich do ceny dôchodku. Rovnako pozitívny vplyv na výšku vyplácaných dôchodkov má aj stimulácia konkurenčného prostredia, vyvolaná zavedením CIPS. Znižuje sa tiež informačná asymetria medzi sporiteľom a subjektmi vyplácajúcimi dôchodky z II. piliera. </w:t>
      </w:r>
    </w:p>
    <w:p w:rsidR="000A7585" w:rsidRPr="00AE6EDB" w:rsidRDefault="000A7585" w:rsidP="000A7585">
      <w:pPr>
        <w:shd w:val="clear" w:color="auto" w:fill="FFFFFF"/>
        <w:rPr>
          <w:highlight w:val="cyan"/>
        </w:rPr>
      </w:pPr>
    </w:p>
    <w:p w:rsidR="000A7585" w:rsidRPr="00AE6EDB" w:rsidRDefault="000A7585" w:rsidP="000A7585">
      <w:pPr>
        <w:shd w:val="clear" w:color="auto" w:fill="FFFFFF"/>
        <w:rPr>
          <w:b/>
          <w:i/>
        </w:rPr>
      </w:pPr>
      <w:r w:rsidRPr="00AE6EDB">
        <w:rPr>
          <w:b/>
          <w:i/>
        </w:rPr>
        <w:t>Ďalšie legislatívne zmeny:</w:t>
      </w:r>
    </w:p>
    <w:p w:rsidR="000A7585" w:rsidRPr="00AE6EDB" w:rsidRDefault="000A7585" w:rsidP="000A7585">
      <w:pPr>
        <w:shd w:val="clear" w:color="auto" w:fill="FFFFFF"/>
        <w:rPr>
          <w:b/>
          <w:i/>
          <w:highlight w:val="cyan"/>
        </w:rPr>
      </w:pPr>
    </w:p>
    <w:p w:rsidR="000A7585" w:rsidRPr="00AE6EDB" w:rsidRDefault="000A7585" w:rsidP="000A7585">
      <w:pPr>
        <w:ind w:firstLine="426"/>
        <w:rPr>
          <w:szCs w:val="22"/>
          <w:lang w:eastAsia="cs-CZ"/>
        </w:rPr>
      </w:pPr>
      <w:r w:rsidRPr="00AE6EDB">
        <w:rPr>
          <w:szCs w:val="22"/>
          <w:lang w:eastAsia="cs-CZ"/>
        </w:rPr>
        <w:t xml:space="preserve">Na základe </w:t>
      </w:r>
      <w:r w:rsidRPr="00AE6EDB">
        <w:rPr>
          <w:b/>
          <w:szCs w:val="22"/>
          <w:lang w:eastAsia="cs-CZ"/>
        </w:rPr>
        <w:t>zákona č. 25/2015 Z. z.,</w:t>
      </w:r>
      <w:r w:rsidRPr="00AE6EDB">
        <w:rPr>
          <w:szCs w:val="22"/>
          <w:lang w:eastAsia="cs-CZ"/>
        </w:rPr>
        <w:t xml:space="preserve"> ktorým sa mení a dopĺňa zákon č. </w:t>
      </w:r>
      <w:hyperlink r:id="rId45" w:tooltip="Odkaz na predpis alebo ustanovenie" w:history="1">
        <w:r w:rsidRPr="00AE6EDB">
          <w:rPr>
            <w:szCs w:val="22"/>
            <w:lang w:eastAsia="cs-CZ"/>
          </w:rPr>
          <w:t>43/2004 Z. z.</w:t>
        </w:r>
      </w:hyperlink>
      <w:r w:rsidRPr="00AE6EDB">
        <w:rPr>
          <w:szCs w:val="22"/>
          <w:lang w:eastAsia="cs-CZ"/>
        </w:rPr>
        <w:t> o starobnom dôchodkovom sporení a o zmene a doplnení niektorých zákonov v znení neskorších predpisov sa s účinnosťou od 15. marca 2015</w:t>
      </w:r>
    </w:p>
    <w:p w:rsidR="000A7585" w:rsidRPr="00AE6EDB" w:rsidRDefault="000A7585" w:rsidP="000A7585">
      <w:pPr>
        <w:numPr>
          <w:ilvl w:val="0"/>
          <w:numId w:val="45"/>
        </w:numPr>
        <w:rPr>
          <w:szCs w:val="22"/>
          <w:lang w:eastAsia="cs-CZ"/>
        </w:rPr>
      </w:pPr>
      <w:r w:rsidRPr="00AE6EDB">
        <w:rPr>
          <w:szCs w:val="22"/>
          <w:lang w:eastAsia="cs-CZ"/>
        </w:rPr>
        <w:t xml:space="preserve">do 15. júna 2015, t.j. na 3 mesiace, </w:t>
      </w:r>
      <w:r w:rsidRPr="00AE6EDB">
        <w:rPr>
          <w:b/>
          <w:szCs w:val="22"/>
          <w:lang w:eastAsia="cs-CZ"/>
        </w:rPr>
        <w:t>systém starobného dôchodkového sporenia otvoril tak na vstupe, ako aj výstupe</w:t>
      </w:r>
      <w:r w:rsidRPr="00AE6EDB">
        <w:rPr>
          <w:szCs w:val="22"/>
          <w:lang w:eastAsia="cs-CZ"/>
        </w:rPr>
        <w:t>. Hlavný dôvod otvorenia systému spočíval v skutočnosti, že v súvislosti so začatím vyplácania dôchodkov z tohto systému sa ukázala nevýhodnosť zotrvania v systéme pre isté skupiny osôb - najmä nízkopríjmových sporiteľov a sporiteľov krátko pred dovŕšením dôchodkového veku,</w:t>
      </w:r>
    </w:p>
    <w:p w:rsidR="000A7585" w:rsidRPr="00AE6EDB" w:rsidRDefault="000A7585" w:rsidP="00CE15D0">
      <w:pPr>
        <w:numPr>
          <w:ilvl w:val="0"/>
          <w:numId w:val="45"/>
        </w:numPr>
        <w:spacing w:after="120"/>
        <w:ind w:left="714" w:hanging="357"/>
        <w:rPr>
          <w:szCs w:val="22"/>
          <w:lang w:eastAsia="cs-CZ"/>
        </w:rPr>
      </w:pPr>
      <w:r w:rsidRPr="00AE6EDB">
        <w:rPr>
          <w:b/>
          <w:szCs w:val="22"/>
          <w:lang w:eastAsia="cs-CZ"/>
        </w:rPr>
        <w:t>z dôvodu zvýšenia transparentnosti výpočtu dôchodku poisťovňou a najmä z dôvodu lepšej možnosti porovnania ponúk dôchodkov</w:t>
      </w:r>
      <w:r w:rsidRPr="00AE6EDB">
        <w:rPr>
          <w:szCs w:val="22"/>
          <w:lang w:eastAsia="cs-CZ"/>
        </w:rPr>
        <w:t xml:space="preserve">, ktoré vyhotovili jednotlivé poisťovne sporiteľovi, poskytuje sporiteľovi </w:t>
      </w:r>
      <w:r w:rsidRPr="00AE6EDB">
        <w:rPr>
          <w:b/>
          <w:szCs w:val="22"/>
          <w:lang w:eastAsia="cs-CZ"/>
        </w:rPr>
        <w:t>informácia o percentuálnej výške garantovaného výnosu</w:t>
      </w:r>
      <w:r w:rsidRPr="00AE6EDB">
        <w:rPr>
          <w:szCs w:val="22"/>
          <w:lang w:eastAsia="cs-CZ"/>
        </w:rPr>
        <w:t xml:space="preserve"> z umiestnenia prostriedkov technických rezerv, ktorú poisťovňa použila pri výpočte jeho dôchodku. Uvedené sa premietlo aj v ponukovom liste, ktorý Sociálna poisťovňa na základe </w:t>
      </w:r>
      <w:r w:rsidRPr="00AE6EDB">
        <w:rPr>
          <w:b/>
          <w:szCs w:val="22"/>
          <w:lang w:eastAsia="cs-CZ"/>
        </w:rPr>
        <w:t>Opatrenia č. 157/2015 Z. z</w:t>
      </w:r>
      <w:r w:rsidRPr="00AE6EDB">
        <w:rPr>
          <w:szCs w:val="22"/>
          <w:lang w:eastAsia="cs-CZ"/>
        </w:rPr>
        <w:t>., ktorým sa ustanovuje vzor ponukového listu, zasiela sporiteľovi po tom, čo požiadal o starobný alebo predčasný starobný dôchodok a splnil podmienky na</w:t>
      </w:r>
      <w:r w:rsidR="00E84ADC" w:rsidRPr="00AE6EDB">
        <w:rPr>
          <w:szCs w:val="22"/>
          <w:lang w:eastAsia="cs-CZ"/>
        </w:rPr>
        <w:t> </w:t>
      </w:r>
      <w:r w:rsidRPr="00AE6EDB">
        <w:rPr>
          <w:szCs w:val="22"/>
          <w:lang w:eastAsia="cs-CZ"/>
        </w:rPr>
        <w:t xml:space="preserve">jeho výplatu. Toto opatrenie </w:t>
      </w:r>
      <w:r w:rsidRPr="00AE6EDB">
        <w:rPr>
          <w:b/>
          <w:szCs w:val="22"/>
          <w:lang w:eastAsia="cs-CZ"/>
        </w:rPr>
        <w:t>nahradilo pôvodné Opatrenie č. 338/2014 Z. z.</w:t>
      </w:r>
      <w:r w:rsidRPr="00AE6EDB">
        <w:rPr>
          <w:szCs w:val="22"/>
          <w:lang w:eastAsia="cs-CZ"/>
        </w:rPr>
        <w:t xml:space="preserve"> z dôvodu vykonania rozsiahlejších zmien a doplnení - dopĺňa in</w:t>
      </w:r>
      <w:r w:rsidR="00E84ADC" w:rsidRPr="00AE6EDB">
        <w:rPr>
          <w:szCs w:val="22"/>
          <w:lang w:eastAsia="cs-CZ"/>
        </w:rPr>
        <w:t xml:space="preserve">formáciu o minimálnom dôchodku, </w:t>
      </w:r>
      <w:r w:rsidRPr="00AE6EDB">
        <w:rPr>
          <w:szCs w:val="22"/>
          <w:lang w:eastAsia="cs-CZ"/>
        </w:rPr>
        <w:lastRenderedPageBreak/>
        <w:t>o</w:t>
      </w:r>
      <w:r w:rsidR="00E84ADC" w:rsidRPr="00AE6EDB">
        <w:rPr>
          <w:szCs w:val="22"/>
          <w:lang w:eastAsia="cs-CZ"/>
        </w:rPr>
        <w:t> </w:t>
      </w:r>
      <w:r w:rsidRPr="00AE6EDB">
        <w:rPr>
          <w:szCs w:val="22"/>
          <w:lang w:eastAsia="cs-CZ"/>
        </w:rPr>
        <w:t xml:space="preserve">garantovanom výnose (tzv. </w:t>
      </w:r>
      <w:proofErr w:type="spellStart"/>
      <w:r w:rsidRPr="00AE6EDB">
        <w:rPr>
          <w:szCs w:val="22"/>
          <w:lang w:eastAsia="cs-CZ"/>
        </w:rPr>
        <w:t>nadvýnose</w:t>
      </w:r>
      <w:proofErr w:type="spellEnd"/>
      <w:r w:rsidRPr="00AE6EDB">
        <w:rPr>
          <w:szCs w:val="22"/>
          <w:lang w:eastAsia="cs-CZ"/>
        </w:rPr>
        <w:t>, ktorý je jedným zo základných parametrov, ktorý vstupuje do výpočtu poisťovňou ponúkaného dôchodku a zásadne ovplyvňuje jeho výšku) atď.</w:t>
      </w:r>
    </w:p>
    <w:p w:rsidR="000A7585" w:rsidRPr="00AE6EDB" w:rsidRDefault="000A7585" w:rsidP="000A7585">
      <w:pPr>
        <w:shd w:val="clear" w:color="auto" w:fill="FFFFFF"/>
        <w:ind w:firstLine="431"/>
      </w:pPr>
      <w:r w:rsidRPr="00AE6EDB">
        <w:t>Počas roka 2015 nenastali zmeny v počte a zložení dôchodkových správcovských spoločností, pričom k 31. decembru 2015 pôsobilo na trhu starobného dôchodkového sporenia 6 dôchodkových správcovských spoločností (ďalej len „DSS“):</w:t>
      </w:r>
    </w:p>
    <w:p w:rsidR="000A7585" w:rsidRPr="00AE6EDB" w:rsidRDefault="000A7585" w:rsidP="000A7585">
      <w:pPr>
        <w:pStyle w:val="Odsekzoznamu"/>
        <w:numPr>
          <w:ilvl w:val="0"/>
          <w:numId w:val="32"/>
        </w:numPr>
        <w:ind w:left="1418"/>
        <w:contextualSpacing/>
      </w:pPr>
      <w:proofErr w:type="spellStart"/>
      <w:r w:rsidRPr="00AE6EDB">
        <w:t>Aegon</w:t>
      </w:r>
      <w:proofErr w:type="spellEnd"/>
      <w:r w:rsidRPr="00AE6EDB">
        <w:t xml:space="preserve">, </w:t>
      </w:r>
      <w:proofErr w:type="spellStart"/>
      <w:r w:rsidRPr="00AE6EDB">
        <w:t>d.s.s</w:t>
      </w:r>
      <w:proofErr w:type="spellEnd"/>
      <w:r w:rsidRPr="00AE6EDB">
        <w:t>., a.s., Bratislava,</w:t>
      </w:r>
    </w:p>
    <w:p w:rsidR="000A7585" w:rsidRPr="00AE6EDB" w:rsidRDefault="000A7585" w:rsidP="000A7585">
      <w:pPr>
        <w:pStyle w:val="Odsekzoznamu"/>
        <w:numPr>
          <w:ilvl w:val="0"/>
          <w:numId w:val="32"/>
        </w:numPr>
        <w:ind w:left="1418"/>
        <w:contextualSpacing/>
      </w:pPr>
      <w:proofErr w:type="spellStart"/>
      <w:r w:rsidRPr="00AE6EDB">
        <w:t>Allianz</w:t>
      </w:r>
      <w:proofErr w:type="spellEnd"/>
      <w:r w:rsidRPr="00AE6EDB">
        <w:t xml:space="preserve"> – Slovenská dôchodková správcovská spoločnosť, a.s., Bratislava,</w:t>
      </w:r>
    </w:p>
    <w:p w:rsidR="000A7585" w:rsidRPr="00AE6EDB" w:rsidRDefault="000A7585" w:rsidP="000A7585">
      <w:pPr>
        <w:pStyle w:val="Odsekzoznamu"/>
        <w:numPr>
          <w:ilvl w:val="0"/>
          <w:numId w:val="32"/>
        </w:numPr>
        <w:ind w:left="1418"/>
        <w:contextualSpacing/>
      </w:pPr>
      <w:proofErr w:type="spellStart"/>
      <w:r w:rsidRPr="00AE6EDB">
        <w:t>Axa</w:t>
      </w:r>
      <w:proofErr w:type="spellEnd"/>
      <w:r w:rsidRPr="00AE6EDB">
        <w:t xml:space="preserve"> </w:t>
      </w:r>
      <w:proofErr w:type="spellStart"/>
      <w:r w:rsidRPr="00AE6EDB">
        <w:t>d.s.s</w:t>
      </w:r>
      <w:proofErr w:type="spellEnd"/>
      <w:r w:rsidRPr="00AE6EDB">
        <w:t>., a.s., Bratislava,</w:t>
      </w:r>
    </w:p>
    <w:p w:rsidR="000A7585" w:rsidRPr="00AE6EDB" w:rsidRDefault="000A7585" w:rsidP="000A7585">
      <w:pPr>
        <w:pStyle w:val="Odsekzoznamu"/>
        <w:numPr>
          <w:ilvl w:val="0"/>
          <w:numId w:val="32"/>
        </w:numPr>
        <w:ind w:left="1418"/>
        <w:contextualSpacing/>
      </w:pPr>
      <w:r w:rsidRPr="00AE6EDB">
        <w:t>Dôchodková správcovská spoločnosť Poštovej banky, a.s., Bratislava;</w:t>
      </w:r>
    </w:p>
    <w:p w:rsidR="000A7585" w:rsidRPr="00AE6EDB" w:rsidRDefault="000A7585" w:rsidP="000A7585">
      <w:pPr>
        <w:pStyle w:val="Odsekzoznamu"/>
        <w:numPr>
          <w:ilvl w:val="0"/>
          <w:numId w:val="32"/>
        </w:numPr>
        <w:ind w:left="1418"/>
        <w:contextualSpacing/>
      </w:pPr>
      <w:r w:rsidRPr="00AE6EDB">
        <w:t xml:space="preserve">NN </w:t>
      </w:r>
      <w:proofErr w:type="spellStart"/>
      <w:r w:rsidRPr="00AE6EDB">
        <w:t>d.s.s</w:t>
      </w:r>
      <w:proofErr w:type="spellEnd"/>
      <w:r w:rsidRPr="00AE6EDB">
        <w:t xml:space="preserve">., a.s., Bratislava (predtým ING </w:t>
      </w:r>
      <w:proofErr w:type="spellStart"/>
      <w:r w:rsidRPr="00AE6EDB">
        <w:t>d.s.s</w:t>
      </w:r>
      <w:proofErr w:type="spellEnd"/>
      <w:r w:rsidRPr="00AE6EDB">
        <w:t>.),</w:t>
      </w:r>
    </w:p>
    <w:p w:rsidR="000A7585" w:rsidRPr="00AE6EDB" w:rsidRDefault="000A7585" w:rsidP="000A7585">
      <w:pPr>
        <w:pStyle w:val="Odsekzoznamu"/>
        <w:numPr>
          <w:ilvl w:val="0"/>
          <w:numId w:val="32"/>
        </w:numPr>
        <w:ind w:left="1418"/>
        <w:contextualSpacing/>
      </w:pPr>
      <w:r w:rsidRPr="00AE6EDB">
        <w:t xml:space="preserve">VÚB </w:t>
      </w:r>
      <w:proofErr w:type="spellStart"/>
      <w:r w:rsidRPr="00AE6EDB">
        <w:t>Generali</w:t>
      </w:r>
      <w:proofErr w:type="spellEnd"/>
      <w:r w:rsidRPr="00AE6EDB">
        <w:t xml:space="preserve">, </w:t>
      </w:r>
      <w:proofErr w:type="spellStart"/>
      <w:r w:rsidRPr="00AE6EDB">
        <w:t>d.s.s</w:t>
      </w:r>
      <w:proofErr w:type="spellEnd"/>
      <w:r w:rsidRPr="00AE6EDB">
        <w:t>., a.s., Bratislava.</w:t>
      </w:r>
    </w:p>
    <w:p w:rsidR="000A7585" w:rsidRPr="00AE6EDB" w:rsidRDefault="000A7585" w:rsidP="000A7585">
      <w:pPr>
        <w:shd w:val="clear" w:color="auto" w:fill="FFFFFF"/>
        <w:ind w:firstLine="431"/>
      </w:pPr>
      <w:r w:rsidRPr="00AE6EDB">
        <w:t>Tabuľka 3.5 ukazuje čistú hodnotu majetku spravovaného jednotlivými dôchodkovými správcovskými spoločnosťami podľa druhu dôchodkového fondu k 31.12.2015.</w:t>
      </w:r>
    </w:p>
    <w:p w:rsidR="000A7585" w:rsidRPr="00AE6EDB" w:rsidRDefault="000A7585" w:rsidP="000A7585">
      <w:pPr>
        <w:pStyle w:val="Nadpis7"/>
        <w:rPr>
          <w:color w:val="000000" w:themeColor="text1"/>
          <w:lang w:eastAsia="cs-CZ"/>
        </w:rPr>
      </w:pPr>
      <w:bookmarkStart w:id="357" w:name="_Toc356482684"/>
      <w:r w:rsidRPr="00AE6EDB">
        <w:rPr>
          <w:color w:val="000000" w:themeColor="text1"/>
          <w:lang w:eastAsia="cs-CZ"/>
        </w:rPr>
        <w:t>Tabuľka 3.5 Rozdelenie majetku v dôchodkových fondoch k 31.12.2015 (v mil. eur)</w:t>
      </w:r>
      <w:bookmarkEnd w:id="357"/>
    </w:p>
    <w:tbl>
      <w:tblPr>
        <w:tblW w:w="10139"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225"/>
        <w:gridCol w:w="1247"/>
        <w:gridCol w:w="1418"/>
        <w:gridCol w:w="1474"/>
        <w:gridCol w:w="1400"/>
        <w:gridCol w:w="1134"/>
        <w:gridCol w:w="1241"/>
      </w:tblGrid>
      <w:tr w:rsidR="000A7585" w:rsidRPr="00AE6EDB" w:rsidTr="00DE0EEC">
        <w:trPr>
          <w:trHeight w:val="300"/>
          <w:jc w:val="center"/>
        </w:trPr>
        <w:tc>
          <w:tcPr>
            <w:tcW w:w="222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58" w:name="_Toc294019796"/>
            <w:bookmarkStart w:id="359" w:name="_Toc294027121"/>
            <w:bookmarkStart w:id="360" w:name="_Toc294029360"/>
            <w:bookmarkStart w:id="361" w:name="_Toc313878851"/>
            <w:r w:rsidRPr="00AE6EDB">
              <w:rPr>
                <w:b/>
                <w:color w:val="FFFFFF" w:themeColor="background1"/>
                <w:sz w:val="19"/>
                <w:szCs w:val="19"/>
                <w:lang w:eastAsia="cs-CZ"/>
              </w:rPr>
              <w:t>Dôchodková správcovská spoločnosť</w:t>
            </w:r>
            <w:bookmarkEnd w:id="358"/>
            <w:bookmarkEnd w:id="359"/>
            <w:bookmarkEnd w:id="360"/>
            <w:bookmarkEnd w:id="361"/>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62" w:name="_Toc294019797"/>
            <w:bookmarkStart w:id="363" w:name="_Toc294027122"/>
            <w:bookmarkStart w:id="364" w:name="_Toc294029361"/>
            <w:bookmarkStart w:id="365" w:name="_Toc313878852"/>
            <w:r w:rsidRPr="00AE6EDB">
              <w:rPr>
                <w:b/>
                <w:color w:val="FFFFFF" w:themeColor="background1"/>
                <w:sz w:val="19"/>
                <w:szCs w:val="19"/>
                <w:lang w:eastAsia="cs-CZ"/>
              </w:rPr>
              <w:t>Dlhopisový garantovaný dôchodkový fond</w:t>
            </w:r>
            <w:bookmarkEnd w:id="362"/>
            <w:bookmarkEnd w:id="363"/>
            <w:bookmarkEnd w:id="364"/>
            <w:bookmarkEnd w:id="365"/>
          </w:p>
        </w:tc>
        <w:tc>
          <w:tcPr>
            <w:tcW w:w="141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66" w:name="_Toc294019798"/>
            <w:bookmarkStart w:id="367" w:name="_Toc294027123"/>
            <w:bookmarkStart w:id="368" w:name="_Toc294029362"/>
            <w:bookmarkStart w:id="369" w:name="_Toc313878853"/>
            <w:r w:rsidRPr="00AE6EDB">
              <w:rPr>
                <w:b/>
                <w:color w:val="FFFFFF" w:themeColor="background1"/>
                <w:sz w:val="19"/>
                <w:szCs w:val="19"/>
                <w:lang w:eastAsia="cs-CZ"/>
              </w:rPr>
              <w:t>Zmiešaný negarantovaný dôchodkový fond</w:t>
            </w:r>
            <w:bookmarkEnd w:id="366"/>
            <w:bookmarkEnd w:id="367"/>
            <w:bookmarkEnd w:id="368"/>
            <w:bookmarkEnd w:id="369"/>
          </w:p>
        </w:tc>
        <w:tc>
          <w:tcPr>
            <w:tcW w:w="14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70" w:name="_Toc294019799"/>
            <w:bookmarkStart w:id="371" w:name="_Toc294027124"/>
            <w:bookmarkStart w:id="372" w:name="_Toc294029363"/>
            <w:bookmarkStart w:id="373" w:name="_Toc313878854"/>
            <w:r w:rsidRPr="00AE6EDB">
              <w:rPr>
                <w:b/>
                <w:color w:val="FFFFFF" w:themeColor="background1"/>
                <w:sz w:val="19"/>
                <w:szCs w:val="19"/>
                <w:lang w:eastAsia="cs-CZ"/>
              </w:rPr>
              <w:t>Akciový negarantovaný dôchodkový fond</w:t>
            </w:r>
            <w:bookmarkEnd w:id="370"/>
            <w:bookmarkEnd w:id="371"/>
            <w:bookmarkEnd w:id="372"/>
            <w:bookmarkEnd w:id="373"/>
          </w:p>
        </w:tc>
        <w:tc>
          <w:tcPr>
            <w:tcW w:w="140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color w:val="FFFFFF" w:themeColor="background1"/>
                <w:sz w:val="19"/>
                <w:szCs w:val="19"/>
                <w:lang w:eastAsia="cs-CZ"/>
              </w:rPr>
            </w:pPr>
            <w:r w:rsidRPr="00AE6EDB">
              <w:rPr>
                <w:b/>
                <w:color w:val="FFFFFF" w:themeColor="background1"/>
                <w:sz w:val="19"/>
                <w:szCs w:val="19"/>
                <w:lang w:eastAsia="cs-CZ"/>
              </w:rPr>
              <w:t>Indexový negarantovaný dôchodkový fond</w:t>
            </w:r>
          </w:p>
        </w:tc>
        <w:tc>
          <w:tcPr>
            <w:tcW w:w="11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74" w:name="_Toc294019800"/>
            <w:bookmarkStart w:id="375" w:name="_Toc294027125"/>
            <w:bookmarkStart w:id="376" w:name="_Toc294029364"/>
            <w:bookmarkStart w:id="377" w:name="_Toc313878855"/>
            <w:r w:rsidRPr="00AE6EDB">
              <w:rPr>
                <w:b/>
                <w:color w:val="FFFFFF" w:themeColor="background1"/>
                <w:sz w:val="19"/>
                <w:szCs w:val="19"/>
                <w:lang w:eastAsia="cs-CZ"/>
              </w:rPr>
              <w:t>Spolu k 31.12.201</w:t>
            </w:r>
            <w:bookmarkEnd w:id="374"/>
            <w:bookmarkEnd w:id="375"/>
            <w:bookmarkEnd w:id="376"/>
            <w:bookmarkEnd w:id="377"/>
            <w:r w:rsidRPr="00AE6EDB">
              <w:rPr>
                <w:b/>
                <w:color w:val="FFFFFF" w:themeColor="background1"/>
                <w:sz w:val="19"/>
                <w:szCs w:val="19"/>
                <w:lang w:eastAsia="cs-CZ"/>
              </w:rPr>
              <w:t>5</w:t>
            </w:r>
          </w:p>
        </w:tc>
        <w:tc>
          <w:tcPr>
            <w:tcW w:w="1241"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19"/>
                <w:szCs w:val="19"/>
                <w:lang w:eastAsia="cs-CZ"/>
              </w:rPr>
            </w:pPr>
            <w:bookmarkStart w:id="378" w:name="_Toc294019801"/>
            <w:bookmarkStart w:id="379" w:name="_Toc294027126"/>
            <w:bookmarkStart w:id="380" w:name="_Toc294029365"/>
            <w:bookmarkStart w:id="381" w:name="_Toc313878856"/>
            <w:r w:rsidRPr="00AE6EDB">
              <w:rPr>
                <w:b/>
                <w:color w:val="FFFFFF" w:themeColor="background1"/>
                <w:sz w:val="19"/>
                <w:szCs w:val="19"/>
                <w:lang w:eastAsia="cs-CZ"/>
              </w:rPr>
              <w:t>Percentuálny podiel majetku</w:t>
            </w:r>
            <w:bookmarkEnd w:id="378"/>
            <w:bookmarkEnd w:id="379"/>
            <w:bookmarkEnd w:id="380"/>
            <w:bookmarkEnd w:id="381"/>
          </w:p>
        </w:tc>
      </w:tr>
      <w:tr w:rsidR="000A7585" w:rsidRPr="00AE6EDB" w:rsidTr="00DE0EEC">
        <w:trPr>
          <w:trHeight w:val="300"/>
          <w:jc w:val="center"/>
        </w:trPr>
        <w:tc>
          <w:tcPr>
            <w:tcW w:w="2225" w:type="dxa"/>
            <w:tcBorders>
              <w:top w:val="single" w:sz="6" w:space="0" w:color="BF0000" w:themeColor="accent3" w:themeShade="BF"/>
            </w:tcBorders>
            <w:noWrap/>
            <w:vAlign w:val="center"/>
          </w:tcPr>
          <w:p w:rsidR="000A7585" w:rsidRPr="00AE6EDB" w:rsidRDefault="000A7585" w:rsidP="00DE0EEC">
            <w:pPr>
              <w:jc w:val="left"/>
              <w:rPr>
                <w:color w:val="000000" w:themeColor="text1"/>
                <w:sz w:val="20"/>
                <w:szCs w:val="17"/>
              </w:rPr>
            </w:pPr>
            <w:bookmarkStart w:id="382" w:name="_Toc294019802"/>
            <w:bookmarkStart w:id="383" w:name="_Toc294027127"/>
            <w:bookmarkStart w:id="384" w:name="_Toc294029366"/>
            <w:bookmarkStart w:id="385" w:name="_Toc313878857"/>
            <w:r w:rsidRPr="00AE6EDB">
              <w:rPr>
                <w:color w:val="000000" w:themeColor="text1"/>
                <w:sz w:val="20"/>
                <w:szCs w:val="17"/>
              </w:rPr>
              <w:t xml:space="preserve">AEGON, </w:t>
            </w:r>
            <w:proofErr w:type="spellStart"/>
            <w:r w:rsidRPr="00AE6EDB">
              <w:rPr>
                <w:color w:val="000000" w:themeColor="text1"/>
                <w:sz w:val="20"/>
                <w:szCs w:val="17"/>
              </w:rPr>
              <w:t>d.s.s</w:t>
            </w:r>
            <w:proofErr w:type="spellEnd"/>
            <w:r w:rsidRPr="00AE6EDB">
              <w:rPr>
                <w:color w:val="000000" w:themeColor="text1"/>
                <w:sz w:val="20"/>
                <w:szCs w:val="17"/>
              </w:rPr>
              <w:t>., a.s.</w:t>
            </w:r>
            <w:bookmarkEnd w:id="382"/>
            <w:bookmarkEnd w:id="383"/>
            <w:bookmarkEnd w:id="384"/>
            <w:bookmarkEnd w:id="385"/>
          </w:p>
        </w:tc>
        <w:tc>
          <w:tcPr>
            <w:tcW w:w="1247" w:type="dxa"/>
            <w:tcBorders>
              <w:top w:val="single" w:sz="6" w:space="0" w:color="BF0000" w:themeColor="accent3" w:themeShade="BF"/>
            </w:tcBorders>
            <w:noWrap/>
            <w:vAlign w:val="bottom"/>
          </w:tcPr>
          <w:p w:rsidR="000A7585" w:rsidRPr="00AE6EDB" w:rsidRDefault="000A7585" w:rsidP="00DE0EEC">
            <w:pPr>
              <w:jc w:val="right"/>
              <w:rPr>
                <w:color w:val="000000"/>
                <w:sz w:val="20"/>
                <w:szCs w:val="22"/>
              </w:rPr>
            </w:pPr>
            <w:r w:rsidRPr="00AE6EDB">
              <w:rPr>
                <w:color w:val="000000"/>
                <w:sz w:val="20"/>
                <w:szCs w:val="22"/>
              </w:rPr>
              <w:t>527,20</w:t>
            </w:r>
          </w:p>
        </w:tc>
        <w:tc>
          <w:tcPr>
            <w:tcW w:w="1418" w:type="dxa"/>
            <w:tcBorders>
              <w:top w:val="single" w:sz="6" w:space="0" w:color="BF0000" w:themeColor="accent3" w:themeShade="BF"/>
            </w:tcBorders>
            <w:noWrap/>
            <w:vAlign w:val="bottom"/>
          </w:tcPr>
          <w:p w:rsidR="000A7585" w:rsidRPr="00AE6EDB" w:rsidRDefault="000A7585" w:rsidP="00DE0EEC">
            <w:pPr>
              <w:jc w:val="right"/>
              <w:rPr>
                <w:color w:val="000000"/>
                <w:sz w:val="20"/>
                <w:szCs w:val="22"/>
              </w:rPr>
            </w:pPr>
            <w:r w:rsidRPr="00AE6EDB">
              <w:rPr>
                <w:color w:val="000000"/>
                <w:sz w:val="20"/>
                <w:szCs w:val="22"/>
              </w:rPr>
              <w:t>0,00</w:t>
            </w:r>
          </w:p>
        </w:tc>
        <w:tc>
          <w:tcPr>
            <w:tcW w:w="1474" w:type="dxa"/>
            <w:tcBorders>
              <w:top w:val="single" w:sz="6" w:space="0" w:color="BF0000" w:themeColor="accent3" w:themeShade="BF"/>
            </w:tcBorders>
            <w:noWrap/>
            <w:vAlign w:val="bottom"/>
          </w:tcPr>
          <w:p w:rsidR="000A7585" w:rsidRPr="00AE6EDB" w:rsidRDefault="000A7585" w:rsidP="00DE0EEC">
            <w:pPr>
              <w:jc w:val="right"/>
              <w:rPr>
                <w:color w:val="000000"/>
                <w:sz w:val="20"/>
                <w:szCs w:val="22"/>
              </w:rPr>
            </w:pPr>
            <w:r w:rsidRPr="00AE6EDB">
              <w:rPr>
                <w:color w:val="000000"/>
                <w:sz w:val="20"/>
                <w:szCs w:val="22"/>
              </w:rPr>
              <w:t>50,27</w:t>
            </w:r>
          </w:p>
        </w:tc>
        <w:tc>
          <w:tcPr>
            <w:tcW w:w="1400" w:type="dxa"/>
            <w:tcBorders>
              <w:top w:val="single" w:sz="6" w:space="0" w:color="BF0000" w:themeColor="accent3" w:themeShade="BF"/>
            </w:tcBorders>
            <w:vAlign w:val="bottom"/>
          </w:tcPr>
          <w:p w:rsidR="000A7585" w:rsidRPr="00AE6EDB" w:rsidRDefault="000A7585" w:rsidP="00DE0EEC">
            <w:pPr>
              <w:jc w:val="right"/>
              <w:rPr>
                <w:color w:val="000000"/>
                <w:sz w:val="20"/>
                <w:szCs w:val="22"/>
              </w:rPr>
            </w:pPr>
            <w:r w:rsidRPr="00AE6EDB">
              <w:rPr>
                <w:color w:val="000000"/>
                <w:sz w:val="20"/>
                <w:szCs w:val="22"/>
              </w:rPr>
              <w:t>11,56</w:t>
            </w:r>
          </w:p>
        </w:tc>
        <w:tc>
          <w:tcPr>
            <w:tcW w:w="1134" w:type="dxa"/>
            <w:tcBorders>
              <w:top w:val="single" w:sz="6" w:space="0" w:color="BF0000" w:themeColor="accent3" w:themeShade="BF"/>
            </w:tcBorders>
            <w:noWrap/>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589,03</w:t>
            </w:r>
          </w:p>
        </w:tc>
        <w:tc>
          <w:tcPr>
            <w:tcW w:w="1241" w:type="dxa"/>
            <w:tcBorders>
              <w:top w:val="single" w:sz="6" w:space="0" w:color="BF0000" w:themeColor="accent3" w:themeShade="BF"/>
            </w:tcBorders>
            <w:noWrap/>
            <w:vAlign w:val="bottom"/>
          </w:tcPr>
          <w:p w:rsidR="000A7585" w:rsidRPr="00AE6EDB" w:rsidRDefault="000A7585" w:rsidP="00DE0EEC">
            <w:pPr>
              <w:jc w:val="right"/>
              <w:rPr>
                <w:i/>
                <w:iCs/>
                <w:color w:val="000000"/>
                <w:sz w:val="20"/>
                <w:szCs w:val="22"/>
              </w:rPr>
            </w:pPr>
            <w:r w:rsidRPr="00AE6EDB">
              <w:rPr>
                <w:i/>
                <w:iCs/>
                <w:color w:val="000000"/>
                <w:sz w:val="20"/>
                <w:szCs w:val="22"/>
              </w:rPr>
              <w:t>9,3</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color w:val="000000" w:themeColor="text1"/>
                <w:sz w:val="20"/>
                <w:szCs w:val="17"/>
              </w:rPr>
            </w:pPr>
            <w:bookmarkStart w:id="386" w:name="_Toc294019808"/>
            <w:bookmarkStart w:id="387" w:name="_Toc294027133"/>
            <w:bookmarkStart w:id="388" w:name="_Toc294029372"/>
            <w:bookmarkStart w:id="389" w:name="_Toc313878863"/>
            <w:proofErr w:type="spellStart"/>
            <w:r w:rsidRPr="00AE6EDB">
              <w:rPr>
                <w:color w:val="000000" w:themeColor="text1"/>
                <w:sz w:val="20"/>
                <w:szCs w:val="17"/>
              </w:rPr>
              <w:t>Allianz</w:t>
            </w:r>
            <w:proofErr w:type="spellEnd"/>
            <w:r w:rsidRPr="00AE6EDB">
              <w:rPr>
                <w:color w:val="000000" w:themeColor="text1"/>
                <w:sz w:val="20"/>
                <w:szCs w:val="17"/>
              </w:rPr>
              <w:t xml:space="preserve"> - Slovenská </w:t>
            </w:r>
            <w:proofErr w:type="spellStart"/>
            <w:r w:rsidRPr="00AE6EDB">
              <w:rPr>
                <w:color w:val="000000" w:themeColor="text1"/>
                <w:sz w:val="20"/>
                <w:szCs w:val="17"/>
              </w:rPr>
              <w:t>d.s.s</w:t>
            </w:r>
            <w:proofErr w:type="spellEnd"/>
            <w:r w:rsidRPr="00AE6EDB">
              <w:rPr>
                <w:color w:val="000000" w:themeColor="text1"/>
                <w:sz w:val="20"/>
                <w:szCs w:val="17"/>
              </w:rPr>
              <w:t>., a.s.</w:t>
            </w:r>
            <w:bookmarkEnd w:id="386"/>
            <w:bookmarkEnd w:id="387"/>
            <w:bookmarkEnd w:id="388"/>
            <w:bookmarkEnd w:id="389"/>
          </w:p>
        </w:tc>
        <w:tc>
          <w:tcPr>
            <w:tcW w:w="1247" w:type="dxa"/>
            <w:noWrap/>
            <w:vAlign w:val="bottom"/>
          </w:tcPr>
          <w:p w:rsidR="000A7585" w:rsidRPr="00AE6EDB" w:rsidRDefault="0054295F" w:rsidP="00DE0EEC">
            <w:pPr>
              <w:jc w:val="right"/>
              <w:rPr>
                <w:color w:val="000000"/>
                <w:sz w:val="20"/>
                <w:szCs w:val="22"/>
              </w:rPr>
            </w:pPr>
            <w:r>
              <w:rPr>
                <w:color w:val="000000"/>
                <w:sz w:val="20"/>
                <w:szCs w:val="22"/>
              </w:rPr>
              <w:t>1 7</w:t>
            </w:r>
            <w:r w:rsidR="000A7585" w:rsidRPr="00AE6EDB">
              <w:rPr>
                <w:color w:val="000000"/>
                <w:sz w:val="20"/>
                <w:szCs w:val="22"/>
              </w:rPr>
              <w:t>86,37</w:t>
            </w:r>
          </w:p>
        </w:tc>
        <w:tc>
          <w:tcPr>
            <w:tcW w:w="1418" w:type="dxa"/>
            <w:noWrap/>
            <w:vAlign w:val="bottom"/>
          </w:tcPr>
          <w:p w:rsidR="000A7585" w:rsidRPr="00AE6EDB" w:rsidRDefault="000A7585" w:rsidP="00DE0EEC">
            <w:pPr>
              <w:jc w:val="right"/>
              <w:rPr>
                <w:color w:val="000000"/>
                <w:sz w:val="20"/>
                <w:szCs w:val="22"/>
              </w:rPr>
            </w:pPr>
            <w:r w:rsidRPr="00AE6EDB">
              <w:rPr>
                <w:color w:val="000000"/>
                <w:sz w:val="20"/>
                <w:szCs w:val="22"/>
              </w:rPr>
              <w:t>0,00</w:t>
            </w:r>
          </w:p>
        </w:tc>
        <w:tc>
          <w:tcPr>
            <w:tcW w:w="1474" w:type="dxa"/>
            <w:noWrap/>
            <w:vAlign w:val="bottom"/>
          </w:tcPr>
          <w:p w:rsidR="000A7585" w:rsidRPr="00AE6EDB" w:rsidRDefault="000A7585" w:rsidP="00DE0EEC">
            <w:pPr>
              <w:jc w:val="right"/>
              <w:rPr>
                <w:color w:val="000000"/>
                <w:sz w:val="20"/>
                <w:szCs w:val="22"/>
              </w:rPr>
            </w:pPr>
            <w:r w:rsidRPr="00AE6EDB">
              <w:rPr>
                <w:color w:val="000000"/>
                <w:sz w:val="20"/>
                <w:szCs w:val="22"/>
              </w:rPr>
              <w:t>242,13</w:t>
            </w:r>
          </w:p>
        </w:tc>
        <w:tc>
          <w:tcPr>
            <w:tcW w:w="1400" w:type="dxa"/>
            <w:vAlign w:val="bottom"/>
          </w:tcPr>
          <w:p w:rsidR="000A7585" w:rsidRPr="00AE6EDB" w:rsidRDefault="000A7585" w:rsidP="00DE0EEC">
            <w:pPr>
              <w:jc w:val="right"/>
              <w:rPr>
                <w:color w:val="000000"/>
                <w:sz w:val="20"/>
                <w:szCs w:val="22"/>
              </w:rPr>
            </w:pPr>
            <w:r w:rsidRPr="00AE6EDB">
              <w:rPr>
                <w:color w:val="000000"/>
                <w:sz w:val="20"/>
                <w:szCs w:val="22"/>
              </w:rPr>
              <w:t>0,00</w:t>
            </w:r>
          </w:p>
        </w:tc>
        <w:tc>
          <w:tcPr>
            <w:tcW w:w="1134" w:type="dxa"/>
            <w:noWrap/>
            <w:vAlign w:val="bottom"/>
          </w:tcPr>
          <w:p w:rsidR="000A7585" w:rsidRPr="00AE6EDB" w:rsidRDefault="0054295F" w:rsidP="00DE0EEC">
            <w:pPr>
              <w:jc w:val="right"/>
              <w:rPr>
                <w:b/>
                <w:bCs/>
                <w:i/>
                <w:iCs/>
                <w:color w:val="000000"/>
                <w:sz w:val="20"/>
                <w:szCs w:val="22"/>
              </w:rPr>
            </w:pPr>
            <w:r>
              <w:rPr>
                <w:b/>
                <w:bCs/>
                <w:i/>
                <w:iCs/>
                <w:color w:val="000000"/>
                <w:sz w:val="20"/>
                <w:szCs w:val="22"/>
              </w:rPr>
              <w:t>2 0</w:t>
            </w:r>
            <w:r w:rsidR="000A7585" w:rsidRPr="00AE6EDB">
              <w:rPr>
                <w:b/>
                <w:bCs/>
                <w:i/>
                <w:iCs/>
                <w:color w:val="000000"/>
                <w:sz w:val="20"/>
                <w:szCs w:val="22"/>
              </w:rPr>
              <w:t>28,50</w:t>
            </w:r>
          </w:p>
        </w:tc>
        <w:tc>
          <w:tcPr>
            <w:tcW w:w="1241" w:type="dxa"/>
            <w:noWrap/>
            <w:vAlign w:val="bottom"/>
          </w:tcPr>
          <w:p w:rsidR="000A7585" w:rsidRPr="00AE6EDB" w:rsidRDefault="000A7585" w:rsidP="00DE0EEC">
            <w:pPr>
              <w:jc w:val="right"/>
              <w:rPr>
                <w:i/>
                <w:iCs/>
                <w:color w:val="000000"/>
                <w:sz w:val="20"/>
                <w:szCs w:val="22"/>
              </w:rPr>
            </w:pPr>
            <w:r w:rsidRPr="00AE6EDB">
              <w:rPr>
                <w:i/>
                <w:iCs/>
                <w:color w:val="000000"/>
                <w:sz w:val="20"/>
                <w:szCs w:val="22"/>
              </w:rPr>
              <w:t>32,2</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color w:val="000000" w:themeColor="text1"/>
                <w:sz w:val="20"/>
                <w:szCs w:val="17"/>
              </w:rPr>
            </w:pPr>
            <w:bookmarkStart w:id="390" w:name="_Toc294019814"/>
            <w:bookmarkStart w:id="391" w:name="_Toc294027139"/>
            <w:bookmarkStart w:id="392" w:name="_Toc294029378"/>
            <w:bookmarkStart w:id="393" w:name="_Toc313878869"/>
            <w:r w:rsidRPr="00AE6EDB">
              <w:rPr>
                <w:color w:val="000000" w:themeColor="text1"/>
                <w:sz w:val="20"/>
                <w:szCs w:val="17"/>
              </w:rPr>
              <w:t xml:space="preserve">AXA </w:t>
            </w:r>
            <w:proofErr w:type="spellStart"/>
            <w:r w:rsidRPr="00AE6EDB">
              <w:rPr>
                <w:color w:val="000000" w:themeColor="text1"/>
                <w:sz w:val="20"/>
                <w:szCs w:val="17"/>
              </w:rPr>
              <w:t>d.s.s</w:t>
            </w:r>
            <w:proofErr w:type="spellEnd"/>
            <w:r w:rsidRPr="00AE6EDB">
              <w:rPr>
                <w:color w:val="000000" w:themeColor="text1"/>
                <w:sz w:val="20"/>
                <w:szCs w:val="17"/>
              </w:rPr>
              <w:t>., a.s.</w:t>
            </w:r>
            <w:bookmarkEnd w:id="390"/>
            <w:bookmarkEnd w:id="391"/>
            <w:bookmarkEnd w:id="392"/>
            <w:bookmarkEnd w:id="393"/>
          </w:p>
        </w:tc>
        <w:tc>
          <w:tcPr>
            <w:tcW w:w="1247" w:type="dxa"/>
            <w:noWrap/>
            <w:vAlign w:val="bottom"/>
          </w:tcPr>
          <w:p w:rsidR="000A7585" w:rsidRPr="00AE6EDB" w:rsidRDefault="0054295F" w:rsidP="00DE0EEC">
            <w:pPr>
              <w:jc w:val="right"/>
              <w:rPr>
                <w:color w:val="000000"/>
                <w:sz w:val="20"/>
                <w:szCs w:val="22"/>
              </w:rPr>
            </w:pPr>
            <w:r>
              <w:rPr>
                <w:color w:val="000000"/>
                <w:sz w:val="20"/>
                <w:szCs w:val="22"/>
              </w:rPr>
              <w:t>1 3</w:t>
            </w:r>
            <w:r w:rsidR="000A7585" w:rsidRPr="00AE6EDB">
              <w:rPr>
                <w:color w:val="000000"/>
                <w:sz w:val="20"/>
                <w:szCs w:val="22"/>
              </w:rPr>
              <w:t>51,04</w:t>
            </w:r>
          </w:p>
        </w:tc>
        <w:tc>
          <w:tcPr>
            <w:tcW w:w="1418" w:type="dxa"/>
            <w:noWrap/>
            <w:vAlign w:val="bottom"/>
          </w:tcPr>
          <w:p w:rsidR="000A7585" w:rsidRPr="00AE6EDB" w:rsidRDefault="000A7585" w:rsidP="00DE0EEC">
            <w:pPr>
              <w:jc w:val="right"/>
              <w:rPr>
                <w:color w:val="000000"/>
                <w:sz w:val="20"/>
                <w:szCs w:val="22"/>
              </w:rPr>
            </w:pPr>
            <w:r w:rsidRPr="00AE6EDB">
              <w:rPr>
                <w:color w:val="000000"/>
                <w:sz w:val="20"/>
                <w:szCs w:val="22"/>
              </w:rPr>
              <w:t>0,00</w:t>
            </w:r>
          </w:p>
        </w:tc>
        <w:tc>
          <w:tcPr>
            <w:tcW w:w="1474" w:type="dxa"/>
            <w:noWrap/>
            <w:vAlign w:val="bottom"/>
          </w:tcPr>
          <w:p w:rsidR="000A7585" w:rsidRPr="00AE6EDB" w:rsidRDefault="000A7585" w:rsidP="00DE0EEC">
            <w:pPr>
              <w:jc w:val="right"/>
              <w:rPr>
                <w:color w:val="000000"/>
                <w:sz w:val="20"/>
                <w:szCs w:val="22"/>
              </w:rPr>
            </w:pPr>
            <w:r w:rsidRPr="00AE6EDB">
              <w:rPr>
                <w:color w:val="000000"/>
                <w:sz w:val="20"/>
                <w:szCs w:val="22"/>
              </w:rPr>
              <w:t>170,43</w:t>
            </w:r>
          </w:p>
        </w:tc>
        <w:tc>
          <w:tcPr>
            <w:tcW w:w="1400" w:type="dxa"/>
            <w:vAlign w:val="bottom"/>
          </w:tcPr>
          <w:p w:rsidR="000A7585" w:rsidRPr="00AE6EDB" w:rsidRDefault="000A7585" w:rsidP="00DE0EEC">
            <w:pPr>
              <w:jc w:val="right"/>
              <w:rPr>
                <w:color w:val="000000"/>
                <w:sz w:val="20"/>
                <w:szCs w:val="22"/>
              </w:rPr>
            </w:pPr>
            <w:r w:rsidRPr="00AE6EDB">
              <w:rPr>
                <w:color w:val="000000"/>
                <w:sz w:val="20"/>
                <w:szCs w:val="22"/>
              </w:rPr>
              <w:t>112,58</w:t>
            </w:r>
          </w:p>
        </w:tc>
        <w:tc>
          <w:tcPr>
            <w:tcW w:w="1134" w:type="dxa"/>
            <w:noWrap/>
            <w:vAlign w:val="bottom"/>
          </w:tcPr>
          <w:p w:rsidR="000A7585" w:rsidRPr="00AE6EDB" w:rsidRDefault="0054295F" w:rsidP="00DE0EEC">
            <w:pPr>
              <w:jc w:val="right"/>
              <w:rPr>
                <w:b/>
                <w:bCs/>
                <w:i/>
                <w:iCs/>
                <w:color w:val="000000"/>
                <w:sz w:val="20"/>
                <w:szCs w:val="22"/>
              </w:rPr>
            </w:pPr>
            <w:r>
              <w:rPr>
                <w:b/>
                <w:bCs/>
                <w:i/>
                <w:iCs/>
                <w:color w:val="000000"/>
                <w:sz w:val="20"/>
                <w:szCs w:val="22"/>
              </w:rPr>
              <w:t>1 6</w:t>
            </w:r>
            <w:r w:rsidR="000A7585" w:rsidRPr="00AE6EDB">
              <w:rPr>
                <w:b/>
                <w:bCs/>
                <w:i/>
                <w:iCs/>
                <w:color w:val="000000"/>
                <w:sz w:val="20"/>
                <w:szCs w:val="22"/>
              </w:rPr>
              <w:t>34,05</w:t>
            </w:r>
          </w:p>
        </w:tc>
        <w:tc>
          <w:tcPr>
            <w:tcW w:w="1241" w:type="dxa"/>
            <w:noWrap/>
            <w:vAlign w:val="bottom"/>
          </w:tcPr>
          <w:p w:rsidR="000A7585" w:rsidRPr="00AE6EDB" w:rsidRDefault="000A7585" w:rsidP="00DE0EEC">
            <w:pPr>
              <w:jc w:val="right"/>
              <w:rPr>
                <w:i/>
                <w:iCs/>
                <w:color w:val="000000"/>
                <w:sz w:val="20"/>
                <w:szCs w:val="22"/>
              </w:rPr>
            </w:pPr>
            <w:r w:rsidRPr="00AE6EDB">
              <w:rPr>
                <w:i/>
                <w:iCs/>
                <w:color w:val="000000"/>
                <w:sz w:val="20"/>
                <w:szCs w:val="22"/>
              </w:rPr>
              <w:t>25,9</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color w:val="000000" w:themeColor="text1"/>
                <w:sz w:val="20"/>
                <w:szCs w:val="17"/>
              </w:rPr>
            </w:pPr>
            <w:r w:rsidRPr="00AE6EDB">
              <w:rPr>
                <w:color w:val="000000" w:themeColor="text1"/>
                <w:sz w:val="20"/>
                <w:szCs w:val="17"/>
              </w:rPr>
              <w:t xml:space="preserve">DSS Poštovej banky </w:t>
            </w:r>
            <w:proofErr w:type="spellStart"/>
            <w:r w:rsidRPr="00AE6EDB">
              <w:rPr>
                <w:color w:val="000000" w:themeColor="text1"/>
                <w:sz w:val="20"/>
                <w:szCs w:val="17"/>
              </w:rPr>
              <w:t>d.s.s</w:t>
            </w:r>
            <w:proofErr w:type="spellEnd"/>
            <w:r w:rsidRPr="00AE6EDB">
              <w:rPr>
                <w:color w:val="000000" w:themeColor="text1"/>
                <w:sz w:val="20"/>
                <w:szCs w:val="17"/>
              </w:rPr>
              <w:t>. a.s.</w:t>
            </w:r>
          </w:p>
        </w:tc>
        <w:tc>
          <w:tcPr>
            <w:tcW w:w="1247" w:type="dxa"/>
            <w:noWrap/>
            <w:vAlign w:val="bottom"/>
          </w:tcPr>
          <w:p w:rsidR="000A7585" w:rsidRPr="00AE6EDB" w:rsidRDefault="000A7585" w:rsidP="00DE0EEC">
            <w:pPr>
              <w:jc w:val="right"/>
              <w:rPr>
                <w:color w:val="000000"/>
                <w:sz w:val="20"/>
                <w:szCs w:val="22"/>
              </w:rPr>
            </w:pPr>
            <w:r w:rsidRPr="00AE6EDB">
              <w:rPr>
                <w:color w:val="000000"/>
                <w:sz w:val="20"/>
                <w:szCs w:val="22"/>
              </w:rPr>
              <w:t>276,61</w:t>
            </w:r>
          </w:p>
        </w:tc>
        <w:tc>
          <w:tcPr>
            <w:tcW w:w="1418" w:type="dxa"/>
            <w:noWrap/>
            <w:vAlign w:val="bottom"/>
          </w:tcPr>
          <w:p w:rsidR="000A7585" w:rsidRPr="00AE6EDB" w:rsidRDefault="000A7585" w:rsidP="00DE0EEC">
            <w:pPr>
              <w:jc w:val="right"/>
              <w:rPr>
                <w:color w:val="000000"/>
                <w:sz w:val="20"/>
                <w:szCs w:val="22"/>
              </w:rPr>
            </w:pPr>
            <w:r w:rsidRPr="00AE6EDB">
              <w:rPr>
                <w:color w:val="000000"/>
                <w:sz w:val="20"/>
                <w:szCs w:val="22"/>
              </w:rPr>
              <w:t>14,86</w:t>
            </w:r>
          </w:p>
        </w:tc>
        <w:tc>
          <w:tcPr>
            <w:tcW w:w="1474" w:type="dxa"/>
            <w:noWrap/>
            <w:vAlign w:val="bottom"/>
          </w:tcPr>
          <w:p w:rsidR="000A7585" w:rsidRPr="00AE6EDB" w:rsidRDefault="000A7585" w:rsidP="00DE0EEC">
            <w:pPr>
              <w:jc w:val="right"/>
              <w:rPr>
                <w:color w:val="000000"/>
                <w:sz w:val="20"/>
                <w:szCs w:val="22"/>
              </w:rPr>
            </w:pPr>
            <w:r w:rsidRPr="00AE6EDB">
              <w:rPr>
                <w:color w:val="000000"/>
                <w:sz w:val="20"/>
                <w:szCs w:val="22"/>
              </w:rPr>
              <w:t>44,00</w:t>
            </w:r>
          </w:p>
        </w:tc>
        <w:tc>
          <w:tcPr>
            <w:tcW w:w="1400" w:type="dxa"/>
            <w:vAlign w:val="bottom"/>
          </w:tcPr>
          <w:p w:rsidR="000A7585" w:rsidRPr="00AE6EDB" w:rsidRDefault="000A7585" w:rsidP="00DE0EEC">
            <w:pPr>
              <w:jc w:val="right"/>
              <w:rPr>
                <w:color w:val="000000"/>
                <w:sz w:val="20"/>
                <w:szCs w:val="22"/>
              </w:rPr>
            </w:pPr>
            <w:r w:rsidRPr="00AE6EDB">
              <w:rPr>
                <w:color w:val="000000"/>
                <w:sz w:val="20"/>
                <w:szCs w:val="22"/>
              </w:rPr>
              <w:t>11,27</w:t>
            </w:r>
          </w:p>
        </w:tc>
        <w:tc>
          <w:tcPr>
            <w:tcW w:w="1134" w:type="dxa"/>
            <w:noWrap/>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346,74</w:t>
            </w:r>
          </w:p>
        </w:tc>
        <w:tc>
          <w:tcPr>
            <w:tcW w:w="1241" w:type="dxa"/>
            <w:noWrap/>
            <w:vAlign w:val="bottom"/>
          </w:tcPr>
          <w:p w:rsidR="000A7585" w:rsidRPr="00AE6EDB" w:rsidRDefault="000A7585" w:rsidP="00DE0EEC">
            <w:pPr>
              <w:jc w:val="right"/>
              <w:rPr>
                <w:i/>
                <w:iCs/>
                <w:color w:val="000000"/>
                <w:sz w:val="20"/>
                <w:szCs w:val="22"/>
              </w:rPr>
            </w:pPr>
            <w:r w:rsidRPr="00AE6EDB">
              <w:rPr>
                <w:i/>
                <w:iCs/>
                <w:color w:val="000000"/>
                <w:sz w:val="20"/>
                <w:szCs w:val="22"/>
              </w:rPr>
              <w:t>5,5</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color w:val="000000" w:themeColor="text1"/>
                <w:sz w:val="20"/>
                <w:szCs w:val="17"/>
              </w:rPr>
            </w:pPr>
            <w:bookmarkStart w:id="394" w:name="_Toc294019826"/>
            <w:bookmarkStart w:id="395" w:name="_Toc294027151"/>
            <w:bookmarkStart w:id="396" w:name="_Toc294029390"/>
            <w:bookmarkStart w:id="397" w:name="_Toc313878881"/>
            <w:r w:rsidRPr="00AE6EDB">
              <w:rPr>
                <w:color w:val="000000" w:themeColor="text1"/>
                <w:sz w:val="20"/>
                <w:szCs w:val="17"/>
              </w:rPr>
              <w:t xml:space="preserve">NN </w:t>
            </w:r>
            <w:proofErr w:type="spellStart"/>
            <w:r w:rsidRPr="00AE6EDB">
              <w:rPr>
                <w:color w:val="000000" w:themeColor="text1"/>
                <w:sz w:val="20"/>
                <w:szCs w:val="17"/>
              </w:rPr>
              <w:t>d.s.s</w:t>
            </w:r>
            <w:proofErr w:type="spellEnd"/>
            <w:r w:rsidRPr="00AE6EDB">
              <w:rPr>
                <w:color w:val="000000" w:themeColor="text1"/>
                <w:sz w:val="20"/>
                <w:szCs w:val="17"/>
              </w:rPr>
              <w:t>., a.s.</w:t>
            </w:r>
            <w:bookmarkEnd w:id="394"/>
            <w:bookmarkEnd w:id="395"/>
            <w:bookmarkEnd w:id="396"/>
            <w:bookmarkEnd w:id="397"/>
          </w:p>
        </w:tc>
        <w:tc>
          <w:tcPr>
            <w:tcW w:w="1247" w:type="dxa"/>
            <w:noWrap/>
            <w:vAlign w:val="bottom"/>
          </w:tcPr>
          <w:p w:rsidR="000A7585" w:rsidRPr="00AE6EDB" w:rsidRDefault="000A7585" w:rsidP="00DE0EEC">
            <w:pPr>
              <w:jc w:val="right"/>
              <w:rPr>
                <w:color w:val="000000"/>
                <w:sz w:val="20"/>
                <w:szCs w:val="22"/>
              </w:rPr>
            </w:pPr>
            <w:r w:rsidRPr="00AE6EDB">
              <w:rPr>
                <w:color w:val="000000"/>
                <w:sz w:val="20"/>
                <w:szCs w:val="22"/>
              </w:rPr>
              <w:t>542,77</w:t>
            </w:r>
          </w:p>
        </w:tc>
        <w:tc>
          <w:tcPr>
            <w:tcW w:w="1418" w:type="dxa"/>
            <w:noWrap/>
            <w:vAlign w:val="bottom"/>
          </w:tcPr>
          <w:p w:rsidR="000A7585" w:rsidRPr="00AE6EDB" w:rsidRDefault="000A7585" w:rsidP="00DE0EEC">
            <w:pPr>
              <w:jc w:val="right"/>
              <w:rPr>
                <w:color w:val="000000"/>
                <w:sz w:val="20"/>
                <w:szCs w:val="22"/>
              </w:rPr>
            </w:pPr>
            <w:r w:rsidRPr="00AE6EDB">
              <w:rPr>
                <w:color w:val="000000"/>
                <w:sz w:val="20"/>
                <w:szCs w:val="22"/>
              </w:rPr>
              <w:t>23,33</w:t>
            </w:r>
          </w:p>
        </w:tc>
        <w:tc>
          <w:tcPr>
            <w:tcW w:w="1474" w:type="dxa"/>
            <w:noWrap/>
            <w:vAlign w:val="bottom"/>
          </w:tcPr>
          <w:p w:rsidR="000A7585" w:rsidRPr="00AE6EDB" w:rsidRDefault="000A7585" w:rsidP="00DE0EEC">
            <w:pPr>
              <w:jc w:val="right"/>
              <w:rPr>
                <w:color w:val="000000"/>
                <w:sz w:val="20"/>
                <w:szCs w:val="22"/>
              </w:rPr>
            </w:pPr>
            <w:r w:rsidRPr="00AE6EDB">
              <w:rPr>
                <w:color w:val="000000"/>
                <w:sz w:val="20"/>
                <w:szCs w:val="22"/>
              </w:rPr>
              <w:t>76,26</w:t>
            </w:r>
          </w:p>
        </w:tc>
        <w:tc>
          <w:tcPr>
            <w:tcW w:w="1400" w:type="dxa"/>
            <w:vAlign w:val="bottom"/>
          </w:tcPr>
          <w:p w:rsidR="000A7585" w:rsidRPr="00AE6EDB" w:rsidRDefault="000A7585" w:rsidP="00DE0EEC">
            <w:pPr>
              <w:jc w:val="right"/>
              <w:rPr>
                <w:color w:val="000000"/>
                <w:sz w:val="20"/>
                <w:szCs w:val="22"/>
              </w:rPr>
            </w:pPr>
            <w:r w:rsidRPr="00AE6EDB">
              <w:rPr>
                <w:color w:val="000000"/>
                <w:sz w:val="20"/>
                <w:szCs w:val="22"/>
              </w:rPr>
              <w:t>36,80</w:t>
            </w:r>
          </w:p>
        </w:tc>
        <w:tc>
          <w:tcPr>
            <w:tcW w:w="1134" w:type="dxa"/>
            <w:noWrap/>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679,16</w:t>
            </w:r>
          </w:p>
        </w:tc>
        <w:tc>
          <w:tcPr>
            <w:tcW w:w="1241" w:type="dxa"/>
            <w:noWrap/>
            <w:vAlign w:val="bottom"/>
          </w:tcPr>
          <w:p w:rsidR="000A7585" w:rsidRPr="00AE6EDB" w:rsidRDefault="000A7585" w:rsidP="00DE0EEC">
            <w:pPr>
              <w:jc w:val="right"/>
              <w:rPr>
                <w:i/>
                <w:iCs/>
                <w:color w:val="000000"/>
                <w:sz w:val="20"/>
                <w:szCs w:val="22"/>
              </w:rPr>
            </w:pPr>
            <w:r w:rsidRPr="00AE6EDB">
              <w:rPr>
                <w:i/>
                <w:iCs/>
                <w:color w:val="000000"/>
                <w:sz w:val="20"/>
                <w:szCs w:val="22"/>
              </w:rPr>
              <w:t>10,8</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color w:val="000000" w:themeColor="text1"/>
                <w:sz w:val="20"/>
                <w:szCs w:val="17"/>
              </w:rPr>
            </w:pPr>
            <w:bookmarkStart w:id="398" w:name="_Toc294019832"/>
            <w:bookmarkStart w:id="399" w:name="_Toc294027157"/>
            <w:bookmarkStart w:id="400" w:name="_Toc294029396"/>
            <w:bookmarkStart w:id="401" w:name="_Toc313878887"/>
            <w:r w:rsidRPr="00AE6EDB">
              <w:rPr>
                <w:color w:val="000000" w:themeColor="text1"/>
                <w:sz w:val="20"/>
                <w:szCs w:val="17"/>
              </w:rPr>
              <w:t xml:space="preserve">VÚB </w:t>
            </w:r>
            <w:proofErr w:type="spellStart"/>
            <w:r w:rsidRPr="00AE6EDB">
              <w:rPr>
                <w:color w:val="000000" w:themeColor="text1"/>
                <w:sz w:val="20"/>
                <w:szCs w:val="17"/>
              </w:rPr>
              <w:t>Generali</w:t>
            </w:r>
            <w:proofErr w:type="spellEnd"/>
            <w:r w:rsidRPr="00AE6EDB">
              <w:rPr>
                <w:color w:val="000000" w:themeColor="text1"/>
                <w:sz w:val="20"/>
                <w:szCs w:val="17"/>
              </w:rPr>
              <w:t xml:space="preserve"> </w:t>
            </w:r>
            <w:proofErr w:type="spellStart"/>
            <w:r w:rsidRPr="00AE6EDB">
              <w:rPr>
                <w:color w:val="000000" w:themeColor="text1"/>
                <w:sz w:val="20"/>
                <w:szCs w:val="17"/>
              </w:rPr>
              <w:t>d.s.s</w:t>
            </w:r>
            <w:proofErr w:type="spellEnd"/>
            <w:r w:rsidRPr="00AE6EDB">
              <w:rPr>
                <w:color w:val="000000" w:themeColor="text1"/>
                <w:sz w:val="20"/>
                <w:szCs w:val="17"/>
              </w:rPr>
              <w:t>., a.s.</w:t>
            </w:r>
            <w:bookmarkEnd w:id="398"/>
            <w:bookmarkEnd w:id="399"/>
            <w:bookmarkEnd w:id="400"/>
            <w:bookmarkEnd w:id="401"/>
          </w:p>
        </w:tc>
        <w:tc>
          <w:tcPr>
            <w:tcW w:w="1247" w:type="dxa"/>
            <w:noWrap/>
            <w:vAlign w:val="bottom"/>
          </w:tcPr>
          <w:p w:rsidR="000A7585" w:rsidRPr="00AE6EDB" w:rsidRDefault="000A7585" w:rsidP="00DE0EEC">
            <w:pPr>
              <w:jc w:val="right"/>
              <w:rPr>
                <w:color w:val="000000"/>
                <w:sz w:val="20"/>
                <w:szCs w:val="22"/>
              </w:rPr>
            </w:pPr>
            <w:r w:rsidRPr="00AE6EDB">
              <w:rPr>
                <w:color w:val="000000"/>
                <w:sz w:val="20"/>
                <w:szCs w:val="22"/>
              </w:rPr>
              <w:t>868,50</w:t>
            </w:r>
          </w:p>
        </w:tc>
        <w:tc>
          <w:tcPr>
            <w:tcW w:w="1418" w:type="dxa"/>
            <w:noWrap/>
            <w:vAlign w:val="bottom"/>
          </w:tcPr>
          <w:p w:rsidR="000A7585" w:rsidRPr="00AE6EDB" w:rsidRDefault="000A7585" w:rsidP="00DE0EEC">
            <w:pPr>
              <w:jc w:val="right"/>
              <w:rPr>
                <w:color w:val="000000"/>
                <w:sz w:val="20"/>
                <w:szCs w:val="22"/>
              </w:rPr>
            </w:pPr>
            <w:r w:rsidRPr="00AE6EDB">
              <w:rPr>
                <w:color w:val="000000"/>
                <w:sz w:val="20"/>
                <w:szCs w:val="22"/>
              </w:rPr>
              <w:t>31,25</w:t>
            </w:r>
          </w:p>
        </w:tc>
        <w:tc>
          <w:tcPr>
            <w:tcW w:w="1474" w:type="dxa"/>
            <w:noWrap/>
            <w:vAlign w:val="bottom"/>
          </w:tcPr>
          <w:p w:rsidR="000A7585" w:rsidRPr="00AE6EDB" w:rsidRDefault="000A7585" w:rsidP="00DE0EEC">
            <w:pPr>
              <w:jc w:val="right"/>
              <w:rPr>
                <w:color w:val="000000"/>
                <w:sz w:val="20"/>
                <w:szCs w:val="22"/>
              </w:rPr>
            </w:pPr>
            <w:r w:rsidRPr="00AE6EDB">
              <w:rPr>
                <w:color w:val="000000"/>
                <w:sz w:val="20"/>
                <w:szCs w:val="22"/>
              </w:rPr>
              <w:t>61,17</w:t>
            </w:r>
          </w:p>
        </w:tc>
        <w:tc>
          <w:tcPr>
            <w:tcW w:w="1400" w:type="dxa"/>
            <w:vAlign w:val="bottom"/>
          </w:tcPr>
          <w:p w:rsidR="000A7585" w:rsidRPr="00AE6EDB" w:rsidRDefault="000A7585" w:rsidP="00DE0EEC">
            <w:pPr>
              <w:jc w:val="right"/>
              <w:rPr>
                <w:color w:val="000000"/>
                <w:sz w:val="20"/>
                <w:szCs w:val="22"/>
              </w:rPr>
            </w:pPr>
            <w:r w:rsidRPr="00AE6EDB">
              <w:rPr>
                <w:color w:val="000000"/>
                <w:sz w:val="20"/>
                <w:szCs w:val="22"/>
              </w:rPr>
              <w:t>64,19</w:t>
            </w:r>
          </w:p>
        </w:tc>
        <w:tc>
          <w:tcPr>
            <w:tcW w:w="1134" w:type="dxa"/>
            <w:noWrap/>
            <w:vAlign w:val="bottom"/>
          </w:tcPr>
          <w:p w:rsidR="000A7585" w:rsidRPr="00AE6EDB" w:rsidRDefault="0054295F" w:rsidP="00DE0EEC">
            <w:pPr>
              <w:jc w:val="right"/>
              <w:rPr>
                <w:b/>
                <w:bCs/>
                <w:i/>
                <w:iCs/>
                <w:color w:val="000000"/>
                <w:sz w:val="20"/>
                <w:szCs w:val="22"/>
              </w:rPr>
            </w:pPr>
            <w:r>
              <w:rPr>
                <w:b/>
                <w:bCs/>
                <w:i/>
                <w:iCs/>
                <w:color w:val="000000"/>
                <w:sz w:val="20"/>
                <w:szCs w:val="22"/>
              </w:rPr>
              <w:t>1 0</w:t>
            </w:r>
            <w:r w:rsidR="000A7585" w:rsidRPr="00AE6EDB">
              <w:rPr>
                <w:b/>
                <w:bCs/>
                <w:i/>
                <w:iCs/>
                <w:color w:val="000000"/>
                <w:sz w:val="20"/>
                <w:szCs w:val="22"/>
              </w:rPr>
              <w:t>25,11</w:t>
            </w:r>
          </w:p>
        </w:tc>
        <w:tc>
          <w:tcPr>
            <w:tcW w:w="1241" w:type="dxa"/>
            <w:noWrap/>
            <w:vAlign w:val="bottom"/>
          </w:tcPr>
          <w:p w:rsidR="000A7585" w:rsidRPr="00AE6EDB" w:rsidRDefault="000A7585" w:rsidP="00DE0EEC">
            <w:pPr>
              <w:jc w:val="right"/>
              <w:rPr>
                <w:i/>
                <w:iCs/>
                <w:color w:val="000000"/>
                <w:sz w:val="20"/>
                <w:szCs w:val="22"/>
              </w:rPr>
            </w:pPr>
            <w:r w:rsidRPr="00AE6EDB">
              <w:rPr>
                <w:i/>
                <w:iCs/>
                <w:color w:val="000000"/>
                <w:sz w:val="20"/>
                <w:szCs w:val="22"/>
              </w:rPr>
              <w:t>16,3</w:t>
            </w:r>
            <w:r w:rsidR="005676EF">
              <w:rPr>
                <w:i/>
                <w:iCs/>
                <w:color w:val="000000"/>
                <w:sz w:val="20"/>
                <w:szCs w:val="22"/>
              </w:rPr>
              <w:t> %</w:t>
            </w:r>
          </w:p>
        </w:tc>
      </w:tr>
      <w:tr w:rsidR="000A7585" w:rsidRPr="00AE6EDB" w:rsidTr="00DE0EEC">
        <w:trPr>
          <w:trHeight w:val="300"/>
          <w:jc w:val="center"/>
        </w:trPr>
        <w:tc>
          <w:tcPr>
            <w:tcW w:w="2225" w:type="dxa"/>
            <w:noWrap/>
            <w:vAlign w:val="center"/>
          </w:tcPr>
          <w:p w:rsidR="000A7585" w:rsidRPr="00AE6EDB" w:rsidRDefault="000A7585" w:rsidP="00DE0EEC">
            <w:pPr>
              <w:jc w:val="left"/>
              <w:rPr>
                <w:b/>
                <w:i/>
                <w:color w:val="000000" w:themeColor="text1"/>
                <w:sz w:val="20"/>
                <w:szCs w:val="17"/>
              </w:rPr>
            </w:pPr>
            <w:bookmarkStart w:id="402" w:name="_Toc294019838"/>
            <w:bookmarkStart w:id="403" w:name="_Toc294027163"/>
            <w:bookmarkStart w:id="404" w:name="_Toc294029402"/>
            <w:bookmarkStart w:id="405" w:name="_Toc313878893"/>
            <w:r w:rsidRPr="00AE6EDB">
              <w:rPr>
                <w:b/>
                <w:i/>
                <w:color w:val="000000" w:themeColor="text1"/>
                <w:sz w:val="20"/>
                <w:szCs w:val="17"/>
              </w:rPr>
              <w:t>Spolu</w:t>
            </w:r>
            <w:bookmarkEnd w:id="402"/>
            <w:bookmarkEnd w:id="403"/>
            <w:bookmarkEnd w:id="404"/>
            <w:bookmarkEnd w:id="405"/>
          </w:p>
        </w:tc>
        <w:tc>
          <w:tcPr>
            <w:tcW w:w="1247" w:type="dxa"/>
            <w:noWrap/>
            <w:vAlign w:val="bottom"/>
          </w:tcPr>
          <w:p w:rsidR="000A7585" w:rsidRPr="00AE6EDB" w:rsidRDefault="00AC44CB" w:rsidP="00DE0EEC">
            <w:pPr>
              <w:jc w:val="right"/>
              <w:rPr>
                <w:b/>
                <w:bCs/>
                <w:i/>
                <w:iCs/>
                <w:color w:val="000000"/>
                <w:sz w:val="20"/>
                <w:szCs w:val="22"/>
              </w:rPr>
            </w:pPr>
            <w:r>
              <w:rPr>
                <w:b/>
                <w:bCs/>
                <w:i/>
                <w:iCs/>
                <w:color w:val="000000"/>
                <w:sz w:val="20"/>
                <w:szCs w:val="22"/>
              </w:rPr>
              <w:t>5 3</w:t>
            </w:r>
            <w:r w:rsidR="000A7585" w:rsidRPr="00AE6EDB">
              <w:rPr>
                <w:b/>
                <w:bCs/>
                <w:i/>
                <w:iCs/>
                <w:color w:val="000000"/>
                <w:sz w:val="20"/>
                <w:szCs w:val="22"/>
              </w:rPr>
              <w:t>52,49</w:t>
            </w:r>
          </w:p>
        </w:tc>
        <w:tc>
          <w:tcPr>
            <w:tcW w:w="1418" w:type="dxa"/>
            <w:noWrap/>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69,44</w:t>
            </w:r>
          </w:p>
        </w:tc>
        <w:tc>
          <w:tcPr>
            <w:tcW w:w="1474" w:type="dxa"/>
            <w:noWrap/>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644,26</w:t>
            </w:r>
          </w:p>
        </w:tc>
        <w:tc>
          <w:tcPr>
            <w:tcW w:w="1400" w:type="dxa"/>
            <w:vAlign w:val="bottom"/>
          </w:tcPr>
          <w:p w:rsidR="000A7585" w:rsidRPr="00AE6EDB" w:rsidRDefault="000A7585" w:rsidP="00DE0EEC">
            <w:pPr>
              <w:jc w:val="right"/>
              <w:rPr>
                <w:b/>
                <w:bCs/>
                <w:i/>
                <w:iCs/>
                <w:color w:val="000000"/>
                <w:sz w:val="20"/>
                <w:szCs w:val="22"/>
              </w:rPr>
            </w:pPr>
            <w:r w:rsidRPr="00AE6EDB">
              <w:rPr>
                <w:b/>
                <w:bCs/>
                <w:i/>
                <w:iCs/>
                <w:color w:val="000000"/>
                <w:sz w:val="20"/>
                <w:szCs w:val="22"/>
              </w:rPr>
              <w:t>236,40</w:t>
            </w:r>
          </w:p>
        </w:tc>
        <w:tc>
          <w:tcPr>
            <w:tcW w:w="1134" w:type="dxa"/>
            <w:noWrap/>
            <w:vAlign w:val="bottom"/>
          </w:tcPr>
          <w:p w:rsidR="000A7585" w:rsidRPr="00AE6EDB" w:rsidRDefault="00AC44CB" w:rsidP="00DE0EEC">
            <w:pPr>
              <w:jc w:val="right"/>
              <w:rPr>
                <w:b/>
                <w:bCs/>
                <w:i/>
                <w:iCs/>
                <w:color w:val="000000"/>
                <w:sz w:val="20"/>
                <w:szCs w:val="22"/>
              </w:rPr>
            </w:pPr>
            <w:r>
              <w:rPr>
                <w:b/>
                <w:bCs/>
                <w:i/>
                <w:iCs/>
                <w:color w:val="000000"/>
                <w:sz w:val="20"/>
                <w:szCs w:val="22"/>
              </w:rPr>
              <w:t>6 3</w:t>
            </w:r>
            <w:r w:rsidR="000A7585" w:rsidRPr="00AE6EDB">
              <w:rPr>
                <w:b/>
                <w:bCs/>
                <w:i/>
                <w:iCs/>
                <w:color w:val="000000"/>
                <w:sz w:val="20"/>
                <w:szCs w:val="22"/>
              </w:rPr>
              <w:t>02,59</w:t>
            </w:r>
          </w:p>
        </w:tc>
        <w:tc>
          <w:tcPr>
            <w:tcW w:w="1241" w:type="dxa"/>
            <w:noWrap/>
            <w:vAlign w:val="bottom"/>
          </w:tcPr>
          <w:p w:rsidR="000A7585" w:rsidRPr="00AE6EDB" w:rsidRDefault="000A7585" w:rsidP="00DE0EEC">
            <w:pPr>
              <w:jc w:val="right"/>
              <w:rPr>
                <w:b/>
                <w:i/>
                <w:iCs/>
                <w:color w:val="000000"/>
                <w:sz w:val="20"/>
                <w:szCs w:val="22"/>
              </w:rPr>
            </w:pPr>
            <w:r w:rsidRPr="00AE6EDB">
              <w:rPr>
                <w:b/>
                <w:i/>
                <w:iCs/>
                <w:color w:val="000000"/>
                <w:sz w:val="20"/>
                <w:szCs w:val="22"/>
              </w:rPr>
              <w:t>100,0</w:t>
            </w:r>
            <w:r w:rsidR="005676EF">
              <w:rPr>
                <w:b/>
                <w:i/>
                <w:iCs/>
                <w:color w:val="000000"/>
                <w:sz w:val="20"/>
                <w:szCs w:val="22"/>
              </w:rPr>
              <w:t> %</w:t>
            </w:r>
          </w:p>
        </w:tc>
      </w:tr>
      <w:tr w:rsidR="000A7585" w:rsidRPr="00AE6EDB" w:rsidTr="00DE0EEC">
        <w:trPr>
          <w:trHeight w:val="314"/>
          <w:jc w:val="center"/>
        </w:trPr>
        <w:tc>
          <w:tcPr>
            <w:tcW w:w="2225" w:type="dxa"/>
            <w:noWrap/>
            <w:vAlign w:val="center"/>
          </w:tcPr>
          <w:p w:rsidR="000A7585" w:rsidRPr="00AE6EDB" w:rsidRDefault="000A7585" w:rsidP="00DE0EEC">
            <w:pPr>
              <w:jc w:val="left"/>
              <w:rPr>
                <w:color w:val="000000" w:themeColor="text1"/>
                <w:sz w:val="20"/>
                <w:szCs w:val="17"/>
              </w:rPr>
            </w:pPr>
            <w:bookmarkStart w:id="406" w:name="_Toc294019844"/>
            <w:bookmarkStart w:id="407" w:name="_Toc294027169"/>
            <w:bookmarkStart w:id="408" w:name="_Toc294029408"/>
            <w:bookmarkStart w:id="409" w:name="_Toc313878899"/>
            <w:r w:rsidRPr="00AE6EDB">
              <w:rPr>
                <w:color w:val="000000" w:themeColor="text1"/>
                <w:sz w:val="20"/>
                <w:szCs w:val="17"/>
              </w:rPr>
              <w:t>Percentuálny podiel majetku</w:t>
            </w:r>
            <w:bookmarkEnd w:id="406"/>
            <w:bookmarkEnd w:id="407"/>
            <w:bookmarkEnd w:id="408"/>
            <w:bookmarkEnd w:id="409"/>
          </w:p>
        </w:tc>
        <w:tc>
          <w:tcPr>
            <w:tcW w:w="1247" w:type="dxa"/>
            <w:noWrap/>
            <w:vAlign w:val="center"/>
          </w:tcPr>
          <w:p w:rsidR="000A7585" w:rsidRPr="00AE6EDB" w:rsidRDefault="000A7585" w:rsidP="00DE0EEC">
            <w:pPr>
              <w:ind w:right="113"/>
              <w:jc w:val="right"/>
              <w:rPr>
                <w:bCs/>
                <w:i/>
                <w:iCs/>
                <w:sz w:val="20"/>
                <w:szCs w:val="17"/>
              </w:rPr>
            </w:pPr>
            <w:r w:rsidRPr="00AE6EDB">
              <w:rPr>
                <w:bCs/>
                <w:i/>
                <w:iCs/>
                <w:sz w:val="20"/>
                <w:szCs w:val="17"/>
              </w:rPr>
              <w:t>84,9</w:t>
            </w:r>
            <w:r w:rsidR="005676EF">
              <w:rPr>
                <w:bCs/>
                <w:i/>
                <w:iCs/>
                <w:sz w:val="20"/>
                <w:szCs w:val="17"/>
              </w:rPr>
              <w:t> %</w:t>
            </w:r>
          </w:p>
        </w:tc>
        <w:tc>
          <w:tcPr>
            <w:tcW w:w="1418" w:type="dxa"/>
            <w:noWrap/>
            <w:vAlign w:val="center"/>
          </w:tcPr>
          <w:p w:rsidR="000A7585" w:rsidRPr="00AE6EDB" w:rsidRDefault="000A7585" w:rsidP="00DE0EEC">
            <w:pPr>
              <w:ind w:right="113"/>
              <w:jc w:val="right"/>
              <w:rPr>
                <w:bCs/>
                <w:i/>
                <w:iCs/>
                <w:sz w:val="20"/>
                <w:szCs w:val="17"/>
              </w:rPr>
            </w:pPr>
            <w:r w:rsidRPr="00AE6EDB">
              <w:rPr>
                <w:bCs/>
                <w:i/>
                <w:iCs/>
                <w:sz w:val="20"/>
                <w:szCs w:val="17"/>
              </w:rPr>
              <w:t>1,1</w:t>
            </w:r>
            <w:r w:rsidR="005676EF">
              <w:rPr>
                <w:bCs/>
                <w:i/>
                <w:iCs/>
                <w:sz w:val="20"/>
                <w:szCs w:val="17"/>
              </w:rPr>
              <w:t> %</w:t>
            </w:r>
          </w:p>
        </w:tc>
        <w:tc>
          <w:tcPr>
            <w:tcW w:w="1474" w:type="dxa"/>
            <w:noWrap/>
            <w:vAlign w:val="center"/>
          </w:tcPr>
          <w:p w:rsidR="000A7585" w:rsidRPr="00AE6EDB" w:rsidRDefault="000A7585" w:rsidP="00DE0EEC">
            <w:pPr>
              <w:ind w:right="113"/>
              <w:jc w:val="right"/>
              <w:rPr>
                <w:bCs/>
                <w:i/>
                <w:iCs/>
                <w:sz w:val="20"/>
                <w:szCs w:val="17"/>
              </w:rPr>
            </w:pPr>
            <w:r w:rsidRPr="00AE6EDB">
              <w:rPr>
                <w:bCs/>
                <w:i/>
                <w:iCs/>
                <w:sz w:val="20"/>
                <w:szCs w:val="17"/>
              </w:rPr>
              <w:t>10,2</w:t>
            </w:r>
            <w:r w:rsidR="005676EF">
              <w:rPr>
                <w:bCs/>
                <w:i/>
                <w:iCs/>
                <w:sz w:val="20"/>
                <w:szCs w:val="17"/>
              </w:rPr>
              <w:t> %</w:t>
            </w:r>
          </w:p>
        </w:tc>
        <w:tc>
          <w:tcPr>
            <w:tcW w:w="1400" w:type="dxa"/>
            <w:vAlign w:val="center"/>
          </w:tcPr>
          <w:p w:rsidR="000A7585" w:rsidRPr="00AE6EDB" w:rsidRDefault="000A7585" w:rsidP="00DE0EEC">
            <w:pPr>
              <w:ind w:right="113"/>
              <w:jc w:val="right"/>
              <w:rPr>
                <w:bCs/>
                <w:i/>
                <w:iCs/>
                <w:sz w:val="20"/>
                <w:szCs w:val="17"/>
              </w:rPr>
            </w:pPr>
            <w:r w:rsidRPr="00AE6EDB">
              <w:rPr>
                <w:bCs/>
                <w:i/>
                <w:iCs/>
                <w:sz w:val="20"/>
                <w:szCs w:val="17"/>
              </w:rPr>
              <w:t>3,8</w:t>
            </w:r>
            <w:r w:rsidR="005676EF">
              <w:rPr>
                <w:bCs/>
                <w:i/>
                <w:iCs/>
                <w:sz w:val="20"/>
                <w:szCs w:val="17"/>
              </w:rPr>
              <w:t> %</w:t>
            </w:r>
          </w:p>
        </w:tc>
        <w:tc>
          <w:tcPr>
            <w:tcW w:w="1134" w:type="dxa"/>
            <w:noWrap/>
            <w:vAlign w:val="center"/>
          </w:tcPr>
          <w:p w:rsidR="000A7585" w:rsidRPr="00AE6EDB" w:rsidRDefault="000A7585" w:rsidP="00DE0EEC">
            <w:pPr>
              <w:ind w:right="113"/>
              <w:jc w:val="right"/>
              <w:rPr>
                <w:i/>
                <w:color w:val="000000" w:themeColor="text1"/>
                <w:sz w:val="20"/>
                <w:szCs w:val="17"/>
              </w:rPr>
            </w:pPr>
            <w:r w:rsidRPr="00AE6EDB">
              <w:rPr>
                <w:b/>
                <w:bCs/>
                <w:i/>
                <w:iCs/>
                <w:sz w:val="20"/>
                <w:szCs w:val="17"/>
              </w:rPr>
              <w:t>100,0</w:t>
            </w:r>
            <w:r w:rsidR="005676EF">
              <w:rPr>
                <w:b/>
                <w:bCs/>
                <w:i/>
                <w:iCs/>
                <w:sz w:val="20"/>
                <w:szCs w:val="17"/>
              </w:rPr>
              <w:t> %</w:t>
            </w:r>
          </w:p>
        </w:tc>
        <w:tc>
          <w:tcPr>
            <w:tcW w:w="1241" w:type="dxa"/>
            <w:noWrap/>
            <w:vAlign w:val="center"/>
          </w:tcPr>
          <w:p w:rsidR="000A7585" w:rsidRPr="00AE6EDB" w:rsidRDefault="000A7585" w:rsidP="00DE0EEC">
            <w:pPr>
              <w:ind w:right="113"/>
              <w:jc w:val="right"/>
              <w:rPr>
                <w:color w:val="000000" w:themeColor="text1"/>
                <w:sz w:val="20"/>
                <w:szCs w:val="17"/>
              </w:rPr>
            </w:pPr>
            <w:r w:rsidRPr="00AE6EDB">
              <w:rPr>
                <w:b/>
                <w:bCs/>
                <w:i/>
                <w:iCs/>
                <w:sz w:val="20"/>
                <w:szCs w:val="17"/>
              </w:rPr>
              <w:t> </w:t>
            </w:r>
          </w:p>
        </w:tc>
      </w:tr>
    </w:tbl>
    <w:p w:rsidR="000A7585" w:rsidRPr="00AE6EDB" w:rsidRDefault="000A7585" w:rsidP="000A7585">
      <w:pPr>
        <w:pStyle w:val="zdroj"/>
      </w:pPr>
      <w:r w:rsidRPr="00AE6EDB">
        <w:t>Výpočet: MPSVR SR</w:t>
      </w:r>
    </w:p>
    <w:p w:rsidR="000A7585" w:rsidRPr="00AE6EDB" w:rsidRDefault="000A7585" w:rsidP="000A7585">
      <w:pPr>
        <w:ind w:firstLine="431"/>
      </w:pPr>
      <w:r w:rsidRPr="00AE6EDB">
        <w:t xml:space="preserve">Sociálna poisťovňa postúpila v priebehu roku 2015 povinné </w:t>
      </w:r>
      <w:r w:rsidRPr="00AE6EDB">
        <w:rPr>
          <w:b/>
        </w:rPr>
        <w:t>príspevky</w:t>
      </w:r>
      <w:r w:rsidRPr="00AE6EDB">
        <w:t xml:space="preserve"> na starobné dôchodkové sporenie v hodnote takmer </w:t>
      </w:r>
      <w:r w:rsidRPr="00AE6EDB">
        <w:rPr>
          <w:b/>
        </w:rPr>
        <w:t>445 mil.</w:t>
      </w:r>
      <w:r w:rsidR="0054295F">
        <w:rPr>
          <w:b/>
        </w:rPr>
        <w:t> eur</w:t>
      </w:r>
      <w:r w:rsidRPr="00AE6EDB">
        <w:t>, čo predstavuje oproti roku 2014 nárast o 1,5</w:t>
      </w:r>
      <w:r w:rsidR="005676EF">
        <w:t> %</w:t>
      </w:r>
      <w:r w:rsidRPr="00AE6EDB">
        <w:t>. Napriek tomu celková čistá hodnota majetku sporiteľov v dôchodkových fondoch poklesla zo 6,4 mld.</w:t>
      </w:r>
      <w:r w:rsidR="0054295F">
        <w:t> eur</w:t>
      </w:r>
      <w:r w:rsidRPr="00AE6EDB">
        <w:t xml:space="preserve"> k 31. 12. 2014 na 6,3 mld.</w:t>
      </w:r>
      <w:r w:rsidR="0054295F">
        <w:t> eur</w:t>
      </w:r>
      <w:r w:rsidRPr="00AE6EDB">
        <w:t xml:space="preserve"> k 31. 12. 2015. Uvedené bolo dôsledkom 4. otvorenia II. piliera, pri</w:t>
      </w:r>
      <w:r w:rsidR="000B19A0" w:rsidRPr="00AE6EDB">
        <w:t> </w:t>
      </w:r>
      <w:r w:rsidRPr="00AE6EDB">
        <w:t>ktorom bol z dôchodkových fondov prevedený do Sociálnej poisťovne majetok v objeme cca</w:t>
      </w:r>
      <w:r w:rsidR="000B19A0" w:rsidRPr="00AE6EDB">
        <w:t> </w:t>
      </w:r>
      <w:r w:rsidRPr="00AE6EDB">
        <w:t>579 mil.</w:t>
      </w:r>
      <w:r w:rsidR="0054295F">
        <w:t> eur</w:t>
      </w:r>
      <w:r w:rsidRPr="00AE6EDB">
        <w:t>.</w:t>
      </w:r>
    </w:p>
    <w:p w:rsidR="000A7585" w:rsidRPr="00AE6EDB" w:rsidRDefault="000A7585" w:rsidP="000A7585">
      <w:pPr>
        <w:ind w:firstLine="431"/>
      </w:pPr>
      <w:r w:rsidRPr="00AE6EDB">
        <w:t xml:space="preserve">Najväčší podiel na slovenskom trhu starobného dôchodkového sporenia v roku 2015 si zachovali spoločnosti </w:t>
      </w:r>
      <w:proofErr w:type="spellStart"/>
      <w:r w:rsidRPr="00AE6EDB">
        <w:t>Allianz</w:t>
      </w:r>
      <w:proofErr w:type="spellEnd"/>
      <w:r w:rsidRPr="00AE6EDB">
        <w:t xml:space="preserve"> – Slovenská </w:t>
      </w:r>
      <w:proofErr w:type="spellStart"/>
      <w:r w:rsidRPr="00AE6EDB">
        <w:t>d.s.s</w:t>
      </w:r>
      <w:proofErr w:type="spellEnd"/>
      <w:r w:rsidRPr="00AE6EDB">
        <w:t xml:space="preserve">., a. s. a </w:t>
      </w:r>
      <w:proofErr w:type="spellStart"/>
      <w:r w:rsidRPr="00AE6EDB">
        <w:t>Axa</w:t>
      </w:r>
      <w:proofErr w:type="spellEnd"/>
      <w:r w:rsidRPr="00AE6EDB">
        <w:t xml:space="preserve"> </w:t>
      </w:r>
      <w:proofErr w:type="spellStart"/>
      <w:r w:rsidRPr="00AE6EDB">
        <w:t>d.s.s</w:t>
      </w:r>
      <w:proofErr w:type="spellEnd"/>
      <w:r w:rsidRPr="00AE6EDB">
        <w:t>., a. s (spoločne predstavujú takmer 60</w:t>
      </w:r>
      <w:r w:rsidR="005676EF">
        <w:t> %</w:t>
      </w:r>
      <w:r w:rsidRPr="00AE6EDB">
        <w:t xml:space="preserve"> trhu). V porovnaní s rokom 2014 došlo k miernej zmene rozdelenia majetku v dôchodkových fondoch v prospech indexových, akciových a</w:t>
      </w:r>
      <w:r w:rsidR="001C72AB" w:rsidRPr="00AE6EDB">
        <w:t> </w:t>
      </w:r>
      <w:r w:rsidRPr="00AE6EDB">
        <w:t>zmiešaných</w:t>
      </w:r>
      <w:r w:rsidR="001C72AB" w:rsidRPr="00AE6EDB">
        <w:t xml:space="preserve"> </w:t>
      </w:r>
      <w:r w:rsidRPr="00AE6EDB">
        <w:t>negarantov</w:t>
      </w:r>
      <w:r w:rsidR="00AE6EDB">
        <w:t>an</w:t>
      </w:r>
      <w:r w:rsidRPr="00AE6EDB">
        <w:t>ých fondov (spolu o 3,5</w:t>
      </w:r>
      <w:r w:rsidR="005676EF">
        <w:t> %</w:t>
      </w:r>
      <w:r w:rsidRPr="00AE6EDB">
        <w:t>). Najviac prostriedkov sa stále koncentruje v dlhopisových garantovaných dôchodkových fondoch, potom nasledujú akciové, indexové a napokon zmiešané</w:t>
      </w:r>
      <w:r w:rsidR="001C72AB" w:rsidRPr="00AE6EDB">
        <w:t xml:space="preserve"> </w:t>
      </w:r>
      <w:r w:rsidRPr="00AE6EDB">
        <w:t xml:space="preserve">negarantované dôchodkové fondy. </w:t>
      </w:r>
    </w:p>
    <w:p w:rsidR="000A7585" w:rsidRPr="00AE6EDB" w:rsidRDefault="000A7585" w:rsidP="00CE15D0">
      <w:pPr>
        <w:pStyle w:val="Nadpis7"/>
        <w:spacing w:before="120"/>
      </w:pPr>
      <w:r w:rsidRPr="00AE6EDB">
        <w:t>Tabuľka 3.6 Porovnanie rozdelenia majetku v dôchodkových fondoch</w:t>
      </w:r>
    </w:p>
    <w:tbl>
      <w:tblPr>
        <w:tblW w:w="609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1139"/>
        <w:gridCol w:w="1334"/>
        <w:gridCol w:w="1260"/>
        <w:gridCol w:w="1091"/>
        <w:gridCol w:w="1273"/>
      </w:tblGrid>
      <w:tr w:rsidR="000A7585" w:rsidRPr="00AE6EDB" w:rsidTr="00DE0EEC">
        <w:trPr>
          <w:trHeight w:val="523"/>
          <w:jc w:val="center"/>
        </w:trPr>
        <w:tc>
          <w:tcPr>
            <w:tcW w:w="113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p>
        </w:tc>
        <w:tc>
          <w:tcPr>
            <w:tcW w:w="4958" w:type="dxa"/>
            <w:gridSpan w:val="4"/>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Percentuálne podiely rozdelenia majetku v dôchodkových fondoch za všetky DSS</w:t>
            </w:r>
          </w:p>
        </w:tc>
      </w:tr>
      <w:tr w:rsidR="000A7585" w:rsidRPr="00AE6EDB" w:rsidTr="00DE0EEC">
        <w:trPr>
          <w:trHeight w:val="306"/>
          <w:jc w:val="center"/>
        </w:trPr>
        <w:tc>
          <w:tcPr>
            <w:tcW w:w="1139"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Dátum</w:t>
            </w:r>
          </w:p>
        </w:tc>
        <w:tc>
          <w:tcPr>
            <w:tcW w:w="1334"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Dlhopisové</w:t>
            </w:r>
          </w:p>
          <w:p w:rsidR="000A7585" w:rsidRPr="00AE6EDB" w:rsidRDefault="000A7585" w:rsidP="00DE0EEC">
            <w:pPr>
              <w:jc w:val="center"/>
              <w:rPr>
                <w:b/>
                <w:bCs/>
                <w:color w:val="FFFFFF" w:themeColor="background1"/>
                <w:szCs w:val="18"/>
              </w:rPr>
            </w:pPr>
            <w:proofErr w:type="spellStart"/>
            <w:r w:rsidRPr="00AE6EDB">
              <w:rPr>
                <w:b/>
                <w:bCs/>
                <w:color w:val="FFFFFF" w:themeColor="background1"/>
                <w:szCs w:val="18"/>
              </w:rPr>
              <w:t>g.d.f</w:t>
            </w:r>
            <w:proofErr w:type="spellEnd"/>
            <w:r w:rsidRPr="00AE6EDB">
              <w:rPr>
                <w:b/>
                <w:bCs/>
                <w:color w:val="FFFFFF" w:themeColor="background1"/>
                <w:szCs w:val="18"/>
              </w:rPr>
              <w:t>.</w:t>
            </w:r>
          </w:p>
        </w:tc>
        <w:tc>
          <w:tcPr>
            <w:tcW w:w="126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 xml:space="preserve">Zmiešané </w:t>
            </w:r>
            <w:proofErr w:type="spellStart"/>
            <w:r w:rsidRPr="00AE6EDB">
              <w:rPr>
                <w:b/>
                <w:bCs/>
                <w:color w:val="FFFFFF" w:themeColor="background1"/>
                <w:szCs w:val="18"/>
              </w:rPr>
              <w:t>n.d.f</w:t>
            </w:r>
            <w:proofErr w:type="spellEnd"/>
            <w:r w:rsidRPr="00AE6EDB">
              <w:rPr>
                <w:b/>
                <w:bCs/>
                <w:color w:val="FFFFFF" w:themeColor="background1"/>
                <w:szCs w:val="18"/>
              </w:rPr>
              <w:t>.</w:t>
            </w:r>
          </w:p>
        </w:tc>
        <w:tc>
          <w:tcPr>
            <w:tcW w:w="1091"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 xml:space="preserve">Akciový </w:t>
            </w:r>
            <w:proofErr w:type="spellStart"/>
            <w:r w:rsidRPr="00AE6EDB">
              <w:rPr>
                <w:b/>
                <w:bCs/>
                <w:color w:val="FFFFFF" w:themeColor="background1"/>
                <w:szCs w:val="18"/>
              </w:rPr>
              <w:t>n.d.f</w:t>
            </w:r>
            <w:proofErr w:type="spellEnd"/>
            <w:r w:rsidRPr="00AE6EDB">
              <w:rPr>
                <w:b/>
                <w:bCs/>
                <w:color w:val="FFFFFF" w:themeColor="background1"/>
                <w:szCs w:val="18"/>
              </w:rPr>
              <w:t>.</w:t>
            </w:r>
          </w:p>
        </w:tc>
        <w:tc>
          <w:tcPr>
            <w:tcW w:w="1273"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 xml:space="preserve">Indexové </w:t>
            </w:r>
            <w:proofErr w:type="spellStart"/>
            <w:r w:rsidRPr="00AE6EDB">
              <w:rPr>
                <w:b/>
                <w:bCs/>
                <w:color w:val="FFFFFF" w:themeColor="background1"/>
                <w:szCs w:val="18"/>
              </w:rPr>
              <w:t>n.d.f</w:t>
            </w:r>
            <w:proofErr w:type="spellEnd"/>
            <w:r w:rsidRPr="00AE6EDB">
              <w:rPr>
                <w:b/>
                <w:bCs/>
                <w:color w:val="FFFFFF" w:themeColor="background1"/>
                <w:szCs w:val="18"/>
              </w:rPr>
              <w:t>.</w:t>
            </w:r>
          </w:p>
        </w:tc>
      </w:tr>
      <w:tr w:rsidR="000A7585" w:rsidRPr="00AE6EDB" w:rsidTr="00DE0EEC">
        <w:trPr>
          <w:trHeight w:val="362"/>
          <w:jc w:val="center"/>
        </w:trPr>
        <w:tc>
          <w:tcPr>
            <w:tcW w:w="1139" w:type="dxa"/>
            <w:tcBorders>
              <w:top w:val="single" w:sz="6" w:space="0" w:color="BF0000" w:themeColor="accent3" w:themeShade="BF"/>
            </w:tcBorders>
            <w:shd w:val="clear" w:color="auto" w:fill="auto"/>
            <w:noWrap/>
            <w:vAlign w:val="center"/>
            <w:hideMark/>
          </w:tcPr>
          <w:p w:rsidR="000A7585" w:rsidRPr="00AE6EDB" w:rsidRDefault="000A7585" w:rsidP="00DE0EEC">
            <w:pPr>
              <w:jc w:val="center"/>
              <w:rPr>
                <w:b/>
                <w:bCs/>
                <w:szCs w:val="18"/>
              </w:rPr>
            </w:pPr>
            <w:r w:rsidRPr="00AE6EDB">
              <w:rPr>
                <w:b/>
                <w:bCs/>
                <w:szCs w:val="18"/>
              </w:rPr>
              <w:t>31.12.2014</w:t>
            </w:r>
          </w:p>
        </w:tc>
        <w:tc>
          <w:tcPr>
            <w:tcW w:w="1334" w:type="dxa"/>
            <w:tcBorders>
              <w:top w:val="single" w:sz="6" w:space="0" w:color="BF0000" w:themeColor="accent3" w:themeShade="BF"/>
            </w:tcBorders>
            <w:shd w:val="clear" w:color="auto" w:fill="auto"/>
            <w:noWrap/>
            <w:vAlign w:val="center"/>
            <w:hideMark/>
          </w:tcPr>
          <w:p w:rsidR="000A7585" w:rsidRPr="00AE6EDB" w:rsidRDefault="000A7585" w:rsidP="00DE0EEC">
            <w:pPr>
              <w:jc w:val="center"/>
              <w:rPr>
                <w:color w:val="000000"/>
                <w:szCs w:val="17"/>
              </w:rPr>
            </w:pPr>
            <w:r w:rsidRPr="00AE6EDB">
              <w:rPr>
                <w:color w:val="000000"/>
                <w:szCs w:val="17"/>
              </w:rPr>
              <w:t>88,4</w:t>
            </w:r>
            <w:r w:rsidR="006C624A" w:rsidRPr="00AE6EDB">
              <w:rPr>
                <w:color w:val="000000"/>
                <w:szCs w:val="17"/>
              </w:rPr>
              <w:t>1</w:t>
            </w:r>
            <w:r w:rsidR="005676EF">
              <w:rPr>
                <w:color w:val="000000"/>
                <w:szCs w:val="17"/>
              </w:rPr>
              <w:t> %</w:t>
            </w:r>
          </w:p>
        </w:tc>
        <w:tc>
          <w:tcPr>
            <w:tcW w:w="1260" w:type="dxa"/>
            <w:tcBorders>
              <w:top w:val="single" w:sz="6" w:space="0" w:color="BF0000" w:themeColor="accent3" w:themeShade="BF"/>
            </w:tcBorders>
            <w:shd w:val="clear" w:color="auto" w:fill="auto"/>
            <w:noWrap/>
            <w:vAlign w:val="center"/>
            <w:hideMark/>
          </w:tcPr>
          <w:p w:rsidR="000A7585" w:rsidRPr="00AE6EDB" w:rsidRDefault="006C624A" w:rsidP="00DE0EEC">
            <w:pPr>
              <w:jc w:val="center"/>
              <w:rPr>
                <w:color w:val="000000"/>
                <w:szCs w:val="17"/>
              </w:rPr>
            </w:pPr>
            <w:r w:rsidRPr="00AE6EDB">
              <w:rPr>
                <w:color w:val="000000"/>
                <w:szCs w:val="17"/>
              </w:rPr>
              <w:t>0,99</w:t>
            </w:r>
            <w:r w:rsidR="005676EF">
              <w:rPr>
                <w:color w:val="000000"/>
                <w:szCs w:val="17"/>
              </w:rPr>
              <w:t> %</w:t>
            </w:r>
          </w:p>
        </w:tc>
        <w:tc>
          <w:tcPr>
            <w:tcW w:w="1091" w:type="dxa"/>
            <w:tcBorders>
              <w:top w:val="single" w:sz="6" w:space="0" w:color="BF0000" w:themeColor="accent3" w:themeShade="BF"/>
            </w:tcBorders>
            <w:shd w:val="clear" w:color="auto" w:fill="auto"/>
            <w:noWrap/>
            <w:vAlign w:val="center"/>
            <w:hideMark/>
          </w:tcPr>
          <w:p w:rsidR="000A7585" w:rsidRPr="00AE6EDB" w:rsidRDefault="006C624A" w:rsidP="00DE0EEC">
            <w:pPr>
              <w:jc w:val="center"/>
              <w:rPr>
                <w:color w:val="000000"/>
                <w:szCs w:val="17"/>
              </w:rPr>
            </w:pPr>
            <w:r w:rsidRPr="00AE6EDB">
              <w:rPr>
                <w:color w:val="000000"/>
                <w:szCs w:val="17"/>
              </w:rPr>
              <w:t>9,15</w:t>
            </w:r>
            <w:r w:rsidR="005676EF">
              <w:rPr>
                <w:color w:val="000000"/>
                <w:szCs w:val="17"/>
              </w:rPr>
              <w:t> %</w:t>
            </w:r>
          </w:p>
        </w:tc>
        <w:tc>
          <w:tcPr>
            <w:tcW w:w="1273" w:type="dxa"/>
            <w:tcBorders>
              <w:top w:val="single" w:sz="6" w:space="0" w:color="BF0000" w:themeColor="accent3" w:themeShade="BF"/>
            </w:tcBorders>
            <w:shd w:val="clear" w:color="auto" w:fill="auto"/>
            <w:noWrap/>
            <w:vAlign w:val="center"/>
            <w:hideMark/>
          </w:tcPr>
          <w:p w:rsidR="000A7585" w:rsidRPr="00AE6EDB" w:rsidRDefault="000A7585" w:rsidP="00DE0EEC">
            <w:pPr>
              <w:jc w:val="center"/>
              <w:rPr>
                <w:color w:val="000000"/>
                <w:szCs w:val="17"/>
              </w:rPr>
            </w:pPr>
            <w:r w:rsidRPr="00AE6EDB">
              <w:rPr>
                <w:color w:val="000000"/>
                <w:szCs w:val="17"/>
              </w:rPr>
              <w:t>1,4</w:t>
            </w:r>
            <w:r w:rsidR="006C624A" w:rsidRPr="00AE6EDB">
              <w:rPr>
                <w:color w:val="000000"/>
                <w:szCs w:val="17"/>
              </w:rPr>
              <w:t>5</w:t>
            </w:r>
            <w:r w:rsidR="005676EF">
              <w:rPr>
                <w:color w:val="000000"/>
                <w:szCs w:val="17"/>
              </w:rPr>
              <w:t> %</w:t>
            </w:r>
          </w:p>
        </w:tc>
      </w:tr>
      <w:tr w:rsidR="000A7585" w:rsidRPr="00AE6EDB" w:rsidTr="00DE0EEC">
        <w:trPr>
          <w:trHeight w:val="348"/>
          <w:jc w:val="center"/>
        </w:trPr>
        <w:tc>
          <w:tcPr>
            <w:tcW w:w="1139" w:type="dxa"/>
            <w:shd w:val="clear" w:color="auto" w:fill="auto"/>
            <w:noWrap/>
            <w:vAlign w:val="center"/>
            <w:hideMark/>
          </w:tcPr>
          <w:p w:rsidR="000A7585" w:rsidRPr="00AE6EDB" w:rsidRDefault="000A7585" w:rsidP="00DE0EEC">
            <w:pPr>
              <w:jc w:val="center"/>
              <w:rPr>
                <w:b/>
                <w:bCs/>
                <w:szCs w:val="18"/>
              </w:rPr>
            </w:pPr>
            <w:r w:rsidRPr="00AE6EDB">
              <w:rPr>
                <w:b/>
                <w:bCs/>
                <w:szCs w:val="18"/>
              </w:rPr>
              <w:t>31.12.2015</w:t>
            </w:r>
          </w:p>
        </w:tc>
        <w:tc>
          <w:tcPr>
            <w:tcW w:w="1334" w:type="dxa"/>
            <w:shd w:val="clear" w:color="auto" w:fill="auto"/>
            <w:noWrap/>
            <w:vAlign w:val="center"/>
            <w:hideMark/>
          </w:tcPr>
          <w:p w:rsidR="000A7585" w:rsidRPr="00AE6EDB" w:rsidRDefault="000A7585" w:rsidP="00DE0EEC">
            <w:pPr>
              <w:jc w:val="center"/>
              <w:rPr>
                <w:color w:val="000000"/>
                <w:szCs w:val="17"/>
              </w:rPr>
            </w:pPr>
            <w:r w:rsidRPr="00AE6EDB">
              <w:rPr>
                <w:color w:val="000000"/>
                <w:szCs w:val="17"/>
              </w:rPr>
              <w:t>84,9</w:t>
            </w:r>
            <w:r w:rsidR="006C624A" w:rsidRPr="00AE6EDB">
              <w:rPr>
                <w:color w:val="000000"/>
                <w:szCs w:val="17"/>
              </w:rPr>
              <w:t>3</w:t>
            </w:r>
            <w:r w:rsidR="005676EF">
              <w:rPr>
                <w:color w:val="000000"/>
                <w:szCs w:val="17"/>
              </w:rPr>
              <w:t> %</w:t>
            </w:r>
          </w:p>
        </w:tc>
        <w:tc>
          <w:tcPr>
            <w:tcW w:w="1260" w:type="dxa"/>
            <w:shd w:val="clear" w:color="auto" w:fill="auto"/>
            <w:noWrap/>
            <w:vAlign w:val="center"/>
            <w:hideMark/>
          </w:tcPr>
          <w:p w:rsidR="000A7585" w:rsidRPr="00AE6EDB" w:rsidRDefault="000A7585" w:rsidP="00DE0EEC">
            <w:pPr>
              <w:jc w:val="center"/>
              <w:rPr>
                <w:color w:val="000000"/>
                <w:szCs w:val="17"/>
              </w:rPr>
            </w:pPr>
            <w:r w:rsidRPr="00AE6EDB">
              <w:rPr>
                <w:color w:val="000000"/>
                <w:szCs w:val="17"/>
              </w:rPr>
              <w:t>1,1</w:t>
            </w:r>
            <w:r w:rsidR="006C624A" w:rsidRPr="00AE6EDB">
              <w:rPr>
                <w:color w:val="000000"/>
                <w:szCs w:val="17"/>
              </w:rPr>
              <w:t>0</w:t>
            </w:r>
            <w:r w:rsidR="005676EF">
              <w:rPr>
                <w:color w:val="000000"/>
                <w:szCs w:val="17"/>
              </w:rPr>
              <w:t> %</w:t>
            </w:r>
          </w:p>
        </w:tc>
        <w:tc>
          <w:tcPr>
            <w:tcW w:w="1091" w:type="dxa"/>
            <w:shd w:val="clear" w:color="auto" w:fill="auto"/>
            <w:noWrap/>
            <w:vAlign w:val="center"/>
            <w:hideMark/>
          </w:tcPr>
          <w:p w:rsidR="000A7585" w:rsidRPr="00AE6EDB" w:rsidRDefault="000A7585" w:rsidP="00DE0EEC">
            <w:pPr>
              <w:jc w:val="center"/>
              <w:rPr>
                <w:color w:val="000000"/>
                <w:szCs w:val="17"/>
              </w:rPr>
            </w:pPr>
            <w:r w:rsidRPr="00AE6EDB">
              <w:rPr>
                <w:color w:val="000000"/>
                <w:szCs w:val="17"/>
              </w:rPr>
              <w:t>10,2</w:t>
            </w:r>
            <w:r w:rsidR="006C624A" w:rsidRPr="00AE6EDB">
              <w:rPr>
                <w:color w:val="000000"/>
                <w:szCs w:val="17"/>
              </w:rPr>
              <w:t>2</w:t>
            </w:r>
            <w:r w:rsidR="005676EF">
              <w:rPr>
                <w:color w:val="000000"/>
                <w:szCs w:val="17"/>
              </w:rPr>
              <w:t> %</w:t>
            </w:r>
          </w:p>
        </w:tc>
        <w:tc>
          <w:tcPr>
            <w:tcW w:w="1273" w:type="dxa"/>
            <w:shd w:val="clear" w:color="auto" w:fill="auto"/>
            <w:noWrap/>
            <w:vAlign w:val="center"/>
            <w:hideMark/>
          </w:tcPr>
          <w:p w:rsidR="000A7585" w:rsidRPr="00AE6EDB" w:rsidRDefault="000A7585" w:rsidP="006C624A">
            <w:pPr>
              <w:jc w:val="center"/>
              <w:rPr>
                <w:color w:val="000000"/>
                <w:szCs w:val="17"/>
              </w:rPr>
            </w:pPr>
            <w:r w:rsidRPr="00AE6EDB">
              <w:rPr>
                <w:color w:val="000000"/>
                <w:szCs w:val="17"/>
              </w:rPr>
              <w:t>3,</w:t>
            </w:r>
            <w:r w:rsidR="006C624A" w:rsidRPr="00AE6EDB">
              <w:rPr>
                <w:color w:val="000000"/>
                <w:szCs w:val="17"/>
              </w:rPr>
              <w:t>75</w:t>
            </w:r>
            <w:r w:rsidR="005676EF">
              <w:rPr>
                <w:color w:val="000000"/>
                <w:szCs w:val="17"/>
              </w:rPr>
              <w:t> %</w:t>
            </w:r>
          </w:p>
        </w:tc>
      </w:tr>
    </w:tbl>
    <w:p w:rsidR="000A7585" w:rsidRPr="00AE6EDB" w:rsidRDefault="000A7585" w:rsidP="000A7585">
      <w:pPr>
        <w:pStyle w:val="zdroj"/>
        <w:ind w:firstLine="1418"/>
      </w:pPr>
      <w:r w:rsidRPr="00AE6EDB">
        <w:t>Výpočet: MPSVR SR</w:t>
      </w:r>
    </w:p>
    <w:p w:rsidR="008A279D" w:rsidRDefault="00282DC7" w:rsidP="000A7585">
      <w:pPr>
        <w:ind w:firstLine="431"/>
      </w:pPr>
      <w:r>
        <w:lastRenderedPageBreak/>
        <w:t>Presný dopad 4. otvorenia II. piliera na úrovni jednotlivých dôchodkových fondov známy nie je, avšak odliv majetku z garantovaných a negarantovaných fondov počas tohto otvorenia, ktorý dosiahol pomer 94 % ku 6 % indikuje, že pokles podielu majetku v dlhopisových fondoch a súčasne nárast podielu majetku v negarantovaných fondoch bol do značnej miery spôsobený aj týmto otvorením II. piliera. Na zmene rozdelenia majetku sa podieľalo aj vyššie ročné zhodnotenie negarantovaných fondov. Vo všeobecnosti však mohlo byť týchto faktorov viac, ako napríklad preferencia negarantovaných fondov u nových sporiteľov.</w:t>
      </w:r>
    </w:p>
    <w:p w:rsidR="000A7585" w:rsidRPr="00AE6EDB" w:rsidRDefault="008A279D" w:rsidP="000A7585">
      <w:pPr>
        <w:ind w:firstLine="431"/>
        <w:rPr>
          <w:highlight w:val="cyan"/>
        </w:rPr>
      </w:pPr>
      <w:r>
        <w:t>Priemerné ročné zhodnotenie indexových negarantovaných dôchodkových fondov v roku 2015, rovnako ako v roku 2014, výrazne prevyšovalo priemerné ročné zhodnotenie ostatných dôchodkových fondov. Napriek tomu, že priemerné ročné zhodnotenie týchto fondov oproti roku 2014 kleslo (rovnako ako tomu bolo u všetkých ostatných typov fondov), stále sa jedná o najvýkonnejší typ fondov</w:t>
      </w:r>
      <w:r w:rsidR="00DD67F9">
        <w:t>, aj z pohľadu celkového zhodnotenia</w:t>
      </w:r>
      <w:r>
        <w:t>. Prehľad celkového a ročného zhodnotenia dôchodkových fondov je uvedený v nasledujúcej tabuľke.</w:t>
      </w:r>
    </w:p>
    <w:p w:rsidR="000A7585" w:rsidRPr="00AE6EDB" w:rsidRDefault="000A7585" w:rsidP="000A7585">
      <w:pPr>
        <w:ind w:firstLine="431"/>
        <w:rPr>
          <w:highlight w:val="cyan"/>
        </w:rPr>
      </w:pPr>
    </w:p>
    <w:p w:rsidR="000A7585" w:rsidRPr="00AE6EDB" w:rsidRDefault="000A7585" w:rsidP="000A7585">
      <w:pPr>
        <w:pStyle w:val="Nadpis7"/>
        <w:spacing w:before="0"/>
      </w:pPr>
      <w:r w:rsidRPr="00AE6EDB">
        <w:t>Tabuľka 3.7 Celkové a ročné zhodnotenie dôchodkových fondov</w:t>
      </w:r>
    </w:p>
    <w:tbl>
      <w:tblPr>
        <w:tblW w:w="692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34"/>
        <w:gridCol w:w="1545"/>
        <w:gridCol w:w="1278"/>
        <w:gridCol w:w="1465"/>
      </w:tblGrid>
      <w:tr w:rsidR="000A7585" w:rsidRPr="00AE6EDB" w:rsidTr="00DE0EEC">
        <w:trPr>
          <w:trHeight w:val="877"/>
          <w:jc w:val="center"/>
        </w:trPr>
        <w:tc>
          <w:tcPr>
            <w:tcW w:w="26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Dôchodkové fondy</w:t>
            </w:r>
          </w:p>
        </w:tc>
        <w:tc>
          <w:tcPr>
            <w:tcW w:w="154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Priemerné ročné zhodnotenie v roku 2014</w:t>
            </w:r>
          </w:p>
        </w:tc>
        <w:tc>
          <w:tcPr>
            <w:tcW w:w="127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Priemerné ročné zhodnotenie v roku 2015</w:t>
            </w:r>
          </w:p>
        </w:tc>
        <w:tc>
          <w:tcPr>
            <w:tcW w:w="146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jc w:val="center"/>
              <w:rPr>
                <w:b/>
                <w:bCs/>
                <w:color w:val="FFFFFF" w:themeColor="background1"/>
                <w:szCs w:val="18"/>
              </w:rPr>
            </w:pPr>
            <w:r w:rsidRPr="00AE6EDB">
              <w:rPr>
                <w:b/>
                <w:bCs/>
                <w:color w:val="FFFFFF" w:themeColor="background1"/>
                <w:szCs w:val="18"/>
              </w:rPr>
              <w:t>Celkové zhodnotenie k 31.12.2015</w:t>
            </w:r>
            <w:r w:rsidRPr="00AE6EDB">
              <w:rPr>
                <w:rStyle w:val="Odkaznapoznmkupodiarou"/>
                <w:b/>
                <w:bCs/>
                <w:color w:val="FFFFFF" w:themeColor="background1"/>
                <w:szCs w:val="18"/>
              </w:rPr>
              <w:footnoteReference w:id="34"/>
            </w:r>
          </w:p>
        </w:tc>
      </w:tr>
      <w:tr w:rsidR="000A7585" w:rsidRPr="00AE6EDB" w:rsidTr="00DE0EEC">
        <w:trPr>
          <w:trHeight w:val="362"/>
          <w:jc w:val="center"/>
        </w:trPr>
        <w:tc>
          <w:tcPr>
            <w:tcW w:w="2634" w:type="dxa"/>
            <w:tcBorders>
              <w:top w:val="single" w:sz="6" w:space="0" w:color="BF0000" w:themeColor="accent3" w:themeShade="BF"/>
            </w:tcBorders>
            <w:shd w:val="clear" w:color="auto" w:fill="auto"/>
            <w:noWrap/>
            <w:vAlign w:val="center"/>
            <w:hideMark/>
          </w:tcPr>
          <w:p w:rsidR="000A7585" w:rsidRPr="00AE6EDB" w:rsidRDefault="000A7585" w:rsidP="00DE0EEC">
            <w:pPr>
              <w:rPr>
                <w:b/>
                <w:bCs/>
                <w:szCs w:val="18"/>
              </w:rPr>
            </w:pPr>
            <w:r w:rsidRPr="00AE6EDB">
              <w:rPr>
                <w:b/>
                <w:bCs/>
                <w:szCs w:val="18"/>
              </w:rPr>
              <w:t>Dlhopisové garantované</w:t>
            </w:r>
          </w:p>
        </w:tc>
        <w:tc>
          <w:tcPr>
            <w:tcW w:w="1545" w:type="dxa"/>
            <w:tcBorders>
              <w:top w:val="single" w:sz="6" w:space="0" w:color="BF0000" w:themeColor="accent3" w:themeShade="BF"/>
            </w:tcBorders>
            <w:shd w:val="clear" w:color="auto" w:fill="auto"/>
            <w:noWrap/>
            <w:vAlign w:val="center"/>
            <w:hideMark/>
          </w:tcPr>
          <w:p w:rsidR="000A7585" w:rsidRPr="00AE6EDB" w:rsidRDefault="000A7585" w:rsidP="00DE0EEC">
            <w:pPr>
              <w:jc w:val="center"/>
              <w:rPr>
                <w:bCs/>
                <w:szCs w:val="18"/>
              </w:rPr>
            </w:pPr>
            <w:r w:rsidRPr="00AE6EDB">
              <w:rPr>
                <w:bCs/>
                <w:szCs w:val="18"/>
              </w:rPr>
              <w:t>3,26</w:t>
            </w:r>
            <w:r w:rsidR="005676EF">
              <w:rPr>
                <w:bCs/>
                <w:szCs w:val="18"/>
              </w:rPr>
              <w:t> %</w:t>
            </w:r>
          </w:p>
        </w:tc>
        <w:tc>
          <w:tcPr>
            <w:tcW w:w="1278" w:type="dxa"/>
            <w:tcBorders>
              <w:top w:val="single" w:sz="6" w:space="0" w:color="BF0000" w:themeColor="accent3" w:themeShade="BF"/>
            </w:tcBorders>
            <w:shd w:val="clear" w:color="auto" w:fill="auto"/>
            <w:noWrap/>
            <w:vAlign w:val="center"/>
            <w:hideMark/>
          </w:tcPr>
          <w:p w:rsidR="000A7585" w:rsidRPr="00AE6EDB" w:rsidRDefault="000A7585" w:rsidP="00DE0EEC">
            <w:pPr>
              <w:jc w:val="center"/>
              <w:rPr>
                <w:bCs/>
                <w:szCs w:val="18"/>
              </w:rPr>
            </w:pPr>
            <w:r w:rsidRPr="00AE6EDB">
              <w:rPr>
                <w:bCs/>
                <w:szCs w:val="18"/>
              </w:rPr>
              <w:t>0,52</w:t>
            </w:r>
            <w:r w:rsidR="005676EF">
              <w:rPr>
                <w:bCs/>
                <w:szCs w:val="18"/>
              </w:rPr>
              <w:t> %</w:t>
            </w:r>
          </w:p>
        </w:tc>
        <w:tc>
          <w:tcPr>
            <w:tcW w:w="1465" w:type="dxa"/>
            <w:tcBorders>
              <w:top w:val="single" w:sz="6" w:space="0" w:color="BF0000" w:themeColor="accent3" w:themeShade="BF"/>
            </w:tcBorders>
            <w:shd w:val="clear" w:color="auto" w:fill="auto"/>
            <w:noWrap/>
            <w:vAlign w:val="center"/>
          </w:tcPr>
          <w:p w:rsidR="000A7585" w:rsidRPr="00AE6EDB" w:rsidRDefault="000A7585" w:rsidP="00DE0EEC">
            <w:pPr>
              <w:jc w:val="center"/>
              <w:rPr>
                <w:bCs/>
                <w:szCs w:val="18"/>
              </w:rPr>
            </w:pPr>
            <w:r w:rsidRPr="00AE6EDB">
              <w:rPr>
                <w:bCs/>
                <w:szCs w:val="18"/>
              </w:rPr>
              <w:t>27,59</w:t>
            </w:r>
            <w:r w:rsidR="005676EF">
              <w:rPr>
                <w:bCs/>
                <w:szCs w:val="18"/>
              </w:rPr>
              <w:t> %</w:t>
            </w:r>
          </w:p>
        </w:tc>
      </w:tr>
      <w:tr w:rsidR="000A7585" w:rsidRPr="00AE6EDB" w:rsidTr="00DE0EEC">
        <w:trPr>
          <w:trHeight w:val="348"/>
          <w:jc w:val="center"/>
        </w:trPr>
        <w:tc>
          <w:tcPr>
            <w:tcW w:w="2634" w:type="dxa"/>
            <w:shd w:val="clear" w:color="auto" w:fill="auto"/>
            <w:noWrap/>
            <w:vAlign w:val="center"/>
            <w:hideMark/>
          </w:tcPr>
          <w:p w:rsidR="000A7585" w:rsidRPr="00AE6EDB" w:rsidRDefault="000A7585" w:rsidP="00DE0EEC">
            <w:pPr>
              <w:rPr>
                <w:b/>
                <w:bCs/>
                <w:szCs w:val="18"/>
              </w:rPr>
            </w:pPr>
            <w:r w:rsidRPr="00AE6EDB">
              <w:rPr>
                <w:b/>
                <w:bCs/>
                <w:szCs w:val="18"/>
              </w:rPr>
              <w:t>Zmiešané negarantované</w:t>
            </w:r>
          </w:p>
        </w:tc>
        <w:tc>
          <w:tcPr>
            <w:tcW w:w="1545" w:type="dxa"/>
            <w:shd w:val="clear" w:color="auto" w:fill="auto"/>
            <w:noWrap/>
            <w:vAlign w:val="center"/>
            <w:hideMark/>
          </w:tcPr>
          <w:p w:rsidR="000A7585" w:rsidRPr="00AE6EDB" w:rsidRDefault="000A7585" w:rsidP="00DE0EEC">
            <w:pPr>
              <w:jc w:val="center"/>
              <w:rPr>
                <w:bCs/>
                <w:szCs w:val="18"/>
              </w:rPr>
            </w:pPr>
            <w:r w:rsidRPr="00AE6EDB">
              <w:rPr>
                <w:bCs/>
                <w:szCs w:val="18"/>
              </w:rPr>
              <w:t>8,08</w:t>
            </w:r>
            <w:r w:rsidR="005676EF">
              <w:rPr>
                <w:bCs/>
                <w:szCs w:val="18"/>
              </w:rPr>
              <w:t> %</w:t>
            </w:r>
          </w:p>
        </w:tc>
        <w:tc>
          <w:tcPr>
            <w:tcW w:w="1278" w:type="dxa"/>
            <w:shd w:val="clear" w:color="auto" w:fill="auto"/>
            <w:noWrap/>
            <w:vAlign w:val="center"/>
            <w:hideMark/>
          </w:tcPr>
          <w:p w:rsidR="000A7585" w:rsidRPr="00AE6EDB" w:rsidRDefault="000A7585" w:rsidP="00DE0EEC">
            <w:pPr>
              <w:jc w:val="center"/>
              <w:rPr>
                <w:bCs/>
                <w:szCs w:val="18"/>
              </w:rPr>
            </w:pPr>
            <w:r w:rsidRPr="00AE6EDB">
              <w:rPr>
                <w:bCs/>
                <w:szCs w:val="18"/>
              </w:rPr>
              <w:t>2,69</w:t>
            </w:r>
            <w:r w:rsidR="005676EF">
              <w:rPr>
                <w:bCs/>
                <w:szCs w:val="18"/>
              </w:rPr>
              <w:t> %</w:t>
            </w:r>
          </w:p>
        </w:tc>
        <w:tc>
          <w:tcPr>
            <w:tcW w:w="1465" w:type="dxa"/>
            <w:shd w:val="clear" w:color="auto" w:fill="auto"/>
            <w:noWrap/>
            <w:vAlign w:val="center"/>
          </w:tcPr>
          <w:p w:rsidR="000A7585" w:rsidRPr="00AE6EDB" w:rsidRDefault="000A7585" w:rsidP="00DE0EEC">
            <w:pPr>
              <w:jc w:val="center"/>
              <w:rPr>
                <w:bCs/>
                <w:szCs w:val="18"/>
              </w:rPr>
            </w:pPr>
            <w:r w:rsidRPr="00AE6EDB">
              <w:rPr>
                <w:bCs/>
                <w:szCs w:val="18"/>
              </w:rPr>
              <w:t>30,57</w:t>
            </w:r>
            <w:r w:rsidR="005676EF">
              <w:rPr>
                <w:bCs/>
                <w:szCs w:val="18"/>
              </w:rPr>
              <w:t> %</w:t>
            </w:r>
          </w:p>
        </w:tc>
      </w:tr>
      <w:tr w:rsidR="000A7585" w:rsidRPr="00AE6EDB" w:rsidTr="00DE0EEC">
        <w:trPr>
          <w:trHeight w:val="348"/>
          <w:jc w:val="center"/>
        </w:trPr>
        <w:tc>
          <w:tcPr>
            <w:tcW w:w="2634" w:type="dxa"/>
            <w:shd w:val="clear" w:color="auto" w:fill="auto"/>
            <w:noWrap/>
            <w:vAlign w:val="center"/>
            <w:hideMark/>
          </w:tcPr>
          <w:p w:rsidR="000A7585" w:rsidRPr="00AE6EDB" w:rsidRDefault="000A7585" w:rsidP="00DE0EEC">
            <w:pPr>
              <w:rPr>
                <w:b/>
                <w:bCs/>
                <w:szCs w:val="18"/>
              </w:rPr>
            </w:pPr>
            <w:r w:rsidRPr="00AE6EDB">
              <w:rPr>
                <w:b/>
                <w:bCs/>
                <w:szCs w:val="18"/>
              </w:rPr>
              <w:t>Akciové negarantované</w:t>
            </w:r>
          </w:p>
        </w:tc>
        <w:tc>
          <w:tcPr>
            <w:tcW w:w="1545" w:type="dxa"/>
            <w:shd w:val="clear" w:color="auto" w:fill="auto"/>
            <w:noWrap/>
            <w:vAlign w:val="center"/>
            <w:hideMark/>
          </w:tcPr>
          <w:p w:rsidR="000A7585" w:rsidRPr="00AE6EDB" w:rsidRDefault="000A7585" w:rsidP="00DE0EEC">
            <w:pPr>
              <w:jc w:val="center"/>
              <w:rPr>
                <w:bCs/>
                <w:szCs w:val="18"/>
              </w:rPr>
            </w:pPr>
            <w:r w:rsidRPr="00AE6EDB">
              <w:rPr>
                <w:bCs/>
                <w:szCs w:val="18"/>
              </w:rPr>
              <w:t>9,56</w:t>
            </w:r>
            <w:r w:rsidR="005676EF">
              <w:rPr>
                <w:bCs/>
                <w:szCs w:val="18"/>
              </w:rPr>
              <w:t> %</w:t>
            </w:r>
          </w:p>
        </w:tc>
        <w:tc>
          <w:tcPr>
            <w:tcW w:w="1278" w:type="dxa"/>
            <w:shd w:val="clear" w:color="auto" w:fill="auto"/>
            <w:noWrap/>
            <w:vAlign w:val="center"/>
            <w:hideMark/>
          </w:tcPr>
          <w:p w:rsidR="000A7585" w:rsidRPr="00AE6EDB" w:rsidRDefault="000A7585" w:rsidP="00DE0EEC">
            <w:pPr>
              <w:jc w:val="center"/>
              <w:rPr>
                <w:bCs/>
                <w:szCs w:val="18"/>
              </w:rPr>
            </w:pPr>
            <w:r w:rsidRPr="00AE6EDB">
              <w:rPr>
                <w:bCs/>
                <w:szCs w:val="18"/>
              </w:rPr>
              <w:t>2,84</w:t>
            </w:r>
            <w:r w:rsidR="005676EF">
              <w:rPr>
                <w:bCs/>
                <w:szCs w:val="18"/>
              </w:rPr>
              <w:t> %</w:t>
            </w:r>
          </w:p>
        </w:tc>
        <w:tc>
          <w:tcPr>
            <w:tcW w:w="1465" w:type="dxa"/>
            <w:shd w:val="clear" w:color="auto" w:fill="auto"/>
            <w:noWrap/>
            <w:vAlign w:val="center"/>
          </w:tcPr>
          <w:p w:rsidR="000A7585" w:rsidRPr="00AE6EDB" w:rsidRDefault="000A7585" w:rsidP="00DE0EEC">
            <w:pPr>
              <w:jc w:val="center"/>
              <w:rPr>
                <w:bCs/>
                <w:szCs w:val="18"/>
              </w:rPr>
            </w:pPr>
            <w:r w:rsidRPr="00AE6EDB">
              <w:rPr>
                <w:bCs/>
                <w:szCs w:val="18"/>
              </w:rPr>
              <w:t>29,98</w:t>
            </w:r>
            <w:r w:rsidR="005676EF">
              <w:rPr>
                <w:bCs/>
                <w:szCs w:val="18"/>
              </w:rPr>
              <w:t> %</w:t>
            </w:r>
          </w:p>
        </w:tc>
      </w:tr>
      <w:tr w:rsidR="000A7585" w:rsidRPr="00AE6EDB" w:rsidTr="00DE0EEC">
        <w:trPr>
          <w:trHeight w:val="348"/>
          <w:jc w:val="center"/>
        </w:trPr>
        <w:tc>
          <w:tcPr>
            <w:tcW w:w="2634" w:type="dxa"/>
            <w:shd w:val="clear" w:color="auto" w:fill="auto"/>
            <w:noWrap/>
            <w:vAlign w:val="center"/>
            <w:hideMark/>
          </w:tcPr>
          <w:p w:rsidR="000A7585" w:rsidRPr="00AE6EDB" w:rsidRDefault="000A7585" w:rsidP="00DE0EEC">
            <w:pPr>
              <w:rPr>
                <w:b/>
                <w:bCs/>
                <w:szCs w:val="18"/>
              </w:rPr>
            </w:pPr>
            <w:r w:rsidRPr="00AE6EDB">
              <w:rPr>
                <w:b/>
                <w:bCs/>
                <w:szCs w:val="18"/>
              </w:rPr>
              <w:t>Indexové negarantované</w:t>
            </w:r>
          </w:p>
        </w:tc>
        <w:tc>
          <w:tcPr>
            <w:tcW w:w="1545" w:type="dxa"/>
            <w:shd w:val="clear" w:color="auto" w:fill="auto"/>
            <w:noWrap/>
            <w:vAlign w:val="center"/>
            <w:hideMark/>
          </w:tcPr>
          <w:p w:rsidR="000A7585" w:rsidRPr="00AE6EDB" w:rsidRDefault="000A7585" w:rsidP="00DE0EEC">
            <w:pPr>
              <w:jc w:val="center"/>
              <w:rPr>
                <w:bCs/>
                <w:szCs w:val="18"/>
              </w:rPr>
            </w:pPr>
            <w:r w:rsidRPr="00AE6EDB">
              <w:rPr>
                <w:bCs/>
                <w:szCs w:val="18"/>
              </w:rPr>
              <w:t>13,39</w:t>
            </w:r>
            <w:r w:rsidR="005676EF">
              <w:rPr>
                <w:bCs/>
                <w:szCs w:val="18"/>
              </w:rPr>
              <w:t> %</w:t>
            </w:r>
          </w:p>
        </w:tc>
        <w:tc>
          <w:tcPr>
            <w:tcW w:w="1278" w:type="dxa"/>
            <w:shd w:val="clear" w:color="auto" w:fill="auto"/>
            <w:noWrap/>
            <w:vAlign w:val="center"/>
            <w:hideMark/>
          </w:tcPr>
          <w:p w:rsidR="000A7585" w:rsidRPr="00AE6EDB" w:rsidRDefault="000A7585" w:rsidP="00DE0EEC">
            <w:pPr>
              <w:jc w:val="center"/>
              <w:rPr>
                <w:bCs/>
                <w:szCs w:val="18"/>
              </w:rPr>
            </w:pPr>
            <w:r w:rsidRPr="00AE6EDB">
              <w:rPr>
                <w:bCs/>
                <w:szCs w:val="18"/>
              </w:rPr>
              <w:t>7,47</w:t>
            </w:r>
            <w:r w:rsidR="005676EF">
              <w:rPr>
                <w:bCs/>
                <w:szCs w:val="18"/>
              </w:rPr>
              <w:t> %</w:t>
            </w:r>
          </w:p>
        </w:tc>
        <w:tc>
          <w:tcPr>
            <w:tcW w:w="1465" w:type="dxa"/>
            <w:shd w:val="clear" w:color="auto" w:fill="auto"/>
            <w:noWrap/>
            <w:vAlign w:val="center"/>
          </w:tcPr>
          <w:p w:rsidR="000A7585" w:rsidRPr="00AE6EDB" w:rsidRDefault="000A7585" w:rsidP="00DE0EEC">
            <w:pPr>
              <w:jc w:val="center"/>
              <w:rPr>
                <w:bCs/>
                <w:szCs w:val="18"/>
              </w:rPr>
            </w:pPr>
            <w:r w:rsidRPr="00AE6EDB">
              <w:rPr>
                <w:bCs/>
                <w:szCs w:val="18"/>
              </w:rPr>
              <w:t>52,38</w:t>
            </w:r>
            <w:r w:rsidR="005676EF">
              <w:rPr>
                <w:bCs/>
                <w:szCs w:val="18"/>
              </w:rPr>
              <w:t> %</w:t>
            </w:r>
          </w:p>
        </w:tc>
      </w:tr>
    </w:tbl>
    <w:p w:rsidR="000A7585" w:rsidRPr="00AE6EDB" w:rsidRDefault="000A7585" w:rsidP="000A7585">
      <w:pPr>
        <w:pStyle w:val="zdroj"/>
        <w:ind w:left="567"/>
      </w:pPr>
      <w:r w:rsidRPr="00AE6EDB">
        <w:t>Výpočet: MPSVR SR</w:t>
      </w:r>
    </w:p>
    <w:p w:rsidR="000A7585" w:rsidRPr="00AE6EDB" w:rsidRDefault="000A7585" w:rsidP="000A7585">
      <w:pPr>
        <w:pStyle w:val="Nadpis7"/>
        <w:rPr>
          <w:lang w:eastAsia="cs-CZ"/>
        </w:rPr>
      </w:pPr>
      <w:bookmarkStart w:id="410" w:name="_Toc313878920"/>
      <w:bookmarkStart w:id="411" w:name="_Toc294029429"/>
      <w:bookmarkStart w:id="412" w:name="_Toc294027190"/>
      <w:bookmarkStart w:id="413" w:name="_Toc325438177"/>
      <w:bookmarkStart w:id="414" w:name="_Toc325440946"/>
      <w:bookmarkStart w:id="415" w:name="_Toc356482688"/>
      <w:r w:rsidRPr="00AE6EDB">
        <w:rPr>
          <w:lang w:eastAsia="cs-CZ"/>
        </w:rPr>
        <w:t>Graf 3.1 Vývoj hodnoty dôchodkovej jednotky jednotlivých dôchodkových fondov v roku 2015</w:t>
      </w:r>
    </w:p>
    <w:p w:rsidR="000A7585" w:rsidRPr="00AE6EDB" w:rsidRDefault="000A7585" w:rsidP="000A7585">
      <w:pPr>
        <w:jc w:val="left"/>
        <w:rPr>
          <w:highlight w:val="cyan"/>
          <w:lang w:eastAsia="cs-CZ"/>
        </w:rPr>
      </w:pPr>
      <w:r w:rsidRPr="00AE6EDB">
        <w:rPr>
          <w:noProof/>
        </w:rPr>
        <w:drawing>
          <wp:inline distT="0" distB="0" distL="0" distR="0" wp14:anchorId="250A0402" wp14:editId="0C48812B">
            <wp:extent cx="6209030" cy="3008630"/>
            <wp:effectExtent l="0" t="0" r="1270" b="127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7585" w:rsidRPr="00AE6EDB" w:rsidRDefault="000A7585" w:rsidP="000A7585">
      <w:pPr>
        <w:pStyle w:val="zdroj"/>
        <w:spacing w:before="0"/>
      </w:pPr>
      <w:r w:rsidRPr="00AE6EDB">
        <w:t>Zdroj: MPSVR SR</w:t>
      </w:r>
    </w:p>
    <w:p w:rsidR="000A7585" w:rsidRPr="00AE6EDB" w:rsidRDefault="000A7585" w:rsidP="000A7585">
      <w:pPr>
        <w:ind w:firstLine="567"/>
      </w:pPr>
      <w:r w:rsidRPr="00AE6EDB">
        <w:lastRenderedPageBreak/>
        <w:t>Systém starobného dôchodkového sporenia bol od 15. marca do 15. júna 2015 otvorený pre</w:t>
      </w:r>
      <w:r w:rsidR="00BA550C" w:rsidRPr="00AE6EDB">
        <w:t> </w:t>
      </w:r>
      <w:r w:rsidRPr="00AE6EDB">
        <w:t>vstup aj výstup – v tomto období do systému vstúpilo takmer 24 tisíc osôb, vystúpilo z neho viac ako 159 tisíc sporiteľov a do Sociálnej poisťovne sa celkovo presunulo viac ako 579 mil.</w:t>
      </w:r>
      <w:r w:rsidR="0054295F">
        <w:t> eur</w:t>
      </w:r>
      <w:r w:rsidRPr="00AE6EDB">
        <w:t>.</w:t>
      </w:r>
    </w:p>
    <w:p w:rsidR="000A7585" w:rsidRPr="00AE6EDB" w:rsidRDefault="000A7585" w:rsidP="000A7585">
      <w:pPr>
        <w:ind w:firstLine="567"/>
      </w:pPr>
      <w:r w:rsidRPr="00AE6EDB">
        <w:t xml:space="preserve">Počet sporiteľov starobného dôchodkového sporenia bol k 31.12.2015 viac ako 1,34 mil. </w:t>
      </w:r>
      <w:r w:rsidRPr="00AE6EDB">
        <w:br/>
        <w:t>(tabuľka 3.8). Rozdelenie sporiteľov v rámci jednotlivých dôchodkových správcovských spoločností sa v porovnaní s predchádzajúcim rokom takmer nezmenilo.</w:t>
      </w:r>
    </w:p>
    <w:bookmarkEnd w:id="410"/>
    <w:bookmarkEnd w:id="411"/>
    <w:bookmarkEnd w:id="412"/>
    <w:bookmarkEnd w:id="413"/>
    <w:bookmarkEnd w:id="414"/>
    <w:bookmarkEnd w:id="415"/>
    <w:p w:rsidR="000A7585" w:rsidRPr="00AE6EDB" w:rsidRDefault="000A7585" w:rsidP="000A7585">
      <w:pPr>
        <w:pStyle w:val="Nadpis7"/>
      </w:pPr>
      <w:r w:rsidRPr="00AE6EDB">
        <w:t>Tabuľka 3.8 Počet sporiteľov v dôchodkových fondoch starobného dôchodkového sporenia k 31.12.2015</w:t>
      </w:r>
    </w:p>
    <w:tbl>
      <w:tblPr>
        <w:tblW w:w="607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846"/>
        <w:gridCol w:w="1587"/>
        <w:gridCol w:w="1644"/>
      </w:tblGrid>
      <w:tr w:rsidR="000A7585" w:rsidRPr="00AE6EDB" w:rsidTr="00DE0EEC">
        <w:trPr>
          <w:trHeight w:val="300"/>
          <w:jc w:val="center"/>
        </w:trPr>
        <w:tc>
          <w:tcPr>
            <w:tcW w:w="2846"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lang w:eastAsia="cs-CZ"/>
              </w:rPr>
            </w:pPr>
            <w:bookmarkStart w:id="416" w:name="_Toc294019862"/>
            <w:bookmarkStart w:id="417" w:name="_Toc294027191"/>
            <w:bookmarkStart w:id="418" w:name="_Toc294029430"/>
            <w:bookmarkStart w:id="419" w:name="_Toc313878921"/>
            <w:r w:rsidRPr="00AE6EDB">
              <w:rPr>
                <w:b/>
                <w:color w:val="FFFFFF" w:themeColor="background1"/>
                <w:lang w:eastAsia="cs-CZ"/>
              </w:rPr>
              <w:t>Dôchodková správcovská spoločnosť</w:t>
            </w:r>
            <w:bookmarkEnd w:id="416"/>
            <w:bookmarkEnd w:id="417"/>
            <w:bookmarkEnd w:id="418"/>
            <w:bookmarkEnd w:id="419"/>
          </w:p>
        </w:tc>
        <w:tc>
          <w:tcPr>
            <w:tcW w:w="158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lang w:eastAsia="cs-CZ"/>
              </w:rPr>
            </w:pPr>
            <w:bookmarkStart w:id="420" w:name="_Toc294019866"/>
            <w:bookmarkStart w:id="421" w:name="_Toc294027195"/>
            <w:bookmarkStart w:id="422" w:name="_Toc294029434"/>
            <w:bookmarkStart w:id="423" w:name="_Toc313878925"/>
            <w:r w:rsidRPr="00AE6EDB">
              <w:rPr>
                <w:b/>
                <w:color w:val="FFFFFF" w:themeColor="background1"/>
                <w:lang w:eastAsia="cs-CZ"/>
              </w:rPr>
              <w:t>Počet sporiteľov k 31.12.201</w:t>
            </w:r>
            <w:bookmarkEnd w:id="420"/>
            <w:bookmarkEnd w:id="421"/>
            <w:bookmarkEnd w:id="422"/>
            <w:bookmarkEnd w:id="423"/>
            <w:r w:rsidRPr="00AE6EDB">
              <w:rPr>
                <w:b/>
                <w:color w:val="FFFFFF" w:themeColor="background1"/>
                <w:lang w:eastAsia="cs-CZ"/>
              </w:rPr>
              <w:t>5</w:t>
            </w:r>
          </w:p>
        </w:tc>
        <w:tc>
          <w:tcPr>
            <w:tcW w:w="16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lang w:eastAsia="cs-CZ"/>
              </w:rPr>
            </w:pPr>
            <w:bookmarkStart w:id="424" w:name="_Toc294019867"/>
            <w:bookmarkStart w:id="425" w:name="_Toc294027196"/>
            <w:bookmarkStart w:id="426" w:name="_Toc294029435"/>
            <w:bookmarkStart w:id="427" w:name="_Toc313878926"/>
            <w:r w:rsidRPr="00AE6EDB">
              <w:rPr>
                <w:b/>
                <w:color w:val="FFFFFF" w:themeColor="background1"/>
                <w:lang w:eastAsia="cs-CZ"/>
              </w:rPr>
              <w:t xml:space="preserve">Percentuálny podiel </w:t>
            </w:r>
            <w:bookmarkEnd w:id="424"/>
            <w:bookmarkEnd w:id="425"/>
            <w:bookmarkEnd w:id="426"/>
            <w:bookmarkEnd w:id="427"/>
            <w:r w:rsidRPr="00AE6EDB">
              <w:rPr>
                <w:b/>
                <w:color w:val="FFFFFF" w:themeColor="background1"/>
                <w:lang w:eastAsia="cs-CZ"/>
              </w:rPr>
              <w:t>sporiteľov</w:t>
            </w:r>
          </w:p>
        </w:tc>
      </w:tr>
      <w:tr w:rsidR="000A7585" w:rsidRPr="00AE6EDB" w:rsidTr="00DE0EEC">
        <w:trPr>
          <w:trHeight w:val="300"/>
          <w:jc w:val="center"/>
        </w:trPr>
        <w:tc>
          <w:tcPr>
            <w:tcW w:w="2846" w:type="dxa"/>
            <w:tcBorders>
              <w:top w:val="single" w:sz="6" w:space="0" w:color="BF0000" w:themeColor="accent3" w:themeShade="BF"/>
            </w:tcBorders>
            <w:noWrap/>
            <w:vAlign w:val="center"/>
          </w:tcPr>
          <w:p w:rsidR="000A7585" w:rsidRPr="00AE6EDB" w:rsidRDefault="000A7585" w:rsidP="00DE0EEC">
            <w:bookmarkStart w:id="428" w:name="_Toc294019868"/>
            <w:bookmarkStart w:id="429" w:name="_Toc294027197"/>
            <w:bookmarkStart w:id="430" w:name="_Toc294029436"/>
            <w:bookmarkStart w:id="431" w:name="_Toc313878927"/>
            <w:r w:rsidRPr="00AE6EDB">
              <w:t xml:space="preserve">AEGON, </w:t>
            </w:r>
            <w:proofErr w:type="spellStart"/>
            <w:r w:rsidRPr="00AE6EDB">
              <w:t>d.s.s</w:t>
            </w:r>
            <w:proofErr w:type="spellEnd"/>
            <w:r w:rsidRPr="00AE6EDB">
              <w:t>., a.s.</w:t>
            </w:r>
            <w:bookmarkEnd w:id="428"/>
            <w:bookmarkEnd w:id="429"/>
            <w:bookmarkEnd w:id="430"/>
            <w:bookmarkEnd w:id="431"/>
          </w:p>
        </w:tc>
        <w:tc>
          <w:tcPr>
            <w:tcW w:w="1587" w:type="dxa"/>
            <w:tcBorders>
              <w:top w:val="single" w:sz="6" w:space="0" w:color="BF0000" w:themeColor="accent3" w:themeShade="BF"/>
            </w:tcBorders>
            <w:noWrap/>
          </w:tcPr>
          <w:p w:rsidR="000A7585" w:rsidRPr="00AE6EDB" w:rsidRDefault="000A7585" w:rsidP="00DE0EEC">
            <w:pPr>
              <w:jc w:val="center"/>
              <w:rPr>
                <w:i/>
              </w:rPr>
            </w:pPr>
            <w:r w:rsidRPr="00AE6EDB">
              <w:rPr>
                <w:i/>
              </w:rPr>
              <w:t>15</w:t>
            </w:r>
            <w:r w:rsidR="0054295F">
              <w:rPr>
                <w:i/>
              </w:rPr>
              <w:t>0 5</w:t>
            </w:r>
            <w:r w:rsidRPr="00AE6EDB">
              <w:rPr>
                <w:i/>
              </w:rPr>
              <w:t>67</w:t>
            </w:r>
          </w:p>
        </w:tc>
        <w:tc>
          <w:tcPr>
            <w:tcW w:w="1644" w:type="dxa"/>
            <w:tcBorders>
              <w:top w:val="single" w:sz="6" w:space="0" w:color="BF0000" w:themeColor="accent3" w:themeShade="BF"/>
            </w:tcBorders>
            <w:noWrap/>
          </w:tcPr>
          <w:p w:rsidR="000A7585" w:rsidRPr="00AE6EDB" w:rsidRDefault="000A7585" w:rsidP="00DE0EEC">
            <w:pPr>
              <w:jc w:val="center"/>
              <w:rPr>
                <w:i/>
              </w:rPr>
            </w:pPr>
            <w:r w:rsidRPr="00AE6EDB">
              <w:rPr>
                <w:i/>
              </w:rPr>
              <w:t>11,2</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bookmarkStart w:id="432" w:name="_Toc294019874"/>
            <w:bookmarkStart w:id="433" w:name="_Toc294027203"/>
            <w:bookmarkStart w:id="434" w:name="_Toc294029442"/>
            <w:bookmarkStart w:id="435" w:name="_Toc313878933"/>
            <w:proofErr w:type="spellStart"/>
            <w:r w:rsidRPr="00AE6EDB">
              <w:t>Allianz</w:t>
            </w:r>
            <w:proofErr w:type="spellEnd"/>
            <w:r w:rsidRPr="00AE6EDB">
              <w:t xml:space="preserve"> - Slovenská </w:t>
            </w:r>
            <w:proofErr w:type="spellStart"/>
            <w:r w:rsidRPr="00AE6EDB">
              <w:t>d.s.s</w:t>
            </w:r>
            <w:proofErr w:type="spellEnd"/>
            <w:r w:rsidRPr="00AE6EDB">
              <w:t>., a.s.</w:t>
            </w:r>
            <w:bookmarkEnd w:id="432"/>
            <w:bookmarkEnd w:id="433"/>
            <w:bookmarkEnd w:id="434"/>
            <w:bookmarkEnd w:id="435"/>
          </w:p>
        </w:tc>
        <w:tc>
          <w:tcPr>
            <w:tcW w:w="1587" w:type="dxa"/>
            <w:noWrap/>
          </w:tcPr>
          <w:p w:rsidR="000A7585" w:rsidRPr="00AE6EDB" w:rsidRDefault="000A7585" w:rsidP="00DE0EEC">
            <w:pPr>
              <w:jc w:val="center"/>
              <w:rPr>
                <w:i/>
              </w:rPr>
            </w:pPr>
            <w:r w:rsidRPr="00AE6EDB">
              <w:rPr>
                <w:i/>
              </w:rPr>
              <w:t>41</w:t>
            </w:r>
            <w:r w:rsidR="00AC44CB">
              <w:rPr>
                <w:i/>
              </w:rPr>
              <w:t>5 7</w:t>
            </w:r>
            <w:r w:rsidRPr="00AE6EDB">
              <w:rPr>
                <w:i/>
              </w:rPr>
              <w:t>86</w:t>
            </w:r>
          </w:p>
        </w:tc>
        <w:tc>
          <w:tcPr>
            <w:tcW w:w="1644" w:type="dxa"/>
            <w:noWrap/>
          </w:tcPr>
          <w:p w:rsidR="000A7585" w:rsidRPr="00AE6EDB" w:rsidRDefault="000A7585" w:rsidP="00DE0EEC">
            <w:pPr>
              <w:jc w:val="center"/>
              <w:rPr>
                <w:i/>
              </w:rPr>
            </w:pPr>
            <w:r w:rsidRPr="00AE6EDB">
              <w:rPr>
                <w:i/>
              </w:rPr>
              <w:t>31,0</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bookmarkStart w:id="436" w:name="_Toc294019880"/>
            <w:bookmarkStart w:id="437" w:name="_Toc294027209"/>
            <w:bookmarkStart w:id="438" w:name="_Toc294029448"/>
            <w:bookmarkStart w:id="439" w:name="_Toc313878939"/>
            <w:r w:rsidRPr="00AE6EDB">
              <w:t xml:space="preserve">AXA </w:t>
            </w:r>
            <w:proofErr w:type="spellStart"/>
            <w:r w:rsidRPr="00AE6EDB">
              <w:t>d.s.s</w:t>
            </w:r>
            <w:proofErr w:type="spellEnd"/>
            <w:r w:rsidRPr="00AE6EDB">
              <w:t>., a.s.</w:t>
            </w:r>
            <w:bookmarkEnd w:id="436"/>
            <w:bookmarkEnd w:id="437"/>
            <w:bookmarkEnd w:id="438"/>
            <w:bookmarkEnd w:id="439"/>
          </w:p>
        </w:tc>
        <w:tc>
          <w:tcPr>
            <w:tcW w:w="1587" w:type="dxa"/>
            <w:noWrap/>
          </w:tcPr>
          <w:p w:rsidR="000A7585" w:rsidRPr="00AE6EDB" w:rsidRDefault="000A7585" w:rsidP="00DE0EEC">
            <w:pPr>
              <w:jc w:val="center"/>
              <w:rPr>
                <w:i/>
              </w:rPr>
            </w:pPr>
            <w:r w:rsidRPr="00AE6EDB">
              <w:rPr>
                <w:i/>
              </w:rPr>
              <w:t>32</w:t>
            </w:r>
            <w:r w:rsidR="00AC44CB">
              <w:rPr>
                <w:i/>
              </w:rPr>
              <w:t>5 4</w:t>
            </w:r>
            <w:r w:rsidRPr="00AE6EDB">
              <w:rPr>
                <w:i/>
              </w:rPr>
              <w:t>32</w:t>
            </w:r>
          </w:p>
        </w:tc>
        <w:tc>
          <w:tcPr>
            <w:tcW w:w="1644" w:type="dxa"/>
            <w:noWrap/>
          </w:tcPr>
          <w:p w:rsidR="000A7585" w:rsidRPr="00AE6EDB" w:rsidRDefault="000A7585" w:rsidP="00DE0EEC">
            <w:pPr>
              <w:jc w:val="center"/>
              <w:rPr>
                <w:i/>
              </w:rPr>
            </w:pPr>
            <w:r w:rsidRPr="00AE6EDB">
              <w:rPr>
                <w:i/>
              </w:rPr>
              <w:t>24,2</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r w:rsidRPr="00AE6EDB">
              <w:t xml:space="preserve">DSS Poštovej banky </w:t>
            </w:r>
            <w:proofErr w:type="spellStart"/>
            <w:r w:rsidRPr="00AE6EDB">
              <w:t>d.s.s</w:t>
            </w:r>
            <w:proofErr w:type="spellEnd"/>
            <w:r w:rsidRPr="00AE6EDB">
              <w:t>. a.s.</w:t>
            </w:r>
          </w:p>
        </w:tc>
        <w:tc>
          <w:tcPr>
            <w:tcW w:w="1587" w:type="dxa"/>
            <w:noWrap/>
          </w:tcPr>
          <w:p w:rsidR="000A7585" w:rsidRPr="00AE6EDB" w:rsidRDefault="000A7585" w:rsidP="00DE0EEC">
            <w:pPr>
              <w:jc w:val="center"/>
              <w:rPr>
                <w:i/>
              </w:rPr>
            </w:pPr>
            <w:r w:rsidRPr="00AE6EDB">
              <w:rPr>
                <w:i/>
              </w:rPr>
              <w:t>9</w:t>
            </w:r>
            <w:r w:rsidR="0054295F">
              <w:rPr>
                <w:i/>
              </w:rPr>
              <w:t>2 6</w:t>
            </w:r>
            <w:r w:rsidRPr="00AE6EDB">
              <w:rPr>
                <w:i/>
              </w:rPr>
              <w:t>11</w:t>
            </w:r>
          </w:p>
        </w:tc>
        <w:tc>
          <w:tcPr>
            <w:tcW w:w="1644" w:type="dxa"/>
            <w:noWrap/>
          </w:tcPr>
          <w:p w:rsidR="000A7585" w:rsidRPr="00AE6EDB" w:rsidRDefault="000A7585" w:rsidP="00DE0EEC">
            <w:pPr>
              <w:jc w:val="center"/>
              <w:rPr>
                <w:i/>
              </w:rPr>
            </w:pPr>
            <w:r w:rsidRPr="00AE6EDB">
              <w:rPr>
                <w:i/>
              </w:rPr>
              <w:t>6,9</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bookmarkStart w:id="440" w:name="_Toc294019892"/>
            <w:bookmarkStart w:id="441" w:name="_Toc294027221"/>
            <w:bookmarkStart w:id="442" w:name="_Toc294029460"/>
            <w:bookmarkStart w:id="443" w:name="_Toc313878951"/>
            <w:r w:rsidRPr="00AE6EDB">
              <w:t xml:space="preserve">NN </w:t>
            </w:r>
            <w:proofErr w:type="spellStart"/>
            <w:r w:rsidRPr="00AE6EDB">
              <w:t>d.s.s</w:t>
            </w:r>
            <w:proofErr w:type="spellEnd"/>
            <w:r w:rsidRPr="00AE6EDB">
              <w:t>., a.s.</w:t>
            </w:r>
            <w:bookmarkEnd w:id="440"/>
            <w:bookmarkEnd w:id="441"/>
            <w:bookmarkEnd w:id="442"/>
            <w:bookmarkEnd w:id="443"/>
          </w:p>
        </w:tc>
        <w:tc>
          <w:tcPr>
            <w:tcW w:w="1587" w:type="dxa"/>
            <w:noWrap/>
          </w:tcPr>
          <w:p w:rsidR="000A7585" w:rsidRPr="00AE6EDB" w:rsidRDefault="000A7585" w:rsidP="00DE0EEC">
            <w:pPr>
              <w:jc w:val="center"/>
              <w:rPr>
                <w:i/>
              </w:rPr>
            </w:pPr>
            <w:r w:rsidRPr="00AE6EDB">
              <w:rPr>
                <w:i/>
              </w:rPr>
              <w:t>13</w:t>
            </w:r>
            <w:r w:rsidR="0054295F">
              <w:rPr>
                <w:i/>
              </w:rPr>
              <w:t>4 6</w:t>
            </w:r>
            <w:r w:rsidRPr="00AE6EDB">
              <w:rPr>
                <w:i/>
              </w:rPr>
              <w:t>47</w:t>
            </w:r>
          </w:p>
        </w:tc>
        <w:tc>
          <w:tcPr>
            <w:tcW w:w="1644" w:type="dxa"/>
            <w:noWrap/>
          </w:tcPr>
          <w:p w:rsidR="000A7585" w:rsidRPr="00AE6EDB" w:rsidRDefault="000A7585" w:rsidP="00DE0EEC">
            <w:pPr>
              <w:jc w:val="center"/>
              <w:rPr>
                <w:i/>
              </w:rPr>
            </w:pPr>
            <w:r w:rsidRPr="00AE6EDB">
              <w:rPr>
                <w:i/>
              </w:rPr>
              <w:t>10,0</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bookmarkStart w:id="444" w:name="_Toc294019898"/>
            <w:bookmarkStart w:id="445" w:name="_Toc294027227"/>
            <w:bookmarkStart w:id="446" w:name="_Toc294029466"/>
            <w:bookmarkStart w:id="447" w:name="_Toc313878957"/>
            <w:r w:rsidRPr="00AE6EDB">
              <w:t xml:space="preserve">VÚB </w:t>
            </w:r>
            <w:proofErr w:type="spellStart"/>
            <w:r w:rsidRPr="00AE6EDB">
              <w:t>Generali</w:t>
            </w:r>
            <w:proofErr w:type="spellEnd"/>
            <w:r w:rsidRPr="00AE6EDB">
              <w:t xml:space="preserve"> </w:t>
            </w:r>
            <w:proofErr w:type="spellStart"/>
            <w:r w:rsidRPr="00AE6EDB">
              <w:t>d.s.s</w:t>
            </w:r>
            <w:proofErr w:type="spellEnd"/>
            <w:r w:rsidRPr="00AE6EDB">
              <w:t>., a.s.</w:t>
            </w:r>
            <w:bookmarkEnd w:id="444"/>
            <w:bookmarkEnd w:id="445"/>
            <w:bookmarkEnd w:id="446"/>
            <w:bookmarkEnd w:id="447"/>
          </w:p>
        </w:tc>
        <w:tc>
          <w:tcPr>
            <w:tcW w:w="1587" w:type="dxa"/>
            <w:noWrap/>
          </w:tcPr>
          <w:p w:rsidR="000A7585" w:rsidRPr="00AE6EDB" w:rsidRDefault="000A7585" w:rsidP="00DE0EEC">
            <w:pPr>
              <w:jc w:val="center"/>
              <w:rPr>
                <w:i/>
              </w:rPr>
            </w:pPr>
            <w:r w:rsidRPr="00AE6EDB">
              <w:rPr>
                <w:i/>
              </w:rPr>
              <w:t>22</w:t>
            </w:r>
            <w:r w:rsidR="0054295F">
              <w:rPr>
                <w:i/>
              </w:rPr>
              <w:t>3 5</w:t>
            </w:r>
            <w:r w:rsidRPr="00AE6EDB">
              <w:rPr>
                <w:i/>
              </w:rPr>
              <w:t>94</w:t>
            </w:r>
          </w:p>
        </w:tc>
        <w:tc>
          <w:tcPr>
            <w:tcW w:w="1644" w:type="dxa"/>
            <w:noWrap/>
          </w:tcPr>
          <w:p w:rsidR="000A7585" w:rsidRPr="00AE6EDB" w:rsidRDefault="000A7585" w:rsidP="00DE0EEC">
            <w:pPr>
              <w:jc w:val="center"/>
              <w:rPr>
                <w:i/>
              </w:rPr>
            </w:pPr>
            <w:r w:rsidRPr="00AE6EDB">
              <w:rPr>
                <w:i/>
              </w:rPr>
              <w:t>16,7</w:t>
            </w:r>
            <w:r w:rsidR="005676EF">
              <w:rPr>
                <w:i/>
              </w:rPr>
              <w:t> %</w:t>
            </w:r>
          </w:p>
        </w:tc>
      </w:tr>
      <w:tr w:rsidR="000A7585" w:rsidRPr="00AE6EDB" w:rsidTr="00DE0EEC">
        <w:trPr>
          <w:trHeight w:val="300"/>
          <w:jc w:val="center"/>
        </w:trPr>
        <w:tc>
          <w:tcPr>
            <w:tcW w:w="2846" w:type="dxa"/>
            <w:noWrap/>
            <w:vAlign w:val="center"/>
          </w:tcPr>
          <w:p w:rsidR="000A7585" w:rsidRPr="00AE6EDB" w:rsidRDefault="000A7585" w:rsidP="00DE0EEC">
            <w:pPr>
              <w:rPr>
                <w:b/>
              </w:rPr>
            </w:pPr>
            <w:bookmarkStart w:id="448" w:name="_Toc294019904"/>
            <w:bookmarkStart w:id="449" w:name="_Toc294027233"/>
            <w:bookmarkStart w:id="450" w:name="_Toc294029472"/>
            <w:bookmarkStart w:id="451" w:name="_Toc313878963"/>
            <w:r w:rsidRPr="00AE6EDB">
              <w:rPr>
                <w:b/>
              </w:rPr>
              <w:t>Spolu</w:t>
            </w:r>
            <w:bookmarkEnd w:id="448"/>
            <w:bookmarkEnd w:id="449"/>
            <w:bookmarkEnd w:id="450"/>
            <w:bookmarkEnd w:id="451"/>
          </w:p>
        </w:tc>
        <w:tc>
          <w:tcPr>
            <w:tcW w:w="1587" w:type="dxa"/>
            <w:noWrap/>
          </w:tcPr>
          <w:p w:rsidR="000A7585" w:rsidRPr="00AE6EDB" w:rsidRDefault="0054295F" w:rsidP="00DE0EEC">
            <w:pPr>
              <w:jc w:val="center"/>
              <w:rPr>
                <w:b/>
                <w:i/>
              </w:rPr>
            </w:pPr>
            <w:r>
              <w:rPr>
                <w:b/>
                <w:i/>
              </w:rPr>
              <w:t>1 3</w:t>
            </w:r>
            <w:r w:rsidR="000A7585" w:rsidRPr="00AE6EDB">
              <w:rPr>
                <w:b/>
                <w:i/>
              </w:rPr>
              <w:t>4</w:t>
            </w:r>
            <w:r>
              <w:rPr>
                <w:b/>
                <w:i/>
              </w:rPr>
              <w:t>2 6</w:t>
            </w:r>
            <w:r w:rsidR="000A7585" w:rsidRPr="00AE6EDB">
              <w:rPr>
                <w:b/>
                <w:i/>
              </w:rPr>
              <w:t>37</w:t>
            </w:r>
          </w:p>
        </w:tc>
        <w:tc>
          <w:tcPr>
            <w:tcW w:w="1644" w:type="dxa"/>
            <w:noWrap/>
          </w:tcPr>
          <w:p w:rsidR="000A7585" w:rsidRPr="00AE6EDB" w:rsidRDefault="000A7585" w:rsidP="00DE0EEC">
            <w:pPr>
              <w:jc w:val="center"/>
              <w:rPr>
                <w:b/>
                <w:i/>
              </w:rPr>
            </w:pPr>
            <w:r w:rsidRPr="00AE6EDB">
              <w:rPr>
                <w:b/>
                <w:i/>
              </w:rPr>
              <w:t>100,0</w:t>
            </w:r>
            <w:r w:rsidR="005676EF">
              <w:rPr>
                <w:b/>
                <w:i/>
              </w:rPr>
              <w:t> %</w:t>
            </w:r>
          </w:p>
        </w:tc>
      </w:tr>
    </w:tbl>
    <w:p w:rsidR="000A7585" w:rsidRPr="00AE6EDB" w:rsidRDefault="000A7585" w:rsidP="000A7585">
      <w:pPr>
        <w:pStyle w:val="zdroj"/>
      </w:pPr>
      <w:r w:rsidRPr="00AE6EDB">
        <w:t>Zdroj: Sociálna poisťovňa</w:t>
      </w:r>
    </w:p>
    <w:p w:rsidR="000A7585" w:rsidRPr="00AE6EDB" w:rsidRDefault="000A7585" w:rsidP="000A7585">
      <w:pPr>
        <w:ind w:firstLine="431"/>
      </w:pPr>
      <w:r w:rsidRPr="00AE6EDB">
        <w:t>Z hľadiska vekovej štruktúry sporiteľov</w:t>
      </w:r>
      <w:r w:rsidRPr="00AE6EDB">
        <w:rPr>
          <w:vertAlign w:val="superscript"/>
        </w:rPr>
        <w:footnoteReference w:id="35"/>
      </w:r>
      <w:r w:rsidRPr="00AE6EDB">
        <w:t xml:space="preserve"> mali v systéme starobného dôchodkového sporenia najväčšie zastúpenie sporitelia vo veku od 31 do 40 rokov, a to približne 42</w:t>
      </w:r>
      <w:r w:rsidR="005676EF">
        <w:t> %</w:t>
      </w:r>
      <w:r w:rsidRPr="00AE6EDB">
        <w:t xml:space="preserve"> z celkového počtu sporiteľov. Zmeny vo vekovej štruktúre sporiteľov k 31.12.2015 v porovnaní s rokom 2014 nie sú významné.</w:t>
      </w:r>
      <w:bookmarkStart w:id="452" w:name="_Toc313878974"/>
      <w:bookmarkStart w:id="453" w:name="_Toc294029483"/>
      <w:bookmarkStart w:id="454" w:name="_Toc294027244"/>
      <w:bookmarkStart w:id="455" w:name="_Toc325438178"/>
      <w:bookmarkStart w:id="456" w:name="_Toc325440947"/>
      <w:bookmarkStart w:id="457" w:name="_Toc356482689"/>
    </w:p>
    <w:p w:rsidR="000A7585" w:rsidRPr="00AE6EDB" w:rsidRDefault="000A7585" w:rsidP="000A7585">
      <w:pPr>
        <w:pStyle w:val="Nadpis7"/>
      </w:pPr>
      <w:r w:rsidRPr="00AE6EDB">
        <w:t>Tabuľka 3.9 Rozdelenie sporiteľov podľa veku k 31.12.</w:t>
      </w:r>
      <w:bookmarkEnd w:id="452"/>
      <w:bookmarkEnd w:id="453"/>
      <w:bookmarkEnd w:id="454"/>
      <w:bookmarkEnd w:id="455"/>
      <w:bookmarkEnd w:id="456"/>
      <w:bookmarkEnd w:id="457"/>
      <w:r w:rsidRPr="00AE6EDB">
        <w:t>2015</w:t>
      </w:r>
    </w:p>
    <w:tbl>
      <w:tblPr>
        <w:tblW w:w="4420"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1844"/>
        <w:gridCol w:w="1329"/>
        <w:gridCol w:w="1247"/>
      </w:tblGrid>
      <w:tr w:rsidR="000A7585" w:rsidRPr="00AE6EDB" w:rsidTr="00DE0EEC">
        <w:trPr>
          <w:trHeight w:val="306"/>
          <w:jc w:val="center"/>
        </w:trPr>
        <w:tc>
          <w:tcPr>
            <w:tcW w:w="18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20"/>
                <w:lang w:eastAsia="cs-CZ"/>
              </w:rPr>
            </w:pPr>
            <w:bookmarkStart w:id="458" w:name="_Toc294019915"/>
            <w:bookmarkStart w:id="459" w:name="_Toc294027245"/>
            <w:bookmarkStart w:id="460" w:name="_Toc294029484"/>
            <w:bookmarkStart w:id="461" w:name="_Toc313878975"/>
            <w:r w:rsidRPr="00AE6EDB">
              <w:rPr>
                <w:b/>
                <w:color w:val="FFFFFF" w:themeColor="background1"/>
                <w:sz w:val="20"/>
                <w:lang w:eastAsia="cs-CZ"/>
              </w:rPr>
              <w:t>veková hranica</w:t>
            </w:r>
            <w:bookmarkEnd w:id="458"/>
            <w:bookmarkEnd w:id="459"/>
            <w:bookmarkEnd w:id="460"/>
            <w:bookmarkEnd w:id="461"/>
          </w:p>
        </w:tc>
        <w:tc>
          <w:tcPr>
            <w:tcW w:w="132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color w:val="FFFFFF" w:themeColor="background1"/>
                <w:sz w:val="20"/>
                <w:lang w:eastAsia="cs-CZ"/>
              </w:rPr>
            </w:pPr>
            <w:bookmarkStart w:id="462" w:name="_Toc294019916"/>
            <w:bookmarkStart w:id="463" w:name="_Toc294027246"/>
            <w:bookmarkStart w:id="464" w:name="_Toc294029485"/>
            <w:bookmarkStart w:id="465" w:name="_Toc313878976"/>
            <w:r w:rsidRPr="00AE6EDB">
              <w:rPr>
                <w:b/>
                <w:color w:val="FFFFFF" w:themeColor="background1"/>
                <w:sz w:val="20"/>
                <w:lang w:eastAsia="cs-CZ"/>
              </w:rPr>
              <w:t>počet sporiteľov</w:t>
            </w:r>
            <w:bookmarkEnd w:id="462"/>
            <w:bookmarkEnd w:id="463"/>
            <w:bookmarkEnd w:id="464"/>
            <w:bookmarkEnd w:id="465"/>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color w:val="FFFFFF" w:themeColor="background1"/>
                <w:sz w:val="20"/>
                <w:lang w:eastAsia="cs-CZ"/>
              </w:rPr>
            </w:pPr>
            <w:bookmarkStart w:id="466" w:name="_Toc294019917"/>
            <w:bookmarkStart w:id="467" w:name="_Toc294027247"/>
            <w:bookmarkStart w:id="468" w:name="_Toc294029486"/>
            <w:bookmarkStart w:id="469" w:name="_Toc313878977"/>
            <w:r w:rsidRPr="00AE6EDB">
              <w:rPr>
                <w:b/>
                <w:color w:val="FFFFFF" w:themeColor="background1"/>
                <w:sz w:val="20"/>
                <w:lang w:eastAsia="cs-CZ"/>
              </w:rPr>
              <w:t>% podiel</w:t>
            </w:r>
            <w:bookmarkEnd w:id="466"/>
            <w:bookmarkEnd w:id="467"/>
            <w:bookmarkEnd w:id="468"/>
            <w:bookmarkEnd w:id="469"/>
          </w:p>
        </w:tc>
      </w:tr>
      <w:tr w:rsidR="000A7585" w:rsidRPr="00AE6EDB" w:rsidTr="00DE0EEC">
        <w:trPr>
          <w:trHeight w:val="306"/>
          <w:jc w:val="center"/>
        </w:trPr>
        <w:tc>
          <w:tcPr>
            <w:tcW w:w="1844" w:type="dxa"/>
            <w:tcBorders>
              <w:top w:val="single" w:sz="6" w:space="0" w:color="BF0000" w:themeColor="accent3" w:themeShade="BF"/>
            </w:tcBorders>
            <w:noWrap/>
            <w:vAlign w:val="center"/>
          </w:tcPr>
          <w:p w:rsidR="000A7585" w:rsidRPr="00AE6EDB" w:rsidRDefault="000A7585" w:rsidP="00DE0EEC">
            <w:pPr>
              <w:rPr>
                <w:sz w:val="20"/>
              </w:rPr>
            </w:pPr>
            <w:bookmarkStart w:id="470" w:name="_Toc294019918"/>
            <w:bookmarkStart w:id="471" w:name="_Toc294027248"/>
            <w:bookmarkStart w:id="472" w:name="_Toc294029487"/>
            <w:bookmarkStart w:id="473" w:name="_Toc313878978"/>
            <w:r w:rsidRPr="00AE6EDB">
              <w:rPr>
                <w:sz w:val="20"/>
              </w:rPr>
              <w:t>do 20</w:t>
            </w:r>
            <w:bookmarkEnd w:id="470"/>
            <w:bookmarkEnd w:id="471"/>
            <w:bookmarkEnd w:id="472"/>
            <w:bookmarkEnd w:id="473"/>
          </w:p>
        </w:tc>
        <w:tc>
          <w:tcPr>
            <w:tcW w:w="1329" w:type="dxa"/>
            <w:tcBorders>
              <w:top w:val="single" w:sz="6" w:space="0" w:color="BF0000" w:themeColor="accent3" w:themeShade="BF"/>
            </w:tcBorders>
            <w:noWrap/>
            <w:vAlign w:val="center"/>
          </w:tcPr>
          <w:p w:rsidR="000A7585" w:rsidRPr="00CE15D0" w:rsidRDefault="00056952" w:rsidP="00056952">
            <w:pPr>
              <w:ind w:right="184"/>
              <w:jc w:val="right"/>
              <w:rPr>
                <w:sz w:val="20"/>
                <w:szCs w:val="20"/>
              </w:rPr>
            </w:pPr>
            <w:r>
              <w:rPr>
                <w:sz w:val="20"/>
                <w:szCs w:val="20"/>
              </w:rPr>
              <w:t>10 540</w:t>
            </w:r>
          </w:p>
        </w:tc>
        <w:tc>
          <w:tcPr>
            <w:tcW w:w="1247" w:type="dxa"/>
            <w:tcBorders>
              <w:top w:val="single" w:sz="6" w:space="0" w:color="BF0000" w:themeColor="accent3" w:themeShade="BF"/>
            </w:tcBorders>
            <w:noWrap/>
            <w:vAlign w:val="center"/>
          </w:tcPr>
          <w:p w:rsidR="000A7585" w:rsidRPr="00CE15D0" w:rsidRDefault="000A7585" w:rsidP="0056505F">
            <w:pPr>
              <w:ind w:right="184"/>
              <w:jc w:val="right"/>
              <w:rPr>
                <w:sz w:val="20"/>
                <w:szCs w:val="20"/>
              </w:rPr>
            </w:pPr>
            <w:r w:rsidRPr="00CE15D0">
              <w:rPr>
                <w:sz w:val="20"/>
                <w:szCs w:val="20"/>
              </w:rPr>
              <w:t>0,</w:t>
            </w:r>
            <w:r w:rsidR="0056505F">
              <w:rPr>
                <w:sz w:val="20"/>
                <w:szCs w:val="20"/>
              </w:rPr>
              <w:t>8</w:t>
            </w:r>
            <w:r w:rsidR="005676EF">
              <w:rPr>
                <w:sz w:val="20"/>
                <w:szCs w:val="20"/>
              </w:rPr>
              <w:t> %</w:t>
            </w:r>
          </w:p>
        </w:tc>
      </w:tr>
      <w:tr w:rsidR="000A7585" w:rsidRPr="00AE6EDB" w:rsidTr="00DE0EEC">
        <w:trPr>
          <w:trHeight w:val="306"/>
          <w:jc w:val="center"/>
        </w:trPr>
        <w:tc>
          <w:tcPr>
            <w:tcW w:w="1844" w:type="dxa"/>
            <w:noWrap/>
            <w:vAlign w:val="center"/>
          </w:tcPr>
          <w:p w:rsidR="000A7585" w:rsidRPr="00AE6EDB" w:rsidRDefault="000A7585" w:rsidP="00DE0EEC">
            <w:pPr>
              <w:rPr>
                <w:sz w:val="20"/>
              </w:rPr>
            </w:pPr>
            <w:bookmarkStart w:id="474" w:name="_Toc294019921"/>
            <w:bookmarkStart w:id="475" w:name="_Toc294027251"/>
            <w:bookmarkStart w:id="476" w:name="_Toc294029490"/>
            <w:bookmarkStart w:id="477" w:name="_Toc313878981"/>
            <w:r w:rsidRPr="00AE6EDB">
              <w:rPr>
                <w:sz w:val="20"/>
              </w:rPr>
              <w:t>od 21 do 30</w:t>
            </w:r>
            <w:bookmarkEnd w:id="474"/>
            <w:bookmarkEnd w:id="475"/>
            <w:bookmarkEnd w:id="476"/>
            <w:bookmarkEnd w:id="477"/>
          </w:p>
        </w:tc>
        <w:tc>
          <w:tcPr>
            <w:tcW w:w="1329" w:type="dxa"/>
            <w:noWrap/>
            <w:vAlign w:val="center"/>
          </w:tcPr>
          <w:p w:rsidR="000A7585" w:rsidRPr="00CE15D0" w:rsidRDefault="000A7585" w:rsidP="00056952">
            <w:pPr>
              <w:ind w:right="184"/>
              <w:jc w:val="right"/>
              <w:rPr>
                <w:sz w:val="20"/>
                <w:szCs w:val="20"/>
              </w:rPr>
            </w:pPr>
            <w:r w:rsidRPr="00CE15D0">
              <w:rPr>
                <w:sz w:val="20"/>
                <w:szCs w:val="20"/>
              </w:rPr>
              <w:t>2</w:t>
            </w:r>
            <w:r w:rsidR="00056952">
              <w:rPr>
                <w:sz w:val="20"/>
                <w:szCs w:val="20"/>
              </w:rPr>
              <w:t>97 548</w:t>
            </w:r>
          </w:p>
        </w:tc>
        <w:tc>
          <w:tcPr>
            <w:tcW w:w="1247" w:type="dxa"/>
            <w:noWrap/>
            <w:vAlign w:val="center"/>
          </w:tcPr>
          <w:p w:rsidR="000A7585" w:rsidRPr="00CE15D0" w:rsidRDefault="0056505F" w:rsidP="0056505F">
            <w:pPr>
              <w:ind w:right="184"/>
              <w:jc w:val="right"/>
              <w:rPr>
                <w:sz w:val="20"/>
                <w:szCs w:val="20"/>
              </w:rPr>
            </w:pPr>
            <w:r>
              <w:rPr>
                <w:sz w:val="20"/>
                <w:szCs w:val="20"/>
              </w:rPr>
              <w:t>22,2</w:t>
            </w:r>
            <w:r w:rsidR="005676EF">
              <w:rPr>
                <w:sz w:val="20"/>
                <w:szCs w:val="20"/>
              </w:rPr>
              <w:t> %</w:t>
            </w:r>
          </w:p>
        </w:tc>
      </w:tr>
      <w:tr w:rsidR="000A7585" w:rsidRPr="00AE6EDB" w:rsidTr="00DE0EEC">
        <w:trPr>
          <w:trHeight w:val="306"/>
          <w:jc w:val="center"/>
        </w:trPr>
        <w:tc>
          <w:tcPr>
            <w:tcW w:w="1844" w:type="dxa"/>
            <w:noWrap/>
            <w:vAlign w:val="center"/>
          </w:tcPr>
          <w:p w:rsidR="000A7585" w:rsidRPr="00AE6EDB" w:rsidRDefault="000A7585" w:rsidP="00DE0EEC">
            <w:pPr>
              <w:rPr>
                <w:sz w:val="20"/>
              </w:rPr>
            </w:pPr>
            <w:bookmarkStart w:id="478" w:name="_Toc294019924"/>
            <w:bookmarkStart w:id="479" w:name="_Toc294027254"/>
            <w:bookmarkStart w:id="480" w:name="_Toc294029493"/>
            <w:bookmarkStart w:id="481" w:name="_Toc313878984"/>
            <w:r w:rsidRPr="00AE6EDB">
              <w:rPr>
                <w:sz w:val="20"/>
              </w:rPr>
              <w:t>od 31 do 40</w:t>
            </w:r>
            <w:bookmarkEnd w:id="478"/>
            <w:bookmarkEnd w:id="479"/>
            <w:bookmarkEnd w:id="480"/>
            <w:bookmarkEnd w:id="481"/>
          </w:p>
        </w:tc>
        <w:tc>
          <w:tcPr>
            <w:tcW w:w="1329" w:type="dxa"/>
            <w:noWrap/>
            <w:vAlign w:val="center"/>
          </w:tcPr>
          <w:p w:rsidR="000A7585" w:rsidRPr="00CE15D0" w:rsidRDefault="000A7585" w:rsidP="00056952">
            <w:pPr>
              <w:ind w:right="184"/>
              <w:jc w:val="right"/>
              <w:rPr>
                <w:sz w:val="20"/>
                <w:szCs w:val="20"/>
              </w:rPr>
            </w:pPr>
            <w:r w:rsidRPr="00CE15D0">
              <w:rPr>
                <w:sz w:val="20"/>
                <w:szCs w:val="20"/>
              </w:rPr>
              <w:t>56</w:t>
            </w:r>
            <w:r w:rsidR="00056952">
              <w:rPr>
                <w:sz w:val="20"/>
                <w:szCs w:val="20"/>
              </w:rPr>
              <w:t>8 039</w:t>
            </w:r>
          </w:p>
        </w:tc>
        <w:tc>
          <w:tcPr>
            <w:tcW w:w="1247" w:type="dxa"/>
            <w:noWrap/>
            <w:vAlign w:val="center"/>
          </w:tcPr>
          <w:p w:rsidR="000A7585" w:rsidRPr="00CE15D0" w:rsidRDefault="000A7585" w:rsidP="0056505F">
            <w:pPr>
              <w:ind w:right="184"/>
              <w:jc w:val="right"/>
              <w:rPr>
                <w:sz w:val="20"/>
                <w:szCs w:val="20"/>
              </w:rPr>
            </w:pPr>
            <w:r w:rsidRPr="00CE15D0">
              <w:rPr>
                <w:sz w:val="20"/>
                <w:szCs w:val="20"/>
              </w:rPr>
              <w:t>42,</w:t>
            </w:r>
            <w:r w:rsidR="0056505F">
              <w:rPr>
                <w:sz w:val="20"/>
                <w:szCs w:val="20"/>
              </w:rPr>
              <w:t>3</w:t>
            </w:r>
            <w:r w:rsidR="005676EF">
              <w:rPr>
                <w:sz w:val="20"/>
                <w:szCs w:val="20"/>
              </w:rPr>
              <w:t> %</w:t>
            </w:r>
          </w:p>
        </w:tc>
      </w:tr>
      <w:tr w:rsidR="000A7585" w:rsidRPr="00AE6EDB" w:rsidTr="00DE0EEC">
        <w:trPr>
          <w:trHeight w:val="306"/>
          <w:jc w:val="center"/>
        </w:trPr>
        <w:tc>
          <w:tcPr>
            <w:tcW w:w="1844" w:type="dxa"/>
            <w:noWrap/>
            <w:vAlign w:val="center"/>
          </w:tcPr>
          <w:p w:rsidR="000A7585" w:rsidRPr="00AE6EDB" w:rsidRDefault="000A7585" w:rsidP="00DE0EEC">
            <w:pPr>
              <w:rPr>
                <w:sz w:val="20"/>
              </w:rPr>
            </w:pPr>
            <w:bookmarkStart w:id="482" w:name="_Toc294019927"/>
            <w:bookmarkStart w:id="483" w:name="_Toc294027257"/>
            <w:bookmarkStart w:id="484" w:name="_Toc294029496"/>
            <w:bookmarkStart w:id="485" w:name="_Toc313878987"/>
            <w:r w:rsidRPr="00AE6EDB">
              <w:rPr>
                <w:sz w:val="20"/>
              </w:rPr>
              <w:t>od 41 do 50</w:t>
            </w:r>
            <w:bookmarkEnd w:id="482"/>
            <w:bookmarkEnd w:id="483"/>
            <w:bookmarkEnd w:id="484"/>
            <w:bookmarkEnd w:id="485"/>
          </w:p>
        </w:tc>
        <w:tc>
          <w:tcPr>
            <w:tcW w:w="1329" w:type="dxa"/>
            <w:noWrap/>
            <w:vAlign w:val="center"/>
          </w:tcPr>
          <w:p w:rsidR="000A7585" w:rsidRPr="00CE15D0" w:rsidRDefault="000A7585" w:rsidP="00056952">
            <w:pPr>
              <w:ind w:right="184"/>
              <w:jc w:val="right"/>
              <w:rPr>
                <w:sz w:val="20"/>
                <w:szCs w:val="20"/>
              </w:rPr>
            </w:pPr>
            <w:r w:rsidRPr="00CE15D0">
              <w:rPr>
                <w:sz w:val="20"/>
                <w:szCs w:val="20"/>
              </w:rPr>
              <w:t>3</w:t>
            </w:r>
            <w:r w:rsidR="00056952">
              <w:rPr>
                <w:sz w:val="20"/>
                <w:szCs w:val="20"/>
              </w:rPr>
              <w:t>64 032</w:t>
            </w:r>
          </w:p>
        </w:tc>
        <w:tc>
          <w:tcPr>
            <w:tcW w:w="1247" w:type="dxa"/>
            <w:noWrap/>
            <w:vAlign w:val="center"/>
          </w:tcPr>
          <w:p w:rsidR="000A7585" w:rsidRPr="00CE15D0" w:rsidRDefault="000A7585" w:rsidP="0056505F">
            <w:pPr>
              <w:ind w:right="184"/>
              <w:jc w:val="right"/>
              <w:rPr>
                <w:sz w:val="20"/>
                <w:szCs w:val="20"/>
              </w:rPr>
            </w:pPr>
            <w:r w:rsidRPr="00CE15D0">
              <w:rPr>
                <w:sz w:val="20"/>
                <w:szCs w:val="20"/>
              </w:rPr>
              <w:t>2</w:t>
            </w:r>
            <w:r w:rsidR="0056505F">
              <w:rPr>
                <w:sz w:val="20"/>
                <w:szCs w:val="20"/>
              </w:rPr>
              <w:t>7,1</w:t>
            </w:r>
            <w:r w:rsidR="005676EF">
              <w:rPr>
                <w:sz w:val="20"/>
                <w:szCs w:val="20"/>
              </w:rPr>
              <w:t> %</w:t>
            </w:r>
          </w:p>
        </w:tc>
      </w:tr>
      <w:tr w:rsidR="000A7585" w:rsidRPr="00AE6EDB" w:rsidTr="00DE0EEC">
        <w:trPr>
          <w:trHeight w:val="306"/>
          <w:jc w:val="center"/>
        </w:trPr>
        <w:tc>
          <w:tcPr>
            <w:tcW w:w="1844" w:type="dxa"/>
            <w:noWrap/>
            <w:vAlign w:val="center"/>
          </w:tcPr>
          <w:p w:rsidR="000A7585" w:rsidRPr="00AE6EDB" w:rsidRDefault="000A7585" w:rsidP="00DE0EEC">
            <w:pPr>
              <w:rPr>
                <w:sz w:val="20"/>
              </w:rPr>
            </w:pPr>
            <w:bookmarkStart w:id="486" w:name="_Toc294019930"/>
            <w:bookmarkStart w:id="487" w:name="_Toc294027260"/>
            <w:bookmarkStart w:id="488" w:name="_Toc294029499"/>
            <w:bookmarkStart w:id="489" w:name="_Toc313878990"/>
            <w:r w:rsidRPr="00AE6EDB">
              <w:rPr>
                <w:sz w:val="20"/>
              </w:rPr>
              <w:t>od 51</w:t>
            </w:r>
            <w:bookmarkEnd w:id="486"/>
            <w:bookmarkEnd w:id="487"/>
            <w:bookmarkEnd w:id="488"/>
            <w:bookmarkEnd w:id="489"/>
          </w:p>
        </w:tc>
        <w:tc>
          <w:tcPr>
            <w:tcW w:w="1329" w:type="dxa"/>
            <w:noWrap/>
            <w:vAlign w:val="center"/>
          </w:tcPr>
          <w:p w:rsidR="000A7585" w:rsidRPr="00CE15D0" w:rsidRDefault="000A7585" w:rsidP="00056952">
            <w:pPr>
              <w:ind w:right="184"/>
              <w:jc w:val="right"/>
              <w:rPr>
                <w:sz w:val="20"/>
                <w:szCs w:val="20"/>
              </w:rPr>
            </w:pPr>
            <w:r w:rsidRPr="00CE15D0">
              <w:rPr>
                <w:sz w:val="20"/>
                <w:szCs w:val="20"/>
              </w:rPr>
              <w:t>1</w:t>
            </w:r>
            <w:r w:rsidR="00056952">
              <w:rPr>
                <w:sz w:val="20"/>
                <w:szCs w:val="20"/>
              </w:rPr>
              <w:t>02 478</w:t>
            </w:r>
          </w:p>
        </w:tc>
        <w:tc>
          <w:tcPr>
            <w:tcW w:w="1247" w:type="dxa"/>
            <w:noWrap/>
            <w:vAlign w:val="center"/>
          </w:tcPr>
          <w:p w:rsidR="000A7585" w:rsidRPr="00CE15D0" w:rsidRDefault="0056505F" w:rsidP="00DE0EEC">
            <w:pPr>
              <w:ind w:right="184"/>
              <w:jc w:val="right"/>
              <w:rPr>
                <w:sz w:val="20"/>
                <w:szCs w:val="20"/>
              </w:rPr>
            </w:pPr>
            <w:r>
              <w:rPr>
                <w:sz w:val="20"/>
                <w:szCs w:val="20"/>
              </w:rPr>
              <w:t>7</w:t>
            </w:r>
            <w:r w:rsidR="000A7585" w:rsidRPr="00CE15D0">
              <w:rPr>
                <w:sz w:val="20"/>
                <w:szCs w:val="20"/>
              </w:rPr>
              <w:t>,6</w:t>
            </w:r>
            <w:r w:rsidR="005676EF">
              <w:rPr>
                <w:sz w:val="20"/>
                <w:szCs w:val="20"/>
              </w:rPr>
              <w:t> %</w:t>
            </w:r>
          </w:p>
        </w:tc>
      </w:tr>
      <w:tr w:rsidR="000A7585" w:rsidRPr="00AE6EDB" w:rsidTr="00DE0EEC">
        <w:trPr>
          <w:trHeight w:val="306"/>
          <w:jc w:val="center"/>
        </w:trPr>
        <w:tc>
          <w:tcPr>
            <w:tcW w:w="1844" w:type="dxa"/>
            <w:noWrap/>
            <w:vAlign w:val="center"/>
          </w:tcPr>
          <w:p w:rsidR="000A7585" w:rsidRPr="00AE6EDB" w:rsidRDefault="000A7585" w:rsidP="00DE0EEC">
            <w:pPr>
              <w:rPr>
                <w:b/>
                <w:sz w:val="20"/>
              </w:rPr>
            </w:pPr>
            <w:bookmarkStart w:id="490" w:name="_Toc294019933"/>
            <w:bookmarkStart w:id="491" w:name="_Toc294027263"/>
            <w:bookmarkStart w:id="492" w:name="_Toc294029502"/>
            <w:bookmarkStart w:id="493" w:name="_Toc313878993"/>
            <w:r w:rsidRPr="00AE6EDB">
              <w:rPr>
                <w:b/>
                <w:sz w:val="20"/>
              </w:rPr>
              <w:t>Spolu</w:t>
            </w:r>
            <w:bookmarkEnd w:id="490"/>
            <w:bookmarkEnd w:id="491"/>
            <w:bookmarkEnd w:id="492"/>
            <w:bookmarkEnd w:id="493"/>
          </w:p>
        </w:tc>
        <w:tc>
          <w:tcPr>
            <w:tcW w:w="1329" w:type="dxa"/>
            <w:noWrap/>
            <w:vAlign w:val="center"/>
          </w:tcPr>
          <w:p w:rsidR="000A7585" w:rsidRPr="00AE6EDB" w:rsidRDefault="0054295F" w:rsidP="00DE0EEC">
            <w:pPr>
              <w:ind w:right="184"/>
              <w:jc w:val="right"/>
              <w:rPr>
                <w:b/>
                <w:bCs/>
                <w:sz w:val="20"/>
                <w:szCs w:val="20"/>
              </w:rPr>
            </w:pPr>
            <w:r>
              <w:rPr>
                <w:b/>
                <w:bCs/>
                <w:sz w:val="20"/>
                <w:szCs w:val="20"/>
              </w:rPr>
              <w:t>1 3</w:t>
            </w:r>
            <w:r w:rsidR="000A7585" w:rsidRPr="00AE6EDB">
              <w:rPr>
                <w:b/>
                <w:bCs/>
                <w:sz w:val="20"/>
                <w:szCs w:val="20"/>
              </w:rPr>
              <w:t>4</w:t>
            </w:r>
            <w:r>
              <w:rPr>
                <w:b/>
                <w:bCs/>
                <w:sz w:val="20"/>
                <w:szCs w:val="20"/>
              </w:rPr>
              <w:t>2 6</w:t>
            </w:r>
            <w:r w:rsidR="000A7585" w:rsidRPr="00AE6EDB">
              <w:rPr>
                <w:b/>
                <w:bCs/>
                <w:sz w:val="20"/>
                <w:szCs w:val="20"/>
              </w:rPr>
              <w:t>37</w:t>
            </w:r>
          </w:p>
        </w:tc>
        <w:tc>
          <w:tcPr>
            <w:tcW w:w="1247" w:type="dxa"/>
            <w:noWrap/>
            <w:vAlign w:val="center"/>
          </w:tcPr>
          <w:p w:rsidR="000A7585" w:rsidRPr="00AE6EDB" w:rsidRDefault="000A7585" w:rsidP="00DE0EEC">
            <w:pPr>
              <w:ind w:right="184"/>
              <w:jc w:val="right"/>
              <w:rPr>
                <w:b/>
                <w:bCs/>
                <w:sz w:val="20"/>
                <w:szCs w:val="20"/>
              </w:rPr>
            </w:pPr>
            <w:r w:rsidRPr="00AE6EDB">
              <w:rPr>
                <w:b/>
                <w:bCs/>
                <w:sz w:val="20"/>
                <w:szCs w:val="20"/>
              </w:rPr>
              <w:t>100,0</w:t>
            </w:r>
            <w:r w:rsidR="005676EF">
              <w:rPr>
                <w:b/>
                <w:bCs/>
                <w:sz w:val="20"/>
                <w:szCs w:val="20"/>
              </w:rPr>
              <w:t> %</w:t>
            </w:r>
          </w:p>
        </w:tc>
      </w:tr>
    </w:tbl>
    <w:p w:rsidR="000A7585" w:rsidRPr="00AE6EDB" w:rsidRDefault="000A7585" w:rsidP="000A7585">
      <w:pPr>
        <w:pStyle w:val="zdroj"/>
        <w:ind w:left="2268" w:firstLine="0"/>
      </w:pPr>
      <w:r w:rsidRPr="00AE6EDB">
        <w:t>Zdroj: MPSVR SR</w:t>
      </w:r>
    </w:p>
    <w:p w:rsidR="000A7585" w:rsidRPr="00AE6EDB" w:rsidRDefault="000A7585" w:rsidP="000A7585">
      <w:pPr>
        <w:ind w:firstLine="431"/>
        <w:rPr>
          <w:highlight w:val="cyan"/>
        </w:rPr>
      </w:pPr>
    </w:p>
    <w:bookmarkEnd w:id="13"/>
    <w:bookmarkEnd w:id="14"/>
    <w:bookmarkEnd w:id="347"/>
    <w:bookmarkEnd w:id="348"/>
    <w:bookmarkEnd w:id="349"/>
    <w:p w:rsidR="00CE15D0" w:rsidRDefault="00CE15D0">
      <w:pPr>
        <w:jc w:val="left"/>
        <w:rPr>
          <w:b/>
          <w:color w:val="E78A80" w:themeColor="accent2" w:themeTint="99"/>
          <w:szCs w:val="22"/>
        </w:rPr>
      </w:pPr>
      <w:r>
        <w:br w:type="page"/>
      </w:r>
    </w:p>
    <w:p w:rsidR="000A7585" w:rsidRPr="00AE6EDB" w:rsidRDefault="000A7585" w:rsidP="00575B81">
      <w:pPr>
        <w:pStyle w:val="Nadpis41"/>
        <w:numPr>
          <w:ilvl w:val="0"/>
          <w:numId w:val="0"/>
        </w:numPr>
        <w:ind w:left="864" w:hanging="864"/>
      </w:pPr>
      <w:r w:rsidRPr="00AE6EDB">
        <w:lastRenderedPageBreak/>
        <w:t>Vyplácanie dôchodkov z II. piliera</w:t>
      </w:r>
    </w:p>
    <w:p w:rsidR="000A7585" w:rsidRPr="00AE6EDB" w:rsidRDefault="000A7585" w:rsidP="000A7585">
      <w:pPr>
        <w:ind w:firstLine="431"/>
        <w:rPr>
          <w:bCs/>
        </w:rPr>
      </w:pPr>
      <w:r w:rsidRPr="00AE6EDB">
        <w:t xml:space="preserve">Zmluvy o vyplácaní dôchodku zo systému starobného dôchodkového sporenia v roku 2015 bolo možné uzatvoriť </w:t>
      </w:r>
      <w:r w:rsidRPr="00AE6EDB">
        <w:rPr>
          <w:bCs/>
        </w:rPr>
        <w:t>v 3 poisťovniach:</w:t>
      </w:r>
    </w:p>
    <w:p w:rsidR="000A7585" w:rsidRPr="00AE6EDB" w:rsidRDefault="000A7585" w:rsidP="000A7585">
      <w:pPr>
        <w:numPr>
          <w:ilvl w:val="0"/>
          <w:numId w:val="32"/>
        </w:numPr>
        <w:rPr>
          <w:bCs/>
        </w:rPr>
      </w:pPr>
      <w:proofErr w:type="spellStart"/>
      <w:r w:rsidRPr="00AE6EDB">
        <w:rPr>
          <w:bCs/>
        </w:rPr>
        <w:t>Allianz</w:t>
      </w:r>
      <w:proofErr w:type="spellEnd"/>
      <w:r w:rsidRPr="00AE6EDB">
        <w:rPr>
          <w:bCs/>
        </w:rPr>
        <w:t xml:space="preserve"> - Slovenská poisťovňa, a.s.,</w:t>
      </w:r>
    </w:p>
    <w:p w:rsidR="000A7585" w:rsidRPr="00AE6EDB" w:rsidRDefault="000A7585" w:rsidP="000A7585">
      <w:pPr>
        <w:numPr>
          <w:ilvl w:val="0"/>
          <w:numId w:val="32"/>
        </w:numPr>
        <w:rPr>
          <w:bCs/>
        </w:rPr>
      </w:pPr>
      <w:proofErr w:type="spellStart"/>
      <w:r w:rsidRPr="00AE6EDB">
        <w:rPr>
          <w:bCs/>
        </w:rPr>
        <w:t>Generali</w:t>
      </w:r>
      <w:proofErr w:type="spellEnd"/>
      <w:r w:rsidRPr="00AE6EDB">
        <w:rPr>
          <w:bCs/>
        </w:rPr>
        <w:t xml:space="preserve"> poisťovňa, a.s.,</w:t>
      </w:r>
    </w:p>
    <w:p w:rsidR="000A7585" w:rsidRPr="00AE6EDB" w:rsidRDefault="000A7585" w:rsidP="000A7585">
      <w:pPr>
        <w:numPr>
          <w:ilvl w:val="0"/>
          <w:numId w:val="32"/>
        </w:numPr>
        <w:rPr>
          <w:bCs/>
        </w:rPr>
      </w:pPr>
      <w:proofErr w:type="spellStart"/>
      <w:r w:rsidRPr="00AE6EDB">
        <w:rPr>
          <w:bCs/>
        </w:rPr>
        <w:t>Union</w:t>
      </w:r>
      <w:proofErr w:type="spellEnd"/>
      <w:r w:rsidRPr="00AE6EDB">
        <w:rPr>
          <w:bCs/>
        </w:rPr>
        <w:t xml:space="preserve"> poisťovňa, a.s.,</w:t>
      </w:r>
    </w:p>
    <w:p w:rsidR="000A7585" w:rsidRPr="00AE6EDB" w:rsidRDefault="000A7585" w:rsidP="000A7585">
      <w:r w:rsidRPr="00AE6EDB">
        <w:rPr>
          <w:bCs/>
        </w:rPr>
        <w:t>a d</w:t>
      </w:r>
      <w:r w:rsidRPr="00AE6EDB">
        <w:t>ohody o vyplácaní dôchodku programovým výberom v 6 dôchodkových správcovských spoločnostiach:</w:t>
      </w:r>
    </w:p>
    <w:p w:rsidR="000A7585" w:rsidRPr="00AE6EDB" w:rsidRDefault="000A7585" w:rsidP="000A7585">
      <w:pPr>
        <w:numPr>
          <w:ilvl w:val="0"/>
          <w:numId w:val="32"/>
        </w:numPr>
      </w:pPr>
      <w:proofErr w:type="spellStart"/>
      <w:r w:rsidRPr="00AE6EDB">
        <w:t>Aegon</w:t>
      </w:r>
      <w:proofErr w:type="spellEnd"/>
      <w:r w:rsidRPr="00AE6EDB">
        <w:t xml:space="preserve">, </w:t>
      </w:r>
      <w:proofErr w:type="spellStart"/>
      <w:r w:rsidRPr="00AE6EDB">
        <w:t>d.s.s</w:t>
      </w:r>
      <w:proofErr w:type="spellEnd"/>
      <w:r w:rsidRPr="00AE6EDB">
        <w:t xml:space="preserve">., a.s., </w:t>
      </w:r>
    </w:p>
    <w:p w:rsidR="000A7585" w:rsidRPr="00AE6EDB" w:rsidRDefault="000A7585" w:rsidP="000A7585">
      <w:pPr>
        <w:numPr>
          <w:ilvl w:val="0"/>
          <w:numId w:val="32"/>
        </w:numPr>
      </w:pPr>
      <w:proofErr w:type="spellStart"/>
      <w:r w:rsidRPr="00AE6EDB">
        <w:t>Allianz</w:t>
      </w:r>
      <w:proofErr w:type="spellEnd"/>
      <w:r w:rsidRPr="00AE6EDB">
        <w:t xml:space="preserve"> – Slovenská dôchodková správcovská spoločnosť, a.s., </w:t>
      </w:r>
    </w:p>
    <w:p w:rsidR="000A7585" w:rsidRPr="00AE6EDB" w:rsidRDefault="000A7585" w:rsidP="000A7585">
      <w:pPr>
        <w:numPr>
          <w:ilvl w:val="0"/>
          <w:numId w:val="32"/>
        </w:numPr>
      </w:pPr>
      <w:proofErr w:type="spellStart"/>
      <w:r w:rsidRPr="00AE6EDB">
        <w:t>Axa</w:t>
      </w:r>
      <w:proofErr w:type="spellEnd"/>
      <w:r w:rsidRPr="00AE6EDB">
        <w:t xml:space="preserve"> </w:t>
      </w:r>
      <w:proofErr w:type="spellStart"/>
      <w:r w:rsidRPr="00AE6EDB">
        <w:t>d.s.s</w:t>
      </w:r>
      <w:proofErr w:type="spellEnd"/>
      <w:r w:rsidRPr="00AE6EDB">
        <w:t xml:space="preserve">., a.s., </w:t>
      </w:r>
    </w:p>
    <w:p w:rsidR="000A7585" w:rsidRPr="00AE6EDB" w:rsidRDefault="000A7585" w:rsidP="000A7585">
      <w:pPr>
        <w:numPr>
          <w:ilvl w:val="0"/>
          <w:numId w:val="32"/>
        </w:numPr>
      </w:pPr>
      <w:r w:rsidRPr="00AE6EDB">
        <w:t>Dôchodková správcovská spoločnosť Poštovej banky, a.s.,</w:t>
      </w:r>
    </w:p>
    <w:p w:rsidR="000A7585" w:rsidRPr="00AE6EDB" w:rsidRDefault="000A7585" w:rsidP="000A7585">
      <w:pPr>
        <w:numPr>
          <w:ilvl w:val="0"/>
          <w:numId w:val="32"/>
        </w:numPr>
      </w:pPr>
      <w:r w:rsidRPr="00AE6EDB">
        <w:t xml:space="preserve">NN </w:t>
      </w:r>
      <w:proofErr w:type="spellStart"/>
      <w:r w:rsidRPr="00AE6EDB">
        <w:t>d.s.s</w:t>
      </w:r>
      <w:proofErr w:type="spellEnd"/>
      <w:r w:rsidRPr="00AE6EDB">
        <w:t xml:space="preserve">., a.s. (predtým ING </w:t>
      </w:r>
      <w:proofErr w:type="spellStart"/>
      <w:r w:rsidRPr="00AE6EDB">
        <w:t>d.s.s</w:t>
      </w:r>
      <w:proofErr w:type="spellEnd"/>
      <w:r w:rsidRPr="00AE6EDB">
        <w:t>.)</w:t>
      </w:r>
      <w:r w:rsidR="00B61F00" w:rsidRPr="00AE6EDB">
        <w:t>,</w:t>
      </w:r>
    </w:p>
    <w:p w:rsidR="000A7585" w:rsidRPr="00AE6EDB" w:rsidRDefault="000A7585" w:rsidP="000A7585">
      <w:pPr>
        <w:numPr>
          <w:ilvl w:val="0"/>
          <w:numId w:val="32"/>
        </w:numPr>
      </w:pPr>
      <w:r w:rsidRPr="00AE6EDB">
        <w:t xml:space="preserve">VÚB </w:t>
      </w:r>
      <w:proofErr w:type="spellStart"/>
      <w:r w:rsidRPr="00AE6EDB">
        <w:t>Generali</w:t>
      </w:r>
      <w:proofErr w:type="spellEnd"/>
      <w:r w:rsidRPr="00AE6EDB">
        <w:t xml:space="preserve">, </w:t>
      </w:r>
      <w:proofErr w:type="spellStart"/>
      <w:r w:rsidRPr="00AE6EDB">
        <w:t>d.s.s</w:t>
      </w:r>
      <w:proofErr w:type="spellEnd"/>
      <w:r w:rsidRPr="00AE6EDB">
        <w:t>., a.s.</w:t>
      </w:r>
    </w:p>
    <w:p w:rsidR="000A7585" w:rsidRPr="00AE6EDB" w:rsidRDefault="000A7585" w:rsidP="000A7585">
      <w:pPr>
        <w:ind w:left="720"/>
      </w:pPr>
    </w:p>
    <w:p w:rsidR="000A7585" w:rsidRPr="00AE6EDB" w:rsidRDefault="000A7585" w:rsidP="000A7585">
      <w:pPr>
        <w:ind w:firstLine="360"/>
      </w:pPr>
      <w:r w:rsidRPr="00AE6EDB">
        <w:t xml:space="preserve"> Rozdelenie zmlúv medzi poisťovne a dôchodkové správcovské spoločnosti bolo cca 3:1 v prospech poisťovní. Medzi poisťovňami v počte uzatvorených zmlúv jasne viedla poisťovňa </w:t>
      </w:r>
      <w:proofErr w:type="spellStart"/>
      <w:r w:rsidRPr="00AE6EDB">
        <w:rPr>
          <w:bCs/>
        </w:rPr>
        <w:t>Union</w:t>
      </w:r>
      <w:proofErr w:type="spellEnd"/>
      <w:r w:rsidRPr="00AE6EDB">
        <w:t xml:space="preserve">, kde bolo uzatvorených </w:t>
      </w:r>
      <w:r w:rsidRPr="00AE6EDB">
        <w:rPr>
          <w:bCs/>
        </w:rPr>
        <w:t>251 zmlúv</w:t>
      </w:r>
      <w:r w:rsidRPr="00AE6EDB">
        <w:t xml:space="preserve">, za ňou poisťovňa </w:t>
      </w:r>
      <w:proofErr w:type="spellStart"/>
      <w:r w:rsidRPr="00AE6EDB">
        <w:rPr>
          <w:bCs/>
        </w:rPr>
        <w:t>Generali</w:t>
      </w:r>
      <w:proofErr w:type="spellEnd"/>
      <w:r w:rsidRPr="00AE6EDB">
        <w:rPr>
          <w:bCs/>
        </w:rPr>
        <w:t xml:space="preserve"> s 25</w:t>
      </w:r>
      <w:r w:rsidRPr="00AE6EDB">
        <w:t xml:space="preserve"> zmluvami a nakoniec poisťovňa </w:t>
      </w:r>
      <w:proofErr w:type="spellStart"/>
      <w:r w:rsidRPr="00AE6EDB">
        <w:rPr>
          <w:bCs/>
        </w:rPr>
        <w:t>Allianz</w:t>
      </w:r>
      <w:proofErr w:type="spellEnd"/>
      <w:r w:rsidRPr="00AE6EDB">
        <w:t xml:space="preserve"> so </w:t>
      </w:r>
      <w:r w:rsidRPr="00AE6EDB">
        <w:rPr>
          <w:bCs/>
        </w:rPr>
        <w:t>6 zmluvami</w:t>
      </w:r>
      <w:r w:rsidRPr="00AE6EDB">
        <w:t xml:space="preserve">. Dopyt po dôchodkoch ponúkaných poisťovňou </w:t>
      </w:r>
      <w:proofErr w:type="spellStart"/>
      <w:r w:rsidRPr="00AE6EDB">
        <w:t>Union</w:t>
      </w:r>
      <w:proofErr w:type="spellEnd"/>
      <w:r w:rsidRPr="00AE6EDB">
        <w:t xml:space="preserve"> nie je prekvapivý, nakoľko ponúkala vo väčšine prípadov vyššie dôchodky ako ostatné dve poisťovne. </w:t>
      </w:r>
    </w:p>
    <w:p w:rsidR="000A7585" w:rsidRPr="00AE6EDB" w:rsidRDefault="000A7585" w:rsidP="000A7585">
      <w:pPr>
        <w:ind w:firstLine="431"/>
      </w:pPr>
      <w:r w:rsidRPr="00AE6EDB">
        <w:t>Počet sporiteľov, ktorí v roku 2015 aspoň raz požiadali o dôchodok zo systému starobného dôchodkového sporenia bol 797. Následne boli poisťovňami vytvorené ponukové listy 755</w:t>
      </w:r>
      <w:r w:rsidR="000B19A0" w:rsidRPr="00AE6EDB">
        <w:t> </w:t>
      </w:r>
      <w:r w:rsidRPr="00AE6EDB">
        <w:t>sporiteľom, pričom v roku 2015 uzatvorilo aspoň jednu zmluvu o poistení dôchodku resp. dohodu o vyplácaní dôchodku programovým výberom 328 sporiteľov. Evidujeme teda 328 sporiteľov, ktorí v roku 2015 prijali ponuku a následne uzatvorili aspoň jednu zmluvu o vyplácaní dôchodku z II. piliera, pričom pokiaľ ide o druh dôchodku, 80</w:t>
      </w:r>
      <w:r w:rsidR="00411759">
        <w:t> </w:t>
      </w:r>
      <w:r w:rsidRPr="00AE6EDB">
        <w:t>% z nich má zo systému starobného dôchodkového sporenia vyplácaný starobný a</w:t>
      </w:r>
      <w:r w:rsidR="00411759">
        <w:t> </w:t>
      </w:r>
      <w:r w:rsidRPr="00AE6EDB">
        <w:t>20</w:t>
      </w:r>
      <w:r w:rsidR="00411759">
        <w:t> </w:t>
      </w:r>
      <w:r w:rsidRPr="00AE6EDB">
        <w:t>% predčasný starobný dôchodok.</w:t>
      </w:r>
      <w:r w:rsidRPr="00AE6EDB">
        <w:rPr>
          <w:rFonts w:ascii="Arial" w:eastAsia="Calibri" w:hAnsi="Arial"/>
          <w:color w:val="595959"/>
          <w:sz w:val="18"/>
          <w:szCs w:val="22"/>
          <w:lang w:eastAsia="en-US"/>
        </w:rPr>
        <w:t xml:space="preserve"> </w:t>
      </w:r>
    </w:p>
    <w:p w:rsidR="000A7585" w:rsidRPr="00AE6EDB" w:rsidRDefault="000A7585" w:rsidP="000A7585"/>
    <w:p w:rsidR="000A7585" w:rsidRPr="00AE6EDB" w:rsidRDefault="000A7585" w:rsidP="000A7585">
      <w:pPr>
        <w:ind w:firstLine="431"/>
      </w:pPr>
      <w:r w:rsidRPr="00AE6EDB">
        <w:t>Ponuky čerpať dôchodok zo systému starobného dôchodkového sporenia môžeme vzhľadom na výšku nasporenej sumy a splnenie podmienky nároku na programový výber rozdeliť do troch kategórií, a to na ponuku:</w:t>
      </w:r>
    </w:p>
    <w:p w:rsidR="000A7585" w:rsidRPr="00AE6EDB" w:rsidRDefault="000A7585" w:rsidP="000A7585">
      <w:pPr>
        <w:numPr>
          <w:ilvl w:val="0"/>
          <w:numId w:val="32"/>
        </w:numPr>
        <w:rPr>
          <w:bCs/>
        </w:rPr>
      </w:pPr>
      <w:r w:rsidRPr="00AE6EDB">
        <w:rPr>
          <w:bCs/>
        </w:rPr>
        <w:t>doživotného dôchodku bez možnosti programového výberu,</w:t>
      </w:r>
    </w:p>
    <w:p w:rsidR="000A7585" w:rsidRPr="00AE6EDB" w:rsidRDefault="000A7585" w:rsidP="000A7585">
      <w:pPr>
        <w:numPr>
          <w:ilvl w:val="0"/>
          <w:numId w:val="32"/>
        </w:numPr>
        <w:rPr>
          <w:bCs/>
        </w:rPr>
      </w:pPr>
      <w:r w:rsidRPr="00AE6EDB">
        <w:rPr>
          <w:bCs/>
        </w:rPr>
        <w:t>doživotného dôchodku s možnosťou programového výberu alebo dočasného dôchodku vyplácaného 5, 7 alebo 10 rokov,</w:t>
      </w:r>
    </w:p>
    <w:p w:rsidR="000A7585" w:rsidRPr="00AE6EDB" w:rsidRDefault="000A7585" w:rsidP="000A7585">
      <w:pPr>
        <w:numPr>
          <w:ilvl w:val="0"/>
          <w:numId w:val="32"/>
        </w:numPr>
        <w:rPr>
          <w:bCs/>
        </w:rPr>
      </w:pPr>
      <w:r w:rsidRPr="00AE6EDB">
        <w:rPr>
          <w:bCs/>
        </w:rPr>
        <w:t>dôchodok pre sporiteľov s „malou nasporenou sumou“, ktorý je vyplácaný formou programového výberu alebo ako dočasný dôchodok maximálne vo výške mediánu najnižších mesačných súm doživotného dôchodku bez pozostalostného krytia a zvyšovania, ktoré majú poistitelia záujem vyplácať.</w:t>
      </w:r>
    </w:p>
    <w:p w:rsidR="000A7585" w:rsidRPr="00AE6EDB" w:rsidRDefault="000A7585" w:rsidP="000A7585">
      <w:r w:rsidRPr="00AE6EDB">
        <w:t>Ponuky premietnuté do zmlúv na dôchodok sú zachytené v tabuľke 3.1</w:t>
      </w:r>
      <w:r w:rsidR="00F2550D" w:rsidRPr="00AE6EDB">
        <w:t>0</w:t>
      </w:r>
      <w:r w:rsidRPr="00AE6EDB">
        <w:t xml:space="preserve">. </w:t>
      </w:r>
    </w:p>
    <w:p w:rsidR="000A7585" w:rsidRPr="00AE6EDB" w:rsidRDefault="000A7585" w:rsidP="000A7585">
      <w:r w:rsidRPr="00AE6EDB">
        <w:t>K 31.12.2015 sa 185 sporiteľom vyplácal iba doživotný dôchodok, pričom 10 z týchto sporiteľov malo</w:t>
      </w:r>
      <w:r w:rsidR="001C72AB" w:rsidRPr="00AE6EDB">
        <w:t xml:space="preserve"> </w:t>
      </w:r>
      <w:r w:rsidRPr="00AE6EDB">
        <w:t>možnosť použiť nejakú časť nasporenej sumy aj na programový výber, avšak túto možnosť nevyužili; 86 sporiteľom sa vypláca dôchodok v režime „malej nasporenej sumy“ a 57 sporiteľov má doživotný dôchodok vyplácaný súbežne s programovým výberom</w:t>
      </w:r>
      <w:r w:rsidR="001C72AB" w:rsidRPr="00AE6EDB">
        <w:t xml:space="preserve"> </w:t>
      </w:r>
      <w:r w:rsidRPr="00AE6EDB">
        <w:t>alebo dočasn</w:t>
      </w:r>
      <w:r w:rsidRPr="00AE6EDB">
        <w:rPr>
          <w:bCs/>
        </w:rPr>
        <w:t xml:space="preserve">ým dôchodkom vyplácaným </w:t>
      </w:r>
      <w:r w:rsidR="000B19A0" w:rsidRPr="00AE6EDB">
        <w:rPr>
          <w:bCs/>
        </w:rPr>
        <w:br/>
      </w:r>
      <w:r w:rsidRPr="00AE6EDB">
        <w:rPr>
          <w:bCs/>
        </w:rPr>
        <w:t>5, 7 alebo 10 rokov. Možnosť rozdelenia nasporenej sumy na doživotný dôchodok a</w:t>
      </w:r>
      <w:r w:rsidR="001C72AB" w:rsidRPr="00AE6EDB">
        <w:rPr>
          <w:bCs/>
        </w:rPr>
        <w:t xml:space="preserve"> </w:t>
      </w:r>
      <w:r w:rsidRPr="00AE6EDB">
        <w:rPr>
          <w:bCs/>
        </w:rPr>
        <w:t xml:space="preserve">na programový výber </w:t>
      </w:r>
      <w:r w:rsidRPr="00AE6EDB">
        <w:t>dostalo 122 sporiteľov, čo je 16</w:t>
      </w:r>
      <w:r w:rsidR="00411759">
        <w:t> </w:t>
      </w:r>
      <w:r w:rsidRPr="00AE6EDB">
        <w:t>% z celkového počtu sporiteľov, ktorým boli vyhotovené ponuky dôchodkov, resp. 15</w:t>
      </w:r>
      <w:r w:rsidR="00411759">
        <w:t> </w:t>
      </w:r>
      <w:r w:rsidRPr="00AE6EDB">
        <w:t xml:space="preserve">% z celkového počtu sporiteľov, ktorí o vyhotovenie ponúk požiadali. </w:t>
      </w:r>
    </w:p>
    <w:p w:rsidR="00CE15D0" w:rsidRDefault="00CE15D0">
      <w:pPr>
        <w:jc w:val="left"/>
        <w:rPr>
          <w:b/>
        </w:rPr>
      </w:pPr>
      <w:r>
        <w:br w:type="page"/>
      </w:r>
    </w:p>
    <w:p w:rsidR="000A7585" w:rsidRPr="00AE6EDB" w:rsidRDefault="000A7585" w:rsidP="00F2550D">
      <w:pPr>
        <w:pStyle w:val="Nadpis7"/>
      </w:pPr>
      <w:r w:rsidRPr="00AE6EDB">
        <w:lastRenderedPageBreak/>
        <w:t>Tabuľka 3.1</w:t>
      </w:r>
      <w:r w:rsidR="00F2550D" w:rsidRPr="00AE6EDB">
        <w:t>0</w:t>
      </w:r>
      <w:r w:rsidRPr="00AE6EDB">
        <w:t xml:space="preserve"> Ponuky a zmluvy na dôchodok zo starobného dôchodkového sporenia k 31.12.2015</w:t>
      </w:r>
    </w:p>
    <w:p w:rsidR="0069525A" w:rsidRPr="00AE6EDB" w:rsidRDefault="0069525A" w:rsidP="0069525A">
      <w:pPr>
        <w:pStyle w:val="zdroj"/>
        <w:ind w:firstLine="0"/>
      </w:pPr>
      <w:r w:rsidRPr="00AE6EDB">
        <w:rPr>
          <w:b/>
          <w:noProof/>
          <w:color w:val="D83E2C" w:themeColor="accent2"/>
          <w:sz w:val="24"/>
        </w:rPr>
        <w:drawing>
          <wp:inline distT="0" distB="0" distL="0" distR="0" wp14:anchorId="3E8C70CD" wp14:editId="2CD0429D">
            <wp:extent cx="5760720" cy="3194063"/>
            <wp:effectExtent l="0" t="0" r="0" b="0"/>
            <wp:docPr id="2276" name="Diagram 2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A7585" w:rsidRPr="00AE6EDB" w:rsidRDefault="000A7585" w:rsidP="000B19A0">
      <w:pPr>
        <w:pStyle w:val="zdroj"/>
      </w:pPr>
      <w:r w:rsidRPr="00AE6EDB">
        <w:t>Zdroj: Sociálna poisťovňa</w:t>
      </w:r>
    </w:p>
    <w:p w:rsidR="000A7585" w:rsidRPr="00AE6EDB" w:rsidRDefault="000A7585" w:rsidP="000A7585">
      <w:pPr>
        <w:ind w:firstLine="431"/>
        <w:rPr>
          <w:highlight w:val="cyan"/>
        </w:rPr>
      </w:pPr>
      <w:r w:rsidRPr="00AE6EDB">
        <w:t xml:space="preserve">Najpopulárnejším z poistných produktov bol doživotný dôchodok bez pozostalostného krytia a bez zvyšovania, ktorý v roku 2015 začalo poberať 176 sporiteľov, t.j. 54% sporiteľov s aspoň jednou uzatvorenou zmluvou. Priemerná výška tohto doživotného dôchodku v roku 2015 </w:t>
      </w:r>
      <w:r w:rsidR="000B19A0" w:rsidRPr="00AE6EDB">
        <w:t xml:space="preserve">dosiahla </w:t>
      </w:r>
      <w:r w:rsidRPr="00AE6EDB">
        <w:t>25,63</w:t>
      </w:r>
      <w:r w:rsidR="0054295F">
        <w:t> eur</w:t>
      </w:r>
      <w:r w:rsidR="00CE15D0">
        <w:t>a</w:t>
      </w:r>
      <w:r w:rsidRPr="00AE6EDB">
        <w:t>.</w:t>
      </w:r>
    </w:p>
    <w:p w:rsidR="00500D2E" w:rsidRPr="00AE6EDB" w:rsidRDefault="00500D2E">
      <w:pPr>
        <w:jc w:val="left"/>
      </w:pPr>
      <w:bookmarkStart w:id="494" w:name="_Toc422233422"/>
    </w:p>
    <w:p w:rsidR="009167B2" w:rsidRPr="00AE6EDB" w:rsidRDefault="009167B2">
      <w:pPr>
        <w:jc w:val="left"/>
        <w:rPr>
          <w:b/>
          <w:color w:val="D83E2C" w:themeColor="accent2"/>
          <w:sz w:val="24"/>
          <w:szCs w:val="20"/>
          <w:lang w:eastAsia="cs-CZ"/>
        </w:rPr>
      </w:pPr>
      <w:r w:rsidRPr="00AE6EDB">
        <w:br w:type="page"/>
      </w:r>
    </w:p>
    <w:p w:rsidR="000A7585" w:rsidRPr="00AE6EDB" w:rsidRDefault="000A7585" w:rsidP="000A7585">
      <w:pPr>
        <w:pStyle w:val="Nadpis6"/>
      </w:pPr>
      <w:bookmarkStart w:id="495" w:name="_Toc452469879"/>
      <w:r w:rsidRPr="00AE6EDB">
        <w:lastRenderedPageBreak/>
        <w:t>Doplnkové dôchodkové sporenie</w:t>
      </w:r>
      <w:bookmarkEnd w:id="494"/>
      <w:bookmarkEnd w:id="495"/>
      <w:r w:rsidRPr="00AE6EDB">
        <w:t xml:space="preserve"> </w:t>
      </w:r>
    </w:p>
    <w:p w:rsidR="000A7585" w:rsidRPr="00AE6EDB" w:rsidRDefault="000A7585" w:rsidP="000A7585">
      <w:pPr>
        <w:ind w:firstLine="431"/>
      </w:pPr>
      <w:r w:rsidRPr="00AE6EDB">
        <w:t>Doplnkové (dobrovoľné) dôchodkové sporenie je súčasťou tzv. tretieho piliera dôchodkového systému, v ktorom sú finančné prostriedky účastníkov spravované doplnkovými dôchodkovými spoločnosťami (ďalej len „DDS“).</w:t>
      </w:r>
    </w:p>
    <w:p w:rsidR="000A7585" w:rsidRPr="00AE6EDB" w:rsidRDefault="000A7585" w:rsidP="000A7585">
      <w:pPr>
        <w:ind w:firstLine="431"/>
      </w:pPr>
      <w:r w:rsidRPr="00AE6EDB">
        <w:t>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skončenia výkonu prác zamestnanca, ktorý je tanečný umelec alebo hudobný umelec, ktorý vykonáva profesiu hráča na dychový nástroj.</w:t>
      </w:r>
    </w:p>
    <w:p w:rsidR="000A7585" w:rsidRPr="00AE6EDB" w:rsidRDefault="000A7585" w:rsidP="000A7585">
      <w:pPr>
        <w:ind w:firstLine="567"/>
        <w:rPr>
          <w:highlight w:val="cyan"/>
        </w:rPr>
      </w:pPr>
    </w:p>
    <w:p w:rsidR="000A7585" w:rsidRPr="00AE6EDB" w:rsidRDefault="000A7585" w:rsidP="000A7585">
      <w:pPr>
        <w:ind w:firstLine="431"/>
      </w:pPr>
      <w:r w:rsidRPr="00AE6EDB">
        <w:t>Účastníkom je zamestnanec, ktorý uzatvoril zmluvu o doplnkovom dôchodkovom sporení s doplnkovou dôchodkovou spoločnosťou (ďalej len "účastnícka zmluva"); alebo iná fyzická osoba, ktorá ku dňu uzatvorenia účastníckej zmluvy dovŕšila najmenej 18 rokov veku.</w:t>
      </w:r>
    </w:p>
    <w:p w:rsidR="000A7585" w:rsidRPr="00AE6EDB" w:rsidRDefault="000A7585" w:rsidP="000A7585">
      <w:pPr>
        <w:ind w:firstLine="431"/>
      </w:pPr>
      <w:r w:rsidRPr="00AE6EDB">
        <w:t xml:space="preserve"> Zamestnanec, ktorý vykonáva práce zaradené na základe rozhodnutia orgánu na ochranu zdravia do kategórie 3 alebo 4 a zamestnanec, ktorý vykonáva práce tanečného umelca alebo hráča na dychový nástroj, sú povinní uzatvoriť účastnícku zmluvu a ich zamestnávatelia sú povinní uzatvoriť zamestnávateľskú zmluvu, a to do 30 dní od začatia výkonu týchto prác.</w:t>
      </w:r>
    </w:p>
    <w:p w:rsidR="000A7585" w:rsidRPr="00AE6EDB" w:rsidRDefault="000A7585" w:rsidP="000A7585">
      <w:pPr>
        <w:ind w:firstLine="431"/>
      </w:pPr>
      <w:r w:rsidRPr="00AE6EDB">
        <w:t>Prostredníctvom doplnkového dôchodkového sporenia si účastník sporí finančné prostriedky v DDS, ktorá tieto prostriedky investuje za účelom ich zhodnotenia. Výsledná suma dávky doplnkového dôchodkového sporenia závisí od výšky finančných prostriedkov, ktoré účastník a jeho zamestnávateľ počas celého obdobia sporenia do DDS odviedli a od miery ich zhodnotenia.</w:t>
      </w:r>
    </w:p>
    <w:p w:rsidR="000A7585" w:rsidRPr="00AE6EDB" w:rsidRDefault="000A7585" w:rsidP="000A7585">
      <w:pPr>
        <w:ind w:firstLine="431"/>
      </w:pPr>
      <w:r w:rsidRPr="00AE6EDB">
        <w:t>Z doplnkového dôchodkového sporenia sa po splnení podmienok ustanovených zákonom o doplnkovom dôchodkovom sporení, vyplácajú tieto dávky doplnkového dôchodkového sporenia:</w:t>
      </w:r>
    </w:p>
    <w:p w:rsidR="000A7585" w:rsidRPr="00AE6EDB" w:rsidRDefault="000A7585" w:rsidP="000A7585">
      <w:pPr>
        <w:pStyle w:val="Odsekzoznamu"/>
        <w:numPr>
          <w:ilvl w:val="0"/>
          <w:numId w:val="33"/>
        </w:numPr>
        <w:tabs>
          <w:tab w:val="left" w:pos="1418"/>
        </w:tabs>
        <w:contextualSpacing/>
      </w:pPr>
      <w:r w:rsidRPr="00AE6EDB">
        <w:t>doplnkový starobný dôchodok, a to vo forme</w:t>
      </w:r>
    </w:p>
    <w:p w:rsidR="000A7585" w:rsidRPr="00AE6EDB" w:rsidRDefault="000A7585" w:rsidP="000A7585">
      <w:pPr>
        <w:numPr>
          <w:ilvl w:val="1"/>
          <w:numId w:val="11"/>
        </w:numPr>
      </w:pPr>
      <w:r w:rsidRPr="00AE6EDB">
        <w:t>doživotného doplnkového starobného dôchodku,</w:t>
      </w:r>
    </w:p>
    <w:p w:rsidR="000A7585" w:rsidRPr="00AE6EDB" w:rsidRDefault="000A7585" w:rsidP="000A7585">
      <w:pPr>
        <w:numPr>
          <w:ilvl w:val="1"/>
          <w:numId w:val="11"/>
        </w:numPr>
      </w:pPr>
      <w:r w:rsidRPr="00AE6EDB">
        <w:t>dočasného doplnkového starobného dôchodku,</w:t>
      </w:r>
    </w:p>
    <w:p w:rsidR="000A7585" w:rsidRPr="00AE6EDB" w:rsidRDefault="000A7585" w:rsidP="000A7585">
      <w:pPr>
        <w:pStyle w:val="Odsekzoznamu"/>
        <w:numPr>
          <w:ilvl w:val="0"/>
          <w:numId w:val="22"/>
        </w:numPr>
        <w:tabs>
          <w:tab w:val="left" w:pos="1418"/>
        </w:tabs>
        <w:contextualSpacing/>
      </w:pPr>
      <w:r w:rsidRPr="00AE6EDB">
        <w:t xml:space="preserve">doplnkový výsluhový dôchodok, a to vo forme </w:t>
      </w:r>
    </w:p>
    <w:p w:rsidR="000A7585" w:rsidRPr="00AE6EDB" w:rsidRDefault="000A7585" w:rsidP="000A7585">
      <w:pPr>
        <w:numPr>
          <w:ilvl w:val="1"/>
          <w:numId w:val="12"/>
        </w:numPr>
      </w:pPr>
      <w:r w:rsidRPr="00AE6EDB">
        <w:t>doživotného doplnkového výsluhového dôchodku,</w:t>
      </w:r>
    </w:p>
    <w:p w:rsidR="000A7585" w:rsidRPr="00AE6EDB" w:rsidRDefault="000A7585" w:rsidP="000A7585">
      <w:pPr>
        <w:numPr>
          <w:ilvl w:val="1"/>
          <w:numId w:val="12"/>
        </w:numPr>
      </w:pPr>
      <w:r w:rsidRPr="00AE6EDB">
        <w:t>dočasného doplnkového výsluhového dôchodku,</w:t>
      </w:r>
    </w:p>
    <w:p w:rsidR="000A7585" w:rsidRPr="00AE6EDB" w:rsidRDefault="000A7585" w:rsidP="000A7585">
      <w:pPr>
        <w:pStyle w:val="Odsekzoznamu"/>
        <w:numPr>
          <w:ilvl w:val="0"/>
          <w:numId w:val="22"/>
        </w:numPr>
        <w:tabs>
          <w:tab w:val="left" w:pos="1418"/>
        </w:tabs>
        <w:ind w:left="709" w:hanging="283"/>
        <w:contextualSpacing/>
        <w:rPr>
          <w:lang w:eastAsia="cs-CZ"/>
        </w:rPr>
      </w:pPr>
      <w:r w:rsidRPr="00AE6EDB">
        <w:t>jednorazové vyrovnanie,</w:t>
      </w:r>
    </w:p>
    <w:p w:rsidR="000A7585" w:rsidRPr="00AE6EDB" w:rsidRDefault="000A7585" w:rsidP="000A7585">
      <w:pPr>
        <w:pStyle w:val="Odsekzoznamu"/>
        <w:numPr>
          <w:ilvl w:val="0"/>
          <w:numId w:val="22"/>
        </w:numPr>
        <w:tabs>
          <w:tab w:val="left" w:pos="1418"/>
        </w:tabs>
        <w:ind w:left="709" w:hanging="283"/>
        <w:contextualSpacing/>
        <w:rPr>
          <w:lang w:eastAsia="cs-CZ"/>
        </w:rPr>
      </w:pPr>
      <w:r w:rsidRPr="00AE6EDB">
        <w:t>predčasný výber.</w:t>
      </w:r>
    </w:p>
    <w:p w:rsidR="000A7585" w:rsidRPr="00AE6EDB" w:rsidRDefault="000A7585" w:rsidP="009167B2">
      <w:pPr>
        <w:spacing w:before="120"/>
        <w:ind w:firstLine="431"/>
      </w:pPr>
      <w:r w:rsidRPr="00AE6EDB">
        <w:t xml:space="preserve">Účastníci, ktorí uzatvorili účastnícke zmluvy pred 1. </w:t>
      </w:r>
      <w:r w:rsidR="00B124AF" w:rsidRPr="00AE6EDB">
        <w:t>januárom</w:t>
      </w:r>
      <w:r w:rsidRPr="00AE6EDB">
        <w:t xml:space="preserve"> 2014 a s príslušnou DDS si nedohodli zmenu účastníckej zmluvy, ktorej obsahom by bolo upustenie od dávkového plánu, majú naďalej účastnícke zmluvy s dávkovými plánmi, v ktorých sú upravené podmienky poberania dávok. Ostáva teda pre nich zachovaná aj možnosť vyplatenia dávky odstupné, avšak takíto účastníci nemajú nárok na novú dávku predčasný výber.</w:t>
      </w:r>
    </w:p>
    <w:p w:rsidR="000A7585" w:rsidRPr="00AE6EDB" w:rsidRDefault="000A7585" w:rsidP="000A7585">
      <w:pPr>
        <w:spacing w:before="144" w:after="144"/>
        <w:ind w:firstLine="431"/>
        <w:rPr>
          <w:b/>
          <w:szCs w:val="22"/>
          <w:lang w:eastAsia="cs-CZ"/>
        </w:rPr>
      </w:pPr>
      <w:r w:rsidRPr="00AE6EDB">
        <w:rPr>
          <w:b/>
          <w:szCs w:val="22"/>
          <w:lang w:eastAsia="cs-CZ"/>
        </w:rPr>
        <w:t>V roku 2015 sa v doplnkovom dôchodkovom sporení neuskutočnili žiadne významnejšie legislatívne zmeny.</w:t>
      </w:r>
    </w:p>
    <w:p w:rsidR="000A7585" w:rsidRPr="00AE6EDB" w:rsidRDefault="000A7585" w:rsidP="000A7585">
      <w:pPr>
        <w:ind w:firstLine="431"/>
      </w:pPr>
    </w:p>
    <w:p w:rsidR="000A7585" w:rsidRPr="00AE6EDB" w:rsidRDefault="000A7585" w:rsidP="000A7585">
      <w:pPr>
        <w:ind w:firstLine="431"/>
      </w:pPr>
      <w:r w:rsidRPr="00AE6EDB">
        <w:t>K 31. decembru 2015 pôsobili na trhu doplnkového dôchodkového sporenia 4 doplnkové dôchodkové spoločnosti, a to:</w:t>
      </w:r>
    </w:p>
    <w:p w:rsidR="000A7585" w:rsidRPr="00AE6EDB" w:rsidRDefault="000A7585" w:rsidP="009167B2">
      <w:pPr>
        <w:pStyle w:val="Odsekzoznamu"/>
        <w:numPr>
          <w:ilvl w:val="0"/>
          <w:numId w:val="34"/>
        </w:numPr>
        <w:ind w:firstLine="273"/>
        <w:contextualSpacing/>
      </w:pPr>
      <w:r w:rsidRPr="00AE6EDB">
        <w:t xml:space="preserve">AXA </w:t>
      </w:r>
      <w:proofErr w:type="spellStart"/>
      <w:r w:rsidRPr="00AE6EDB">
        <w:t>d.d.s</w:t>
      </w:r>
      <w:proofErr w:type="spellEnd"/>
      <w:r w:rsidRPr="00AE6EDB">
        <w:t>., a.s., Bratislava,</w:t>
      </w:r>
    </w:p>
    <w:p w:rsidR="000A7585" w:rsidRPr="00AE6EDB" w:rsidRDefault="000A7585" w:rsidP="009167B2">
      <w:pPr>
        <w:pStyle w:val="Odsekzoznamu"/>
        <w:ind w:firstLine="273"/>
        <w:contextualSpacing/>
      </w:pPr>
      <w:r w:rsidRPr="00AE6EDB">
        <w:t>Doplnková dôchodková spoločnosť Tatra banky, a.s., Bratislava,</w:t>
      </w:r>
    </w:p>
    <w:p w:rsidR="000A7585" w:rsidRPr="00AE6EDB" w:rsidRDefault="000A7585" w:rsidP="009167B2">
      <w:pPr>
        <w:pStyle w:val="Odsekzoznamu"/>
        <w:ind w:firstLine="273"/>
        <w:contextualSpacing/>
      </w:pPr>
      <w:r w:rsidRPr="00AE6EDB">
        <w:t xml:space="preserve">NN Tatry – Sympatia </w:t>
      </w:r>
      <w:proofErr w:type="spellStart"/>
      <w:r w:rsidRPr="00AE6EDB">
        <w:t>d.d.s</w:t>
      </w:r>
      <w:proofErr w:type="spellEnd"/>
      <w:r w:rsidRPr="00AE6EDB">
        <w:t>., a.s., Bratislava (predtým ING Tatry</w:t>
      </w:r>
      <w:r w:rsidR="009167B2" w:rsidRPr="00AE6EDB">
        <w:t xml:space="preserve"> – </w:t>
      </w:r>
      <w:r w:rsidRPr="00AE6EDB">
        <w:t xml:space="preserve">Sympatia </w:t>
      </w:r>
      <w:proofErr w:type="spellStart"/>
      <w:r w:rsidRPr="00AE6EDB">
        <w:t>d.d.s</w:t>
      </w:r>
      <w:proofErr w:type="spellEnd"/>
      <w:r w:rsidRPr="00AE6EDB">
        <w:t>.),</w:t>
      </w:r>
    </w:p>
    <w:p w:rsidR="000A7585" w:rsidRPr="00AE6EDB" w:rsidRDefault="000A7585" w:rsidP="009167B2">
      <w:pPr>
        <w:pStyle w:val="Odsekzoznamu"/>
        <w:ind w:firstLine="273"/>
        <w:contextualSpacing/>
      </w:pPr>
      <w:r w:rsidRPr="00AE6EDB">
        <w:t xml:space="preserve">Stabilita, </w:t>
      </w:r>
      <w:proofErr w:type="spellStart"/>
      <w:r w:rsidRPr="00AE6EDB">
        <w:t>d.d.s</w:t>
      </w:r>
      <w:proofErr w:type="spellEnd"/>
      <w:r w:rsidRPr="00AE6EDB">
        <w:t>., a. s., Košice.</w:t>
      </w:r>
    </w:p>
    <w:p w:rsidR="000A7585" w:rsidRPr="00AE6EDB" w:rsidRDefault="000A7585" w:rsidP="000A7585">
      <w:pPr>
        <w:ind w:firstLine="567"/>
        <w:rPr>
          <w:highlight w:val="cyan"/>
        </w:rPr>
      </w:pPr>
    </w:p>
    <w:p w:rsidR="000A7585" w:rsidRPr="00AE6EDB" w:rsidRDefault="000A7585" w:rsidP="000A7585">
      <w:pPr>
        <w:ind w:firstLine="431"/>
      </w:pPr>
      <w:r w:rsidRPr="00AE6EDB">
        <w:t>Počet prispievajúcich účastníkov v doplnkových dôchodkových fondoch s nenulovým dôchodkovým účtom bol k 31.12.2015 približne 701 tisíc. Išlo o nárast oproti koncu roka 2014 o menej ako 3</w:t>
      </w:r>
      <w:r w:rsidR="00411759">
        <w:t> </w:t>
      </w:r>
      <w:r w:rsidRPr="00AE6EDB">
        <w:t>%. Počet poberateľov dávok klesol oproti roku 2014 o necelých 13</w:t>
      </w:r>
      <w:r w:rsidR="005676EF">
        <w:t> %</w:t>
      </w:r>
      <w:r w:rsidRPr="00AE6EDB">
        <w:t xml:space="preserve"> na približne 40 tisíc. Doplnková dôchodková spoločnosť AXA </w:t>
      </w:r>
      <w:proofErr w:type="spellStart"/>
      <w:r w:rsidRPr="00AE6EDB">
        <w:t>d.d.s</w:t>
      </w:r>
      <w:proofErr w:type="spellEnd"/>
      <w:r w:rsidRPr="00AE6EDB">
        <w:t xml:space="preserve">., a.s., je jedinou zo spoločností, ktorej počet poberateľov medziročne stúpol, v ostatných troch DDS ich počet klesol. Medziročne nenastalo </w:t>
      </w:r>
      <w:r w:rsidRPr="00AE6EDB">
        <w:lastRenderedPageBreak/>
        <w:t>výrazné prerozdelenie účastníkov a poberateľov dávok medzi jednotlivými doplnkovými dôchodkovými spoločnosťami.</w:t>
      </w:r>
    </w:p>
    <w:p w:rsidR="000A7585" w:rsidRPr="00AE6EDB" w:rsidRDefault="000A7585" w:rsidP="000A7585">
      <w:pPr>
        <w:pStyle w:val="Nadpis7"/>
      </w:pPr>
      <w:r w:rsidRPr="00AE6EDB">
        <w:t>Tabuľka 3.1</w:t>
      </w:r>
      <w:r w:rsidR="00F2550D" w:rsidRPr="00AE6EDB">
        <w:t>1</w:t>
      </w:r>
      <w:r w:rsidRPr="00AE6EDB">
        <w:t xml:space="preserve"> Počet účastníkov a poberateľov dávok k 31.12.2014 a k 31. 12. 2015</w:t>
      </w:r>
    </w:p>
    <w:tbl>
      <w:tblPr>
        <w:tblW w:w="921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197"/>
        <w:gridCol w:w="1275"/>
        <w:gridCol w:w="1134"/>
        <w:gridCol w:w="256"/>
        <w:gridCol w:w="873"/>
        <w:gridCol w:w="1139"/>
        <w:gridCol w:w="1190"/>
        <w:gridCol w:w="1148"/>
      </w:tblGrid>
      <w:tr w:rsidR="000A7585" w:rsidRPr="00AE6EDB" w:rsidTr="00DE0EEC">
        <w:trPr>
          <w:trHeight w:val="397"/>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iCs/>
                <w:color w:val="FFFFFF" w:themeColor="background1"/>
                <w:sz w:val="20"/>
                <w:szCs w:val="18"/>
                <w:lang w:eastAsia="cs-CZ"/>
              </w:rPr>
            </w:pPr>
          </w:p>
        </w:tc>
        <w:tc>
          <w:tcPr>
            <w:tcW w:w="3538" w:type="dxa"/>
            <w:gridSpan w:val="4"/>
            <w:tcBorders>
              <w:top w:val="single" w:sz="4" w:space="0" w:color="BF0000" w:themeColor="accent3" w:themeShade="BF"/>
              <w:bottom w:val="single" w:sz="4" w:space="0" w:color="FFFFFF" w:themeColor="background1"/>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2014</w:t>
            </w:r>
          </w:p>
        </w:tc>
        <w:tc>
          <w:tcPr>
            <w:tcW w:w="3477" w:type="dxa"/>
            <w:gridSpan w:val="3"/>
            <w:tcBorders>
              <w:top w:val="single" w:sz="4" w:space="0" w:color="BF0000" w:themeColor="accent3" w:themeShade="BF"/>
              <w:bottom w:val="single" w:sz="4" w:space="0" w:color="FFFFFF" w:themeColor="background1"/>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2015</w:t>
            </w:r>
          </w:p>
        </w:tc>
      </w:tr>
      <w:tr w:rsidR="000A7585" w:rsidRPr="00AE6EDB" w:rsidTr="00DE0EEC">
        <w:trPr>
          <w:trHeight w:val="848"/>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Spoločnosť</w:t>
            </w:r>
          </w:p>
        </w:tc>
        <w:tc>
          <w:tcPr>
            <w:tcW w:w="1275"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Počet aktívnych účastníkov</w:t>
            </w:r>
          </w:p>
        </w:tc>
        <w:tc>
          <w:tcPr>
            <w:tcW w:w="1390" w:type="dxa"/>
            <w:gridSpan w:val="2"/>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Počet poberateľov dávok</w:t>
            </w:r>
          </w:p>
        </w:tc>
        <w:tc>
          <w:tcPr>
            <w:tcW w:w="873" w:type="dxa"/>
            <w:tcBorders>
              <w:top w:val="single" w:sz="4" w:space="0" w:color="FFFFFF" w:themeColor="background1"/>
              <w:bottom w:val="single" w:sz="6" w:space="0" w:color="BF0000" w:themeColor="accent3" w:themeShade="BF"/>
              <w:right w:val="single" w:sz="4" w:space="0" w:color="FFFFFF" w:themeColor="background1"/>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Spolu</w:t>
            </w:r>
          </w:p>
        </w:tc>
        <w:tc>
          <w:tcPr>
            <w:tcW w:w="1139" w:type="dxa"/>
            <w:tcBorders>
              <w:top w:val="single" w:sz="4" w:space="0" w:color="FFFFFF" w:themeColor="background1"/>
              <w:left w:val="single" w:sz="4" w:space="0" w:color="FFFFFF" w:themeColor="background1"/>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Počet aktívnych účastníkov</w:t>
            </w:r>
          </w:p>
        </w:tc>
        <w:tc>
          <w:tcPr>
            <w:tcW w:w="1190"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Počet poberateľov dávok</w:t>
            </w:r>
          </w:p>
        </w:tc>
        <w:tc>
          <w:tcPr>
            <w:tcW w:w="1148"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r w:rsidRPr="00AE6EDB">
              <w:rPr>
                <w:b/>
                <w:bCs/>
                <w:iCs/>
                <w:color w:val="FFFFFF" w:themeColor="background1"/>
                <w:sz w:val="20"/>
                <w:szCs w:val="18"/>
                <w:lang w:eastAsia="cs-CZ"/>
              </w:rPr>
              <w:t>Spolu</w:t>
            </w:r>
          </w:p>
        </w:tc>
      </w:tr>
      <w:tr w:rsidR="000A7585" w:rsidRPr="00AE6EDB" w:rsidTr="00DE0EEC">
        <w:trPr>
          <w:trHeight w:val="364"/>
          <w:jc w:val="center"/>
        </w:trPr>
        <w:tc>
          <w:tcPr>
            <w:tcW w:w="2197" w:type="dxa"/>
            <w:tcBorders>
              <w:top w:val="single" w:sz="6" w:space="0" w:color="BF0000" w:themeColor="accent3" w:themeShade="BF"/>
            </w:tcBorders>
            <w:noWrap/>
            <w:vAlign w:val="center"/>
          </w:tcPr>
          <w:p w:rsidR="000A7585" w:rsidRPr="00AE6EDB" w:rsidRDefault="000A7585" w:rsidP="00DE0EEC">
            <w:pPr>
              <w:rPr>
                <w:bCs/>
                <w:sz w:val="20"/>
                <w:szCs w:val="18"/>
              </w:rPr>
            </w:pPr>
            <w:proofErr w:type="spellStart"/>
            <w:r w:rsidRPr="00AE6EDB">
              <w:rPr>
                <w:bCs/>
                <w:sz w:val="20"/>
                <w:szCs w:val="18"/>
              </w:rPr>
              <w:t>Axa</w:t>
            </w:r>
            <w:proofErr w:type="spellEnd"/>
            <w:r w:rsidRPr="00AE6EDB">
              <w:rPr>
                <w:bCs/>
                <w:sz w:val="20"/>
                <w:szCs w:val="18"/>
              </w:rPr>
              <w:t xml:space="preserve"> </w:t>
            </w:r>
            <w:proofErr w:type="spellStart"/>
            <w:r w:rsidRPr="00AE6EDB">
              <w:rPr>
                <w:bCs/>
                <w:sz w:val="20"/>
                <w:szCs w:val="18"/>
              </w:rPr>
              <w:t>d.d.s</w:t>
            </w:r>
            <w:proofErr w:type="spellEnd"/>
            <w:r w:rsidRPr="00AE6EDB">
              <w:rPr>
                <w:bCs/>
                <w:sz w:val="20"/>
                <w:szCs w:val="18"/>
              </w:rPr>
              <w:t>., a.s.</w:t>
            </w:r>
          </w:p>
        </w:tc>
        <w:tc>
          <w:tcPr>
            <w:tcW w:w="1275" w:type="dxa"/>
            <w:tcBorders>
              <w:top w:val="single" w:sz="6" w:space="0" w:color="BF0000" w:themeColor="accent3" w:themeShade="BF"/>
            </w:tcBorders>
            <w:vAlign w:val="center"/>
          </w:tcPr>
          <w:p w:rsidR="000A7585" w:rsidRPr="00AE6EDB" w:rsidRDefault="000A7585" w:rsidP="00DE0EEC">
            <w:pPr>
              <w:ind w:right="124"/>
              <w:jc w:val="right"/>
              <w:rPr>
                <w:sz w:val="20"/>
                <w:szCs w:val="20"/>
              </w:rPr>
            </w:pPr>
            <w:r w:rsidRPr="00AE6EDB">
              <w:rPr>
                <w:sz w:val="20"/>
                <w:szCs w:val="20"/>
              </w:rPr>
              <w:t>11</w:t>
            </w:r>
            <w:r w:rsidR="00AC44CB">
              <w:rPr>
                <w:sz w:val="20"/>
                <w:szCs w:val="20"/>
              </w:rPr>
              <w:t>8 9</w:t>
            </w:r>
            <w:r w:rsidRPr="00AE6EDB">
              <w:rPr>
                <w:sz w:val="20"/>
                <w:szCs w:val="20"/>
              </w:rPr>
              <w:t>24</w:t>
            </w:r>
          </w:p>
        </w:tc>
        <w:tc>
          <w:tcPr>
            <w:tcW w:w="1134" w:type="dxa"/>
            <w:tcBorders>
              <w:top w:val="single" w:sz="6" w:space="0" w:color="BF0000" w:themeColor="accent3" w:themeShade="BF"/>
            </w:tcBorders>
            <w:vAlign w:val="center"/>
          </w:tcPr>
          <w:p w:rsidR="000A7585" w:rsidRPr="00AE6EDB" w:rsidRDefault="000A7585" w:rsidP="00DE0EEC">
            <w:pPr>
              <w:ind w:right="124"/>
              <w:jc w:val="right"/>
              <w:rPr>
                <w:sz w:val="20"/>
                <w:szCs w:val="20"/>
              </w:rPr>
            </w:pPr>
            <w:r w:rsidRPr="00AE6EDB">
              <w:rPr>
                <w:sz w:val="20"/>
                <w:szCs w:val="20"/>
              </w:rPr>
              <w:t>822</w:t>
            </w:r>
          </w:p>
        </w:tc>
        <w:tc>
          <w:tcPr>
            <w:tcW w:w="1129" w:type="dxa"/>
            <w:gridSpan w:val="2"/>
            <w:tcBorders>
              <w:top w:val="single" w:sz="6" w:space="0" w:color="BF0000" w:themeColor="accent3" w:themeShade="BF"/>
            </w:tcBorders>
            <w:vAlign w:val="center"/>
          </w:tcPr>
          <w:p w:rsidR="000A7585" w:rsidRPr="00AE6EDB" w:rsidRDefault="000A7585" w:rsidP="00DE0EEC">
            <w:pPr>
              <w:ind w:right="124"/>
              <w:jc w:val="right"/>
              <w:rPr>
                <w:b/>
                <w:bCs/>
                <w:color w:val="000000"/>
                <w:sz w:val="20"/>
                <w:szCs w:val="20"/>
              </w:rPr>
            </w:pPr>
            <w:r w:rsidRPr="00AE6EDB">
              <w:rPr>
                <w:b/>
                <w:bCs/>
                <w:color w:val="000000"/>
                <w:sz w:val="20"/>
                <w:szCs w:val="18"/>
              </w:rPr>
              <w:t>11</w:t>
            </w:r>
            <w:r w:rsidR="00AC44CB">
              <w:rPr>
                <w:b/>
                <w:bCs/>
                <w:color w:val="000000"/>
                <w:sz w:val="20"/>
                <w:szCs w:val="18"/>
              </w:rPr>
              <w:t>9 7</w:t>
            </w:r>
            <w:r w:rsidRPr="00AE6EDB">
              <w:rPr>
                <w:b/>
                <w:bCs/>
                <w:color w:val="000000"/>
                <w:sz w:val="20"/>
                <w:szCs w:val="18"/>
              </w:rPr>
              <w:t>46</w:t>
            </w:r>
          </w:p>
        </w:tc>
        <w:tc>
          <w:tcPr>
            <w:tcW w:w="1139" w:type="dxa"/>
            <w:tcBorders>
              <w:top w:val="single" w:sz="6" w:space="0" w:color="BF0000" w:themeColor="accent3" w:themeShade="BF"/>
            </w:tcBorders>
            <w:vAlign w:val="center"/>
          </w:tcPr>
          <w:p w:rsidR="000A7585" w:rsidRPr="00AE6EDB" w:rsidRDefault="000A7585" w:rsidP="00DE0EEC">
            <w:pPr>
              <w:ind w:right="124"/>
              <w:jc w:val="right"/>
              <w:rPr>
                <w:sz w:val="20"/>
                <w:szCs w:val="20"/>
              </w:rPr>
            </w:pPr>
            <w:r w:rsidRPr="00AE6EDB">
              <w:rPr>
                <w:sz w:val="20"/>
                <w:szCs w:val="20"/>
              </w:rPr>
              <w:t>12</w:t>
            </w:r>
            <w:r w:rsidR="0054295F">
              <w:rPr>
                <w:sz w:val="20"/>
                <w:szCs w:val="20"/>
              </w:rPr>
              <w:t>2 1</w:t>
            </w:r>
            <w:r w:rsidRPr="00AE6EDB">
              <w:rPr>
                <w:sz w:val="20"/>
                <w:szCs w:val="20"/>
              </w:rPr>
              <w:t>37</w:t>
            </w:r>
          </w:p>
        </w:tc>
        <w:tc>
          <w:tcPr>
            <w:tcW w:w="1190" w:type="dxa"/>
            <w:tcBorders>
              <w:top w:val="single" w:sz="6" w:space="0" w:color="BF0000" w:themeColor="accent3" w:themeShade="BF"/>
            </w:tcBorders>
            <w:vAlign w:val="center"/>
          </w:tcPr>
          <w:p w:rsidR="000A7585" w:rsidRPr="00AE6EDB" w:rsidRDefault="0054295F" w:rsidP="00DE0EEC">
            <w:pPr>
              <w:ind w:right="124"/>
              <w:jc w:val="right"/>
              <w:rPr>
                <w:sz w:val="20"/>
                <w:szCs w:val="20"/>
              </w:rPr>
            </w:pPr>
            <w:r>
              <w:rPr>
                <w:sz w:val="20"/>
                <w:szCs w:val="20"/>
              </w:rPr>
              <w:t>1 2</w:t>
            </w:r>
            <w:r w:rsidR="000A7585" w:rsidRPr="00AE6EDB">
              <w:rPr>
                <w:sz w:val="20"/>
                <w:szCs w:val="20"/>
              </w:rPr>
              <w:t>35</w:t>
            </w:r>
          </w:p>
        </w:tc>
        <w:tc>
          <w:tcPr>
            <w:tcW w:w="1148" w:type="dxa"/>
            <w:tcBorders>
              <w:top w:val="single" w:sz="6" w:space="0" w:color="BF0000" w:themeColor="accent3" w:themeShade="BF"/>
            </w:tcBorders>
            <w:vAlign w:val="center"/>
          </w:tcPr>
          <w:p w:rsidR="000A7585" w:rsidRPr="00AE6EDB" w:rsidRDefault="000A7585" w:rsidP="00DE0EEC">
            <w:pPr>
              <w:ind w:right="124"/>
              <w:jc w:val="right"/>
              <w:rPr>
                <w:b/>
                <w:bCs/>
                <w:color w:val="000000"/>
                <w:sz w:val="20"/>
                <w:szCs w:val="20"/>
              </w:rPr>
            </w:pPr>
            <w:r w:rsidRPr="00AE6EDB">
              <w:rPr>
                <w:b/>
                <w:bCs/>
                <w:color w:val="000000"/>
                <w:sz w:val="20"/>
                <w:szCs w:val="20"/>
              </w:rPr>
              <w:t>12</w:t>
            </w:r>
            <w:r w:rsidR="0054295F">
              <w:rPr>
                <w:b/>
                <w:bCs/>
                <w:color w:val="000000"/>
                <w:sz w:val="20"/>
                <w:szCs w:val="20"/>
              </w:rPr>
              <w:t>3 3</w:t>
            </w:r>
            <w:r w:rsidRPr="00AE6EDB">
              <w:rPr>
                <w:b/>
                <w:bCs/>
                <w:color w:val="000000"/>
                <w:sz w:val="20"/>
                <w:szCs w:val="20"/>
              </w:rPr>
              <w:t>72</w:t>
            </w:r>
          </w:p>
        </w:tc>
      </w:tr>
      <w:tr w:rsidR="000A7585" w:rsidRPr="00AE6EDB" w:rsidTr="00DE0EEC">
        <w:trPr>
          <w:trHeight w:val="364"/>
          <w:jc w:val="center"/>
        </w:trPr>
        <w:tc>
          <w:tcPr>
            <w:tcW w:w="2197" w:type="dxa"/>
            <w:vAlign w:val="center"/>
          </w:tcPr>
          <w:p w:rsidR="000A7585" w:rsidRPr="00AE6EDB" w:rsidRDefault="000A7585" w:rsidP="00DE0EEC">
            <w:pPr>
              <w:rPr>
                <w:bCs/>
                <w:sz w:val="20"/>
                <w:szCs w:val="18"/>
              </w:rPr>
            </w:pPr>
            <w:r w:rsidRPr="00AE6EDB">
              <w:rPr>
                <w:bCs/>
                <w:sz w:val="20"/>
                <w:szCs w:val="18"/>
              </w:rPr>
              <w:t>DDS Tatra banky, a.s.</w:t>
            </w:r>
          </w:p>
        </w:tc>
        <w:tc>
          <w:tcPr>
            <w:tcW w:w="1275" w:type="dxa"/>
            <w:vAlign w:val="center"/>
          </w:tcPr>
          <w:p w:rsidR="000A7585" w:rsidRPr="00AE6EDB" w:rsidRDefault="000A7585" w:rsidP="00DE0EEC">
            <w:pPr>
              <w:ind w:right="124"/>
              <w:jc w:val="right"/>
              <w:rPr>
                <w:sz w:val="20"/>
                <w:szCs w:val="20"/>
              </w:rPr>
            </w:pPr>
            <w:r w:rsidRPr="00AE6EDB">
              <w:rPr>
                <w:sz w:val="20"/>
                <w:szCs w:val="18"/>
              </w:rPr>
              <w:t>17</w:t>
            </w:r>
            <w:r w:rsidR="00AC44CB">
              <w:rPr>
                <w:sz w:val="20"/>
                <w:szCs w:val="18"/>
              </w:rPr>
              <w:t>7 3</w:t>
            </w:r>
            <w:r w:rsidRPr="00AE6EDB">
              <w:rPr>
                <w:sz w:val="20"/>
                <w:szCs w:val="18"/>
              </w:rPr>
              <w:t>65</w:t>
            </w:r>
          </w:p>
        </w:tc>
        <w:tc>
          <w:tcPr>
            <w:tcW w:w="1134" w:type="dxa"/>
            <w:vAlign w:val="center"/>
          </w:tcPr>
          <w:p w:rsidR="000A7585" w:rsidRPr="00AE6EDB" w:rsidRDefault="000A7585" w:rsidP="00DE0EEC">
            <w:pPr>
              <w:ind w:right="124"/>
              <w:jc w:val="right"/>
              <w:rPr>
                <w:sz w:val="20"/>
                <w:szCs w:val="18"/>
              </w:rPr>
            </w:pPr>
            <w:r w:rsidRPr="00AE6EDB">
              <w:rPr>
                <w:sz w:val="20"/>
                <w:szCs w:val="18"/>
              </w:rPr>
              <w:t>1</w:t>
            </w:r>
            <w:r w:rsidR="0054295F">
              <w:rPr>
                <w:sz w:val="20"/>
                <w:szCs w:val="18"/>
              </w:rPr>
              <w:t>2 3</w:t>
            </w:r>
            <w:r w:rsidRPr="00AE6EDB">
              <w:rPr>
                <w:sz w:val="20"/>
                <w:szCs w:val="18"/>
              </w:rPr>
              <w:t>81</w:t>
            </w:r>
          </w:p>
        </w:tc>
        <w:tc>
          <w:tcPr>
            <w:tcW w:w="1129" w:type="dxa"/>
            <w:gridSpan w:val="2"/>
            <w:vAlign w:val="center"/>
          </w:tcPr>
          <w:p w:rsidR="000A7585" w:rsidRPr="00AE6EDB" w:rsidRDefault="000A7585" w:rsidP="00DE0EEC">
            <w:pPr>
              <w:ind w:right="124"/>
              <w:jc w:val="right"/>
              <w:rPr>
                <w:b/>
                <w:bCs/>
                <w:color w:val="000000"/>
                <w:sz w:val="20"/>
                <w:szCs w:val="20"/>
              </w:rPr>
            </w:pPr>
            <w:r w:rsidRPr="00AE6EDB">
              <w:rPr>
                <w:b/>
                <w:bCs/>
                <w:color w:val="000000"/>
                <w:sz w:val="20"/>
                <w:szCs w:val="18"/>
              </w:rPr>
              <w:t>18</w:t>
            </w:r>
            <w:r w:rsidR="00AC44CB">
              <w:rPr>
                <w:b/>
                <w:bCs/>
                <w:color w:val="000000"/>
                <w:sz w:val="20"/>
                <w:szCs w:val="18"/>
              </w:rPr>
              <w:t>9 7</w:t>
            </w:r>
            <w:r w:rsidRPr="00AE6EDB">
              <w:rPr>
                <w:b/>
                <w:bCs/>
                <w:color w:val="000000"/>
                <w:sz w:val="20"/>
                <w:szCs w:val="18"/>
              </w:rPr>
              <w:t>46</w:t>
            </w:r>
          </w:p>
        </w:tc>
        <w:tc>
          <w:tcPr>
            <w:tcW w:w="1139" w:type="dxa"/>
            <w:vAlign w:val="center"/>
          </w:tcPr>
          <w:p w:rsidR="000A7585" w:rsidRPr="00AE6EDB" w:rsidRDefault="000A7585" w:rsidP="00DE0EEC">
            <w:pPr>
              <w:ind w:right="124"/>
              <w:jc w:val="right"/>
              <w:rPr>
                <w:sz w:val="20"/>
                <w:szCs w:val="20"/>
              </w:rPr>
            </w:pPr>
            <w:r w:rsidRPr="00AE6EDB">
              <w:rPr>
                <w:sz w:val="20"/>
                <w:szCs w:val="20"/>
              </w:rPr>
              <w:t>18</w:t>
            </w:r>
            <w:r w:rsidR="0054295F">
              <w:rPr>
                <w:sz w:val="20"/>
                <w:szCs w:val="20"/>
              </w:rPr>
              <w:t>0 0</w:t>
            </w:r>
            <w:r w:rsidRPr="00AE6EDB">
              <w:rPr>
                <w:sz w:val="20"/>
                <w:szCs w:val="20"/>
              </w:rPr>
              <w:t>52</w:t>
            </w:r>
          </w:p>
        </w:tc>
        <w:tc>
          <w:tcPr>
            <w:tcW w:w="1190" w:type="dxa"/>
            <w:vAlign w:val="center"/>
          </w:tcPr>
          <w:p w:rsidR="000A7585" w:rsidRPr="00AE6EDB" w:rsidRDefault="000A7585" w:rsidP="00DE0EEC">
            <w:pPr>
              <w:ind w:right="124"/>
              <w:jc w:val="right"/>
              <w:rPr>
                <w:sz w:val="20"/>
                <w:szCs w:val="20"/>
              </w:rPr>
            </w:pPr>
            <w:r w:rsidRPr="00AE6EDB">
              <w:rPr>
                <w:sz w:val="20"/>
                <w:szCs w:val="20"/>
              </w:rPr>
              <w:t>1</w:t>
            </w:r>
            <w:r w:rsidR="0054295F">
              <w:rPr>
                <w:sz w:val="20"/>
                <w:szCs w:val="20"/>
              </w:rPr>
              <w:t>0 5</w:t>
            </w:r>
            <w:r w:rsidRPr="00AE6EDB">
              <w:rPr>
                <w:sz w:val="20"/>
                <w:szCs w:val="20"/>
              </w:rPr>
              <w:t>94</w:t>
            </w:r>
          </w:p>
        </w:tc>
        <w:tc>
          <w:tcPr>
            <w:tcW w:w="1148" w:type="dxa"/>
            <w:vAlign w:val="center"/>
          </w:tcPr>
          <w:p w:rsidR="000A7585" w:rsidRPr="00AE6EDB" w:rsidRDefault="000A7585" w:rsidP="00DE0EEC">
            <w:pPr>
              <w:ind w:right="124"/>
              <w:jc w:val="right"/>
              <w:rPr>
                <w:b/>
                <w:bCs/>
                <w:color w:val="000000"/>
                <w:sz w:val="20"/>
                <w:szCs w:val="20"/>
              </w:rPr>
            </w:pPr>
            <w:r w:rsidRPr="00AE6EDB">
              <w:rPr>
                <w:b/>
                <w:bCs/>
                <w:color w:val="000000"/>
                <w:sz w:val="20"/>
                <w:szCs w:val="20"/>
              </w:rPr>
              <w:t>19</w:t>
            </w:r>
            <w:r w:rsidR="0054295F">
              <w:rPr>
                <w:b/>
                <w:bCs/>
                <w:color w:val="000000"/>
                <w:sz w:val="20"/>
                <w:szCs w:val="20"/>
              </w:rPr>
              <w:t>0 6</w:t>
            </w:r>
            <w:r w:rsidRPr="00AE6EDB">
              <w:rPr>
                <w:b/>
                <w:bCs/>
                <w:color w:val="000000"/>
                <w:sz w:val="20"/>
                <w:szCs w:val="20"/>
              </w:rPr>
              <w:t>46</w:t>
            </w:r>
          </w:p>
        </w:tc>
      </w:tr>
      <w:tr w:rsidR="000A7585" w:rsidRPr="00AE6EDB" w:rsidTr="00DE0EEC">
        <w:trPr>
          <w:trHeight w:val="364"/>
          <w:jc w:val="center"/>
        </w:trPr>
        <w:tc>
          <w:tcPr>
            <w:tcW w:w="2197" w:type="dxa"/>
            <w:noWrap/>
            <w:vAlign w:val="center"/>
          </w:tcPr>
          <w:p w:rsidR="000A7585" w:rsidRPr="00AE6EDB" w:rsidRDefault="000A7585" w:rsidP="00DE0EEC">
            <w:pPr>
              <w:rPr>
                <w:sz w:val="20"/>
                <w:szCs w:val="18"/>
              </w:rPr>
            </w:pPr>
            <w:r w:rsidRPr="00AE6EDB">
              <w:rPr>
                <w:sz w:val="20"/>
                <w:szCs w:val="18"/>
              </w:rPr>
              <w:t xml:space="preserve">NN Tatry - Sympatia, </w:t>
            </w:r>
          </w:p>
          <w:p w:rsidR="000A7585" w:rsidRPr="00AE6EDB" w:rsidRDefault="000A7585" w:rsidP="00DE0EEC">
            <w:pPr>
              <w:rPr>
                <w:sz w:val="20"/>
                <w:szCs w:val="18"/>
              </w:rPr>
            </w:pPr>
            <w:proofErr w:type="spellStart"/>
            <w:r w:rsidRPr="00AE6EDB">
              <w:rPr>
                <w:sz w:val="20"/>
                <w:szCs w:val="18"/>
              </w:rPr>
              <w:t>d.d.s</w:t>
            </w:r>
            <w:proofErr w:type="spellEnd"/>
            <w:r w:rsidRPr="00AE6EDB">
              <w:rPr>
                <w:sz w:val="20"/>
                <w:szCs w:val="18"/>
              </w:rPr>
              <w:t>., a.s.</w:t>
            </w:r>
          </w:p>
        </w:tc>
        <w:tc>
          <w:tcPr>
            <w:tcW w:w="1275" w:type="dxa"/>
            <w:vAlign w:val="center"/>
          </w:tcPr>
          <w:p w:rsidR="000A7585" w:rsidRPr="00AE6EDB" w:rsidRDefault="000A7585" w:rsidP="00DE0EEC">
            <w:pPr>
              <w:ind w:right="124"/>
              <w:jc w:val="right"/>
              <w:rPr>
                <w:sz w:val="20"/>
                <w:szCs w:val="20"/>
              </w:rPr>
            </w:pPr>
            <w:r w:rsidRPr="00AE6EDB">
              <w:rPr>
                <w:sz w:val="20"/>
                <w:szCs w:val="18"/>
              </w:rPr>
              <w:t>27</w:t>
            </w:r>
            <w:r w:rsidR="0054295F">
              <w:rPr>
                <w:sz w:val="20"/>
                <w:szCs w:val="18"/>
              </w:rPr>
              <w:t>3 6</w:t>
            </w:r>
            <w:r w:rsidRPr="00AE6EDB">
              <w:rPr>
                <w:sz w:val="20"/>
                <w:szCs w:val="18"/>
              </w:rPr>
              <w:t>23</w:t>
            </w:r>
          </w:p>
        </w:tc>
        <w:tc>
          <w:tcPr>
            <w:tcW w:w="1134" w:type="dxa"/>
            <w:vAlign w:val="center"/>
          </w:tcPr>
          <w:p w:rsidR="000A7585" w:rsidRPr="00AE6EDB" w:rsidRDefault="00AC44CB" w:rsidP="00DE0EEC">
            <w:pPr>
              <w:ind w:right="124"/>
              <w:jc w:val="right"/>
              <w:rPr>
                <w:sz w:val="20"/>
                <w:szCs w:val="18"/>
              </w:rPr>
            </w:pPr>
            <w:r>
              <w:rPr>
                <w:sz w:val="20"/>
                <w:szCs w:val="18"/>
              </w:rPr>
              <w:t>8 1</w:t>
            </w:r>
            <w:r w:rsidR="000A7585" w:rsidRPr="00AE6EDB">
              <w:rPr>
                <w:sz w:val="20"/>
                <w:szCs w:val="18"/>
              </w:rPr>
              <w:t>59</w:t>
            </w:r>
          </w:p>
        </w:tc>
        <w:tc>
          <w:tcPr>
            <w:tcW w:w="1129" w:type="dxa"/>
            <w:gridSpan w:val="2"/>
            <w:vAlign w:val="center"/>
          </w:tcPr>
          <w:p w:rsidR="000A7585" w:rsidRPr="00AE6EDB" w:rsidRDefault="000A7585" w:rsidP="00DE0EEC">
            <w:pPr>
              <w:ind w:right="124"/>
              <w:jc w:val="right"/>
              <w:rPr>
                <w:b/>
                <w:bCs/>
                <w:color w:val="000000"/>
                <w:sz w:val="20"/>
                <w:szCs w:val="20"/>
              </w:rPr>
            </w:pPr>
            <w:r w:rsidRPr="00AE6EDB">
              <w:rPr>
                <w:b/>
                <w:bCs/>
                <w:color w:val="000000"/>
                <w:sz w:val="20"/>
                <w:szCs w:val="18"/>
              </w:rPr>
              <w:t>28</w:t>
            </w:r>
            <w:r w:rsidR="0054295F">
              <w:rPr>
                <w:b/>
                <w:bCs/>
                <w:color w:val="000000"/>
                <w:sz w:val="20"/>
                <w:szCs w:val="18"/>
              </w:rPr>
              <w:t>1 7</w:t>
            </w:r>
            <w:r w:rsidRPr="00AE6EDB">
              <w:rPr>
                <w:b/>
                <w:bCs/>
                <w:color w:val="000000"/>
                <w:sz w:val="20"/>
                <w:szCs w:val="18"/>
              </w:rPr>
              <w:t>82</w:t>
            </w:r>
          </w:p>
        </w:tc>
        <w:tc>
          <w:tcPr>
            <w:tcW w:w="1139" w:type="dxa"/>
            <w:vAlign w:val="center"/>
          </w:tcPr>
          <w:p w:rsidR="000A7585" w:rsidRPr="00AE6EDB" w:rsidRDefault="000A7585" w:rsidP="00DE0EEC">
            <w:pPr>
              <w:ind w:right="124"/>
              <w:jc w:val="right"/>
              <w:rPr>
                <w:sz w:val="20"/>
                <w:szCs w:val="20"/>
              </w:rPr>
            </w:pPr>
            <w:r w:rsidRPr="00AE6EDB">
              <w:rPr>
                <w:sz w:val="20"/>
                <w:szCs w:val="20"/>
              </w:rPr>
              <w:t>28</w:t>
            </w:r>
            <w:r w:rsidR="0054295F">
              <w:rPr>
                <w:sz w:val="20"/>
                <w:szCs w:val="20"/>
              </w:rPr>
              <w:t>0 6</w:t>
            </w:r>
            <w:r w:rsidRPr="00AE6EDB">
              <w:rPr>
                <w:sz w:val="20"/>
                <w:szCs w:val="20"/>
              </w:rPr>
              <w:t>46</w:t>
            </w:r>
          </w:p>
        </w:tc>
        <w:tc>
          <w:tcPr>
            <w:tcW w:w="1190" w:type="dxa"/>
            <w:vAlign w:val="center"/>
          </w:tcPr>
          <w:p w:rsidR="000A7585" w:rsidRPr="00AE6EDB" w:rsidRDefault="00AC44CB" w:rsidP="00DE0EEC">
            <w:pPr>
              <w:ind w:right="124"/>
              <w:jc w:val="right"/>
              <w:rPr>
                <w:sz w:val="20"/>
                <w:szCs w:val="20"/>
              </w:rPr>
            </w:pPr>
            <w:r>
              <w:rPr>
                <w:sz w:val="20"/>
                <w:szCs w:val="20"/>
              </w:rPr>
              <w:t>6 7</w:t>
            </w:r>
            <w:r w:rsidR="000A7585" w:rsidRPr="00AE6EDB">
              <w:rPr>
                <w:sz w:val="20"/>
                <w:szCs w:val="20"/>
              </w:rPr>
              <w:t>83</w:t>
            </w:r>
          </w:p>
        </w:tc>
        <w:tc>
          <w:tcPr>
            <w:tcW w:w="1148" w:type="dxa"/>
            <w:vAlign w:val="center"/>
          </w:tcPr>
          <w:p w:rsidR="000A7585" w:rsidRPr="00AE6EDB" w:rsidRDefault="000A7585" w:rsidP="00DE0EEC">
            <w:pPr>
              <w:ind w:right="124"/>
              <w:jc w:val="right"/>
              <w:rPr>
                <w:b/>
                <w:bCs/>
                <w:color w:val="000000"/>
                <w:sz w:val="20"/>
                <w:szCs w:val="20"/>
              </w:rPr>
            </w:pPr>
            <w:r w:rsidRPr="00AE6EDB">
              <w:rPr>
                <w:b/>
                <w:bCs/>
                <w:color w:val="000000"/>
                <w:sz w:val="20"/>
                <w:szCs w:val="20"/>
              </w:rPr>
              <w:t>28</w:t>
            </w:r>
            <w:r w:rsidR="00AC44CB">
              <w:rPr>
                <w:b/>
                <w:bCs/>
                <w:color w:val="000000"/>
                <w:sz w:val="20"/>
                <w:szCs w:val="20"/>
              </w:rPr>
              <w:t>7 4</w:t>
            </w:r>
            <w:r w:rsidRPr="00AE6EDB">
              <w:rPr>
                <w:b/>
                <w:bCs/>
                <w:color w:val="000000"/>
                <w:sz w:val="20"/>
                <w:szCs w:val="20"/>
              </w:rPr>
              <w:t>29</w:t>
            </w:r>
          </w:p>
        </w:tc>
      </w:tr>
      <w:tr w:rsidR="000A7585" w:rsidRPr="00AE6EDB" w:rsidTr="00DE0EEC">
        <w:trPr>
          <w:trHeight w:val="403"/>
          <w:jc w:val="center"/>
        </w:trPr>
        <w:tc>
          <w:tcPr>
            <w:tcW w:w="2197" w:type="dxa"/>
            <w:noWrap/>
            <w:vAlign w:val="center"/>
          </w:tcPr>
          <w:p w:rsidR="000A7585" w:rsidRPr="00AE6EDB" w:rsidRDefault="000A7585" w:rsidP="00DE0EEC">
            <w:pPr>
              <w:rPr>
                <w:sz w:val="20"/>
                <w:szCs w:val="18"/>
              </w:rPr>
            </w:pPr>
            <w:r w:rsidRPr="00AE6EDB">
              <w:rPr>
                <w:sz w:val="20"/>
                <w:szCs w:val="18"/>
              </w:rPr>
              <w:t xml:space="preserve">Stabilita, </w:t>
            </w:r>
            <w:proofErr w:type="spellStart"/>
            <w:r w:rsidRPr="00AE6EDB">
              <w:rPr>
                <w:sz w:val="20"/>
                <w:szCs w:val="18"/>
              </w:rPr>
              <w:t>d.d.s</w:t>
            </w:r>
            <w:proofErr w:type="spellEnd"/>
            <w:r w:rsidRPr="00AE6EDB">
              <w:rPr>
                <w:sz w:val="20"/>
                <w:szCs w:val="18"/>
              </w:rPr>
              <w:t>., a.s.</w:t>
            </w:r>
          </w:p>
        </w:tc>
        <w:tc>
          <w:tcPr>
            <w:tcW w:w="1275" w:type="dxa"/>
            <w:vAlign w:val="center"/>
          </w:tcPr>
          <w:p w:rsidR="000A7585" w:rsidRPr="00AE6EDB" w:rsidRDefault="000A7585" w:rsidP="00DE0EEC">
            <w:pPr>
              <w:ind w:right="124"/>
              <w:jc w:val="right"/>
              <w:rPr>
                <w:sz w:val="20"/>
                <w:szCs w:val="20"/>
              </w:rPr>
            </w:pPr>
            <w:r w:rsidRPr="00AE6EDB">
              <w:rPr>
                <w:sz w:val="20"/>
                <w:szCs w:val="20"/>
              </w:rPr>
              <w:t>11</w:t>
            </w:r>
            <w:r w:rsidR="0054295F">
              <w:rPr>
                <w:sz w:val="20"/>
                <w:szCs w:val="20"/>
              </w:rPr>
              <w:t>2 2</w:t>
            </w:r>
            <w:r w:rsidRPr="00AE6EDB">
              <w:rPr>
                <w:sz w:val="20"/>
                <w:szCs w:val="20"/>
              </w:rPr>
              <w:t>57</w:t>
            </w:r>
          </w:p>
        </w:tc>
        <w:tc>
          <w:tcPr>
            <w:tcW w:w="1134" w:type="dxa"/>
            <w:vAlign w:val="center"/>
          </w:tcPr>
          <w:p w:rsidR="000A7585" w:rsidRPr="00AE6EDB" w:rsidRDefault="000A7585" w:rsidP="00DE0EEC">
            <w:pPr>
              <w:ind w:right="124"/>
              <w:jc w:val="right"/>
              <w:rPr>
                <w:sz w:val="20"/>
                <w:szCs w:val="20"/>
              </w:rPr>
            </w:pPr>
            <w:r w:rsidRPr="00AE6EDB">
              <w:rPr>
                <w:sz w:val="20"/>
                <w:szCs w:val="20"/>
              </w:rPr>
              <w:t>2</w:t>
            </w:r>
            <w:r w:rsidR="0054295F">
              <w:rPr>
                <w:sz w:val="20"/>
                <w:szCs w:val="20"/>
              </w:rPr>
              <w:t>4 0</w:t>
            </w:r>
            <w:r w:rsidRPr="00AE6EDB">
              <w:rPr>
                <w:sz w:val="20"/>
                <w:szCs w:val="20"/>
              </w:rPr>
              <w:t>87</w:t>
            </w:r>
          </w:p>
        </w:tc>
        <w:tc>
          <w:tcPr>
            <w:tcW w:w="1129" w:type="dxa"/>
            <w:gridSpan w:val="2"/>
            <w:vAlign w:val="center"/>
          </w:tcPr>
          <w:p w:rsidR="000A7585" w:rsidRPr="00AE6EDB" w:rsidRDefault="000A7585" w:rsidP="00DE0EEC">
            <w:pPr>
              <w:ind w:right="124"/>
              <w:jc w:val="right"/>
              <w:rPr>
                <w:b/>
                <w:bCs/>
                <w:color w:val="000000"/>
                <w:sz w:val="20"/>
                <w:szCs w:val="20"/>
              </w:rPr>
            </w:pPr>
            <w:r w:rsidRPr="00AE6EDB">
              <w:rPr>
                <w:b/>
                <w:bCs/>
                <w:color w:val="000000"/>
                <w:sz w:val="20"/>
                <w:szCs w:val="18"/>
              </w:rPr>
              <w:t>13</w:t>
            </w:r>
            <w:r w:rsidR="00AC44CB">
              <w:rPr>
                <w:b/>
                <w:bCs/>
                <w:color w:val="000000"/>
                <w:sz w:val="20"/>
                <w:szCs w:val="18"/>
              </w:rPr>
              <w:t>6 3</w:t>
            </w:r>
            <w:r w:rsidRPr="00AE6EDB">
              <w:rPr>
                <w:b/>
                <w:bCs/>
                <w:color w:val="000000"/>
                <w:sz w:val="20"/>
                <w:szCs w:val="18"/>
              </w:rPr>
              <w:t>44</w:t>
            </w:r>
          </w:p>
        </w:tc>
        <w:tc>
          <w:tcPr>
            <w:tcW w:w="1139" w:type="dxa"/>
            <w:vAlign w:val="center"/>
          </w:tcPr>
          <w:p w:rsidR="000A7585" w:rsidRPr="00AE6EDB" w:rsidRDefault="000A7585" w:rsidP="00DE0EEC">
            <w:pPr>
              <w:ind w:right="124"/>
              <w:jc w:val="right"/>
              <w:rPr>
                <w:sz w:val="20"/>
                <w:szCs w:val="20"/>
              </w:rPr>
            </w:pPr>
            <w:r w:rsidRPr="00AE6EDB">
              <w:rPr>
                <w:sz w:val="20"/>
                <w:szCs w:val="20"/>
              </w:rPr>
              <w:t>11</w:t>
            </w:r>
            <w:r w:rsidR="00AC44CB">
              <w:rPr>
                <w:sz w:val="20"/>
                <w:szCs w:val="20"/>
              </w:rPr>
              <w:t>8 0</w:t>
            </w:r>
            <w:r w:rsidRPr="00AE6EDB">
              <w:rPr>
                <w:sz w:val="20"/>
                <w:szCs w:val="20"/>
              </w:rPr>
              <w:t>98</w:t>
            </w:r>
          </w:p>
        </w:tc>
        <w:tc>
          <w:tcPr>
            <w:tcW w:w="1190" w:type="dxa"/>
            <w:vAlign w:val="center"/>
          </w:tcPr>
          <w:p w:rsidR="000A7585" w:rsidRPr="00AE6EDB" w:rsidRDefault="000A7585" w:rsidP="00DE0EEC">
            <w:pPr>
              <w:ind w:right="124"/>
              <w:jc w:val="right"/>
              <w:rPr>
                <w:sz w:val="20"/>
                <w:szCs w:val="20"/>
              </w:rPr>
            </w:pPr>
            <w:r w:rsidRPr="00AE6EDB">
              <w:rPr>
                <w:sz w:val="20"/>
                <w:szCs w:val="20"/>
              </w:rPr>
              <w:t>2</w:t>
            </w:r>
            <w:r w:rsidR="0054295F">
              <w:rPr>
                <w:sz w:val="20"/>
                <w:szCs w:val="20"/>
              </w:rPr>
              <w:t>1 0</w:t>
            </w:r>
            <w:r w:rsidRPr="00AE6EDB">
              <w:rPr>
                <w:sz w:val="20"/>
                <w:szCs w:val="20"/>
              </w:rPr>
              <w:t>19</w:t>
            </w:r>
          </w:p>
        </w:tc>
        <w:tc>
          <w:tcPr>
            <w:tcW w:w="1148" w:type="dxa"/>
            <w:vAlign w:val="center"/>
          </w:tcPr>
          <w:p w:rsidR="000A7585" w:rsidRPr="00AE6EDB" w:rsidRDefault="000A7585" w:rsidP="00DE0EEC">
            <w:pPr>
              <w:ind w:right="124"/>
              <w:jc w:val="right"/>
              <w:rPr>
                <w:b/>
                <w:bCs/>
                <w:color w:val="000000"/>
                <w:sz w:val="20"/>
                <w:szCs w:val="20"/>
              </w:rPr>
            </w:pPr>
            <w:r w:rsidRPr="00AE6EDB">
              <w:rPr>
                <w:b/>
                <w:bCs/>
                <w:color w:val="000000"/>
                <w:sz w:val="20"/>
                <w:szCs w:val="20"/>
              </w:rPr>
              <w:t>13</w:t>
            </w:r>
            <w:r w:rsidR="00AC44CB">
              <w:rPr>
                <w:b/>
                <w:bCs/>
                <w:color w:val="000000"/>
                <w:sz w:val="20"/>
                <w:szCs w:val="20"/>
              </w:rPr>
              <w:t>9 1</w:t>
            </w:r>
            <w:r w:rsidRPr="00AE6EDB">
              <w:rPr>
                <w:b/>
                <w:bCs/>
                <w:color w:val="000000"/>
                <w:sz w:val="20"/>
                <w:szCs w:val="20"/>
              </w:rPr>
              <w:t>17</w:t>
            </w:r>
          </w:p>
        </w:tc>
      </w:tr>
      <w:tr w:rsidR="000A7585" w:rsidRPr="00AE6EDB" w:rsidTr="00DE0EEC">
        <w:trPr>
          <w:trHeight w:val="423"/>
          <w:jc w:val="center"/>
        </w:trPr>
        <w:tc>
          <w:tcPr>
            <w:tcW w:w="2197" w:type="dxa"/>
            <w:noWrap/>
            <w:vAlign w:val="center"/>
          </w:tcPr>
          <w:p w:rsidR="000A7585" w:rsidRPr="00AE6EDB" w:rsidRDefault="000A7585" w:rsidP="00DE0EEC">
            <w:pPr>
              <w:rPr>
                <w:b/>
                <w:sz w:val="20"/>
                <w:szCs w:val="18"/>
              </w:rPr>
            </w:pPr>
            <w:r w:rsidRPr="00AE6EDB">
              <w:rPr>
                <w:b/>
                <w:sz w:val="20"/>
                <w:szCs w:val="18"/>
              </w:rPr>
              <w:t>Spolu</w:t>
            </w:r>
          </w:p>
        </w:tc>
        <w:tc>
          <w:tcPr>
            <w:tcW w:w="1275" w:type="dxa"/>
            <w:vAlign w:val="center"/>
          </w:tcPr>
          <w:p w:rsidR="000A7585" w:rsidRPr="00AE6EDB" w:rsidRDefault="000A7585" w:rsidP="00DE0EEC">
            <w:pPr>
              <w:ind w:right="124"/>
              <w:jc w:val="right"/>
              <w:rPr>
                <w:b/>
                <w:bCs/>
                <w:sz w:val="20"/>
                <w:szCs w:val="20"/>
              </w:rPr>
            </w:pPr>
            <w:r w:rsidRPr="00AE6EDB">
              <w:rPr>
                <w:b/>
                <w:bCs/>
                <w:sz w:val="20"/>
                <w:szCs w:val="20"/>
              </w:rPr>
              <w:t>68</w:t>
            </w:r>
            <w:r w:rsidR="0054295F">
              <w:rPr>
                <w:b/>
                <w:bCs/>
                <w:sz w:val="20"/>
                <w:szCs w:val="20"/>
              </w:rPr>
              <w:t>2 1</w:t>
            </w:r>
            <w:r w:rsidRPr="00AE6EDB">
              <w:rPr>
                <w:b/>
                <w:bCs/>
                <w:sz w:val="20"/>
                <w:szCs w:val="20"/>
              </w:rPr>
              <w:t>69</w:t>
            </w:r>
          </w:p>
        </w:tc>
        <w:tc>
          <w:tcPr>
            <w:tcW w:w="1134" w:type="dxa"/>
            <w:vAlign w:val="center"/>
          </w:tcPr>
          <w:p w:rsidR="000A7585" w:rsidRPr="00AE6EDB" w:rsidRDefault="000A7585" w:rsidP="00DE0EEC">
            <w:pPr>
              <w:ind w:right="124"/>
              <w:jc w:val="right"/>
              <w:rPr>
                <w:b/>
                <w:bCs/>
                <w:sz w:val="20"/>
                <w:szCs w:val="20"/>
              </w:rPr>
            </w:pPr>
            <w:r w:rsidRPr="00AE6EDB">
              <w:rPr>
                <w:b/>
                <w:bCs/>
                <w:sz w:val="20"/>
                <w:szCs w:val="20"/>
              </w:rPr>
              <w:t>4</w:t>
            </w:r>
            <w:r w:rsidR="00AC44CB">
              <w:rPr>
                <w:b/>
                <w:bCs/>
                <w:sz w:val="20"/>
                <w:szCs w:val="20"/>
              </w:rPr>
              <w:t>5 4</w:t>
            </w:r>
            <w:r w:rsidRPr="00AE6EDB">
              <w:rPr>
                <w:b/>
                <w:bCs/>
                <w:sz w:val="20"/>
                <w:szCs w:val="20"/>
              </w:rPr>
              <w:t>49</w:t>
            </w:r>
          </w:p>
        </w:tc>
        <w:tc>
          <w:tcPr>
            <w:tcW w:w="1129" w:type="dxa"/>
            <w:gridSpan w:val="2"/>
            <w:vAlign w:val="center"/>
          </w:tcPr>
          <w:p w:rsidR="000A7585" w:rsidRPr="00AE6EDB" w:rsidRDefault="000A7585" w:rsidP="00DE0EEC">
            <w:pPr>
              <w:ind w:right="124"/>
              <w:jc w:val="right"/>
              <w:rPr>
                <w:b/>
                <w:bCs/>
                <w:sz w:val="20"/>
                <w:szCs w:val="20"/>
              </w:rPr>
            </w:pPr>
            <w:r w:rsidRPr="00AE6EDB">
              <w:rPr>
                <w:b/>
                <w:bCs/>
                <w:sz w:val="20"/>
                <w:szCs w:val="20"/>
              </w:rPr>
              <w:t>72</w:t>
            </w:r>
            <w:r w:rsidR="00AC44CB">
              <w:rPr>
                <w:b/>
                <w:bCs/>
                <w:sz w:val="20"/>
                <w:szCs w:val="20"/>
              </w:rPr>
              <w:t>7 6</w:t>
            </w:r>
            <w:r w:rsidRPr="00AE6EDB">
              <w:rPr>
                <w:b/>
                <w:bCs/>
                <w:sz w:val="20"/>
                <w:szCs w:val="20"/>
              </w:rPr>
              <w:t>18</w:t>
            </w:r>
          </w:p>
        </w:tc>
        <w:tc>
          <w:tcPr>
            <w:tcW w:w="1139" w:type="dxa"/>
            <w:vAlign w:val="center"/>
          </w:tcPr>
          <w:p w:rsidR="000A7585" w:rsidRPr="00AE6EDB" w:rsidRDefault="000A7585" w:rsidP="00DE0EEC">
            <w:pPr>
              <w:ind w:right="124"/>
              <w:jc w:val="right"/>
              <w:rPr>
                <w:b/>
                <w:bCs/>
                <w:sz w:val="20"/>
                <w:szCs w:val="20"/>
              </w:rPr>
            </w:pPr>
            <w:r w:rsidRPr="00AE6EDB">
              <w:rPr>
                <w:b/>
                <w:bCs/>
                <w:sz w:val="20"/>
                <w:szCs w:val="20"/>
              </w:rPr>
              <w:t>70</w:t>
            </w:r>
            <w:r w:rsidR="0054295F">
              <w:rPr>
                <w:b/>
                <w:bCs/>
                <w:sz w:val="20"/>
                <w:szCs w:val="20"/>
              </w:rPr>
              <w:t>0 9</w:t>
            </w:r>
            <w:r w:rsidRPr="00AE6EDB">
              <w:rPr>
                <w:b/>
                <w:bCs/>
                <w:sz w:val="20"/>
                <w:szCs w:val="20"/>
              </w:rPr>
              <w:t>33</w:t>
            </w:r>
          </w:p>
        </w:tc>
        <w:tc>
          <w:tcPr>
            <w:tcW w:w="1190" w:type="dxa"/>
            <w:vAlign w:val="center"/>
          </w:tcPr>
          <w:p w:rsidR="000A7585" w:rsidRPr="00AE6EDB" w:rsidRDefault="000A7585" w:rsidP="00DE0EEC">
            <w:pPr>
              <w:ind w:right="124"/>
              <w:jc w:val="right"/>
              <w:rPr>
                <w:b/>
                <w:bCs/>
                <w:sz w:val="20"/>
                <w:szCs w:val="20"/>
              </w:rPr>
            </w:pPr>
            <w:r w:rsidRPr="00AE6EDB">
              <w:rPr>
                <w:b/>
                <w:bCs/>
                <w:sz w:val="20"/>
                <w:szCs w:val="20"/>
              </w:rPr>
              <w:t>3</w:t>
            </w:r>
            <w:r w:rsidR="00AC44CB">
              <w:rPr>
                <w:b/>
                <w:bCs/>
                <w:sz w:val="20"/>
                <w:szCs w:val="20"/>
              </w:rPr>
              <w:t>9 6</w:t>
            </w:r>
            <w:r w:rsidRPr="00AE6EDB">
              <w:rPr>
                <w:b/>
                <w:bCs/>
                <w:sz w:val="20"/>
                <w:szCs w:val="20"/>
              </w:rPr>
              <w:t>31</w:t>
            </w:r>
          </w:p>
        </w:tc>
        <w:tc>
          <w:tcPr>
            <w:tcW w:w="1148" w:type="dxa"/>
            <w:vAlign w:val="center"/>
          </w:tcPr>
          <w:p w:rsidR="000A7585" w:rsidRPr="00AE6EDB" w:rsidRDefault="000A7585" w:rsidP="00DE0EEC">
            <w:pPr>
              <w:ind w:right="124"/>
              <w:jc w:val="right"/>
              <w:rPr>
                <w:b/>
                <w:bCs/>
                <w:sz w:val="20"/>
                <w:szCs w:val="20"/>
              </w:rPr>
            </w:pPr>
            <w:r w:rsidRPr="00AE6EDB">
              <w:rPr>
                <w:b/>
                <w:bCs/>
                <w:sz w:val="20"/>
                <w:szCs w:val="20"/>
              </w:rPr>
              <w:t>74</w:t>
            </w:r>
            <w:r w:rsidR="0054295F">
              <w:rPr>
                <w:b/>
                <w:bCs/>
                <w:sz w:val="20"/>
                <w:szCs w:val="20"/>
              </w:rPr>
              <w:t>0 5</w:t>
            </w:r>
            <w:r w:rsidRPr="00AE6EDB">
              <w:rPr>
                <w:b/>
                <w:bCs/>
                <w:sz w:val="20"/>
                <w:szCs w:val="20"/>
              </w:rPr>
              <w:t>64</w:t>
            </w:r>
          </w:p>
        </w:tc>
      </w:tr>
    </w:tbl>
    <w:p w:rsidR="000A7585" w:rsidRPr="00AE6EDB" w:rsidRDefault="000A7585" w:rsidP="000A7585">
      <w:pPr>
        <w:pStyle w:val="zdroj"/>
        <w:ind w:left="142" w:firstLine="284"/>
      </w:pPr>
      <w:r w:rsidRPr="00AE6EDB">
        <w:t>Zdroj: Asociácia doplnkových dôchodkových spoločností</w:t>
      </w:r>
    </w:p>
    <w:p w:rsidR="000A7585" w:rsidRPr="00AE6EDB" w:rsidRDefault="000A7585" w:rsidP="000A7585">
      <w:pPr>
        <w:ind w:firstLine="431"/>
      </w:pPr>
      <w:r w:rsidRPr="00AE6EDB">
        <w:t xml:space="preserve">V roku 2015 oproti roku 2014, ako aj v predošlom období, výrazne klesla výplata dávky odstupného. Suma vyplatená ako dávka predčasného výberu vzrástla len mierne a celkový úhrn prostriedkov predčasne vyplatených prostredníctvom dávok odstupné a predčasný výber zaznamenal opäť citeľný pokles. </w:t>
      </w:r>
    </w:p>
    <w:p w:rsidR="000A7585" w:rsidRPr="00AE6EDB" w:rsidRDefault="000A7585" w:rsidP="000A7585">
      <w:pPr>
        <w:pStyle w:val="Nadpis7"/>
        <w:rPr>
          <w:color w:val="000000" w:themeColor="text1"/>
          <w:lang w:eastAsia="cs-CZ"/>
        </w:rPr>
      </w:pPr>
      <w:bookmarkStart w:id="496" w:name="_Toc313879048"/>
      <w:bookmarkStart w:id="497" w:name="_Toc294029557"/>
      <w:bookmarkStart w:id="498" w:name="_Toc294027318"/>
      <w:bookmarkStart w:id="499" w:name="_Toc325438182"/>
      <w:bookmarkStart w:id="500" w:name="_Toc325440951"/>
      <w:bookmarkStart w:id="501" w:name="_Toc356482694"/>
      <w:r w:rsidRPr="00AE6EDB">
        <w:rPr>
          <w:color w:val="000000" w:themeColor="text1"/>
          <w:lang w:eastAsia="cs-CZ"/>
        </w:rPr>
        <w:t>Tabuľka 3.1</w:t>
      </w:r>
      <w:r w:rsidR="00F2550D" w:rsidRPr="00AE6EDB">
        <w:rPr>
          <w:color w:val="000000" w:themeColor="text1"/>
          <w:lang w:eastAsia="cs-CZ"/>
        </w:rPr>
        <w:t>2</w:t>
      </w:r>
      <w:r w:rsidRPr="00AE6EDB">
        <w:rPr>
          <w:color w:val="000000" w:themeColor="text1"/>
          <w:lang w:eastAsia="cs-CZ"/>
        </w:rPr>
        <w:t xml:space="preserve"> Prehľad dávok z doplnkového dôchodkového sporenia k 31.12.</w:t>
      </w:r>
      <w:bookmarkEnd w:id="496"/>
      <w:bookmarkEnd w:id="497"/>
      <w:bookmarkEnd w:id="498"/>
      <w:bookmarkEnd w:id="499"/>
      <w:bookmarkEnd w:id="500"/>
      <w:bookmarkEnd w:id="501"/>
      <w:r w:rsidRPr="00AE6EDB">
        <w:rPr>
          <w:color w:val="000000" w:themeColor="text1"/>
          <w:lang w:eastAsia="cs-CZ"/>
        </w:rPr>
        <w:t>2014 a k 31.12.2015</w:t>
      </w:r>
    </w:p>
    <w:tbl>
      <w:tblPr>
        <w:tblW w:w="777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3339"/>
        <w:gridCol w:w="2256"/>
        <w:gridCol w:w="2180"/>
      </w:tblGrid>
      <w:tr w:rsidR="000A7585" w:rsidRPr="00AE6EDB" w:rsidTr="00DE0EEC">
        <w:trPr>
          <w:trHeight w:val="392"/>
          <w:jc w:val="center"/>
        </w:trPr>
        <w:tc>
          <w:tcPr>
            <w:tcW w:w="3339" w:type="dxa"/>
            <w:shd w:val="clear" w:color="auto" w:fill="BF0000" w:themeFill="accent3" w:themeFillShade="BF"/>
            <w:noWrap/>
            <w:vAlign w:val="center"/>
          </w:tcPr>
          <w:p w:rsidR="000A7585" w:rsidRPr="00AE6EDB" w:rsidRDefault="000A7585" w:rsidP="00DE0EEC">
            <w:pPr>
              <w:jc w:val="center"/>
              <w:rPr>
                <w:b/>
                <w:color w:val="7F2016" w:themeColor="accent1"/>
                <w:szCs w:val="18"/>
                <w:lang w:eastAsia="cs-CZ"/>
              </w:rPr>
            </w:pPr>
            <w:bookmarkStart w:id="502" w:name="_Toc294019986"/>
            <w:bookmarkStart w:id="503" w:name="_Toc294027319"/>
            <w:bookmarkStart w:id="504" w:name="_Toc294029558"/>
            <w:bookmarkStart w:id="505" w:name="_Toc313879049"/>
            <w:r w:rsidRPr="00AE6EDB">
              <w:rPr>
                <w:b/>
                <w:color w:val="FFFFFF" w:themeColor="background1"/>
                <w:szCs w:val="18"/>
                <w:lang w:eastAsia="cs-CZ"/>
              </w:rPr>
              <w:t>Druh dávky</w:t>
            </w:r>
            <w:bookmarkEnd w:id="502"/>
            <w:bookmarkEnd w:id="503"/>
            <w:bookmarkEnd w:id="504"/>
            <w:bookmarkEnd w:id="505"/>
          </w:p>
        </w:tc>
        <w:tc>
          <w:tcPr>
            <w:tcW w:w="2256" w:type="dxa"/>
            <w:shd w:val="clear" w:color="auto" w:fill="BF0000" w:themeFill="accent3" w:themeFillShade="BF"/>
            <w:noWrap/>
            <w:vAlign w:val="center"/>
          </w:tcPr>
          <w:p w:rsidR="000A7585" w:rsidRPr="00AE6EDB" w:rsidRDefault="000A7585" w:rsidP="00DE0EEC">
            <w:pPr>
              <w:jc w:val="center"/>
              <w:rPr>
                <w:b/>
                <w:color w:val="FFFFFF" w:themeColor="background1"/>
                <w:szCs w:val="18"/>
                <w:lang w:eastAsia="cs-CZ"/>
              </w:rPr>
            </w:pPr>
            <w:bookmarkStart w:id="506" w:name="_Toc294019987"/>
            <w:bookmarkStart w:id="507" w:name="_Toc294027320"/>
            <w:bookmarkStart w:id="508" w:name="_Toc294029559"/>
            <w:bookmarkStart w:id="509" w:name="_Toc313879050"/>
            <w:r w:rsidRPr="00AE6EDB">
              <w:rPr>
                <w:b/>
                <w:color w:val="FFFFFF" w:themeColor="background1"/>
                <w:szCs w:val="18"/>
                <w:lang w:eastAsia="cs-CZ"/>
              </w:rPr>
              <w:t>Suma dávok (mil. €)</w:t>
            </w:r>
            <w:bookmarkEnd w:id="506"/>
            <w:bookmarkEnd w:id="507"/>
            <w:bookmarkEnd w:id="508"/>
            <w:bookmarkEnd w:id="509"/>
            <w:r w:rsidRPr="00AE6EDB">
              <w:rPr>
                <w:b/>
                <w:color w:val="FFFFFF" w:themeColor="background1"/>
                <w:szCs w:val="18"/>
                <w:lang w:eastAsia="cs-CZ"/>
              </w:rPr>
              <w:t xml:space="preserve"> v roku 2014</w:t>
            </w:r>
          </w:p>
        </w:tc>
        <w:tc>
          <w:tcPr>
            <w:tcW w:w="2180" w:type="dxa"/>
            <w:shd w:val="clear" w:color="auto" w:fill="BF0000" w:themeFill="accent3" w:themeFillShade="BF"/>
            <w:noWrap/>
            <w:vAlign w:val="center"/>
          </w:tcPr>
          <w:p w:rsidR="000A7585" w:rsidRPr="00AE6EDB" w:rsidRDefault="000A7585" w:rsidP="00DE0EEC">
            <w:pPr>
              <w:jc w:val="center"/>
              <w:rPr>
                <w:b/>
                <w:color w:val="FFFFFF" w:themeColor="background1"/>
                <w:szCs w:val="18"/>
                <w:lang w:eastAsia="cs-CZ"/>
              </w:rPr>
            </w:pPr>
            <w:bookmarkStart w:id="510" w:name="_Toc294019988"/>
            <w:bookmarkStart w:id="511" w:name="_Toc294027321"/>
            <w:bookmarkStart w:id="512" w:name="_Toc294029560"/>
            <w:bookmarkStart w:id="513" w:name="_Toc313879051"/>
            <w:r w:rsidRPr="00AE6EDB">
              <w:rPr>
                <w:b/>
                <w:color w:val="FFFFFF" w:themeColor="background1"/>
                <w:szCs w:val="18"/>
                <w:lang w:eastAsia="cs-CZ"/>
              </w:rPr>
              <w:t>Suma dávok (mil. €) v roku 201</w:t>
            </w:r>
            <w:bookmarkEnd w:id="510"/>
            <w:bookmarkEnd w:id="511"/>
            <w:bookmarkEnd w:id="512"/>
            <w:bookmarkEnd w:id="513"/>
            <w:r w:rsidRPr="00AE6EDB">
              <w:rPr>
                <w:b/>
                <w:color w:val="FFFFFF" w:themeColor="background1"/>
                <w:szCs w:val="18"/>
                <w:lang w:eastAsia="cs-CZ"/>
              </w:rPr>
              <w:t>5</w:t>
            </w:r>
          </w:p>
        </w:tc>
      </w:tr>
      <w:tr w:rsidR="000A7585" w:rsidRPr="00AE6EDB" w:rsidTr="00DE0EEC">
        <w:trPr>
          <w:trHeight w:val="392"/>
          <w:jc w:val="center"/>
        </w:trPr>
        <w:tc>
          <w:tcPr>
            <w:tcW w:w="3339" w:type="dxa"/>
            <w:noWrap/>
            <w:vAlign w:val="center"/>
          </w:tcPr>
          <w:p w:rsidR="000A7585" w:rsidRPr="00AE6EDB" w:rsidRDefault="000A7585" w:rsidP="00DE0EEC">
            <w:pPr>
              <w:rPr>
                <w:color w:val="000000" w:themeColor="text1"/>
                <w:szCs w:val="18"/>
              </w:rPr>
            </w:pPr>
            <w:bookmarkStart w:id="514" w:name="_Toc294019989"/>
            <w:bookmarkStart w:id="515" w:name="_Toc294027322"/>
            <w:bookmarkStart w:id="516" w:name="_Toc294029561"/>
            <w:bookmarkStart w:id="517" w:name="_Toc313879052"/>
            <w:r w:rsidRPr="00AE6EDB">
              <w:rPr>
                <w:color w:val="000000" w:themeColor="text1"/>
                <w:szCs w:val="18"/>
              </w:rPr>
              <w:t>Doplnkový starobný dôchodok</w:t>
            </w:r>
            <w:bookmarkEnd w:id="514"/>
            <w:bookmarkEnd w:id="515"/>
            <w:bookmarkEnd w:id="516"/>
            <w:bookmarkEnd w:id="517"/>
          </w:p>
        </w:tc>
        <w:tc>
          <w:tcPr>
            <w:tcW w:w="2256" w:type="dxa"/>
            <w:noWrap/>
            <w:vAlign w:val="center"/>
          </w:tcPr>
          <w:p w:rsidR="000A7585" w:rsidRPr="00AE6EDB" w:rsidRDefault="00156DD4" w:rsidP="00DE0EEC">
            <w:pPr>
              <w:ind w:right="361"/>
              <w:jc w:val="right"/>
              <w:rPr>
                <w:color w:val="000000" w:themeColor="text1"/>
                <w:szCs w:val="18"/>
              </w:rPr>
            </w:pPr>
            <w:r w:rsidRPr="00AE6EDB">
              <w:rPr>
                <w:color w:val="000000" w:themeColor="text1"/>
                <w:szCs w:val="18"/>
              </w:rPr>
              <w:t>42,60</w:t>
            </w:r>
          </w:p>
        </w:tc>
        <w:tc>
          <w:tcPr>
            <w:tcW w:w="2180" w:type="dxa"/>
            <w:noWrap/>
            <w:vAlign w:val="center"/>
          </w:tcPr>
          <w:p w:rsidR="000A7585" w:rsidRPr="00AE6EDB" w:rsidRDefault="000A7585" w:rsidP="00DE0EEC">
            <w:pPr>
              <w:ind w:right="361"/>
              <w:jc w:val="right"/>
              <w:rPr>
                <w:szCs w:val="18"/>
              </w:rPr>
            </w:pPr>
            <w:r w:rsidRPr="00AE6EDB">
              <w:rPr>
                <w:szCs w:val="18"/>
              </w:rPr>
              <w:t>38,01</w:t>
            </w:r>
          </w:p>
        </w:tc>
      </w:tr>
      <w:tr w:rsidR="000A7585" w:rsidRPr="00AE6EDB" w:rsidTr="00DE0EEC">
        <w:trPr>
          <w:trHeight w:val="392"/>
          <w:jc w:val="center"/>
        </w:trPr>
        <w:tc>
          <w:tcPr>
            <w:tcW w:w="3339" w:type="dxa"/>
            <w:noWrap/>
            <w:vAlign w:val="center"/>
          </w:tcPr>
          <w:p w:rsidR="000A7585" w:rsidRPr="00AE6EDB" w:rsidRDefault="000A7585" w:rsidP="00DE0EEC">
            <w:pPr>
              <w:rPr>
                <w:color w:val="000000" w:themeColor="text1"/>
                <w:szCs w:val="18"/>
              </w:rPr>
            </w:pPr>
            <w:bookmarkStart w:id="518" w:name="_Toc294019992"/>
            <w:bookmarkStart w:id="519" w:name="_Toc294027325"/>
            <w:bookmarkStart w:id="520" w:name="_Toc294029564"/>
            <w:bookmarkStart w:id="521" w:name="_Toc313879055"/>
            <w:r w:rsidRPr="00AE6EDB">
              <w:rPr>
                <w:color w:val="000000" w:themeColor="text1"/>
                <w:szCs w:val="18"/>
              </w:rPr>
              <w:t>Doplnkový výsluhový dôchodok</w:t>
            </w:r>
            <w:bookmarkEnd w:id="518"/>
            <w:bookmarkEnd w:id="519"/>
            <w:bookmarkEnd w:id="520"/>
            <w:bookmarkEnd w:id="521"/>
          </w:p>
        </w:tc>
        <w:tc>
          <w:tcPr>
            <w:tcW w:w="2256" w:type="dxa"/>
            <w:noWrap/>
            <w:vAlign w:val="center"/>
          </w:tcPr>
          <w:p w:rsidR="000A7585" w:rsidRPr="00AE6EDB" w:rsidRDefault="000A7585" w:rsidP="00DE0EEC">
            <w:pPr>
              <w:ind w:right="361"/>
              <w:jc w:val="right"/>
              <w:rPr>
                <w:color w:val="000000" w:themeColor="text1"/>
                <w:szCs w:val="18"/>
              </w:rPr>
            </w:pPr>
            <w:r w:rsidRPr="00AE6EDB">
              <w:rPr>
                <w:szCs w:val="18"/>
              </w:rPr>
              <w:t>0,04</w:t>
            </w:r>
          </w:p>
        </w:tc>
        <w:tc>
          <w:tcPr>
            <w:tcW w:w="2180" w:type="dxa"/>
            <w:noWrap/>
            <w:vAlign w:val="center"/>
          </w:tcPr>
          <w:p w:rsidR="000A7585" w:rsidRPr="00AE6EDB" w:rsidRDefault="000A7585" w:rsidP="00DE0EEC">
            <w:pPr>
              <w:ind w:right="361"/>
              <w:jc w:val="right"/>
              <w:rPr>
                <w:szCs w:val="18"/>
              </w:rPr>
            </w:pPr>
            <w:r w:rsidRPr="00AE6EDB">
              <w:rPr>
                <w:szCs w:val="18"/>
              </w:rPr>
              <w:t>0,05</w:t>
            </w:r>
          </w:p>
        </w:tc>
      </w:tr>
      <w:tr w:rsidR="000A7585" w:rsidRPr="00AE6EDB" w:rsidTr="00DE0EEC">
        <w:trPr>
          <w:trHeight w:val="392"/>
          <w:jc w:val="center"/>
        </w:trPr>
        <w:tc>
          <w:tcPr>
            <w:tcW w:w="3339" w:type="dxa"/>
            <w:noWrap/>
            <w:vAlign w:val="center"/>
          </w:tcPr>
          <w:p w:rsidR="000A7585" w:rsidRPr="00AE6EDB" w:rsidRDefault="000A7585" w:rsidP="00DE0EEC">
            <w:pPr>
              <w:rPr>
                <w:color w:val="000000" w:themeColor="text1"/>
                <w:szCs w:val="18"/>
              </w:rPr>
            </w:pPr>
            <w:bookmarkStart w:id="522" w:name="_Toc294019995"/>
            <w:bookmarkStart w:id="523" w:name="_Toc294027328"/>
            <w:bookmarkStart w:id="524" w:name="_Toc294029567"/>
            <w:bookmarkStart w:id="525" w:name="_Toc313879058"/>
            <w:r w:rsidRPr="00AE6EDB">
              <w:rPr>
                <w:color w:val="000000" w:themeColor="text1"/>
                <w:szCs w:val="18"/>
              </w:rPr>
              <w:t>Odstupné</w:t>
            </w:r>
            <w:bookmarkEnd w:id="522"/>
            <w:bookmarkEnd w:id="523"/>
            <w:bookmarkEnd w:id="524"/>
            <w:bookmarkEnd w:id="525"/>
          </w:p>
        </w:tc>
        <w:tc>
          <w:tcPr>
            <w:tcW w:w="2256" w:type="dxa"/>
            <w:noWrap/>
            <w:vAlign w:val="center"/>
          </w:tcPr>
          <w:p w:rsidR="000A7585" w:rsidRPr="00AE6EDB" w:rsidRDefault="000A7585" w:rsidP="00DE0EEC">
            <w:pPr>
              <w:ind w:right="361"/>
              <w:jc w:val="right"/>
              <w:rPr>
                <w:color w:val="000000" w:themeColor="text1"/>
                <w:szCs w:val="18"/>
              </w:rPr>
            </w:pPr>
            <w:r w:rsidRPr="00AE6EDB">
              <w:rPr>
                <w:szCs w:val="18"/>
              </w:rPr>
              <w:t>32,91</w:t>
            </w:r>
          </w:p>
        </w:tc>
        <w:tc>
          <w:tcPr>
            <w:tcW w:w="2180" w:type="dxa"/>
            <w:noWrap/>
            <w:vAlign w:val="center"/>
          </w:tcPr>
          <w:p w:rsidR="000A7585" w:rsidRPr="00AE6EDB" w:rsidRDefault="000A7585" w:rsidP="00DE0EEC">
            <w:pPr>
              <w:ind w:right="361"/>
              <w:jc w:val="right"/>
              <w:rPr>
                <w:szCs w:val="18"/>
              </w:rPr>
            </w:pPr>
            <w:r w:rsidRPr="00AE6EDB">
              <w:rPr>
                <w:szCs w:val="18"/>
              </w:rPr>
              <w:t>19,84</w:t>
            </w:r>
          </w:p>
        </w:tc>
      </w:tr>
      <w:tr w:rsidR="000A7585" w:rsidRPr="00AE6EDB" w:rsidTr="00DE0EEC">
        <w:trPr>
          <w:trHeight w:val="392"/>
          <w:jc w:val="center"/>
        </w:trPr>
        <w:tc>
          <w:tcPr>
            <w:tcW w:w="3339" w:type="dxa"/>
            <w:noWrap/>
            <w:vAlign w:val="center"/>
          </w:tcPr>
          <w:p w:rsidR="000A7585" w:rsidRPr="00AE6EDB" w:rsidRDefault="000A7585" w:rsidP="00DE0EEC">
            <w:pPr>
              <w:rPr>
                <w:color w:val="000000" w:themeColor="text1"/>
                <w:szCs w:val="18"/>
              </w:rPr>
            </w:pPr>
            <w:r w:rsidRPr="00AE6EDB">
              <w:rPr>
                <w:color w:val="000000" w:themeColor="text1"/>
                <w:szCs w:val="18"/>
              </w:rPr>
              <w:t>Predčasný výber</w:t>
            </w:r>
          </w:p>
        </w:tc>
        <w:tc>
          <w:tcPr>
            <w:tcW w:w="2256" w:type="dxa"/>
            <w:noWrap/>
            <w:vAlign w:val="center"/>
          </w:tcPr>
          <w:p w:rsidR="000A7585" w:rsidRPr="00AE6EDB" w:rsidRDefault="000A7585" w:rsidP="00DE0EEC">
            <w:pPr>
              <w:ind w:right="361"/>
              <w:jc w:val="right"/>
              <w:rPr>
                <w:szCs w:val="18"/>
              </w:rPr>
            </w:pPr>
            <w:r w:rsidRPr="00AE6EDB">
              <w:rPr>
                <w:szCs w:val="18"/>
              </w:rPr>
              <w:t>4,56</w:t>
            </w:r>
          </w:p>
        </w:tc>
        <w:tc>
          <w:tcPr>
            <w:tcW w:w="2180" w:type="dxa"/>
            <w:noWrap/>
            <w:vAlign w:val="center"/>
          </w:tcPr>
          <w:p w:rsidR="000A7585" w:rsidRPr="00AE6EDB" w:rsidRDefault="000A7585" w:rsidP="00DE0EEC">
            <w:pPr>
              <w:ind w:right="361"/>
              <w:jc w:val="right"/>
              <w:rPr>
                <w:szCs w:val="18"/>
              </w:rPr>
            </w:pPr>
            <w:r w:rsidRPr="00AE6EDB">
              <w:rPr>
                <w:szCs w:val="18"/>
              </w:rPr>
              <w:t>5,46</w:t>
            </w:r>
          </w:p>
        </w:tc>
      </w:tr>
      <w:tr w:rsidR="000A7585" w:rsidRPr="00AE6EDB" w:rsidTr="00DE0EEC">
        <w:trPr>
          <w:trHeight w:val="392"/>
          <w:jc w:val="center"/>
        </w:trPr>
        <w:tc>
          <w:tcPr>
            <w:tcW w:w="3339" w:type="dxa"/>
            <w:noWrap/>
            <w:vAlign w:val="center"/>
          </w:tcPr>
          <w:p w:rsidR="000A7585" w:rsidRPr="00AE6EDB" w:rsidRDefault="000A7585" w:rsidP="00DE0EEC">
            <w:pPr>
              <w:rPr>
                <w:color w:val="000000" w:themeColor="text1"/>
                <w:szCs w:val="18"/>
              </w:rPr>
            </w:pPr>
            <w:bookmarkStart w:id="526" w:name="_Toc294019998"/>
            <w:bookmarkStart w:id="527" w:name="_Toc294027331"/>
            <w:bookmarkStart w:id="528" w:name="_Toc294029570"/>
            <w:bookmarkStart w:id="529" w:name="_Toc313879061"/>
            <w:r w:rsidRPr="00AE6EDB">
              <w:rPr>
                <w:color w:val="000000" w:themeColor="text1"/>
                <w:szCs w:val="18"/>
              </w:rPr>
              <w:t>Jednorazové vyrovnanie</w:t>
            </w:r>
            <w:bookmarkEnd w:id="526"/>
            <w:bookmarkEnd w:id="527"/>
            <w:bookmarkEnd w:id="528"/>
            <w:bookmarkEnd w:id="529"/>
          </w:p>
        </w:tc>
        <w:tc>
          <w:tcPr>
            <w:tcW w:w="2256" w:type="dxa"/>
            <w:noWrap/>
            <w:vAlign w:val="center"/>
          </w:tcPr>
          <w:p w:rsidR="000A7585" w:rsidRPr="00AE6EDB" w:rsidRDefault="000A7585" w:rsidP="00DE0EEC">
            <w:pPr>
              <w:ind w:right="361"/>
              <w:jc w:val="right"/>
              <w:rPr>
                <w:color w:val="000000" w:themeColor="text1"/>
                <w:szCs w:val="18"/>
              </w:rPr>
            </w:pPr>
            <w:r w:rsidRPr="00AE6EDB">
              <w:rPr>
                <w:szCs w:val="18"/>
              </w:rPr>
              <w:t>52,31</w:t>
            </w:r>
          </w:p>
        </w:tc>
        <w:tc>
          <w:tcPr>
            <w:tcW w:w="2180" w:type="dxa"/>
            <w:noWrap/>
            <w:vAlign w:val="center"/>
          </w:tcPr>
          <w:p w:rsidR="000A7585" w:rsidRPr="00AE6EDB" w:rsidRDefault="000A7585" w:rsidP="00DE0EEC">
            <w:pPr>
              <w:ind w:right="361"/>
              <w:jc w:val="right"/>
              <w:rPr>
                <w:szCs w:val="18"/>
              </w:rPr>
            </w:pPr>
            <w:r w:rsidRPr="00AE6EDB">
              <w:rPr>
                <w:szCs w:val="18"/>
              </w:rPr>
              <w:t>45,71</w:t>
            </w:r>
          </w:p>
        </w:tc>
      </w:tr>
    </w:tbl>
    <w:p w:rsidR="000A7585" w:rsidRPr="00AE6EDB" w:rsidRDefault="000A7585" w:rsidP="000A7585">
      <w:pPr>
        <w:pStyle w:val="zdroj"/>
      </w:pPr>
      <w:r w:rsidRPr="00AE6EDB">
        <w:t>Zdroj: Asociácia doplnkových dôchodkových spoločností</w:t>
      </w:r>
    </w:p>
    <w:p w:rsidR="000A7585" w:rsidRPr="00AE6EDB" w:rsidRDefault="000A7585" w:rsidP="000A7585">
      <w:pPr>
        <w:ind w:firstLine="431"/>
      </w:pPr>
      <w:bookmarkStart w:id="530" w:name="_Toc313879022"/>
      <w:bookmarkStart w:id="531" w:name="_Toc294029531"/>
      <w:bookmarkStart w:id="532" w:name="_Toc294027292"/>
      <w:bookmarkStart w:id="533" w:name="_Toc325438181"/>
      <w:bookmarkStart w:id="534" w:name="_Toc325440950"/>
      <w:bookmarkStart w:id="535" w:name="_Toc356482692"/>
      <w:r w:rsidRPr="00AE6EDB">
        <w:t>Čistá hodnota spravovaného majetku v doplnkových dôchodkových fondoch sa oproti roku 2014 zvýšila o približne 5</w:t>
      </w:r>
      <w:r w:rsidR="00411759">
        <w:t> </w:t>
      </w:r>
      <w:r w:rsidRPr="00AE6EDB">
        <w:t>% na 1,55 mld.</w:t>
      </w:r>
      <w:r w:rsidR="0054295F">
        <w:t> eur</w:t>
      </w:r>
      <w:r w:rsidRPr="00AE6EDB">
        <w:t xml:space="preserve">. Jedným z dôvodov atraktivity účasti na doplnkovom dôchodkovom sporení bola a je participácia zamestnávateľov na doplnkovom dôchodkovom sporení ich zamestnancov; od 1. januára 2015 do 31. decembra 2015 prispeli zamestnávatelia na doplnkové dôchodkové sporenie aspoň jedným príspevkom 440 tisícom účastníkov. Ďalších 54 tisíc účastníkov si na doplnkové dôchodkové sporenie prispeli v roku 2015 aspoň jedným príspevkom </w:t>
      </w:r>
      <w:r w:rsidR="009167B2" w:rsidRPr="00AE6EDB">
        <w:t xml:space="preserve">len </w:t>
      </w:r>
      <w:r w:rsidRPr="00AE6EDB">
        <w:t>sami. Účastníkov s nenulovými zmluvami, ktorí ostali v roku 2015 bez svojho príspevku aj bez príspevku od</w:t>
      </w:r>
      <w:r w:rsidR="009167B2" w:rsidRPr="00AE6EDB">
        <w:t> </w:t>
      </w:r>
      <w:r w:rsidRPr="00AE6EDB">
        <w:t>zamestnávateľa bolo 207 tisíc</w:t>
      </w:r>
      <w:r w:rsidR="00575B81" w:rsidRPr="00AE6EDB">
        <w:t>, čo oproti roku 2014 (181 tisíc zmlúv bez príspevku)</w:t>
      </w:r>
      <w:r w:rsidRPr="00AE6EDB">
        <w:t xml:space="preserve"> predstavuje nár</w:t>
      </w:r>
      <w:r w:rsidR="00575B81" w:rsidRPr="00AE6EDB">
        <w:t>a</w:t>
      </w:r>
      <w:r w:rsidRPr="00AE6EDB">
        <w:t>st o viac ako 14</w:t>
      </w:r>
      <w:r w:rsidR="005676EF">
        <w:t> %</w:t>
      </w:r>
      <w:r w:rsidRPr="00AE6EDB">
        <w:t>.</w:t>
      </w:r>
    </w:p>
    <w:p w:rsidR="009167B2" w:rsidRPr="00AE6EDB" w:rsidRDefault="009167B2">
      <w:pPr>
        <w:jc w:val="left"/>
      </w:pPr>
      <w:r w:rsidRPr="00AE6EDB">
        <w:br w:type="page"/>
      </w:r>
    </w:p>
    <w:p w:rsidR="000A7585" w:rsidRPr="00AE6EDB" w:rsidRDefault="000A7585" w:rsidP="000A7585">
      <w:pPr>
        <w:ind w:firstLine="431"/>
      </w:pPr>
      <w:r w:rsidRPr="00AE6EDB">
        <w:lastRenderedPageBreak/>
        <w:t xml:space="preserve">Doplnkové dôchodkové fondy zaznamenali oproti roku 2014 </w:t>
      </w:r>
      <w:r w:rsidR="009167B2" w:rsidRPr="00AE6EDB">
        <w:t>horšie</w:t>
      </w:r>
      <w:r w:rsidRPr="00AE6EDB">
        <w:t xml:space="preserve"> výsledky pri zhodnocovaní prostriedkov (tabuľka 3.13). Priemerné ročné zhodnotenie doplnkových dôchodkových fondov v roku 2015 kleslo až do záporných čísel na -1,7</w:t>
      </w:r>
      <w:r w:rsidR="005676EF">
        <w:t> %</w:t>
      </w:r>
      <w:r w:rsidRPr="00AE6EDB">
        <w:t xml:space="preserve"> oproti 3,6</w:t>
      </w:r>
      <w:r w:rsidR="005676EF">
        <w:t> %</w:t>
      </w:r>
      <w:r w:rsidRPr="00AE6EDB">
        <w:t xml:space="preserve"> v roku 2014. Výkonnosť jednotlivých príspevkových doplnkových dôchodkových fondov dosiahla ročnú úroveň vo výške od -4,1</w:t>
      </w:r>
      <w:r w:rsidR="005676EF">
        <w:t> %</w:t>
      </w:r>
      <w:r w:rsidRPr="00AE6EDB">
        <w:t xml:space="preserve"> do 0,5</w:t>
      </w:r>
      <w:r w:rsidR="005676EF">
        <w:t> %</w:t>
      </w:r>
      <w:r w:rsidRPr="00AE6EDB">
        <w:t xml:space="preserve">. </w:t>
      </w:r>
    </w:p>
    <w:bookmarkEnd w:id="530"/>
    <w:bookmarkEnd w:id="531"/>
    <w:bookmarkEnd w:id="532"/>
    <w:bookmarkEnd w:id="533"/>
    <w:bookmarkEnd w:id="534"/>
    <w:bookmarkEnd w:id="535"/>
    <w:p w:rsidR="000A7585" w:rsidRPr="00AE6EDB" w:rsidRDefault="000A7585" w:rsidP="000A7585">
      <w:pPr>
        <w:pStyle w:val="Nadpis7"/>
      </w:pPr>
      <w:r w:rsidRPr="00AE6EDB">
        <w:t>Tabuľka 3.1</w:t>
      </w:r>
      <w:r w:rsidR="00F2550D" w:rsidRPr="00AE6EDB">
        <w:t>3</w:t>
      </w:r>
      <w:r w:rsidRPr="00AE6EDB">
        <w:t xml:space="preserve"> Prehľad údajov o</w:t>
      </w:r>
      <w:r w:rsidR="00F2550D" w:rsidRPr="00AE6EDB">
        <w:t xml:space="preserve"> </w:t>
      </w:r>
      <w:r w:rsidRPr="00AE6EDB">
        <w:t>výške a zhodnotení majetku v doplnkových dôchodkových fondoch k 31. decembru 2015</w:t>
      </w:r>
    </w:p>
    <w:tbl>
      <w:tblPr>
        <w:tblW w:w="832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480"/>
        <w:gridCol w:w="1487"/>
        <w:gridCol w:w="1418"/>
        <w:gridCol w:w="1366"/>
        <w:gridCol w:w="1570"/>
      </w:tblGrid>
      <w:tr w:rsidR="000A7585" w:rsidRPr="00AE6EDB" w:rsidTr="00DE0EEC">
        <w:trPr>
          <w:trHeight w:val="428"/>
          <w:jc w:val="center"/>
        </w:trPr>
        <w:tc>
          <w:tcPr>
            <w:tcW w:w="2480"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color w:val="FFFFFF" w:themeColor="background1"/>
                <w:sz w:val="20"/>
                <w:szCs w:val="18"/>
              </w:rPr>
            </w:pPr>
          </w:p>
        </w:tc>
        <w:tc>
          <w:tcPr>
            <w:tcW w:w="4271" w:type="dxa"/>
            <w:gridSpan w:val="3"/>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bookmarkStart w:id="536" w:name="_Toc294019961"/>
            <w:bookmarkStart w:id="537" w:name="_Toc294027293"/>
            <w:bookmarkStart w:id="538" w:name="_Toc294029532"/>
            <w:bookmarkStart w:id="539" w:name="_Toc313879023"/>
            <w:r w:rsidRPr="00AE6EDB">
              <w:rPr>
                <w:b/>
                <w:bCs/>
                <w:iCs/>
                <w:color w:val="FFFFFF" w:themeColor="background1"/>
                <w:sz w:val="20"/>
                <w:szCs w:val="18"/>
                <w:lang w:eastAsia="cs-CZ"/>
              </w:rPr>
              <w:t>Čistá hodnota majetku v doplnkových dôchodkových fondoch</w:t>
            </w:r>
            <w:bookmarkEnd w:id="536"/>
            <w:bookmarkEnd w:id="537"/>
            <w:bookmarkEnd w:id="538"/>
            <w:bookmarkEnd w:id="539"/>
          </w:p>
        </w:tc>
        <w:tc>
          <w:tcPr>
            <w:tcW w:w="1570" w:type="dxa"/>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bottom"/>
          </w:tcPr>
          <w:p w:rsidR="000A7585" w:rsidRPr="00AE6EDB" w:rsidRDefault="000A7585" w:rsidP="00DE0EEC">
            <w:pPr>
              <w:jc w:val="center"/>
              <w:rPr>
                <w:b/>
                <w:bCs/>
                <w:iCs/>
                <w:color w:val="FFFFFF" w:themeColor="background1"/>
                <w:sz w:val="20"/>
                <w:szCs w:val="18"/>
                <w:lang w:eastAsia="cs-CZ"/>
              </w:rPr>
            </w:pPr>
            <w:bookmarkStart w:id="540" w:name="_Toc294019962"/>
            <w:bookmarkStart w:id="541" w:name="_Toc294027294"/>
            <w:bookmarkStart w:id="542" w:name="_Toc294029533"/>
            <w:bookmarkStart w:id="543" w:name="_Toc313879024"/>
            <w:r w:rsidRPr="00AE6EDB">
              <w:rPr>
                <w:b/>
                <w:bCs/>
                <w:iCs/>
                <w:color w:val="FFFFFF" w:themeColor="background1"/>
                <w:sz w:val="20"/>
                <w:szCs w:val="18"/>
                <w:lang w:eastAsia="cs-CZ"/>
              </w:rPr>
              <w:t>Ročné zhodnotenie doplnkových dôchodkových fondov</w:t>
            </w:r>
            <w:bookmarkEnd w:id="540"/>
            <w:bookmarkEnd w:id="541"/>
            <w:bookmarkEnd w:id="542"/>
            <w:bookmarkEnd w:id="543"/>
            <w:r w:rsidRPr="00AE6EDB">
              <w:rPr>
                <w:rStyle w:val="Odkaznapoznmkupodiarou"/>
                <w:b/>
                <w:bCs/>
                <w:iCs/>
                <w:color w:val="FFFFFF" w:themeColor="background1"/>
                <w:sz w:val="20"/>
                <w:szCs w:val="18"/>
                <w:lang w:eastAsia="cs-CZ"/>
              </w:rPr>
              <w:footnoteReference w:id="36"/>
            </w:r>
          </w:p>
        </w:tc>
      </w:tr>
      <w:tr w:rsidR="000A7585" w:rsidRPr="00AE6EDB" w:rsidTr="00DE0EEC">
        <w:trPr>
          <w:trHeight w:val="839"/>
          <w:jc w:val="center"/>
        </w:trPr>
        <w:tc>
          <w:tcPr>
            <w:tcW w:w="248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iCs/>
                <w:color w:val="FFFFFF" w:themeColor="background1"/>
                <w:sz w:val="20"/>
                <w:szCs w:val="18"/>
                <w:lang w:eastAsia="cs-CZ"/>
              </w:rPr>
            </w:pPr>
            <w:bookmarkStart w:id="544" w:name="_Toc294019963"/>
            <w:bookmarkStart w:id="545" w:name="_Toc294027295"/>
            <w:bookmarkStart w:id="546" w:name="_Toc294029534"/>
            <w:bookmarkStart w:id="547" w:name="_Toc313879025"/>
            <w:r w:rsidRPr="00AE6EDB">
              <w:rPr>
                <w:b/>
                <w:bCs/>
                <w:iCs/>
                <w:color w:val="FFFFFF" w:themeColor="background1"/>
                <w:sz w:val="20"/>
                <w:szCs w:val="18"/>
                <w:lang w:eastAsia="cs-CZ"/>
              </w:rPr>
              <w:t>Spoločnosť</w:t>
            </w:r>
            <w:bookmarkEnd w:id="544"/>
            <w:bookmarkEnd w:id="545"/>
            <w:bookmarkEnd w:id="546"/>
            <w:bookmarkEnd w:id="547"/>
          </w:p>
        </w:tc>
        <w:tc>
          <w:tcPr>
            <w:tcW w:w="1487"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bookmarkStart w:id="548" w:name="_Toc294019964"/>
            <w:bookmarkStart w:id="549" w:name="_Toc294027296"/>
            <w:bookmarkStart w:id="550" w:name="_Toc294029535"/>
            <w:bookmarkStart w:id="551" w:name="_Toc313879026"/>
            <w:r w:rsidRPr="00AE6EDB">
              <w:rPr>
                <w:b/>
                <w:bCs/>
                <w:iCs/>
                <w:color w:val="FFFFFF" w:themeColor="background1"/>
                <w:sz w:val="20"/>
                <w:szCs w:val="18"/>
                <w:lang w:eastAsia="cs-CZ"/>
              </w:rPr>
              <w:t>Príspevkové doplnkové dôchodkové fondy (mil. €)</w:t>
            </w:r>
            <w:bookmarkEnd w:id="548"/>
            <w:bookmarkEnd w:id="549"/>
            <w:bookmarkEnd w:id="550"/>
            <w:bookmarkEnd w:id="551"/>
          </w:p>
        </w:tc>
        <w:tc>
          <w:tcPr>
            <w:tcW w:w="1418"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bookmarkStart w:id="552" w:name="_Toc294019965"/>
            <w:bookmarkStart w:id="553" w:name="_Toc294027297"/>
            <w:bookmarkStart w:id="554" w:name="_Toc294029536"/>
            <w:bookmarkStart w:id="555" w:name="_Toc313879027"/>
            <w:r w:rsidRPr="00AE6EDB">
              <w:rPr>
                <w:b/>
                <w:bCs/>
                <w:iCs/>
                <w:color w:val="FFFFFF" w:themeColor="background1"/>
                <w:sz w:val="20"/>
                <w:szCs w:val="18"/>
                <w:lang w:eastAsia="cs-CZ"/>
              </w:rPr>
              <w:t>Výplatné doplnkové dôchodkové fondy (mil. €)</w:t>
            </w:r>
            <w:bookmarkEnd w:id="552"/>
            <w:bookmarkEnd w:id="553"/>
            <w:bookmarkEnd w:id="554"/>
            <w:bookmarkEnd w:id="555"/>
          </w:p>
        </w:tc>
        <w:tc>
          <w:tcPr>
            <w:tcW w:w="1366"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bookmarkStart w:id="556" w:name="_Toc294019966"/>
            <w:bookmarkStart w:id="557" w:name="_Toc294027298"/>
            <w:bookmarkStart w:id="558" w:name="_Toc294029537"/>
            <w:bookmarkStart w:id="559" w:name="_Toc313879028"/>
            <w:r w:rsidRPr="00AE6EDB">
              <w:rPr>
                <w:b/>
                <w:bCs/>
                <w:iCs/>
                <w:color w:val="FFFFFF" w:themeColor="background1"/>
                <w:sz w:val="20"/>
                <w:szCs w:val="18"/>
                <w:lang w:eastAsia="cs-CZ"/>
              </w:rPr>
              <w:t>Spolu doplnkové dôchodkové fondy (mil. €)</w:t>
            </w:r>
            <w:bookmarkEnd w:id="556"/>
            <w:bookmarkEnd w:id="557"/>
            <w:bookmarkEnd w:id="558"/>
            <w:bookmarkEnd w:id="559"/>
          </w:p>
        </w:tc>
        <w:tc>
          <w:tcPr>
            <w:tcW w:w="1570" w:type="dxa"/>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jc w:val="center"/>
              <w:rPr>
                <w:b/>
                <w:bCs/>
                <w:iCs/>
                <w:color w:val="FFFFFF" w:themeColor="background1"/>
                <w:sz w:val="20"/>
                <w:szCs w:val="18"/>
                <w:lang w:eastAsia="cs-CZ"/>
              </w:rPr>
            </w:pPr>
          </w:p>
        </w:tc>
      </w:tr>
      <w:tr w:rsidR="000A7585" w:rsidRPr="00AE6EDB" w:rsidTr="00DE0EEC">
        <w:trPr>
          <w:trHeight w:val="360"/>
          <w:jc w:val="center"/>
        </w:trPr>
        <w:tc>
          <w:tcPr>
            <w:tcW w:w="2480" w:type="dxa"/>
            <w:tcBorders>
              <w:top w:val="single" w:sz="6" w:space="0" w:color="BF0000" w:themeColor="accent3" w:themeShade="BF"/>
            </w:tcBorders>
            <w:noWrap/>
            <w:vAlign w:val="center"/>
          </w:tcPr>
          <w:p w:rsidR="000A7585" w:rsidRPr="00AE6EDB" w:rsidRDefault="000A7585" w:rsidP="00DE0EEC">
            <w:pPr>
              <w:rPr>
                <w:bCs/>
                <w:sz w:val="20"/>
                <w:szCs w:val="18"/>
              </w:rPr>
            </w:pPr>
            <w:bookmarkStart w:id="560" w:name="_Toc294019974"/>
            <w:bookmarkStart w:id="561" w:name="_Toc294027306"/>
            <w:bookmarkStart w:id="562" w:name="_Toc294029545"/>
            <w:bookmarkStart w:id="563" w:name="_Toc313879036"/>
            <w:proofErr w:type="spellStart"/>
            <w:r w:rsidRPr="00AE6EDB">
              <w:rPr>
                <w:bCs/>
                <w:sz w:val="20"/>
                <w:szCs w:val="18"/>
              </w:rPr>
              <w:t>Axa</w:t>
            </w:r>
            <w:proofErr w:type="spellEnd"/>
            <w:r w:rsidRPr="00AE6EDB">
              <w:rPr>
                <w:bCs/>
                <w:sz w:val="20"/>
                <w:szCs w:val="18"/>
              </w:rPr>
              <w:t xml:space="preserve"> </w:t>
            </w:r>
            <w:proofErr w:type="spellStart"/>
            <w:r w:rsidRPr="00AE6EDB">
              <w:rPr>
                <w:bCs/>
                <w:sz w:val="20"/>
                <w:szCs w:val="18"/>
              </w:rPr>
              <w:t>d.d.s</w:t>
            </w:r>
            <w:proofErr w:type="spellEnd"/>
            <w:r w:rsidRPr="00AE6EDB">
              <w:rPr>
                <w:bCs/>
                <w:sz w:val="20"/>
                <w:szCs w:val="18"/>
              </w:rPr>
              <w:t>., a.s.</w:t>
            </w:r>
            <w:bookmarkEnd w:id="560"/>
            <w:bookmarkEnd w:id="561"/>
            <w:bookmarkEnd w:id="562"/>
            <w:bookmarkEnd w:id="563"/>
          </w:p>
        </w:tc>
        <w:tc>
          <w:tcPr>
            <w:tcW w:w="1487" w:type="dxa"/>
            <w:tcBorders>
              <w:top w:val="single" w:sz="6" w:space="0" w:color="BF0000" w:themeColor="accent3" w:themeShade="BF"/>
            </w:tcBorders>
            <w:noWrap/>
            <w:vAlign w:val="center"/>
          </w:tcPr>
          <w:p w:rsidR="000A7585" w:rsidRPr="00AE6EDB" w:rsidRDefault="000A7585" w:rsidP="00DE0EEC">
            <w:pPr>
              <w:ind w:right="161"/>
              <w:jc w:val="right"/>
              <w:rPr>
                <w:sz w:val="20"/>
                <w:szCs w:val="18"/>
              </w:rPr>
            </w:pPr>
            <w:r w:rsidRPr="00AE6EDB">
              <w:rPr>
                <w:sz w:val="20"/>
                <w:szCs w:val="18"/>
              </w:rPr>
              <w:t>204,7</w:t>
            </w:r>
          </w:p>
        </w:tc>
        <w:tc>
          <w:tcPr>
            <w:tcW w:w="1418" w:type="dxa"/>
            <w:tcBorders>
              <w:top w:val="single" w:sz="6" w:space="0" w:color="BF0000" w:themeColor="accent3" w:themeShade="BF"/>
            </w:tcBorders>
            <w:noWrap/>
            <w:vAlign w:val="center"/>
          </w:tcPr>
          <w:p w:rsidR="000A7585" w:rsidRPr="00AE6EDB" w:rsidRDefault="000A7585" w:rsidP="00DE0EEC">
            <w:pPr>
              <w:ind w:right="161"/>
              <w:jc w:val="right"/>
              <w:rPr>
                <w:sz w:val="20"/>
                <w:szCs w:val="18"/>
              </w:rPr>
            </w:pPr>
            <w:r w:rsidRPr="00AE6EDB">
              <w:rPr>
                <w:sz w:val="20"/>
                <w:szCs w:val="18"/>
              </w:rPr>
              <w:t>2,3</w:t>
            </w:r>
          </w:p>
        </w:tc>
        <w:tc>
          <w:tcPr>
            <w:tcW w:w="1366" w:type="dxa"/>
            <w:tcBorders>
              <w:top w:val="single" w:sz="6" w:space="0" w:color="BF0000" w:themeColor="accent3" w:themeShade="BF"/>
            </w:tcBorders>
            <w:noWrap/>
            <w:vAlign w:val="center"/>
          </w:tcPr>
          <w:p w:rsidR="000A7585" w:rsidRPr="00AE6EDB" w:rsidRDefault="000A7585" w:rsidP="00DE0EEC">
            <w:pPr>
              <w:ind w:right="161"/>
              <w:jc w:val="right"/>
              <w:rPr>
                <w:sz w:val="20"/>
                <w:szCs w:val="18"/>
              </w:rPr>
            </w:pPr>
            <w:r w:rsidRPr="00AE6EDB">
              <w:rPr>
                <w:sz w:val="20"/>
                <w:szCs w:val="18"/>
              </w:rPr>
              <w:t>207,0</w:t>
            </w:r>
          </w:p>
        </w:tc>
        <w:tc>
          <w:tcPr>
            <w:tcW w:w="1570" w:type="dxa"/>
            <w:tcBorders>
              <w:top w:val="single" w:sz="6" w:space="0" w:color="BF0000" w:themeColor="accent3" w:themeShade="BF"/>
            </w:tcBorders>
            <w:noWrap/>
            <w:vAlign w:val="center"/>
          </w:tcPr>
          <w:p w:rsidR="000A7585" w:rsidRPr="00AE6EDB" w:rsidRDefault="000A7585" w:rsidP="00DE0EEC">
            <w:pPr>
              <w:ind w:right="161"/>
              <w:jc w:val="right"/>
              <w:rPr>
                <w:sz w:val="20"/>
                <w:szCs w:val="18"/>
              </w:rPr>
            </w:pPr>
            <w:r w:rsidRPr="00AE6EDB">
              <w:rPr>
                <w:sz w:val="20"/>
                <w:szCs w:val="18"/>
              </w:rPr>
              <w:t>0,1</w:t>
            </w:r>
            <w:r w:rsidR="00411759">
              <w:rPr>
                <w:sz w:val="20"/>
                <w:szCs w:val="18"/>
              </w:rPr>
              <w:t> </w:t>
            </w:r>
            <w:r w:rsidRPr="00AE6EDB">
              <w:rPr>
                <w:sz w:val="20"/>
                <w:szCs w:val="18"/>
              </w:rPr>
              <w:t>%</w:t>
            </w:r>
          </w:p>
        </w:tc>
      </w:tr>
      <w:tr w:rsidR="000A7585" w:rsidRPr="00AE6EDB" w:rsidTr="00DE0EEC">
        <w:trPr>
          <w:trHeight w:val="360"/>
          <w:jc w:val="center"/>
        </w:trPr>
        <w:tc>
          <w:tcPr>
            <w:tcW w:w="2480" w:type="dxa"/>
            <w:vAlign w:val="center"/>
          </w:tcPr>
          <w:p w:rsidR="000A7585" w:rsidRPr="00AE6EDB" w:rsidRDefault="000A7585" w:rsidP="00DE0EEC">
            <w:pPr>
              <w:rPr>
                <w:bCs/>
                <w:sz w:val="20"/>
                <w:szCs w:val="18"/>
              </w:rPr>
            </w:pPr>
            <w:bookmarkStart w:id="564" w:name="_Toc294019980"/>
            <w:bookmarkStart w:id="565" w:name="_Toc294027312"/>
            <w:bookmarkStart w:id="566" w:name="_Toc294029551"/>
            <w:bookmarkStart w:id="567" w:name="_Toc313879042"/>
            <w:r w:rsidRPr="00AE6EDB">
              <w:rPr>
                <w:bCs/>
                <w:sz w:val="20"/>
                <w:szCs w:val="18"/>
              </w:rPr>
              <w:t>DDS Tatra banky, a.s.</w:t>
            </w:r>
            <w:bookmarkEnd w:id="564"/>
            <w:bookmarkEnd w:id="565"/>
            <w:bookmarkEnd w:id="566"/>
            <w:bookmarkEnd w:id="567"/>
          </w:p>
        </w:tc>
        <w:tc>
          <w:tcPr>
            <w:tcW w:w="1487" w:type="dxa"/>
            <w:noWrap/>
            <w:vAlign w:val="center"/>
          </w:tcPr>
          <w:p w:rsidR="000A7585" w:rsidRPr="00AE6EDB" w:rsidRDefault="000A7585" w:rsidP="00DE0EEC">
            <w:pPr>
              <w:ind w:right="161"/>
              <w:jc w:val="right"/>
              <w:rPr>
                <w:sz w:val="20"/>
                <w:szCs w:val="18"/>
              </w:rPr>
            </w:pPr>
            <w:r w:rsidRPr="00AE6EDB">
              <w:rPr>
                <w:sz w:val="20"/>
                <w:szCs w:val="18"/>
              </w:rPr>
              <w:t>456,3</w:t>
            </w:r>
          </w:p>
        </w:tc>
        <w:tc>
          <w:tcPr>
            <w:tcW w:w="1418" w:type="dxa"/>
            <w:noWrap/>
            <w:vAlign w:val="center"/>
          </w:tcPr>
          <w:p w:rsidR="000A7585" w:rsidRPr="00AE6EDB" w:rsidRDefault="000A7585" w:rsidP="00DE0EEC">
            <w:pPr>
              <w:ind w:right="161"/>
              <w:jc w:val="right"/>
              <w:rPr>
                <w:sz w:val="20"/>
                <w:szCs w:val="18"/>
              </w:rPr>
            </w:pPr>
            <w:r w:rsidRPr="00AE6EDB">
              <w:rPr>
                <w:sz w:val="20"/>
                <w:szCs w:val="18"/>
              </w:rPr>
              <w:t>16,2</w:t>
            </w:r>
          </w:p>
        </w:tc>
        <w:tc>
          <w:tcPr>
            <w:tcW w:w="1366" w:type="dxa"/>
            <w:noWrap/>
            <w:vAlign w:val="center"/>
          </w:tcPr>
          <w:p w:rsidR="000A7585" w:rsidRPr="00AE6EDB" w:rsidRDefault="000A7585" w:rsidP="00DE0EEC">
            <w:pPr>
              <w:ind w:right="161"/>
              <w:jc w:val="right"/>
              <w:rPr>
                <w:sz w:val="20"/>
                <w:szCs w:val="18"/>
              </w:rPr>
            </w:pPr>
            <w:r w:rsidRPr="00AE6EDB">
              <w:rPr>
                <w:sz w:val="20"/>
                <w:szCs w:val="18"/>
              </w:rPr>
              <w:t>472,6</w:t>
            </w:r>
          </w:p>
        </w:tc>
        <w:tc>
          <w:tcPr>
            <w:tcW w:w="1570" w:type="dxa"/>
            <w:noWrap/>
            <w:vAlign w:val="center"/>
          </w:tcPr>
          <w:p w:rsidR="000A7585" w:rsidRPr="00AE6EDB" w:rsidRDefault="000A7585" w:rsidP="00DE0EEC">
            <w:pPr>
              <w:ind w:right="161"/>
              <w:jc w:val="right"/>
              <w:rPr>
                <w:sz w:val="20"/>
                <w:szCs w:val="18"/>
              </w:rPr>
            </w:pPr>
            <w:r w:rsidRPr="00AE6EDB">
              <w:rPr>
                <w:sz w:val="20"/>
                <w:szCs w:val="18"/>
              </w:rPr>
              <w:t>- 3,6</w:t>
            </w:r>
            <w:r w:rsidR="00411759">
              <w:rPr>
                <w:sz w:val="20"/>
                <w:szCs w:val="18"/>
              </w:rPr>
              <w:t> </w:t>
            </w:r>
            <w:r w:rsidRPr="00AE6EDB">
              <w:rPr>
                <w:sz w:val="20"/>
                <w:szCs w:val="18"/>
              </w:rPr>
              <w:t>%</w:t>
            </w:r>
          </w:p>
        </w:tc>
      </w:tr>
      <w:tr w:rsidR="000A7585" w:rsidRPr="00AE6EDB" w:rsidTr="00DE0EEC">
        <w:trPr>
          <w:trHeight w:val="510"/>
          <w:jc w:val="center"/>
        </w:trPr>
        <w:tc>
          <w:tcPr>
            <w:tcW w:w="2480" w:type="dxa"/>
            <w:noWrap/>
            <w:vAlign w:val="center"/>
          </w:tcPr>
          <w:p w:rsidR="000A7585" w:rsidRPr="00AE6EDB" w:rsidRDefault="000A7585" w:rsidP="00DE0EEC">
            <w:pPr>
              <w:rPr>
                <w:sz w:val="20"/>
                <w:szCs w:val="18"/>
              </w:rPr>
            </w:pPr>
            <w:r w:rsidRPr="00AE6EDB">
              <w:rPr>
                <w:sz w:val="20"/>
                <w:szCs w:val="18"/>
              </w:rPr>
              <w:t xml:space="preserve">NN Tatry - Sympatia, </w:t>
            </w:r>
          </w:p>
          <w:p w:rsidR="000A7585" w:rsidRPr="00AE6EDB" w:rsidRDefault="000A7585" w:rsidP="00DE0EEC">
            <w:pPr>
              <w:rPr>
                <w:sz w:val="20"/>
                <w:szCs w:val="18"/>
              </w:rPr>
            </w:pPr>
            <w:proofErr w:type="spellStart"/>
            <w:r w:rsidRPr="00AE6EDB">
              <w:rPr>
                <w:sz w:val="20"/>
                <w:szCs w:val="18"/>
              </w:rPr>
              <w:t>d.d.s</w:t>
            </w:r>
            <w:proofErr w:type="spellEnd"/>
            <w:r w:rsidRPr="00AE6EDB">
              <w:rPr>
                <w:sz w:val="20"/>
                <w:szCs w:val="18"/>
              </w:rPr>
              <w:t>., a.s.</w:t>
            </w:r>
          </w:p>
        </w:tc>
        <w:tc>
          <w:tcPr>
            <w:tcW w:w="1487" w:type="dxa"/>
            <w:noWrap/>
            <w:vAlign w:val="center"/>
          </w:tcPr>
          <w:p w:rsidR="000A7585" w:rsidRPr="00AE6EDB" w:rsidRDefault="000A7585" w:rsidP="00DE0EEC">
            <w:pPr>
              <w:ind w:right="161"/>
              <w:jc w:val="right"/>
              <w:rPr>
                <w:sz w:val="20"/>
                <w:szCs w:val="18"/>
              </w:rPr>
            </w:pPr>
            <w:r w:rsidRPr="00AE6EDB">
              <w:rPr>
                <w:sz w:val="20"/>
                <w:szCs w:val="18"/>
              </w:rPr>
              <w:t>577,5</w:t>
            </w:r>
          </w:p>
        </w:tc>
        <w:tc>
          <w:tcPr>
            <w:tcW w:w="1418" w:type="dxa"/>
            <w:noWrap/>
            <w:vAlign w:val="center"/>
          </w:tcPr>
          <w:p w:rsidR="000A7585" w:rsidRPr="00AE6EDB" w:rsidRDefault="000A7585" w:rsidP="00DE0EEC">
            <w:pPr>
              <w:ind w:right="161"/>
              <w:jc w:val="right"/>
              <w:rPr>
                <w:sz w:val="20"/>
                <w:szCs w:val="18"/>
              </w:rPr>
            </w:pPr>
            <w:r w:rsidRPr="00AE6EDB">
              <w:rPr>
                <w:sz w:val="20"/>
                <w:szCs w:val="18"/>
              </w:rPr>
              <w:t>14,6</w:t>
            </w:r>
          </w:p>
        </w:tc>
        <w:tc>
          <w:tcPr>
            <w:tcW w:w="1366" w:type="dxa"/>
            <w:noWrap/>
            <w:vAlign w:val="center"/>
          </w:tcPr>
          <w:p w:rsidR="000A7585" w:rsidRPr="00AE6EDB" w:rsidRDefault="000A7585" w:rsidP="00DE0EEC">
            <w:pPr>
              <w:ind w:right="161"/>
              <w:jc w:val="right"/>
              <w:rPr>
                <w:sz w:val="20"/>
                <w:szCs w:val="18"/>
              </w:rPr>
            </w:pPr>
            <w:r w:rsidRPr="00AE6EDB">
              <w:rPr>
                <w:sz w:val="20"/>
                <w:szCs w:val="18"/>
              </w:rPr>
              <w:t>592,1</w:t>
            </w:r>
          </w:p>
        </w:tc>
        <w:tc>
          <w:tcPr>
            <w:tcW w:w="1570" w:type="dxa"/>
            <w:noWrap/>
            <w:vAlign w:val="center"/>
          </w:tcPr>
          <w:p w:rsidR="000A7585" w:rsidRPr="00AE6EDB" w:rsidRDefault="000A7585" w:rsidP="00DE0EEC">
            <w:pPr>
              <w:ind w:right="161"/>
              <w:jc w:val="right"/>
              <w:rPr>
                <w:sz w:val="20"/>
                <w:szCs w:val="18"/>
              </w:rPr>
            </w:pPr>
            <w:r w:rsidRPr="00AE6EDB">
              <w:rPr>
                <w:sz w:val="20"/>
                <w:szCs w:val="18"/>
              </w:rPr>
              <w:t>0,5</w:t>
            </w:r>
            <w:r w:rsidR="00411759">
              <w:rPr>
                <w:sz w:val="20"/>
                <w:szCs w:val="18"/>
              </w:rPr>
              <w:t> </w:t>
            </w:r>
            <w:r w:rsidRPr="00AE6EDB">
              <w:rPr>
                <w:sz w:val="20"/>
                <w:szCs w:val="18"/>
              </w:rPr>
              <w:t>%</w:t>
            </w:r>
          </w:p>
        </w:tc>
      </w:tr>
      <w:tr w:rsidR="000A7585" w:rsidRPr="00AE6EDB" w:rsidTr="00DE0EEC">
        <w:trPr>
          <w:trHeight w:val="363"/>
          <w:jc w:val="center"/>
        </w:trPr>
        <w:tc>
          <w:tcPr>
            <w:tcW w:w="2480" w:type="dxa"/>
            <w:noWrap/>
            <w:vAlign w:val="center"/>
          </w:tcPr>
          <w:p w:rsidR="000A7585" w:rsidRPr="00AE6EDB" w:rsidRDefault="000A7585" w:rsidP="00DE0EEC">
            <w:pPr>
              <w:rPr>
                <w:sz w:val="20"/>
                <w:szCs w:val="18"/>
              </w:rPr>
            </w:pPr>
            <w:r w:rsidRPr="00AE6EDB">
              <w:rPr>
                <w:sz w:val="20"/>
                <w:szCs w:val="18"/>
              </w:rPr>
              <w:t xml:space="preserve">Stabilita, </w:t>
            </w:r>
            <w:proofErr w:type="spellStart"/>
            <w:r w:rsidRPr="00AE6EDB">
              <w:rPr>
                <w:sz w:val="20"/>
                <w:szCs w:val="18"/>
              </w:rPr>
              <w:t>d.d.s</w:t>
            </w:r>
            <w:proofErr w:type="spellEnd"/>
            <w:r w:rsidRPr="00AE6EDB">
              <w:rPr>
                <w:sz w:val="20"/>
                <w:szCs w:val="18"/>
              </w:rPr>
              <w:t>., a.s.</w:t>
            </w:r>
          </w:p>
        </w:tc>
        <w:tc>
          <w:tcPr>
            <w:tcW w:w="1487" w:type="dxa"/>
            <w:noWrap/>
            <w:vAlign w:val="center"/>
          </w:tcPr>
          <w:p w:rsidR="000A7585" w:rsidRPr="00AE6EDB" w:rsidRDefault="000A7585" w:rsidP="00DE0EEC">
            <w:pPr>
              <w:ind w:right="161"/>
              <w:jc w:val="right"/>
              <w:rPr>
                <w:sz w:val="20"/>
                <w:szCs w:val="18"/>
              </w:rPr>
            </w:pPr>
            <w:r w:rsidRPr="00AE6EDB">
              <w:rPr>
                <w:sz w:val="20"/>
                <w:szCs w:val="18"/>
              </w:rPr>
              <w:t>245,4</w:t>
            </w:r>
          </w:p>
        </w:tc>
        <w:tc>
          <w:tcPr>
            <w:tcW w:w="1418" w:type="dxa"/>
            <w:noWrap/>
            <w:vAlign w:val="center"/>
          </w:tcPr>
          <w:p w:rsidR="000A7585" w:rsidRPr="00AE6EDB" w:rsidRDefault="000A7585" w:rsidP="00DE0EEC">
            <w:pPr>
              <w:ind w:right="161"/>
              <w:jc w:val="right"/>
              <w:rPr>
                <w:sz w:val="20"/>
                <w:szCs w:val="18"/>
              </w:rPr>
            </w:pPr>
            <w:r w:rsidRPr="00AE6EDB">
              <w:rPr>
                <w:sz w:val="20"/>
                <w:szCs w:val="18"/>
              </w:rPr>
              <w:t>28,2</w:t>
            </w:r>
          </w:p>
        </w:tc>
        <w:tc>
          <w:tcPr>
            <w:tcW w:w="1366" w:type="dxa"/>
            <w:noWrap/>
            <w:vAlign w:val="center"/>
          </w:tcPr>
          <w:p w:rsidR="000A7585" w:rsidRPr="00AE6EDB" w:rsidRDefault="000A7585" w:rsidP="00DE0EEC">
            <w:pPr>
              <w:ind w:right="161"/>
              <w:jc w:val="right"/>
              <w:rPr>
                <w:sz w:val="20"/>
                <w:szCs w:val="18"/>
              </w:rPr>
            </w:pPr>
            <w:r w:rsidRPr="00AE6EDB">
              <w:rPr>
                <w:sz w:val="20"/>
                <w:szCs w:val="18"/>
              </w:rPr>
              <w:t>273,7</w:t>
            </w:r>
          </w:p>
        </w:tc>
        <w:tc>
          <w:tcPr>
            <w:tcW w:w="1570" w:type="dxa"/>
            <w:noWrap/>
            <w:vAlign w:val="center"/>
          </w:tcPr>
          <w:p w:rsidR="000A7585" w:rsidRPr="00AE6EDB" w:rsidRDefault="000A7585" w:rsidP="00DE0EEC">
            <w:pPr>
              <w:ind w:right="161"/>
              <w:jc w:val="right"/>
              <w:rPr>
                <w:sz w:val="20"/>
                <w:szCs w:val="18"/>
              </w:rPr>
            </w:pPr>
            <w:r w:rsidRPr="00AE6EDB">
              <w:rPr>
                <w:sz w:val="20"/>
                <w:szCs w:val="18"/>
              </w:rPr>
              <w:t>- 4,1</w:t>
            </w:r>
            <w:r w:rsidR="00411759">
              <w:rPr>
                <w:sz w:val="20"/>
                <w:szCs w:val="18"/>
              </w:rPr>
              <w:t> </w:t>
            </w:r>
            <w:r w:rsidRPr="00AE6EDB">
              <w:rPr>
                <w:sz w:val="20"/>
                <w:szCs w:val="18"/>
              </w:rPr>
              <w:t>%</w:t>
            </w:r>
          </w:p>
        </w:tc>
      </w:tr>
      <w:tr w:rsidR="000A7585" w:rsidRPr="00AE6EDB" w:rsidTr="00DE0EEC">
        <w:trPr>
          <w:trHeight w:val="363"/>
          <w:jc w:val="center"/>
        </w:trPr>
        <w:tc>
          <w:tcPr>
            <w:tcW w:w="2480" w:type="dxa"/>
            <w:noWrap/>
            <w:vAlign w:val="center"/>
          </w:tcPr>
          <w:p w:rsidR="000A7585" w:rsidRPr="00AE6EDB" w:rsidRDefault="000A7585" w:rsidP="00DE0EEC">
            <w:pPr>
              <w:rPr>
                <w:b/>
                <w:sz w:val="20"/>
                <w:szCs w:val="18"/>
              </w:rPr>
            </w:pPr>
            <w:r w:rsidRPr="00AE6EDB">
              <w:rPr>
                <w:b/>
                <w:sz w:val="20"/>
                <w:szCs w:val="18"/>
              </w:rPr>
              <w:t>Spolu</w:t>
            </w:r>
          </w:p>
        </w:tc>
        <w:tc>
          <w:tcPr>
            <w:tcW w:w="1487" w:type="dxa"/>
            <w:noWrap/>
            <w:vAlign w:val="center"/>
          </w:tcPr>
          <w:p w:rsidR="000A7585" w:rsidRPr="00AE6EDB" w:rsidRDefault="0054295F" w:rsidP="00DE0EEC">
            <w:pPr>
              <w:ind w:right="161"/>
              <w:jc w:val="right"/>
              <w:rPr>
                <w:b/>
                <w:sz w:val="20"/>
                <w:szCs w:val="18"/>
              </w:rPr>
            </w:pPr>
            <w:r>
              <w:rPr>
                <w:b/>
                <w:sz w:val="20"/>
                <w:szCs w:val="18"/>
              </w:rPr>
              <w:t>1 4</w:t>
            </w:r>
            <w:r w:rsidR="000A7585" w:rsidRPr="00AE6EDB">
              <w:rPr>
                <w:b/>
                <w:sz w:val="20"/>
                <w:szCs w:val="18"/>
              </w:rPr>
              <w:t>84,0</w:t>
            </w:r>
          </w:p>
        </w:tc>
        <w:tc>
          <w:tcPr>
            <w:tcW w:w="1418" w:type="dxa"/>
            <w:noWrap/>
            <w:vAlign w:val="center"/>
          </w:tcPr>
          <w:p w:rsidR="000A7585" w:rsidRPr="00AE6EDB" w:rsidRDefault="000A7585" w:rsidP="00DE0EEC">
            <w:pPr>
              <w:ind w:right="161"/>
              <w:jc w:val="right"/>
              <w:rPr>
                <w:b/>
                <w:sz w:val="20"/>
                <w:szCs w:val="18"/>
              </w:rPr>
            </w:pPr>
            <w:r w:rsidRPr="00AE6EDB">
              <w:rPr>
                <w:b/>
                <w:sz w:val="20"/>
                <w:szCs w:val="18"/>
              </w:rPr>
              <w:t>61,3</w:t>
            </w:r>
          </w:p>
        </w:tc>
        <w:tc>
          <w:tcPr>
            <w:tcW w:w="1366" w:type="dxa"/>
            <w:noWrap/>
            <w:vAlign w:val="center"/>
          </w:tcPr>
          <w:p w:rsidR="000A7585" w:rsidRPr="00AE6EDB" w:rsidRDefault="0054295F" w:rsidP="00DE0EEC">
            <w:pPr>
              <w:ind w:right="161"/>
              <w:jc w:val="right"/>
              <w:rPr>
                <w:b/>
                <w:sz w:val="20"/>
                <w:szCs w:val="18"/>
              </w:rPr>
            </w:pPr>
            <w:r>
              <w:rPr>
                <w:b/>
                <w:sz w:val="20"/>
                <w:szCs w:val="18"/>
              </w:rPr>
              <w:t>1 5</w:t>
            </w:r>
            <w:r w:rsidR="000A7585" w:rsidRPr="00AE6EDB">
              <w:rPr>
                <w:b/>
                <w:sz w:val="20"/>
                <w:szCs w:val="18"/>
              </w:rPr>
              <w:t>45,3</w:t>
            </w:r>
          </w:p>
        </w:tc>
        <w:tc>
          <w:tcPr>
            <w:tcW w:w="1570" w:type="dxa"/>
            <w:noWrap/>
            <w:vAlign w:val="center"/>
          </w:tcPr>
          <w:p w:rsidR="000A7585" w:rsidRPr="00AE6EDB" w:rsidRDefault="000A7585" w:rsidP="00DE0EEC">
            <w:pPr>
              <w:ind w:right="161"/>
              <w:jc w:val="right"/>
              <w:rPr>
                <w:b/>
                <w:sz w:val="20"/>
                <w:szCs w:val="18"/>
              </w:rPr>
            </w:pPr>
            <w:r w:rsidRPr="00AE6EDB">
              <w:rPr>
                <w:b/>
                <w:sz w:val="20"/>
                <w:szCs w:val="18"/>
              </w:rPr>
              <w:t xml:space="preserve"> - 1,7</w:t>
            </w:r>
            <w:r w:rsidR="00411759">
              <w:rPr>
                <w:b/>
                <w:sz w:val="20"/>
                <w:szCs w:val="18"/>
              </w:rPr>
              <w:t> </w:t>
            </w:r>
            <w:r w:rsidRPr="00AE6EDB">
              <w:rPr>
                <w:b/>
                <w:sz w:val="20"/>
                <w:szCs w:val="18"/>
              </w:rPr>
              <w:t>%</w:t>
            </w:r>
          </w:p>
        </w:tc>
      </w:tr>
    </w:tbl>
    <w:p w:rsidR="000A7585" w:rsidRPr="00AE6EDB" w:rsidRDefault="000A7585" w:rsidP="000A7585">
      <w:pPr>
        <w:pStyle w:val="zdroj"/>
      </w:pPr>
      <w:r w:rsidRPr="00AE6EDB">
        <w:t>Zdroj: Národná banka Slovenska, výpočet: MPSVR SR</w:t>
      </w:r>
    </w:p>
    <w:p w:rsidR="000A7585" w:rsidRPr="00AE6EDB" w:rsidRDefault="000A7585" w:rsidP="000A7585">
      <w:pPr>
        <w:jc w:val="left"/>
        <w:rPr>
          <w:rFonts w:ascii="Times New Roman Bold" w:hAnsi="Times New Roman Bold"/>
          <w:b/>
          <w:bCs/>
          <w:iCs/>
          <w:color w:val="365F91"/>
          <w:sz w:val="28"/>
          <w:szCs w:val="22"/>
          <w:highlight w:val="cyan"/>
          <w:lang w:eastAsia="cs-CZ"/>
        </w:rPr>
      </w:pPr>
      <w:r w:rsidRPr="00AE6EDB">
        <w:rPr>
          <w:highlight w:val="cyan"/>
        </w:rPr>
        <w:br w:type="page"/>
      </w:r>
    </w:p>
    <w:p w:rsidR="000A7585" w:rsidRPr="00AE6EDB" w:rsidRDefault="000A7585" w:rsidP="000A7585">
      <w:pPr>
        <w:pStyle w:val="nadpis2"/>
      </w:pPr>
      <w:bookmarkStart w:id="568" w:name="_Toc422233423"/>
      <w:bookmarkStart w:id="569" w:name="_Toc452469880"/>
      <w:r w:rsidRPr="00AE6EDB">
        <w:lastRenderedPageBreak/>
        <w:t>Štátna sociálna podpora</w:t>
      </w:r>
      <w:bookmarkEnd w:id="568"/>
      <w:bookmarkEnd w:id="569"/>
      <w:r w:rsidRPr="00AE6EDB">
        <w:t xml:space="preserve"> </w:t>
      </w:r>
    </w:p>
    <w:p w:rsidR="000A7585" w:rsidRPr="00AE6EDB" w:rsidRDefault="000A7585" w:rsidP="000A7585">
      <w:pPr>
        <w:pStyle w:val="AAAodstavecsprava"/>
        <w:spacing w:after="0"/>
        <w:ind w:firstLine="431"/>
        <w:rPr>
          <w:sz w:val="22"/>
          <w:szCs w:val="22"/>
        </w:rPr>
      </w:pPr>
      <w:r w:rsidRPr="00AE6EDB">
        <w:rPr>
          <w:rStyle w:val="Siln"/>
          <w:sz w:val="22"/>
          <w:szCs w:val="22"/>
        </w:rPr>
        <w:t>Podpora štátu rodinám</w:t>
      </w:r>
      <w:r w:rsidRPr="00AE6EDB">
        <w:rPr>
          <w:sz w:val="22"/>
          <w:szCs w:val="22"/>
        </w:rPr>
        <w:t xml:space="preserve"> sa uskutočňuje predovšetkým prostredníctvom systému </w:t>
      </w:r>
      <w:r w:rsidRPr="00AE6EDB">
        <w:rPr>
          <w:rStyle w:val="Siln"/>
          <w:sz w:val="22"/>
          <w:szCs w:val="22"/>
        </w:rPr>
        <w:t>štátnych sociálnych dávok</w:t>
      </w:r>
      <w:r w:rsidRPr="00AE6EDB">
        <w:rPr>
          <w:sz w:val="22"/>
          <w:szCs w:val="22"/>
        </w:rPr>
        <w:t>, predstavujúcich súbor peňažných plnení, ktorými sa štát podieľa na zvládnutí viacerých životných situácií, najmä u rodín s nezaopatrenými deťmi</w:t>
      </w:r>
      <w:r w:rsidRPr="00AE6EDB">
        <w:rPr>
          <w:rStyle w:val="Odkaznapoznmkupodiarou"/>
          <w:sz w:val="22"/>
          <w:szCs w:val="22"/>
        </w:rPr>
        <w:footnoteReference w:id="37"/>
      </w:r>
      <w:r w:rsidRPr="00AE6EDB">
        <w:rPr>
          <w:sz w:val="22"/>
          <w:szCs w:val="22"/>
        </w:rPr>
        <w:t xml:space="preserve">. Štátne sociálne dávky prispievajú na krytie nákladov na výživu a iné osobné potreby detí a tiež nákladov, spojených s ďalšími sociálnymi udalosťami. </w:t>
      </w:r>
    </w:p>
    <w:p w:rsidR="000A7585" w:rsidRPr="00AE6EDB" w:rsidRDefault="000A7585" w:rsidP="000A7585">
      <w:pPr>
        <w:ind w:firstLine="431"/>
      </w:pPr>
      <w:r w:rsidRPr="00AE6EDB">
        <w:t>Systém štátnej sociálnej podpory pozostával v roku 201</w:t>
      </w:r>
      <w:r w:rsidR="004C3085" w:rsidRPr="00AE6EDB">
        <w:t>5</w:t>
      </w:r>
      <w:r w:rsidRPr="00AE6EDB">
        <w:t xml:space="preserve"> z nasledujúcich jednorazových a opakovaných dávok:</w:t>
      </w:r>
    </w:p>
    <w:p w:rsidR="000A7585" w:rsidRPr="00AE6EDB" w:rsidRDefault="000A7585" w:rsidP="000A7585">
      <w:pPr>
        <w:pStyle w:val="Odsekzoznamu"/>
        <w:rPr>
          <w:lang w:eastAsia="cs-CZ"/>
        </w:rPr>
      </w:pPr>
      <w:r w:rsidRPr="00AE6EDB">
        <w:rPr>
          <w:lang w:eastAsia="cs-CZ"/>
        </w:rPr>
        <w:t>prídavok na dieťa,</w:t>
      </w:r>
    </w:p>
    <w:p w:rsidR="000A7585" w:rsidRPr="00AE6EDB" w:rsidRDefault="000A7585" w:rsidP="000A7585">
      <w:pPr>
        <w:pStyle w:val="Odsekzoznamu"/>
        <w:rPr>
          <w:lang w:eastAsia="cs-CZ"/>
        </w:rPr>
      </w:pPr>
      <w:r w:rsidRPr="00AE6EDB">
        <w:rPr>
          <w:lang w:eastAsia="cs-CZ"/>
        </w:rPr>
        <w:t>príplatok k prídavku na dieťa,</w:t>
      </w:r>
    </w:p>
    <w:p w:rsidR="000A7585" w:rsidRPr="00AE6EDB" w:rsidRDefault="000A7585" w:rsidP="000A7585">
      <w:pPr>
        <w:pStyle w:val="Odsekzoznamu"/>
        <w:rPr>
          <w:lang w:eastAsia="cs-CZ"/>
        </w:rPr>
      </w:pPr>
      <w:r w:rsidRPr="00AE6EDB">
        <w:rPr>
          <w:lang w:eastAsia="cs-CZ"/>
        </w:rPr>
        <w:t>rodičovský príspevok,</w:t>
      </w:r>
    </w:p>
    <w:p w:rsidR="000A7585" w:rsidRPr="00AE6EDB" w:rsidRDefault="000A7585" w:rsidP="000A7585">
      <w:pPr>
        <w:pStyle w:val="Odsekzoznamu"/>
        <w:rPr>
          <w:lang w:eastAsia="cs-CZ"/>
        </w:rPr>
      </w:pPr>
      <w:r w:rsidRPr="00AE6EDB">
        <w:rPr>
          <w:lang w:eastAsia="cs-CZ"/>
        </w:rPr>
        <w:t>príspevok na starostlivosť o dieťa,</w:t>
      </w:r>
    </w:p>
    <w:p w:rsidR="000A7585" w:rsidRPr="00AE6EDB" w:rsidRDefault="000A7585" w:rsidP="000A7585">
      <w:pPr>
        <w:pStyle w:val="Odsekzoznamu"/>
        <w:rPr>
          <w:lang w:eastAsia="cs-CZ"/>
        </w:rPr>
      </w:pPr>
      <w:r w:rsidRPr="00AE6EDB">
        <w:rPr>
          <w:lang w:eastAsia="cs-CZ"/>
        </w:rPr>
        <w:t>príspevok pri narodení dieťaťa,</w:t>
      </w:r>
    </w:p>
    <w:p w:rsidR="000A7585" w:rsidRPr="00AE6EDB" w:rsidRDefault="000A7585" w:rsidP="000A7585">
      <w:pPr>
        <w:pStyle w:val="Odsekzoznamu"/>
        <w:rPr>
          <w:lang w:eastAsia="cs-CZ"/>
        </w:rPr>
      </w:pPr>
      <w:r w:rsidRPr="00AE6EDB">
        <w:rPr>
          <w:lang w:eastAsia="cs-CZ"/>
        </w:rPr>
        <w:t xml:space="preserve">príspevok na viac súčasne narodených detí, </w:t>
      </w:r>
    </w:p>
    <w:p w:rsidR="000A7585" w:rsidRPr="00AE6EDB" w:rsidRDefault="000A7585" w:rsidP="000A7585">
      <w:pPr>
        <w:pStyle w:val="Odsekzoznamu"/>
        <w:rPr>
          <w:lang w:eastAsia="cs-CZ"/>
        </w:rPr>
      </w:pPr>
      <w:r w:rsidRPr="00AE6EDB">
        <w:rPr>
          <w:lang w:eastAsia="cs-CZ"/>
        </w:rPr>
        <w:t>príspevok na pohreb.</w:t>
      </w:r>
    </w:p>
    <w:p w:rsidR="000A7585" w:rsidRPr="00AE6EDB" w:rsidRDefault="000A7585" w:rsidP="000A7585">
      <w:pPr>
        <w:pStyle w:val="AAAodstavecsprava"/>
        <w:spacing w:after="0"/>
        <w:ind w:firstLine="0"/>
        <w:rPr>
          <w:b/>
          <w:bCs/>
          <w:color w:val="000000" w:themeColor="text1"/>
          <w:sz w:val="22"/>
          <w:szCs w:val="22"/>
          <w:highlight w:val="cyan"/>
        </w:rPr>
      </w:pPr>
    </w:p>
    <w:p w:rsidR="000A7585" w:rsidRPr="00AE6EDB" w:rsidRDefault="000A7585" w:rsidP="000A7585">
      <w:pPr>
        <w:pStyle w:val="Nadpis6"/>
      </w:pPr>
      <w:bookmarkStart w:id="570" w:name="_Toc356482696"/>
      <w:bookmarkStart w:id="571" w:name="_Toc452469881"/>
      <w:r w:rsidRPr="00AE6EDB">
        <w:t>Prídavok na dieťa</w:t>
      </w:r>
      <w:bookmarkEnd w:id="570"/>
      <w:bookmarkEnd w:id="571"/>
      <w:r w:rsidRPr="00AE6EDB">
        <w:t xml:space="preserve"> </w:t>
      </w:r>
    </w:p>
    <w:p w:rsidR="000A7585" w:rsidRPr="00AE6EDB" w:rsidRDefault="000A7585" w:rsidP="000A7585">
      <w:pPr>
        <w:pStyle w:val="AAAodstavecsprava"/>
        <w:spacing w:after="0"/>
        <w:ind w:firstLine="431"/>
        <w:rPr>
          <w:color w:val="000000"/>
          <w:sz w:val="22"/>
          <w:szCs w:val="24"/>
          <w:lang w:eastAsia="sk-SK"/>
        </w:rPr>
      </w:pPr>
      <w:r w:rsidRPr="00AE6EDB">
        <w:rPr>
          <w:color w:val="000000"/>
          <w:sz w:val="22"/>
          <w:szCs w:val="24"/>
          <w:lang w:eastAsia="sk-SK"/>
        </w:rPr>
        <w:t xml:space="preserve">Z hľadiska počtu poberateľov a objemu vyplatených finančných prostriedkov je prídavok na dieťa najrozsiahlejšou dávkou štátnej sociálnej podpory. Prijatím zákona č. 600/2003 Z. z. o prídavku na dieťa a o zmene a doplnení zákona č. 461/2003 Z. z. o sociálnom poistení sa zaviedlo s účinnosťou od 1. januára 2004 paušálne poskytovanie prídavku na dieťa </w:t>
      </w:r>
      <w:r w:rsidRPr="00AE6EDB">
        <w:rPr>
          <w:b/>
          <w:color w:val="000000"/>
          <w:sz w:val="22"/>
          <w:szCs w:val="24"/>
          <w:lang w:eastAsia="sk-SK"/>
        </w:rPr>
        <w:t>mesačne na každé nezaopatrené dieťa</w:t>
      </w:r>
      <w:r w:rsidRPr="00AE6EDB">
        <w:rPr>
          <w:color w:val="000000"/>
          <w:sz w:val="22"/>
          <w:szCs w:val="24"/>
          <w:lang w:eastAsia="sk-SK"/>
        </w:rPr>
        <w:t xml:space="preserve"> do 25 rokov veku dieťaťa bez ohľadu na príjem rodičov. Zároveň sa týmto zákonom s účinnosťou od 1. apríla 2004 zaviedlo vyplácanie prídavku na dieťa jediným platiteľom – úradmi práce, sociálnych vecí a rodiny. </w:t>
      </w:r>
    </w:p>
    <w:p w:rsidR="00131AAE" w:rsidRPr="00AE6EDB" w:rsidRDefault="00131AAE" w:rsidP="00131AAE">
      <w:pPr>
        <w:pStyle w:val="AAAodstavecsprava"/>
        <w:spacing w:after="0"/>
        <w:ind w:firstLine="431"/>
        <w:rPr>
          <w:color w:val="000000"/>
          <w:sz w:val="22"/>
          <w:szCs w:val="24"/>
          <w:lang w:eastAsia="sk-SK"/>
        </w:rPr>
      </w:pPr>
      <w:bookmarkStart w:id="572" w:name="_Toc313878850"/>
      <w:bookmarkStart w:id="573" w:name="_Toc294029359"/>
      <w:bookmarkStart w:id="574" w:name="_Toc294027120"/>
      <w:bookmarkStart w:id="575" w:name="_Toc325438173"/>
      <w:bookmarkStart w:id="576" w:name="_Toc325440942"/>
      <w:bookmarkStart w:id="577" w:name="_Toc356482697"/>
      <w:r w:rsidRPr="00AE6EDB">
        <w:rPr>
          <w:color w:val="000000"/>
          <w:sz w:val="22"/>
          <w:szCs w:val="24"/>
          <w:lang w:eastAsia="sk-SK"/>
        </w:rPr>
        <w:t xml:space="preserve">Vzhľadom na to, že pre rok 2015 nedošlo k úprave súm životného minima, sumy určené </w:t>
      </w:r>
      <w:r w:rsidR="00F56236" w:rsidRPr="00AE6EDB">
        <w:rPr>
          <w:color w:val="000000"/>
          <w:sz w:val="22"/>
          <w:szCs w:val="24"/>
          <w:lang w:eastAsia="sk-SK"/>
        </w:rPr>
        <w:t xml:space="preserve">Opatrením MPSVR SR č. 450/2013 Z. z. </w:t>
      </w:r>
      <w:r w:rsidRPr="00AE6EDB">
        <w:rPr>
          <w:color w:val="000000"/>
          <w:sz w:val="22"/>
          <w:szCs w:val="24"/>
          <w:lang w:eastAsia="sk-SK"/>
        </w:rPr>
        <w:t>s účinnosťou od 1. januára 2014 (23,52</w:t>
      </w:r>
      <w:r w:rsidR="0054295F">
        <w:rPr>
          <w:color w:val="000000"/>
          <w:sz w:val="22"/>
          <w:szCs w:val="24"/>
          <w:lang w:eastAsia="sk-SK"/>
        </w:rPr>
        <w:t> eur</w:t>
      </w:r>
      <w:r w:rsidRPr="00AE6EDB">
        <w:rPr>
          <w:color w:val="000000"/>
          <w:sz w:val="22"/>
          <w:szCs w:val="24"/>
          <w:lang w:eastAsia="sk-SK"/>
        </w:rPr>
        <w:t>a pre prídavok na</w:t>
      </w:r>
      <w:r w:rsidR="00F56236" w:rsidRPr="00AE6EDB">
        <w:rPr>
          <w:color w:val="000000"/>
          <w:sz w:val="22"/>
          <w:szCs w:val="24"/>
          <w:lang w:eastAsia="sk-SK"/>
        </w:rPr>
        <w:t> </w:t>
      </w:r>
      <w:r w:rsidRPr="00AE6EDB">
        <w:rPr>
          <w:color w:val="000000"/>
          <w:sz w:val="22"/>
          <w:szCs w:val="24"/>
          <w:lang w:eastAsia="sk-SK"/>
        </w:rPr>
        <w:t>dieťa a 11,20</w:t>
      </w:r>
      <w:r w:rsidR="0054295F">
        <w:rPr>
          <w:color w:val="000000"/>
          <w:sz w:val="22"/>
          <w:szCs w:val="24"/>
          <w:lang w:eastAsia="sk-SK"/>
        </w:rPr>
        <w:t> eur</w:t>
      </w:r>
      <w:r w:rsidRPr="00AE6EDB">
        <w:rPr>
          <w:color w:val="000000"/>
          <w:sz w:val="22"/>
          <w:szCs w:val="24"/>
          <w:lang w:eastAsia="sk-SK"/>
        </w:rPr>
        <w:t>a pre príplatok k prídavku na dieťa) zostali v platnosti aj pre rok 2015.</w:t>
      </w:r>
    </w:p>
    <w:p w:rsidR="000A7585" w:rsidRPr="00AE6EDB" w:rsidRDefault="000A7585" w:rsidP="000A7585">
      <w:pPr>
        <w:pStyle w:val="Nadpis7"/>
      </w:pPr>
      <w:r w:rsidRPr="00AE6EDB">
        <w:t>Tabuľka 3.</w:t>
      </w:r>
      <w:bookmarkEnd w:id="572"/>
      <w:bookmarkEnd w:id="573"/>
      <w:bookmarkEnd w:id="574"/>
      <w:bookmarkEnd w:id="575"/>
      <w:bookmarkEnd w:id="576"/>
      <w:r w:rsidRPr="00AE6EDB">
        <w:t>1</w:t>
      </w:r>
      <w:r w:rsidR="00F2550D" w:rsidRPr="00AE6EDB">
        <w:t>4</w:t>
      </w:r>
      <w:r w:rsidRPr="00AE6EDB">
        <w:t xml:space="preserve"> Prídavok na dieťa</w:t>
      </w:r>
      <w:bookmarkEnd w:id="577"/>
    </w:p>
    <w:tbl>
      <w:tblPr>
        <w:tblStyle w:val="LightList-Accent11"/>
        <w:tblW w:w="721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4A0" w:firstRow="1" w:lastRow="0" w:firstColumn="1" w:lastColumn="0" w:noHBand="0" w:noVBand="1"/>
      </w:tblPr>
      <w:tblGrid>
        <w:gridCol w:w="766"/>
        <w:gridCol w:w="3318"/>
        <w:gridCol w:w="3133"/>
      </w:tblGrid>
      <w:tr w:rsidR="000A7585" w:rsidRPr="00AE6EDB" w:rsidTr="00DE0EEC">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0000" w:themeFill="accent3" w:themeFillShade="BF"/>
            <w:vAlign w:val="center"/>
          </w:tcPr>
          <w:p w:rsidR="000A7585" w:rsidRPr="00AE6EDB" w:rsidRDefault="000A7585" w:rsidP="00DE0EEC">
            <w:pPr>
              <w:jc w:val="center"/>
            </w:pPr>
            <w:r w:rsidRPr="00AE6EDB">
              <w:t>rok</w:t>
            </w:r>
          </w:p>
        </w:tc>
        <w:tc>
          <w:tcPr>
            <w:tcW w:w="3318" w:type="dxa"/>
            <w:shd w:val="clear" w:color="auto" w:fill="BF0000" w:themeFill="accent3" w:themeFillShade="BF"/>
            <w:vAlign w:val="center"/>
          </w:tcPr>
          <w:p w:rsidR="000A7585" w:rsidRPr="00AE6EDB" w:rsidRDefault="000A7585" w:rsidP="00DE0EEC">
            <w:pPr>
              <w:jc w:val="center"/>
              <w:cnfStyle w:val="100000000000" w:firstRow="1" w:lastRow="0" w:firstColumn="0" w:lastColumn="0" w:oddVBand="0" w:evenVBand="0" w:oddHBand="0" w:evenHBand="0" w:firstRowFirstColumn="0" w:firstRowLastColumn="0" w:lastRowFirstColumn="0" w:lastRowLastColumn="0"/>
            </w:pPr>
            <w:r w:rsidRPr="00AE6EDB">
              <w:t>priemerný mesačný počet poberateľov prídavku na dieťa</w:t>
            </w:r>
          </w:p>
        </w:tc>
        <w:tc>
          <w:tcPr>
            <w:tcW w:w="3133" w:type="dxa"/>
            <w:shd w:val="clear" w:color="auto" w:fill="BF0000" w:themeFill="accent3" w:themeFillShade="BF"/>
            <w:vAlign w:val="center"/>
          </w:tcPr>
          <w:p w:rsidR="000A7585" w:rsidRPr="00AE6EDB" w:rsidRDefault="000A7585" w:rsidP="00DE0EEC">
            <w:pPr>
              <w:jc w:val="center"/>
              <w:cnfStyle w:val="100000000000" w:firstRow="1" w:lastRow="0" w:firstColumn="0" w:lastColumn="0" w:oddVBand="0" w:evenVBand="0" w:oddHBand="0" w:evenHBand="0" w:firstRowFirstColumn="0" w:firstRowLastColumn="0" w:lastRowFirstColumn="0" w:lastRowLastColumn="0"/>
            </w:pPr>
            <w:r w:rsidRPr="00AE6EDB">
              <w:t>priemerný mesačný počet nezaopatrených detí</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0A7585" w:rsidRPr="00AE6EDB" w:rsidRDefault="000A7585" w:rsidP="00DE0EEC">
            <w:pPr>
              <w:rPr>
                <w:color w:val="000000" w:themeColor="text1"/>
              </w:rPr>
            </w:pPr>
            <w:r w:rsidRPr="00AE6EDB">
              <w:rPr>
                <w:color w:val="000000" w:themeColor="text1"/>
              </w:rPr>
              <w:t>2014</w:t>
            </w:r>
          </w:p>
        </w:tc>
        <w:tc>
          <w:tcPr>
            <w:tcW w:w="0" w:type="auto"/>
            <w:tcBorders>
              <w:top w:val="none" w:sz="0" w:space="0" w:color="auto"/>
              <w:bottom w:val="none" w:sz="0" w:space="0" w:color="auto"/>
            </w:tcBorders>
          </w:tcPr>
          <w:p w:rsidR="000A7585" w:rsidRPr="00AE6EDB" w:rsidRDefault="000A7585" w:rsidP="001C7DF6">
            <w:pPr>
              <w:ind w:right="725"/>
              <w:jc w:val="right"/>
              <w:cnfStyle w:val="000000100000" w:firstRow="0" w:lastRow="0" w:firstColumn="0" w:lastColumn="0" w:oddVBand="0" w:evenVBand="0" w:oddHBand="1" w:evenHBand="0" w:firstRowFirstColumn="0" w:firstRowLastColumn="0" w:lastRowFirstColumn="0" w:lastRowLastColumn="0"/>
            </w:pPr>
            <w:r w:rsidRPr="00AE6EDB">
              <w:rPr>
                <w:szCs w:val="22"/>
              </w:rPr>
              <w:t>66</w:t>
            </w:r>
            <w:r w:rsidR="00AC44CB">
              <w:rPr>
                <w:szCs w:val="22"/>
              </w:rPr>
              <w:t>8 3</w:t>
            </w:r>
            <w:r w:rsidRPr="00AE6EDB">
              <w:rPr>
                <w:szCs w:val="22"/>
              </w:rPr>
              <w:t>9</w:t>
            </w:r>
            <w:r w:rsidR="001C7DF6" w:rsidRPr="00AE6EDB">
              <w:rPr>
                <w:szCs w:val="22"/>
              </w:rPr>
              <w:t>5</w:t>
            </w:r>
          </w:p>
        </w:tc>
        <w:tc>
          <w:tcPr>
            <w:tcW w:w="0" w:type="auto"/>
            <w:tcBorders>
              <w:top w:val="none" w:sz="0" w:space="0" w:color="auto"/>
              <w:bottom w:val="none" w:sz="0" w:space="0" w:color="auto"/>
              <w:right w:val="none" w:sz="0" w:space="0" w:color="auto"/>
            </w:tcBorders>
          </w:tcPr>
          <w:p w:rsidR="000A7585" w:rsidRPr="00AE6EDB" w:rsidRDefault="0054295F" w:rsidP="00DE0EEC">
            <w:pPr>
              <w:ind w:right="725"/>
              <w:jc w:val="right"/>
              <w:cnfStyle w:val="000000100000" w:firstRow="0" w:lastRow="0" w:firstColumn="0" w:lastColumn="0" w:oddVBand="0" w:evenVBand="0" w:oddHBand="1" w:evenHBand="0" w:firstRowFirstColumn="0" w:firstRowLastColumn="0" w:lastRowFirstColumn="0" w:lastRowLastColumn="0"/>
            </w:pPr>
            <w:r>
              <w:rPr>
                <w:szCs w:val="22"/>
              </w:rPr>
              <w:t>1 1</w:t>
            </w:r>
            <w:r w:rsidR="000A7585" w:rsidRPr="00AE6EDB">
              <w:rPr>
                <w:szCs w:val="22"/>
              </w:rPr>
              <w:t>1</w:t>
            </w:r>
            <w:r w:rsidR="00AC44CB">
              <w:rPr>
                <w:szCs w:val="22"/>
              </w:rPr>
              <w:t>6 9</w:t>
            </w:r>
            <w:r w:rsidR="000A7585" w:rsidRPr="00AE6EDB">
              <w:rPr>
                <w:szCs w:val="22"/>
              </w:rPr>
              <w:t>55</w:t>
            </w:r>
          </w:p>
        </w:tc>
      </w:tr>
      <w:tr w:rsidR="000A7585" w:rsidRPr="00AE6EDB" w:rsidTr="00DE0EEC">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0A7585" w:rsidRPr="00AE6EDB" w:rsidRDefault="000A7585" w:rsidP="00DE0EEC">
            <w:pPr>
              <w:rPr>
                <w:color w:val="000000" w:themeColor="text1"/>
              </w:rPr>
            </w:pPr>
            <w:r w:rsidRPr="00AE6EDB">
              <w:rPr>
                <w:color w:val="000000" w:themeColor="text1"/>
              </w:rPr>
              <w:t>2015</w:t>
            </w:r>
          </w:p>
        </w:tc>
        <w:tc>
          <w:tcPr>
            <w:tcW w:w="0" w:type="auto"/>
          </w:tcPr>
          <w:p w:rsidR="000A7585" w:rsidRPr="00AE6EDB" w:rsidRDefault="000A7585" w:rsidP="00131AAE">
            <w:pPr>
              <w:ind w:right="725"/>
              <w:jc w:val="right"/>
              <w:cnfStyle w:val="000000000000" w:firstRow="0" w:lastRow="0" w:firstColumn="0" w:lastColumn="0" w:oddVBand="0" w:evenVBand="0" w:oddHBand="0" w:evenHBand="0" w:firstRowFirstColumn="0" w:firstRowLastColumn="0" w:lastRowFirstColumn="0" w:lastRowLastColumn="0"/>
              <w:rPr>
                <w:szCs w:val="22"/>
              </w:rPr>
            </w:pPr>
            <w:r w:rsidRPr="00AE6EDB">
              <w:rPr>
                <w:szCs w:val="22"/>
              </w:rPr>
              <w:t>65</w:t>
            </w:r>
            <w:r w:rsidR="00AC44CB">
              <w:rPr>
                <w:szCs w:val="22"/>
              </w:rPr>
              <w:t>9 5</w:t>
            </w:r>
            <w:r w:rsidR="00131AAE" w:rsidRPr="00AE6EDB">
              <w:rPr>
                <w:szCs w:val="22"/>
              </w:rPr>
              <w:t>24</w:t>
            </w:r>
          </w:p>
        </w:tc>
        <w:tc>
          <w:tcPr>
            <w:tcW w:w="0" w:type="auto"/>
          </w:tcPr>
          <w:p w:rsidR="000A7585" w:rsidRPr="00AE6EDB" w:rsidRDefault="0054295F" w:rsidP="001C7DF6">
            <w:pPr>
              <w:ind w:right="725"/>
              <w:jc w:val="right"/>
              <w:cnfStyle w:val="000000000000" w:firstRow="0" w:lastRow="0" w:firstColumn="0" w:lastColumn="0" w:oddVBand="0" w:evenVBand="0" w:oddHBand="0" w:evenHBand="0" w:firstRowFirstColumn="0" w:firstRowLastColumn="0" w:lastRowFirstColumn="0" w:lastRowLastColumn="0"/>
              <w:rPr>
                <w:szCs w:val="22"/>
              </w:rPr>
            </w:pPr>
            <w:r>
              <w:rPr>
                <w:szCs w:val="22"/>
              </w:rPr>
              <w:t>1 1</w:t>
            </w:r>
            <w:r w:rsidR="000A7585" w:rsidRPr="00AE6EDB">
              <w:rPr>
                <w:szCs w:val="22"/>
              </w:rPr>
              <w:t>0</w:t>
            </w:r>
            <w:r>
              <w:rPr>
                <w:szCs w:val="22"/>
              </w:rPr>
              <w:t>0 5</w:t>
            </w:r>
            <w:r w:rsidR="001C7DF6" w:rsidRPr="00AE6EDB">
              <w:rPr>
                <w:szCs w:val="22"/>
              </w:rPr>
              <w:t>93</w:t>
            </w:r>
          </w:p>
        </w:tc>
      </w:tr>
    </w:tbl>
    <w:p w:rsidR="000A7585" w:rsidRPr="00AE6EDB" w:rsidRDefault="000A7585" w:rsidP="000A7585">
      <w:pPr>
        <w:pStyle w:val="zdroj"/>
        <w:spacing w:after="0"/>
        <w:ind w:firstLine="1134"/>
      </w:pPr>
      <w:r w:rsidRPr="00AE6EDB">
        <w:t>Zdroj: RSD MIS, vrátane prídavkov vyplácaných do cudziny</w:t>
      </w:r>
    </w:p>
    <w:p w:rsidR="000A7585" w:rsidRPr="00AE6EDB" w:rsidRDefault="000A7585" w:rsidP="000A7585">
      <w:pPr>
        <w:rPr>
          <w:color w:val="000000"/>
          <w:lang w:eastAsia="cs-CZ"/>
        </w:rPr>
      </w:pPr>
    </w:p>
    <w:p w:rsidR="000A7585" w:rsidRPr="00AE6EDB" w:rsidRDefault="000A7585" w:rsidP="000A7585">
      <w:pPr>
        <w:ind w:firstLine="431"/>
        <w:rPr>
          <w:color w:val="000000"/>
          <w:szCs w:val="22"/>
        </w:rPr>
      </w:pPr>
      <w:bookmarkStart w:id="578" w:name="_Toc356482698"/>
      <w:r w:rsidRPr="00AE6EDB">
        <w:t xml:space="preserve">V roku 2015 bol počet poberateľov prídavku na dieťa v priemernom mesačnom vyjadrení </w:t>
      </w:r>
      <w:r w:rsidR="00131AAE" w:rsidRPr="00AE6EDB">
        <w:t>65</w:t>
      </w:r>
      <w:r w:rsidR="00AC44CB">
        <w:t>9 5</w:t>
      </w:r>
      <w:r w:rsidR="00131AAE" w:rsidRPr="00AE6EDB">
        <w:t>24</w:t>
      </w:r>
      <w:r w:rsidRPr="00AE6EDB">
        <w:t xml:space="preserve"> poberateľov na </w:t>
      </w:r>
      <w:r w:rsidR="0054295F">
        <w:t>1 1</w:t>
      </w:r>
      <w:r w:rsidR="00131AAE" w:rsidRPr="00AE6EDB">
        <w:t>0</w:t>
      </w:r>
      <w:r w:rsidR="0054295F">
        <w:t>0 5</w:t>
      </w:r>
      <w:r w:rsidR="001C7DF6" w:rsidRPr="00AE6EDB">
        <w:t>93</w:t>
      </w:r>
      <w:r w:rsidRPr="00AE6EDB">
        <w:t xml:space="preserve"> nezaopatrených detí. Priemerný mesačný počet poberateľov medziročne poklesol o </w:t>
      </w:r>
      <w:r w:rsidR="00AC44CB">
        <w:t>8 8</w:t>
      </w:r>
      <w:r w:rsidR="001C7DF6" w:rsidRPr="00AE6EDB">
        <w:t>71</w:t>
      </w:r>
      <w:r w:rsidRPr="00AE6EDB">
        <w:t xml:space="preserve"> a priemerný mesačný počet nezaopatrených detí medziročne poklesol o</w:t>
      </w:r>
      <w:r w:rsidR="00131AAE" w:rsidRPr="00AE6EDB">
        <w:t> 1</w:t>
      </w:r>
      <w:r w:rsidR="00AC44CB">
        <w:t>6 3</w:t>
      </w:r>
      <w:r w:rsidR="001C7DF6" w:rsidRPr="00AE6EDB">
        <w:t>62</w:t>
      </w:r>
      <w:r w:rsidRPr="00AE6EDB">
        <w:t xml:space="preserve"> detí. </w:t>
      </w:r>
      <w:r w:rsidRPr="00AE6EDB">
        <w:rPr>
          <w:color w:val="000000"/>
          <w:szCs w:val="22"/>
        </w:rPr>
        <w:t>Počet poberateľov celkovo poklesol medziročne o 1,3</w:t>
      </w:r>
      <w:r w:rsidR="00131AAE" w:rsidRPr="00AE6EDB">
        <w:rPr>
          <w:color w:val="000000"/>
          <w:szCs w:val="22"/>
        </w:rPr>
        <w:t>3</w:t>
      </w:r>
      <w:r w:rsidR="005676EF">
        <w:rPr>
          <w:color w:val="000000"/>
          <w:szCs w:val="22"/>
        </w:rPr>
        <w:t> %</w:t>
      </w:r>
      <w:r w:rsidRPr="00AE6EDB">
        <w:rPr>
          <w:color w:val="000000"/>
          <w:szCs w:val="22"/>
        </w:rPr>
        <w:t>, počet detí medziročne poklesol o 1,</w:t>
      </w:r>
      <w:r w:rsidR="00131AAE" w:rsidRPr="00AE6EDB">
        <w:rPr>
          <w:color w:val="000000"/>
          <w:szCs w:val="22"/>
        </w:rPr>
        <w:t>4</w:t>
      </w:r>
      <w:r w:rsidR="001C7DF6" w:rsidRPr="00AE6EDB">
        <w:rPr>
          <w:color w:val="000000"/>
          <w:szCs w:val="22"/>
        </w:rPr>
        <w:t>6</w:t>
      </w:r>
      <w:r w:rsidR="005676EF">
        <w:rPr>
          <w:color w:val="000000"/>
          <w:szCs w:val="22"/>
        </w:rPr>
        <w:t> %</w:t>
      </w:r>
      <w:r w:rsidRPr="00AE6EDB">
        <w:rPr>
          <w:color w:val="000000"/>
          <w:szCs w:val="22"/>
        </w:rPr>
        <w:t xml:space="preserve">, pričom tento pokles je spôsobený demografickým vývojom na Slovensku a štruktúrou rodín. </w:t>
      </w:r>
    </w:p>
    <w:p w:rsidR="000A7585" w:rsidRPr="00AE6EDB" w:rsidRDefault="000A7585" w:rsidP="000A7585">
      <w:pPr>
        <w:ind w:firstLine="431"/>
      </w:pPr>
      <w:r w:rsidRPr="00AE6EDB">
        <w:t>Suma vyplatená na prídavok na dieťa a príplatok k prídavku na dieťa v roku 201</w:t>
      </w:r>
      <w:r w:rsidR="008C73F7" w:rsidRPr="00AE6EDB">
        <w:t>5</w:t>
      </w:r>
      <w:r w:rsidRPr="00AE6EDB">
        <w:t xml:space="preserve"> predstavovala </w:t>
      </w:r>
      <w:r w:rsidR="008C73F7" w:rsidRPr="00AE6EDB">
        <w:t>31</w:t>
      </w:r>
      <w:r w:rsidR="00AC44CB">
        <w:t>5 3</w:t>
      </w:r>
      <w:r w:rsidR="008C73F7" w:rsidRPr="00AE6EDB">
        <w:t>6</w:t>
      </w:r>
      <w:r w:rsidR="00AC44CB">
        <w:t>4 9</w:t>
      </w:r>
      <w:r w:rsidR="008C73F7" w:rsidRPr="00AE6EDB">
        <w:t>48</w:t>
      </w:r>
      <w:r w:rsidR="0054295F">
        <w:t> eur</w:t>
      </w:r>
      <w:r w:rsidRPr="00AE6EDB">
        <w:t>, čo predstavuje oproti roku 201</w:t>
      </w:r>
      <w:r w:rsidR="00144091" w:rsidRPr="00AE6EDB">
        <w:t>4</w:t>
      </w:r>
      <w:r w:rsidRPr="00AE6EDB">
        <w:t xml:space="preserve"> </w:t>
      </w:r>
      <w:r w:rsidR="00144091" w:rsidRPr="00AE6EDB">
        <w:t>pokles o </w:t>
      </w:r>
      <w:r w:rsidR="0054295F">
        <w:t>3 6</w:t>
      </w:r>
      <w:r w:rsidR="00144091" w:rsidRPr="00AE6EDB">
        <w:t>41,3</w:t>
      </w:r>
      <w:r w:rsidRPr="00AE6EDB">
        <w:t xml:space="preserve"> tis.</w:t>
      </w:r>
      <w:r w:rsidR="0054295F">
        <w:t> eur</w:t>
      </w:r>
      <w:r w:rsidRPr="00AE6EDB">
        <w:t>.</w:t>
      </w:r>
      <w:r w:rsidR="00144091" w:rsidRPr="00AE6EDB">
        <w:rPr>
          <w:rStyle w:val="Odkaznapoznmkupodiarou"/>
        </w:rPr>
        <w:footnoteReference w:id="38"/>
      </w:r>
    </w:p>
    <w:p w:rsidR="000A7585" w:rsidRPr="00AE6EDB" w:rsidRDefault="000A7585" w:rsidP="000A7585">
      <w:pPr>
        <w:ind w:firstLine="567"/>
        <w:rPr>
          <w:color w:val="000000"/>
          <w:szCs w:val="22"/>
          <w:highlight w:val="cyan"/>
        </w:rPr>
      </w:pPr>
    </w:p>
    <w:bookmarkEnd w:id="578"/>
    <w:p w:rsidR="00144091" w:rsidRPr="00AE6EDB" w:rsidRDefault="00144091">
      <w:pPr>
        <w:jc w:val="left"/>
        <w:rPr>
          <w:b/>
          <w:lang w:eastAsia="cs-CZ"/>
        </w:rPr>
      </w:pPr>
      <w:r w:rsidRPr="00AE6EDB">
        <w:rPr>
          <w:lang w:eastAsia="cs-CZ"/>
        </w:rPr>
        <w:br w:type="page"/>
      </w:r>
    </w:p>
    <w:p w:rsidR="000A7585" w:rsidRPr="00AE6EDB" w:rsidRDefault="000A7585" w:rsidP="000A7585">
      <w:pPr>
        <w:pStyle w:val="Nadpis7"/>
        <w:rPr>
          <w:lang w:eastAsia="cs-CZ"/>
        </w:rPr>
      </w:pPr>
      <w:r w:rsidRPr="00AE6EDB">
        <w:rPr>
          <w:lang w:eastAsia="cs-CZ"/>
        </w:rPr>
        <w:lastRenderedPageBreak/>
        <w:t xml:space="preserve">Graf 3.2 Priemerný mesačný </w:t>
      </w:r>
      <w:r w:rsidRPr="00AE6EDB">
        <w:t>počet</w:t>
      </w:r>
      <w:r w:rsidRPr="00AE6EDB">
        <w:rPr>
          <w:lang w:eastAsia="cs-CZ"/>
        </w:rPr>
        <w:t xml:space="preserve"> </w:t>
      </w:r>
      <w:r w:rsidR="00144091" w:rsidRPr="00AE6EDB">
        <w:rPr>
          <w:lang w:eastAsia="cs-CZ"/>
        </w:rPr>
        <w:t>detí a poberateľov prídavku na dieťa</w:t>
      </w:r>
      <w:r w:rsidRPr="00AE6EDB">
        <w:rPr>
          <w:lang w:eastAsia="cs-CZ"/>
        </w:rPr>
        <w:t xml:space="preserve"> a celková vyplatená suma finančných prostriedkov v jednotlivých krajoch SR v roku 2015</w:t>
      </w:r>
    </w:p>
    <w:p w:rsidR="000A7585" w:rsidRPr="00AE6EDB" w:rsidRDefault="00CE5838" w:rsidP="000A7585">
      <w:pPr>
        <w:rPr>
          <w:lang w:eastAsia="cs-CZ"/>
        </w:rPr>
      </w:pPr>
      <w:r w:rsidRPr="00AE6EDB">
        <w:rPr>
          <w:noProof/>
        </w:rPr>
        <w:drawing>
          <wp:inline distT="0" distB="0" distL="0" distR="0" wp14:anchorId="4C984837" wp14:editId="09175541">
            <wp:extent cx="5760720" cy="248158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A7585" w:rsidRPr="00AE6EDB" w:rsidRDefault="000A7585" w:rsidP="000A7585">
      <w:pPr>
        <w:ind w:firstLine="284"/>
        <w:jc w:val="center"/>
        <w:rPr>
          <w:color w:val="FF0000"/>
        </w:rPr>
      </w:pPr>
    </w:p>
    <w:p w:rsidR="000A7585" w:rsidRPr="00AE6EDB" w:rsidRDefault="000A7585" w:rsidP="000A7585">
      <w:pPr>
        <w:pStyle w:val="zdroj"/>
      </w:pPr>
      <w:r w:rsidRPr="00AE6EDB">
        <w:t>Zdroj: RSD MIS</w:t>
      </w:r>
    </w:p>
    <w:p w:rsidR="000A7585" w:rsidRPr="00AE6EDB" w:rsidRDefault="000A7585" w:rsidP="000A7585">
      <w:pPr>
        <w:ind w:firstLine="431"/>
        <w:rPr>
          <w:color w:val="000000" w:themeColor="text1"/>
        </w:rPr>
      </w:pPr>
      <w:r w:rsidRPr="00AE6EDB">
        <w:rPr>
          <w:color w:val="000000"/>
          <w:szCs w:val="22"/>
        </w:rPr>
        <w:t xml:space="preserve">Najvyšší počet poberateľov je už tradične dosahovaný v Prešovskom, Košickom a Žilinskom kraji (čo súvisí aj s celkovým počtom obyvateľov jednotlivých krajov), rovnako tak aj počet detí a nadväzne aj najvyššie čerpané finančné prostriedky. V týchto troch krajoch pripadá priemerne na jedného žiadateľa najvyšší počet detí, kým v Bratislavskom a Trnavskom kraji najnižší. </w:t>
      </w:r>
      <w:r w:rsidRPr="00AE6EDB">
        <w:rPr>
          <w:color w:val="000000"/>
        </w:rPr>
        <w:t xml:space="preserve">Najpočetnejšou skupinou boli poberatelia, ktorým sa poskytoval prídavok na jedno nezaopatrené dieťa a ktorí tvorili </w:t>
      </w:r>
      <w:r w:rsidR="008C73F7" w:rsidRPr="00AE6EDB">
        <w:rPr>
          <w:color w:val="000000"/>
        </w:rPr>
        <w:t>51,0</w:t>
      </w:r>
      <w:r w:rsidR="005676EF">
        <w:rPr>
          <w:color w:val="000000"/>
        </w:rPr>
        <w:t> %</w:t>
      </w:r>
      <w:r w:rsidRPr="00AE6EDB">
        <w:rPr>
          <w:color w:val="000000"/>
        </w:rPr>
        <w:t xml:space="preserve"> z celkového počtu poberateľov. Podiel týchto poberateľov pomaly, ale dlhodobo stúpa na úkor všetkých ostatných typov poberateľov. Celkovo sa štruktúra poberateľov medziročne takmer nezmenila</w:t>
      </w:r>
      <w:r w:rsidRPr="00AE6EDB">
        <w:rPr>
          <w:color w:val="000000" w:themeColor="text1"/>
        </w:rPr>
        <w:t>.</w:t>
      </w:r>
    </w:p>
    <w:p w:rsidR="000A7585" w:rsidRPr="00AE6EDB" w:rsidRDefault="000A7585" w:rsidP="000A7585">
      <w:pPr>
        <w:pStyle w:val="Nadpis7"/>
      </w:pPr>
      <w:r w:rsidRPr="00AE6EDB">
        <w:t>Tabuľka 3.1</w:t>
      </w:r>
      <w:r w:rsidR="00F2550D" w:rsidRPr="00AE6EDB">
        <w:t>5</w:t>
      </w:r>
      <w:r w:rsidRPr="00AE6EDB">
        <w:t xml:space="preserve"> Poberatelia, ktorým sa poskytoval prídavok na dieťa podľa počtu detí</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ayout w:type="fixed"/>
        <w:tblLook w:val="04A0" w:firstRow="1" w:lastRow="0" w:firstColumn="1" w:lastColumn="0" w:noHBand="0" w:noVBand="1"/>
      </w:tblPr>
      <w:tblGrid>
        <w:gridCol w:w="1645"/>
        <w:gridCol w:w="1191"/>
        <w:gridCol w:w="1191"/>
      </w:tblGrid>
      <w:tr w:rsidR="000A7585" w:rsidRPr="00AE6EDB" w:rsidTr="00DE0EEC">
        <w:trPr>
          <w:jc w:val="center"/>
        </w:trPr>
        <w:tc>
          <w:tcPr>
            <w:tcW w:w="1645" w:type="dxa"/>
            <w:shd w:val="clear" w:color="auto" w:fill="BF0000" w:themeFill="accent3" w:themeFillShade="BF"/>
          </w:tcPr>
          <w:p w:rsidR="000A7585" w:rsidRPr="00AE6EDB" w:rsidRDefault="000A7585" w:rsidP="00DE0EEC">
            <w:pPr>
              <w:jc w:val="center"/>
              <w:rPr>
                <w:b/>
                <w:bCs/>
                <w:color w:val="FFFFFF"/>
                <w:szCs w:val="22"/>
              </w:rPr>
            </w:pPr>
            <w:r w:rsidRPr="00AE6EDB">
              <w:rPr>
                <w:b/>
                <w:bCs/>
                <w:color w:val="FFFFFF"/>
                <w:szCs w:val="22"/>
              </w:rPr>
              <w:t>rok/počet</w:t>
            </w:r>
          </w:p>
        </w:tc>
        <w:tc>
          <w:tcPr>
            <w:tcW w:w="1191" w:type="dxa"/>
            <w:shd w:val="clear" w:color="auto" w:fill="BF0000" w:themeFill="accent3" w:themeFillShade="BF"/>
          </w:tcPr>
          <w:p w:rsidR="000A7585" w:rsidRPr="00AE6EDB" w:rsidRDefault="000A7585" w:rsidP="00CE5838">
            <w:pPr>
              <w:jc w:val="center"/>
              <w:rPr>
                <w:b/>
                <w:bCs/>
                <w:color w:val="FFFFFF"/>
                <w:szCs w:val="22"/>
              </w:rPr>
            </w:pPr>
            <w:r w:rsidRPr="00AE6EDB">
              <w:rPr>
                <w:b/>
                <w:bCs/>
                <w:color w:val="FFFFFF"/>
                <w:szCs w:val="22"/>
              </w:rPr>
              <w:t>201</w:t>
            </w:r>
            <w:r w:rsidR="00CE5838" w:rsidRPr="00AE6EDB">
              <w:rPr>
                <w:b/>
                <w:bCs/>
                <w:color w:val="FFFFFF"/>
                <w:szCs w:val="22"/>
              </w:rPr>
              <w:t>4</w:t>
            </w:r>
          </w:p>
        </w:tc>
        <w:tc>
          <w:tcPr>
            <w:tcW w:w="1191" w:type="dxa"/>
            <w:shd w:val="clear" w:color="auto" w:fill="BF0000" w:themeFill="accent3" w:themeFillShade="BF"/>
          </w:tcPr>
          <w:p w:rsidR="000A7585" w:rsidRPr="00AE6EDB" w:rsidRDefault="000A7585" w:rsidP="00CE5838">
            <w:pPr>
              <w:jc w:val="center"/>
              <w:rPr>
                <w:b/>
                <w:bCs/>
                <w:color w:val="FFFFFF"/>
                <w:szCs w:val="22"/>
              </w:rPr>
            </w:pPr>
            <w:r w:rsidRPr="00AE6EDB">
              <w:rPr>
                <w:b/>
                <w:bCs/>
                <w:color w:val="FFFFFF"/>
                <w:szCs w:val="22"/>
              </w:rPr>
              <w:t>201</w:t>
            </w:r>
            <w:r w:rsidR="00CE5838" w:rsidRPr="00AE6EDB">
              <w:rPr>
                <w:b/>
                <w:bCs/>
                <w:color w:val="FFFFFF"/>
                <w:szCs w:val="22"/>
              </w:rPr>
              <w:t>5</w:t>
            </w:r>
          </w:p>
        </w:tc>
      </w:tr>
      <w:tr w:rsidR="00CE5838" w:rsidRPr="00AE6EDB" w:rsidTr="00DE0EEC">
        <w:trPr>
          <w:jc w:val="center"/>
        </w:trPr>
        <w:tc>
          <w:tcPr>
            <w:tcW w:w="1645" w:type="dxa"/>
            <w:vMerge w:val="restart"/>
            <w:shd w:val="clear" w:color="auto" w:fill="auto"/>
          </w:tcPr>
          <w:p w:rsidR="00CE5838" w:rsidRPr="00AE6EDB" w:rsidRDefault="00CE5838" w:rsidP="00DE0EEC">
            <w:pPr>
              <w:pStyle w:val="tabulka"/>
              <w:rPr>
                <w:b/>
                <w:bCs w:val="0"/>
                <w:sz w:val="22"/>
                <w:szCs w:val="22"/>
              </w:rPr>
            </w:pPr>
            <w:r w:rsidRPr="00AE6EDB">
              <w:rPr>
                <w:b/>
                <w:bCs w:val="0"/>
                <w:sz w:val="22"/>
                <w:szCs w:val="22"/>
              </w:rPr>
              <w:t>na jedno dieťa</w:t>
            </w:r>
          </w:p>
        </w:tc>
        <w:tc>
          <w:tcPr>
            <w:tcW w:w="1191" w:type="dxa"/>
            <w:shd w:val="clear" w:color="auto" w:fill="auto"/>
            <w:vAlign w:val="center"/>
          </w:tcPr>
          <w:p w:rsidR="00CE5838" w:rsidRPr="00AE6EDB" w:rsidRDefault="00CE5838" w:rsidP="006E00C3">
            <w:pPr>
              <w:jc w:val="right"/>
              <w:rPr>
                <w:szCs w:val="22"/>
              </w:rPr>
            </w:pPr>
            <w:r w:rsidRPr="00AE6EDB">
              <w:rPr>
                <w:szCs w:val="22"/>
              </w:rPr>
              <w:t>33</w:t>
            </w:r>
            <w:r w:rsidR="00AC44CB">
              <w:rPr>
                <w:szCs w:val="22"/>
              </w:rPr>
              <w:t>8 8</w:t>
            </w:r>
            <w:r w:rsidRPr="00AE6EDB">
              <w:rPr>
                <w:szCs w:val="22"/>
              </w:rPr>
              <w:t>45</w:t>
            </w:r>
          </w:p>
        </w:tc>
        <w:tc>
          <w:tcPr>
            <w:tcW w:w="1191" w:type="dxa"/>
            <w:shd w:val="clear" w:color="auto" w:fill="auto"/>
            <w:vAlign w:val="center"/>
          </w:tcPr>
          <w:p w:rsidR="00CE5838" w:rsidRPr="00AE6EDB" w:rsidRDefault="008C73F7" w:rsidP="00DE0EEC">
            <w:pPr>
              <w:jc w:val="right"/>
              <w:rPr>
                <w:szCs w:val="22"/>
              </w:rPr>
            </w:pPr>
            <w:r w:rsidRPr="00AE6EDB">
              <w:rPr>
                <w:szCs w:val="22"/>
              </w:rPr>
              <w:t>33</w:t>
            </w:r>
            <w:r w:rsidR="00AC44CB">
              <w:rPr>
                <w:szCs w:val="22"/>
              </w:rPr>
              <w:t>6 1</w:t>
            </w:r>
            <w:r w:rsidRPr="00AE6EDB">
              <w:rPr>
                <w:szCs w:val="22"/>
              </w:rPr>
              <w:t>38</w:t>
            </w:r>
          </w:p>
        </w:tc>
      </w:tr>
      <w:tr w:rsidR="00CE5838" w:rsidRPr="00AE6EDB" w:rsidTr="00DE0EEC">
        <w:trPr>
          <w:jc w:val="center"/>
        </w:trPr>
        <w:tc>
          <w:tcPr>
            <w:tcW w:w="1645" w:type="dxa"/>
            <w:vMerge/>
            <w:shd w:val="clear" w:color="auto" w:fill="auto"/>
          </w:tcPr>
          <w:p w:rsidR="00CE5838" w:rsidRPr="00AE6EDB" w:rsidRDefault="00CE5838" w:rsidP="00DE0EEC">
            <w:pPr>
              <w:pStyle w:val="tabulka"/>
              <w:rPr>
                <w:b/>
                <w:bCs w:val="0"/>
                <w:sz w:val="22"/>
                <w:szCs w:val="22"/>
              </w:rPr>
            </w:pPr>
          </w:p>
        </w:tc>
        <w:tc>
          <w:tcPr>
            <w:tcW w:w="1191" w:type="dxa"/>
            <w:shd w:val="clear" w:color="auto" w:fill="auto"/>
            <w:vAlign w:val="center"/>
          </w:tcPr>
          <w:p w:rsidR="00CE5838" w:rsidRPr="00AE6EDB" w:rsidRDefault="00CE5838" w:rsidP="006E00C3">
            <w:pPr>
              <w:jc w:val="right"/>
              <w:rPr>
                <w:szCs w:val="22"/>
              </w:rPr>
            </w:pPr>
            <w:r w:rsidRPr="00AE6EDB">
              <w:rPr>
                <w:szCs w:val="22"/>
              </w:rPr>
              <w:t>50,8</w:t>
            </w:r>
            <w:r w:rsidR="005676EF">
              <w:rPr>
                <w:szCs w:val="22"/>
              </w:rPr>
              <w:t> %</w:t>
            </w:r>
          </w:p>
        </w:tc>
        <w:tc>
          <w:tcPr>
            <w:tcW w:w="1191" w:type="dxa"/>
            <w:shd w:val="clear" w:color="auto" w:fill="auto"/>
            <w:vAlign w:val="center"/>
          </w:tcPr>
          <w:p w:rsidR="00CE5838" w:rsidRPr="00AE6EDB" w:rsidRDefault="008C73F7" w:rsidP="00DE0EEC">
            <w:pPr>
              <w:jc w:val="right"/>
              <w:rPr>
                <w:szCs w:val="22"/>
              </w:rPr>
            </w:pPr>
            <w:r w:rsidRPr="00AE6EDB">
              <w:rPr>
                <w:szCs w:val="22"/>
              </w:rPr>
              <w:t>51,0</w:t>
            </w:r>
            <w:r w:rsidR="005676EF">
              <w:rPr>
                <w:szCs w:val="22"/>
              </w:rPr>
              <w:t> %</w:t>
            </w:r>
          </w:p>
        </w:tc>
      </w:tr>
      <w:tr w:rsidR="00CE5838" w:rsidRPr="00AE6EDB" w:rsidTr="00DE0EEC">
        <w:trPr>
          <w:jc w:val="center"/>
        </w:trPr>
        <w:tc>
          <w:tcPr>
            <w:tcW w:w="1645" w:type="dxa"/>
            <w:vMerge w:val="restart"/>
            <w:shd w:val="clear" w:color="auto" w:fill="auto"/>
          </w:tcPr>
          <w:p w:rsidR="00CE5838" w:rsidRPr="00AE6EDB" w:rsidRDefault="00CE5838" w:rsidP="00DE0EEC">
            <w:pPr>
              <w:pStyle w:val="tabulka"/>
              <w:rPr>
                <w:b/>
                <w:bCs w:val="0"/>
                <w:sz w:val="22"/>
                <w:szCs w:val="22"/>
              </w:rPr>
            </w:pPr>
            <w:r w:rsidRPr="00AE6EDB">
              <w:rPr>
                <w:b/>
                <w:bCs w:val="0"/>
                <w:sz w:val="22"/>
                <w:szCs w:val="22"/>
              </w:rPr>
              <w:t>na dve deti</w:t>
            </w:r>
          </w:p>
        </w:tc>
        <w:tc>
          <w:tcPr>
            <w:tcW w:w="1191" w:type="dxa"/>
            <w:shd w:val="clear" w:color="auto" w:fill="auto"/>
            <w:vAlign w:val="center"/>
          </w:tcPr>
          <w:p w:rsidR="00CE5838" w:rsidRPr="00AE6EDB" w:rsidRDefault="00CE5838" w:rsidP="006E00C3">
            <w:pPr>
              <w:jc w:val="right"/>
              <w:rPr>
                <w:szCs w:val="22"/>
              </w:rPr>
            </w:pPr>
            <w:r w:rsidRPr="00AE6EDB">
              <w:rPr>
                <w:szCs w:val="22"/>
              </w:rPr>
              <w:t>24</w:t>
            </w:r>
            <w:r w:rsidR="00AC44CB">
              <w:rPr>
                <w:szCs w:val="22"/>
              </w:rPr>
              <w:t>9 8</w:t>
            </w:r>
            <w:r w:rsidRPr="00AE6EDB">
              <w:rPr>
                <w:szCs w:val="22"/>
              </w:rPr>
              <w:t>80</w:t>
            </w:r>
          </w:p>
        </w:tc>
        <w:tc>
          <w:tcPr>
            <w:tcW w:w="1191" w:type="dxa"/>
            <w:shd w:val="clear" w:color="auto" w:fill="auto"/>
            <w:vAlign w:val="center"/>
          </w:tcPr>
          <w:p w:rsidR="00CE5838" w:rsidRPr="00AE6EDB" w:rsidRDefault="008C73F7" w:rsidP="00DE0EEC">
            <w:pPr>
              <w:jc w:val="right"/>
              <w:rPr>
                <w:szCs w:val="22"/>
              </w:rPr>
            </w:pPr>
            <w:r w:rsidRPr="00AE6EDB">
              <w:rPr>
                <w:szCs w:val="22"/>
              </w:rPr>
              <w:t>24</w:t>
            </w:r>
            <w:r w:rsidR="00AC44CB">
              <w:rPr>
                <w:szCs w:val="22"/>
              </w:rPr>
              <w:t>6 5</w:t>
            </w:r>
            <w:r w:rsidRPr="00AE6EDB">
              <w:rPr>
                <w:szCs w:val="22"/>
              </w:rPr>
              <w:t>48</w:t>
            </w:r>
          </w:p>
        </w:tc>
      </w:tr>
      <w:tr w:rsidR="00CE5838" w:rsidRPr="00AE6EDB" w:rsidTr="00DE0EEC">
        <w:trPr>
          <w:jc w:val="center"/>
        </w:trPr>
        <w:tc>
          <w:tcPr>
            <w:tcW w:w="1645" w:type="dxa"/>
            <w:vMerge/>
            <w:shd w:val="clear" w:color="auto" w:fill="auto"/>
          </w:tcPr>
          <w:p w:rsidR="00CE5838" w:rsidRPr="00AE6EDB" w:rsidRDefault="00CE5838" w:rsidP="00DE0EEC">
            <w:pPr>
              <w:pStyle w:val="tabulka"/>
              <w:rPr>
                <w:b/>
                <w:bCs w:val="0"/>
                <w:sz w:val="22"/>
                <w:szCs w:val="22"/>
              </w:rPr>
            </w:pPr>
          </w:p>
        </w:tc>
        <w:tc>
          <w:tcPr>
            <w:tcW w:w="1191" w:type="dxa"/>
            <w:shd w:val="clear" w:color="auto" w:fill="auto"/>
            <w:vAlign w:val="center"/>
          </w:tcPr>
          <w:p w:rsidR="00CE5838" w:rsidRPr="00AE6EDB" w:rsidRDefault="00CE5838" w:rsidP="006E00C3">
            <w:pPr>
              <w:jc w:val="right"/>
              <w:rPr>
                <w:szCs w:val="22"/>
              </w:rPr>
            </w:pPr>
            <w:r w:rsidRPr="00AE6EDB">
              <w:rPr>
                <w:szCs w:val="22"/>
              </w:rPr>
              <w:t>37,4</w:t>
            </w:r>
            <w:r w:rsidR="005676EF">
              <w:rPr>
                <w:szCs w:val="22"/>
              </w:rPr>
              <w:t> %</w:t>
            </w:r>
          </w:p>
        </w:tc>
        <w:tc>
          <w:tcPr>
            <w:tcW w:w="1191" w:type="dxa"/>
            <w:shd w:val="clear" w:color="auto" w:fill="auto"/>
            <w:vAlign w:val="center"/>
          </w:tcPr>
          <w:p w:rsidR="00CE5838" w:rsidRPr="00AE6EDB" w:rsidRDefault="008C73F7" w:rsidP="00DE0EEC">
            <w:pPr>
              <w:jc w:val="right"/>
              <w:rPr>
                <w:szCs w:val="22"/>
              </w:rPr>
            </w:pPr>
            <w:r w:rsidRPr="00AE6EDB">
              <w:rPr>
                <w:szCs w:val="22"/>
              </w:rPr>
              <w:t>37,4</w:t>
            </w:r>
            <w:r w:rsidR="005676EF">
              <w:rPr>
                <w:szCs w:val="22"/>
              </w:rPr>
              <w:t> %</w:t>
            </w:r>
          </w:p>
        </w:tc>
      </w:tr>
      <w:tr w:rsidR="00CE5838" w:rsidRPr="00AE6EDB" w:rsidTr="00DE0EEC">
        <w:trPr>
          <w:jc w:val="center"/>
        </w:trPr>
        <w:tc>
          <w:tcPr>
            <w:tcW w:w="1645" w:type="dxa"/>
            <w:vMerge w:val="restart"/>
            <w:shd w:val="clear" w:color="auto" w:fill="auto"/>
          </w:tcPr>
          <w:p w:rsidR="00CE5838" w:rsidRPr="00AE6EDB" w:rsidRDefault="00CE5838" w:rsidP="00DE0EEC">
            <w:pPr>
              <w:pStyle w:val="tabulka"/>
              <w:rPr>
                <w:b/>
                <w:bCs w:val="0"/>
                <w:sz w:val="22"/>
                <w:szCs w:val="22"/>
              </w:rPr>
            </w:pPr>
            <w:r w:rsidRPr="00AE6EDB">
              <w:rPr>
                <w:b/>
                <w:bCs w:val="0"/>
                <w:sz w:val="22"/>
                <w:szCs w:val="22"/>
              </w:rPr>
              <w:t>na tri deti</w:t>
            </w:r>
          </w:p>
        </w:tc>
        <w:tc>
          <w:tcPr>
            <w:tcW w:w="1191" w:type="dxa"/>
            <w:shd w:val="clear" w:color="auto" w:fill="auto"/>
            <w:vAlign w:val="center"/>
          </w:tcPr>
          <w:p w:rsidR="00CE5838" w:rsidRPr="00AE6EDB" w:rsidRDefault="00CE5838" w:rsidP="006E00C3">
            <w:pPr>
              <w:jc w:val="right"/>
              <w:rPr>
                <w:szCs w:val="22"/>
              </w:rPr>
            </w:pPr>
            <w:r w:rsidRPr="00AE6EDB">
              <w:rPr>
                <w:szCs w:val="22"/>
              </w:rPr>
              <w:t>5</w:t>
            </w:r>
            <w:r w:rsidR="00AC44CB">
              <w:rPr>
                <w:szCs w:val="22"/>
              </w:rPr>
              <w:t>6 3</w:t>
            </w:r>
            <w:r w:rsidRPr="00AE6EDB">
              <w:rPr>
                <w:szCs w:val="22"/>
              </w:rPr>
              <w:t>35</w:t>
            </w:r>
          </w:p>
        </w:tc>
        <w:tc>
          <w:tcPr>
            <w:tcW w:w="1191" w:type="dxa"/>
            <w:shd w:val="clear" w:color="auto" w:fill="auto"/>
            <w:vAlign w:val="center"/>
          </w:tcPr>
          <w:p w:rsidR="00CE5838" w:rsidRPr="00AE6EDB" w:rsidRDefault="008C73F7" w:rsidP="00DE0EEC">
            <w:pPr>
              <w:jc w:val="right"/>
              <w:rPr>
                <w:szCs w:val="22"/>
              </w:rPr>
            </w:pPr>
            <w:r w:rsidRPr="00AE6EDB">
              <w:rPr>
                <w:szCs w:val="22"/>
              </w:rPr>
              <w:t>5</w:t>
            </w:r>
            <w:r w:rsidR="00AC44CB">
              <w:rPr>
                <w:szCs w:val="22"/>
              </w:rPr>
              <w:t>5 4</w:t>
            </w:r>
            <w:r w:rsidRPr="00AE6EDB">
              <w:rPr>
                <w:szCs w:val="22"/>
              </w:rPr>
              <w:t>56</w:t>
            </w:r>
          </w:p>
        </w:tc>
      </w:tr>
      <w:tr w:rsidR="00CE5838" w:rsidRPr="00AE6EDB" w:rsidTr="00DE0EEC">
        <w:trPr>
          <w:jc w:val="center"/>
        </w:trPr>
        <w:tc>
          <w:tcPr>
            <w:tcW w:w="1645" w:type="dxa"/>
            <w:vMerge/>
            <w:shd w:val="clear" w:color="auto" w:fill="auto"/>
          </w:tcPr>
          <w:p w:rsidR="00CE5838" w:rsidRPr="00AE6EDB" w:rsidRDefault="00CE5838" w:rsidP="00DE0EEC">
            <w:pPr>
              <w:pStyle w:val="tabulka"/>
              <w:rPr>
                <w:b/>
                <w:bCs w:val="0"/>
                <w:sz w:val="22"/>
                <w:szCs w:val="22"/>
              </w:rPr>
            </w:pPr>
          </w:p>
        </w:tc>
        <w:tc>
          <w:tcPr>
            <w:tcW w:w="1191" w:type="dxa"/>
            <w:shd w:val="clear" w:color="auto" w:fill="auto"/>
            <w:vAlign w:val="center"/>
          </w:tcPr>
          <w:p w:rsidR="00CE5838" w:rsidRPr="00AE6EDB" w:rsidRDefault="00CE5838" w:rsidP="006E00C3">
            <w:pPr>
              <w:jc w:val="right"/>
              <w:rPr>
                <w:szCs w:val="22"/>
              </w:rPr>
            </w:pPr>
            <w:r w:rsidRPr="00AE6EDB">
              <w:rPr>
                <w:szCs w:val="22"/>
              </w:rPr>
              <w:t>8,4</w:t>
            </w:r>
            <w:r w:rsidR="005676EF">
              <w:rPr>
                <w:szCs w:val="22"/>
              </w:rPr>
              <w:t> %</w:t>
            </w:r>
          </w:p>
        </w:tc>
        <w:tc>
          <w:tcPr>
            <w:tcW w:w="1191" w:type="dxa"/>
            <w:shd w:val="clear" w:color="auto" w:fill="auto"/>
            <w:vAlign w:val="center"/>
          </w:tcPr>
          <w:p w:rsidR="00CE5838" w:rsidRPr="00AE6EDB" w:rsidRDefault="008C73F7" w:rsidP="00DE0EEC">
            <w:pPr>
              <w:jc w:val="right"/>
              <w:rPr>
                <w:szCs w:val="22"/>
              </w:rPr>
            </w:pPr>
            <w:r w:rsidRPr="00AE6EDB">
              <w:rPr>
                <w:szCs w:val="22"/>
              </w:rPr>
              <w:t>8,4</w:t>
            </w:r>
            <w:r w:rsidR="005676EF">
              <w:rPr>
                <w:szCs w:val="22"/>
              </w:rPr>
              <w:t> %</w:t>
            </w:r>
          </w:p>
        </w:tc>
      </w:tr>
      <w:tr w:rsidR="00CE5838" w:rsidRPr="00AE6EDB" w:rsidTr="00DE0EEC">
        <w:trPr>
          <w:jc w:val="center"/>
        </w:trPr>
        <w:tc>
          <w:tcPr>
            <w:tcW w:w="1645" w:type="dxa"/>
            <w:vMerge w:val="restart"/>
            <w:shd w:val="clear" w:color="auto" w:fill="auto"/>
          </w:tcPr>
          <w:p w:rsidR="00CE5838" w:rsidRPr="00AE6EDB" w:rsidRDefault="00CE5838" w:rsidP="00DE0EEC">
            <w:pPr>
              <w:pStyle w:val="tabulka"/>
              <w:rPr>
                <w:b/>
                <w:bCs w:val="0"/>
                <w:sz w:val="22"/>
                <w:szCs w:val="22"/>
              </w:rPr>
            </w:pPr>
            <w:r w:rsidRPr="00AE6EDB">
              <w:rPr>
                <w:b/>
                <w:bCs w:val="0"/>
                <w:sz w:val="22"/>
                <w:szCs w:val="22"/>
              </w:rPr>
              <w:t>na štyri a viac detí</w:t>
            </w:r>
          </w:p>
        </w:tc>
        <w:tc>
          <w:tcPr>
            <w:tcW w:w="1191" w:type="dxa"/>
            <w:shd w:val="clear" w:color="auto" w:fill="auto"/>
            <w:vAlign w:val="center"/>
          </w:tcPr>
          <w:p w:rsidR="00CE5838" w:rsidRPr="00AE6EDB" w:rsidRDefault="00CE5838" w:rsidP="006E00C3">
            <w:pPr>
              <w:jc w:val="right"/>
              <w:rPr>
                <w:szCs w:val="22"/>
              </w:rPr>
            </w:pPr>
            <w:r w:rsidRPr="00AE6EDB">
              <w:rPr>
                <w:szCs w:val="22"/>
              </w:rPr>
              <w:t>2</w:t>
            </w:r>
            <w:r w:rsidR="0054295F">
              <w:rPr>
                <w:szCs w:val="22"/>
              </w:rPr>
              <w:t>2 3</w:t>
            </w:r>
            <w:r w:rsidRPr="00AE6EDB">
              <w:rPr>
                <w:szCs w:val="22"/>
              </w:rPr>
              <w:t>00</w:t>
            </w:r>
          </w:p>
        </w:tc>
        <w:tc>
          <w:tcPr>
            <w:tcW w:w="1191" w:type="dxa"/>
            <w:shd w:val="clear" w:color="auto" w:fill="auto"/>
            <w:vAlign w:val="center"/>
          </w:tcPr>
          <w:p w:rsidR="00CE5838" w:rsidRPr="00AE6EDB" w:rsidRDefault="008C73F7" w:rsidP="00DE0EEC">
            <w:pPr>
              <w:jc w:val="right"/>
              <w:rPr>
                <w:szCs w:val="22"/>
              </w:rPr>
            </w:pPr>
            <w:r w:rsidRPr="00AE6EDB">
              <w:rPr>
                <w:szCs w:val="22"/>
              </w:rPr>
              <w:t>2</w:t>
            </w:r>
            <w:r w:rsidR="0054295F">
              <w:rPr>
                <w:szCs w:val="22"/>
              </w:rPr>
              <w:t>1 8</w:t>
            </w:r>
            <w:r w:rsidRPr="00AE6EDB">
              <w:rPr>
                <w:szCs w:val="22"/>
              </w:rPr>
              <w:t>17</w:t>
            </w:r>
          </w:p>
        </w:tc>
      </w:tr>
      <w:tr w:rsidR="00CE5838" w:rsidRPr="00AE6EDB" w:rsidTr="00DE0EEC">
        <w:trPr>
          <w:jc w:val="center"/>
        </w:trPr>
        <w:tc>
          <w:tcPr>
            <w:tcW w:w="1645" w:type="dxa"/>
            <w:vMerge/>
            <w:shd w:val="clear" w:color="auto" w:fill="auto"/>
          </w:tcPr>
          <w:p w:rsidR="00CE5838" w:rsidRPr="00AE6EDB" w:rsidRDefault="00CE5838" w:rsidP="00DE0EEC">
            <w:pPr>
              <w:pStyle w:val="tabulka"/>
              <w:rPr>
                <w:b/>
                <w:bCs w:val="0"/>
                <w:sz w:val="22"/>
                <w:szCs w:val="22"/>
              </w:rPr>
            </w:pPr>
          </w:p>
        </w:tc>
        <w:tc>
          <w:tcPr>
            <w:tcW w:w="1191" w:type="dxa"/>
            <w:shd w:val="clear" w:color="auto" w:fill="auto"/>
            <w:vAlign w:val="center"/>
          </w:tcPr>
          <w:p w:rsidR="00CE5838" w:rsidRPr="00AE6EDB" w:rsidRDefault="00CE5838" w:rsidP="006E00C3">
            <w:pPr>
              <w:jc w:val="right"/>
              <w:rPr>
                <w:szCs w:val="22"/>
              </w:rPr>
            </w:pPr>
            <w:r w:rsidRPr="00AE6EDB">
              <w:rPr>
                <w:szCs w:val="22"/>
              </w:rPr>
              <w:t>3,3</w:t>
            </w:r>
            <w:r w:rsidR="005676EF">
              <w:rPr>
                <w:szCs w:val="22"/>
              </w:rPr>
              <w:t> %</w:t>
            </w:r>
          </w:p>
        </w:tc>
        <w:tc>
          <w:tcPr>
            <w:tcW w:w="1191" w:type="dxa"/>
            <w:shd w:val="clear" w:color="auto" w:fill="auto"/>
            <w:vAlign w:val="center"/>
          </w:tcPr>
          <w:p w:rsidR="00CE5838" w:rsidRPr="00AE6EDB" w:rsidRDefault="008C73F7" w:rsidP="00DE0EEC">
            <w:pPr>
              <w:jc w:val="right"/>
              <w:rPr>
                <w:szCs w:val="22"/>
              </w:rPr>
            </w:pPr>
            <w:r w:rsidRPr="00AE6EDB">
              <w:rPr>
                <w:szCs w:val="22"/>
              </w:rPr>
              <w:t>3,3</w:t>
            </w:r>
            <w:r w:rsidR="005676EF">
              <w:rPr>
                <w:szCs w:val="22"/>
              </w:rPr>
              <w:t> %</w:t>
            </w:r>
          </w:p>
        </w:tc>
      </w:tr>
    </w:tbl>
    <w:p w:rsidR="000A7585" w:rsidRPr="00AE6EDB" w:rsidRDefault="000A7585" w:rsidP="000A7585">
      <w:pPr>
        <w:pStyle w:val="zdroj"/>
        <w:ind w:firstLine="2694"/>
      </w:pPr>
      <w:r w:rsidRPr="00AE6EDB">
        <w:t>Zdroj: RSD MIS</w:t>
      </w:r>
    </w:p>
    <w:p w:rsidR="000A7585" w:rsidRPr="00AE6EDB" w:rsidRDefault="000A7585" w:rsidP="000A7585">
      <w:pPr>
        <w:pStyle w:val="Nadpis6"/>
      </w:pPr>
      <w:bookmarkStart w:id="579" w:name="_Toc356482700"/>
      <w:bookmarkStart w:id="580" w:name="_Toc422233425"/>
      <w:bookmarkStart w:id="581" w:name="_Toc452469882"/>
      <w:bookmarkStart w:id="582" w:name="_Toc356482701"/>
      <w:r w:rsidRPr="00AE6EDB">
        <w:t>Príplatok k prídavku na dieťa</w:t>
      </w:r>
      <w:bookmarkEnd w:id="579"/>
      <w:bookmarkEnd w:id="580"/>
      <w:bookmarkEnd w:id="581"/>
    </w:p>
    <w:p w:rsidR="000A7585" w:rsidRPr="00AE6EDB" w:rsidRDefault="000A7585" w:rsidP="000A7585">
      <w:pPr>
        <w:ind w:firstLine="431"/>
      </w:pPr>
      <w:r w:rsidRPr="00AE6EDB">
        <w:t>Zákon č. 532/2007 Z. z., ktorým sa mení a dopĺňa zákon č. 600/2003 Z. z. o prídavku na dieťa a o zmene a doplnení zákona č. 461/2003 Z. z. o sociálnom poistení a o zmene a doplnení zákona č. 599/2003 Z. z. o pomoci v hmotnej núdzi a o zmene a doplnení niektorých zákonov v znení neskorších predpisov, s účinnosťou od 1. 1. 2008 zaviedol do praxe príplatok k prídavku na dieťa, priznaný rodičom, ktorí poberajú starobný dôchodok, predčasný starobný dôchodok, invalidný dôchodok pri percentuálnom poklese schopnosti vykonávať zárobkovú činnosť o viac ako 70</w:t>
      </w:r>
      <w:r w:rsidR="005676EF">
        <w:t> %</w:t>
      </w:r>
      <w:r w:rsidRPr="00AE6EDB">
        <w:t>, alebo výsluhový dôchodok po dovŕšení veku na nárok na starobný dôchodok (62 rokov), peňažný príspevok na opatrovanie, nevykonávajú zárobkovú činnosť a nebol im priznaný daňový bonus.</w:t>
      </w:r>
    </w:p>
    <w:p w:rsidR="000A7585" w:rsidRPr="00AE6EDB" w:rsidRDefault="000A7585" w:rsidP="000A7585">
      <w:pPr>
        <w:ind w:firstLine="431"/>
      </w:pPr>
      <w:r w:rsidRPr="00AE6EDB">
        <w:t>Za oprávnenú osobu na uplatnenie nároku na príplatok k prídavku na dieťa sa považuje rodič dieťaťa alebo osoba, ktorej bolo nezaopatrené dieťa zverené do náhradnej starostlivosti.</w:t>
      </w:r>
    </w:p>
    <w:p w:rsidR="000A7585" w:rsidRPr="00AE6EDB" w:rsidRDefault="000A7585" w:rsidP="000A7585">
      <w:pPr>
        <w:ind w:firstLine="431"/>
      </w:pPr>
      <w:r w:rsidRPr="00AE6EDB">
        <w:lastRenderedPageBreak/>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rsidR="000A7585" w:rsidRPr="00AE6EDB" w:rsidRDefault="000A7585" w:rsidP="000A7585">
      <w:pPr>
        <w:ind w:firstLine="431"/>
        <w:rPr>
          <w:highlight w:val="cyan"/>
        </w:rPr>
      </w:pPr>
      <w:r w:rsidRPr="00AE6EDB">
        <w:t>Výška príplatku v roku 2015 bola 11,02</w:t>
      </w:r>
      <w:r w:rsidR="0054295F">
        <w:t> eur</w:t>
      </w:r>
      <w:r w:rsidRPr="00AE6EDB">
        <w:t xml:space="preserve">a, rovnako ako v roku 2014. Priemerný mesačný počet poberateľov príplatku k prídavku na dieťa bol </w:t>
      </w:r>
      <w:r w:rsidR="0054295F">
        <w:t>2 6</w:t>
      </w:r>
      <w:r w:rsidRPr="00AE6EDB">
        <w:t>10, čo je oproti roku 2014 pokles priemerne mesačne o 187 poberateľov (t.j. 6,7</w:t>
      </w:r>
      <w:r w:rsidR="005676EF">
        <w:t> %</w:t>
      </w:r>
      <w:r w:rsidRPr="00AE6EDB">
        <w:t>). Priemerný mesačný počet detí, na ktoré bol poberaný príplatok, sa medziročne znížil o 19</w:t>
      </w:r>
      <w:r w:rsidR="0015138E" w:rsidRPr="00AE6EDB">
        <w:t>6</w:t>
      </w:r>
      <w:r w:rsidRPr="00AE6EDB">
        <w:t xml:space="preserve"> detí na </w:t>
      </w:r>
      <w:r w:rsidR="0054295F">
        <w:t>3 2</w:t>
      </w:r>
      <w:r w:rsidRPr="00AE6EDB">
        <w:t>9</w:t>
      </w:r>
      <w:r w:rsidR="0015138E" w:rsidRPr="00AE6EDB">
        <w:t>7</w:t>
      </w:r>
      <w:r w:rsidRPr="00AE6EDB">
        <w:t xml:space="preserve"> (t.j. 5,6</w:t>
      </w:r>
      <w:r w:rsidR="005676EF">
        <w:t> %</w:t>
      </w:r>
      <w:r w:rsidRPr="00AE6EDB">
        <w:t>).</w:t>
      </w:r>
    </w:p>
    <w:p w:rsidR="000A7585" w:rsidRPr="00AE6EDB" w:rsidRDefault="000A7585" w:rsidP="000A7585">
      <w:pPr>
        <w:pStyle w:val="Nadpis6"/>
      </w:pPr>
      <w:bookmarkStart w:id="583" w:name="_Toc422233426"/>
      <w:bookmarkStart w:id="584" w:name="_Toc452469883"/>
      <w:bookmarkStart w:id="585" w:name="_Toc356482702"/>
      <w:bookmarkEnd w:id="582"/>
      <w:r w:rsidRPr="00AE6EDB">
        <w:t>Rodičovský príspevok</w:t>
      </w:r>
      <w:bookmarkEnd w:id="583"/>
      <w:bookmarkEnd w:id="584"/>
    </w:p>
    <w:p w:rsidR="000A7585" w:rsidRPr="00AE6EDB" w:rsidRDefault="000A7585" w:rsidP="000A7585">
      <w:pPr>
        <w:ind w:firstLine="431"/>
      </w:pPr>
      <w:r w:rsidRPr="00AE6EDB">
        <w:t>Rodičovský príspevok je štátna sociálna dávka, ktorou štát prispieva oprávnenej osobe na zabezpečenie riadnej starostlivosti o dieťa do troch rokov veku alebo do šesť rokov veku, ak má dieťa dlhodobo nepriaznivý zdravotný stav.</w:t>
      </w:r>
    </w:p>
    <w:p w:rsidR="000A7585" w:rsidRPr="00AE6EDB" w:rsidRDefault="000A7585" w:rsidP="000A7585">
      <w:pPr>
        <w:ind w:firstLine="431"/>
      </w:pPr>
      <w:r w:rsidRPr="00AE6EDB">
        <w:t xml:space="preserve">Na rodičovský príspevok má nárok oprávnená osoba, ak zabezpečuje riadnu starostlivosť o dieťa (osobne alebo inou plnoletou fyzickou alebo právnickou osobou), teda rodičom je umožnené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 </w:t>
      </w:r>
    </w:p>
    <w:p w:rsidR="000A7585" w:rsidRPr="00AE6EDB" w:rsidRDefault="000A7585" w:rsidP="000A7585">
      <w:pPr>
        <w:ind w:firstLine="431"/>
      </w:pPr>
      <w:r w:rsidRPr="00AE6EDB">
        <w:t>Opatrením MPSVR SR č. 451/2013 Z. z. o úprave sumy rodičovského príspevku sa v dôsledku valorizácie životného minima upravila suma rodičovského príspevku mesačne zo sumy 199,60</w:t>
      </w:r>
      <w:r w:rsidR="0054295F">
        <w:t> eur</w:t>
      </w:r>
      <w:r w:rsidRPr="00AE6EDB">
        <w:t>a v roku 2013 na sumu 203,20</w:t>
      </w:r>
      <w:r w:rsidR="0054295F">
        <w:t> eur</w:t>
      </w:r>
      <w:r w:rsidRPr="00AE6EDB">
        <w:t>a mesačne v roku 2014, suma platí aj pre 2015. V prípade, ak sa rodičom narodia súčasne dve a viac detí, rodičovský príspevok sa zvyšuje o 25</w:t>
      </w:r>
      <w:r w:rsidR="005676EF">
        <w:t> %</w:t>
      </w:r>
      <w:r w:rsidRPr="00AE6EDB">
        <w:t xml:space="preserve"> na každé ďalšie dieťa, ktoré sa narodilo súčasne. </w:t>
      </w:r>
    </w:p>
    <w:p w:rsidR="000A7585" w:rsidRPr="00AE6EDB" w:rsidRDefault="000A7585" w:rsidP="000A7585">
      <w:pPr>
        <w:ind w:firstLine="431"/>
      </w:pPr>
      <w:r w:rsidRPr="00AE6EDB">
        <w:t>Ak staršie dieťa v starostlivosti rodiča zanedbáva plnenie povinnej školskej dochádzky, t. j. v mesiaci vymešká viac ako 15 neospravedlnených vyučovacích hodín najmenej tri po sebe nasledujúce kalendárne mesiace, suma rodičovského príspevku sa znižuje na 50</w:t>
      </w:r>
      <w:r w:rsidR="005676EF">
        <w:t> %</w:t>
      </w:r>
      <w:r w:rsidRPr="00AE6EDB">
        <w:t xml:space="preserve">. Znížený rodičovský príspevok sa vypláca rodičovi počas troch kalendárnych mesiacov. </w:t>
      </w:r>
    </w:p>
    <w:p w:rsidR="000A7585" w:rsidRPr="00AE6EDB" w:rsidRDefault="000A7585" w:rsidP="000A7585">
      <w:pPr>
        <w:ind w:firstLine="431"/>
        <w:rPr>
          <w:highlight w:val="cyan"/>
        </w:rPr>
      </w:pPr>
      <w:r w:rsidRPr="00AE6EDB">
        <w:t>Vývoj počtu poberateľov rodičovského príspevku v SR v</w:t>
      </w:r>
      <w:r w:rsidR="00F56236" w:rsidRPr="00AE6EDB">
        <w:t> priebehu rokov</w:t>
      </w:r>
      <w:r w:rsidRPr="00AE6EDB">
        <w:t xml:space="preserve"> 2014 a 2015 uvádza nasledujúci graf.</w:t>
      </w:r>
    </w:p>
    <w:p w:rsidR="000A7585" w:rsidRPr="00AE6EDB" w:rsidRDefault="000A7585" w:rsidP="000A7585">
      <w:pPr>
        <w:pStyle w:val="Nadpis7"/>
      </w:pPr>
      <w:r w:rsidRPr="00AE6EDB">
        <w:t>Graf 3.3 Počet poberateľov rodičovského príspevku</w:t>
      </w:r>
      <w:bookmarkEnd w:id="585"/>
    </w:p>
    <w:p w:rsidR="000A7585" w:rsidRPr="00AE6EDB" w:rsidRDefault="000A7585" w:rsidP="000A7585">
      <w:pPr>
        <w:pStyle w:val="zdroj"/>
        <w:ind w:firstLine="0"/>
      </w:pPr>
      <w:r w:rsidRPr="00AE6EDB">
        <w:rPr>
          <w:noProof/>
        </w:rPr>
        <w:drawing>
          <wp:inline distT="0" distB="0" distL="0" distR="0" wp14:anchorId="6FF43A16" wp14:editId="07655D73">
            <wp:extent cx="5507666" cy="2413590"/>
            <wp:effectExtent l="0" t="0" r="0" b="635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E6EDB">
        <w:t>Zdroj: RSD MIS</w:t>
      </w:r>
    </w:p>
    <w:p w:rsidR="000A7585" w:rsidRPr="00AE6EDB" w:rsidRDefault="000A7585" w:rsidP="000A7585">
      <w:pPr>
        <w:ind w:firstLine="431"/>
      </w:pPr>
      <w:r w:rsidRPr="00AE6EDB">
        <w:t>V roku 2015 bol rodičovský príspevok poskytnutý priemerne 14</w:t>
      </w:r>
      <w:r w:rsidR="0054295F">
        <w:t>2 3</w:t>
      </w:r>
      <w:r w:rsidRPr="00AE6EDB">
        <w:t>91 poberateľom mesačne, čo je oproti roku 2014 pokles v priemernom mesačnom počte o 790 poberateľov (t.j. o 0,55</w:t>
      </w:r>
      <w:r w:rsidR="005676EF">
        <w:t> %</w:t>
      </w:r>
      <w:r w:rsidRPr="00AE6EDB">
        <w:t xml:space="preserve">). </w:t>
      </w:r>
    </w:p>
    <w:p w:rsidR="000A7585" w:rsidRPr="00AE6EDB" w:rsidRDefault="000A7585" w:rsidP="000A7585">
      <w:pPr>
        <w:spacing w:after="120"/>
        <w:ind w:firstLine="431"/>
        <w:rPr>
          <w:szCs w:val="22"/>
        </w:rPr>
      </w:pPr>
      <w:r w:rsidRPr="00AE6EDB">
        <w:lastRenderedPageBreak/>
        <w:t xml:space="preserve">V roku 2015 bolo na rodičovský príspevok vyplatených spolu </w:t>
      </w:r>
      <w:r w:rsidR="00144091" w:rsidRPr="00AE6EDB">
        <w:t>35</w:t>
      </w:r>
      <w:r w:rsidR="00AC44CB">
        <w:t>5 2</w:t>
      </w:r>
      <w:r w:rsidR="00144091" w:rsidRPr="00AE6EDB">
        <w:t>8</w:t>
      </w:r>
      <w:r w:rsidR="0054295F">
        <w:t>0 1</w:t>
      </w:r>
      <w:r w:rsidR="00144091" w:rsidRPr="00AE6EDB">
        <w:t>74</w:t>
      </w:r>
      <w:r w:rsidR="0054295F">
        <w:t> eur</w:t>
      </w:r>
      <w:r w:rsidRPr="00AE6EDB">
        <w:t xml:space="preserve"> (medziročný </w:t>
      </w:r>
      <w:r w:rsidR="00144091" w:rsidRPr="00AE6EDB">
        <w:t>pokles</w:t>
      </w:r>
      <w:r w:rsidRPr="00AE6EDB">
        <w:t xml:space="preserve"> o</w:t>
      </w:r>
      <w:r w:rsidR="00144091" w:rsidRPr="00AE6EDB">
        <w:t> 72</w:t>
      </w:r>
      <w:r w:rsidR="0054295F">
        <w:t>0 7</w:t>
      </w:r>
      <w:r w:rsidR="00144091" w:rsidRPr="00AE6EDB">
        <w:t>19</w:t>
      </w:r>
      <w:r w:rsidR="0054295F">
        <w:t> eur</w:t>
      </w:r>
      <w:r w:rsidRPr="00AE6EDB">
        <w:t>, t.j. o</w:t>
      </w:r>
      <w:r w:rsidR="00144091" w:rsidRPr="00AE6EDB">
        <w:t> 0,2</w:t>
      </w:r>
      <w:r w:rsidR="005676EF">
        <w:t> %</w:t>
      </w:r>
      <w:r w:rsidRPr="00AE6EDB">
        <w:t>).</w:t>
      </w:r>
      <w:r w:rsidR="00144091" w:rsidRPr="00AE6EDB">
        <w:rPr>
          <w:rStyle w:val="Odkaznapoznmkupodiarou"/>
        </w:rPr>
        <w:footnoteReference w:id="39"/>
      </w:r>
      <w:r w:rsidRPr="00AE6EDB">
        <w:t xml:space="preserve"> </w:t>
      </w:r>
    </w:p>
    <w:p w:rsidR="000A7585" w:rsidRPr="00AE6EDB" w:rsidRDefault="000A7585" w:rsidP="000A7585">
      <w:pPr>
        <w:pStyle w:val="Nadpis6"/>
      </w:pPr>
      <w:r w:rsidRPr="00AE6EDB">
        <w:t xml:space="preserve"> </w:t>
      </w:r>
      <w:bookmarkStart w:id="586" w:name="_Toc356482703"/>
      <w:bookmarkStart w:id="587" w:name="_Toc422233427"/>
      <w:bookmarkStart w:id="588" w:name="_Toc452469884"/>
      <w:r w:rsidRPr="00AE6EDB">
        <w:t>Príspevok na starostlivosť o dieťa</w:t>
      </w:r>
      <w:bookmarkEnd w:id="586"/>
      <w:bookmarkEnd w:id="587"/>
      <w:bookmarkEnd w:id="588"/>
    </w:p>
    <w:p w:rsidR="000A7585" w:rsidRPr="00AE6EDB" w:rsidRDefault="000A7585" w:rsidP="000A7585">
      <w:pPr>
        <w:spacing w:before="60"/>
        <w:ind w:firstLine="431"/>
      </w:pPr>
      <w:r w:rsidRPr="00AE6EDB">
        <w:t xml:space="preserve">Ide o sociálnu dávku určenú rodičom, ktorí začnú vykonávať </w:t>
      </w:r>
      <w:r w:rsidRPr="00AE6EDB">
        <w:rPr>
          <w:b/>
          <w:bCs/>
        </w:rPr>
        <w:t>zárobkovú činnosť</w:t>
      </w:r>
      <w:r w:rsidRPr="00AE6EDB">
        <w:t xml:space="preserve"> alebo sa vrátia späť do práce skôr, ako dieťa dovŕši vek tri roky, resp. šesť rokov, ak ide o dieťa s dlhodobo nepriaznivým zdravotným stavom a v čase výkonu pracovnej činnosti zabezpečia starostlivosť o svoje dieťa inou právnickou osobou alebo fyzickou osobou, napr. umiestením dieťaťa v zariadení (detské jasle, materská škola). Štát prispieva rodičom na výdavky za túto starostlivosť na každé dieťa vo výške preukázaných výdavkov, najviac však </w:t>
      </w:r>
      <w:r w:rsidRPr="00AE6EDB">
        <w:rPr>
          <w:b/>
          <w:bCs/>
        </w:rPr>
        <w:t>v sume 230</w:t>
      </w:r>
      <w:r w:rsidR="0054295F">
        <w:rPr>
          <w:b/>
          <w:bCs/>
        </w:rPr>
        <w:t> eur</w:t>
      </w:r>
      <w:r w:rsidRPr="00AE6EDB">
        <w:rPr>
          <w:b/>
          <w:bCs/>
        </w:rPr>
        <w:t xml:space="preserve"> mesačne</w:t>
      </w:r>
      <w:r w:rsidRPr="00AE6EDB">
        <w:t xml:space="preserve">. Ak starostlivosť o dieťa zabezpečuje fyzická osoba bez živnostenského oprávnenia, napr. príbuzný rodiča dieťaťa, výška príspevku na starostlivosť o dieťa je </w:t>
      </w:r>
      <w:r w:rsidRPr="00AE6EDB">
        <w:rPr>
          <w:b/>
          <w:bCs/>
        </w:rPr>
        <w:t>41,10</w:t>
      </w:r>
      <w:r w:rsidR="0054295F">
        <w:rPr>
          <w:b/>
          <w:bCs/>
        </w:rPr>
        <w:t> eur</w:t>
      </w:r>
      <w:r w:rsidRPr="00AE6EDB">
        <w:rPr>
          <w:b/>
          <w:bCs/>
        </w:rPr>
        <w:t>a mesačne</w:t>
      </w:r>
      <w:r w:rsidRPr="00AE6EDB">
        <w:t xml:space="preserve"> bez preukazovania výdavkov. Výšku príspevku na starostlivosť o dieťa môže vláda SR upraviť k 1. januáru kalendárneho roka nariadením. </w:t>
      </w:r>
    </w:p>
    <w:p w:rsidR="000A7585" w:rsidRPr="00AE6EDB" w:rsidRDefault="000A7585" w:rsidP="000A7585">
      <w:pPr>
        <w:spacing w:before="60"/>
        <w:ind w:firstLine="431"/>
      </w:pPr>
      <w:r w:rsidRPr="00AE6EDB">
        <w:t>Rozdelenie poberateľov a detí podľa jednotlivých typov poskytovateľov starostlivosti uvádza nasledujúci graf.</w:t>
      </w:r>
    </w:p>
    <w:p w:rsidR="000A7585" w:rsidRPr="00AE6EDB" w:rsidRDefault="000A7585" w:rsidP="000A7585">
      <w:pPr>
        <w:pStyle w:val="Nadpis7"/>
      </w:pPr>
      <w:r w:rsidRPr="00AE6EDB">
        <w:t xml:space="preserve">Graf 3.4 Prehľad počtu poberateľov, detí a finančných prostriedkov čerpaných na príspevok </w:t>
      </w:r>
      <w:r w:rsidRPr="00AE6EDB">
        <w:br/>
        <w:t>na starostlivosť o dieťa podľa poskytovateľa starostlivosti</w:t>
      </w:r>
    </w:p>
    <w:p w:rsidR="000A7585" w:rsidRPr="00AE6EDB" w:rsidRDefault="000A7585" w:rsidP="000A7585">
      <w:pPr>
        <w:spacing w:before="60"/>
        <w:ind w:firstLine="567"/>
      </w:pPr>
      <w:r w:rsidRPr="00AE6EDB">
        <w:rPr>
          <w:noProof/>
        </w:rPr>
        <w:t xml:space="preserve"> </w:t>
      </w:r>
      <w:r w:rsidR="00ED0B20" w:rsidRPr="00AE6EDB">
        <w:rPr>
          <w:noProof/>
        </w:rPr>
        <w:drawing>
          <wp:inline distT="0" distB="0" distL="0" distR="0" wp14:anchorId="56BEB734" wp14:editId="6D872918">
            <wp:extent cx="5200650" cy="27622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A7585" w:rsidRPr="00AE6EDB" w:rsidRDefault="000A7585" w:rsidP="000A7585">
      <w:pPr>
        <w:pStyle w:val="zdroj"/>
      </w:pPr>
      <w:r w:rsidRPr="00AE6EDB">
        <w:t>Zdroj: RSD MIS</w:t>
      </w:r>
    </w:p>
    <w:p w:rsidR="000A7585" w:rsidRPr="00AE6EDB" w:rsidRDefault="000A7585" w:rsidP="000A7585">
      <w:pPr>
        <w:ind w:firstLine="431"/>
      </w:pPr>
      <w:r w:rsidRPr="00AE6EDB">
        <w:t>Rodič, ktorý zabezpečuje starostlivosť o dieťa do troch rokov veku a ktorý sa rozhodne vrátiť späť do práce skôr, ako dieťa dovŕši vek tri roky sa teda môže rozhodnúť, či bude poberať rodičovský príspevok alebo požiada o príspevok na starostlivosť o dieťa, ktorý je výhodnejší v tých prípadoch, ak má rodič viac detí do troch rokov veku a ak starostlivosť o dieťa zabezpečuje prostredníctvom zariadení (napr. súkromné alebo mestské detské jasle), v ktorých mesačné poplatky presahujú 203,20</w:t>
      </w:r>
      <w:r w:rsidR="0054295F">
        <w:t> eur</w:t>
      </w:r>
      <w:r w:rsidR="00CE15D0">
        <w:t>a</w:t>
      </w:r>
      <w:r w:rsidRPr="00AE6EDB">
        <w:t xml:space="preserve">. </w:t>
      </w:r>
    </w:p>
    <w:p w:rsidR="000A7585" w:rsidRPr="00AE6EDB" w:rsidRDefault="000A7585" w:rsidP="000A7585">
      <w:pPr>
        <w:ind w:firstLine="431"/>
      </w:pPr>
      <w:r w:rsidRPr="00AE6EDB">
        <w:t xml:space="preserve">V roku 2015 bol príspevok na starostlivosť o dieťa poskytnutý priemerne mesačne </w:t>
      </w:r>
      <w:r w:rsidR="0054295F">
        <w:t>2 0</w:t>
      </w:r>
      <w:r w:rsidR="001503F5" w:rsidRPr="00AE6EDB">
        <w:t>06</w:t>
      </w:r>
      <w:r w:rsidRPr="00AE6EDB">
        <w:t> poberateľom (</w:t>
      </w:r>
      <w:r w:rsidR="001503F5" w:rsidRPr="00AE6EDB">
        <w:t>nárast</w:t>
      </w:r>
      <w:r w:rsidRPr="00AE6EDB">
        <w:t xml:space="preserve"> priemerne o </w:t>
      </w:r>
      <w:r w:rsidR="00D35FC6" w:rsidRPr="00AE6EDB">
        <w:t>5</w:t>
      </w:r>
      <w:r w:rsidR="001503F5" w:rsidRPr="00AE6EDB">
        <w:t>7</w:t>
      </w:r>
      <w:r w:rsidRPr="00AE6EDB">
        <w:t xml:space="preserve"> poberateľov mesačne oproti roku 2014, t.j. o</w:t>
      </w:r>
      <w:r w:rsidR="00D35FC6" w:rsidRPr="00AE6EDB">
        <w:t> 2,9</w:t>
      </w:r>
      <w:r w:rsidR="005676EF">
        <w:t> %</w:t>
      </w:r>
      <w:r w:rsidRPr="00AE6EDB">
        <w:t xml:space="preserve">) a spolu naň bolo vyplatených </w:t>
      </w:r>
      <w:r w:rsidR="00AC44CB">
        <w:t>5 5</w:t>
      </w:r>
      <w:r w:rsidR="00F20567" w:rsidRPr="00AE6EDB">
        <w:t>3</w:t>
      </w:r>
      <w:r w:rsidR="00AC44CB">
        <w:t>9 1</w:t>
      </w:r>
      <w:r w:rsidR="00F20567" w:rsidRPr="00AE6EDB">
        <w:t>43</w:t>
      </w:r>
      <w:r w:rsidR="0054295F">
        <w:t> eur</w:t>
      </w:r>
      <w:r w:rsidRPr="00AE6EDB">
        <w:t xml:space="preserve"> (</w:t>
      </w:r>
      <w:r w:rsidR="00F20567" w:rsidRPr="00AE6EDB">
        <w:t>nárast</w:t>
      </w:r>
      <w:r w:rsidRPr="00AE6EDB">
        <w:t xml:space="preserve"> v čerpaní o</w:t>
      </w:r>
      <w:r w:rsidR="00F20567" w:rsidRPr="00AE6EDB">
        <w:t> 0,7</w:t>
      </w:r>
      <w:r w:rsidR="005676EF">
        <w:t> %</w:t>
      </w:r>
      <w:r w:rsidRPr="00AE6EDB">
        <w:t xml:space="preserve">). </w:t>
      </w:r>
    </w:p>
    <w:p w:rsidR="000A7585" w:rsidRPr="00AE6EDB" w:rsidRDefault="000A7585" w:rsidP="000A7585">
      <w:pPr>
        <w:pStyle w:val="AAAodstavecsprava"/>
        <w:spacing w:after="0"/>
        <w:ind w:firstLine="567"/>
        <w:rPr>
          <w:color w:val="00B050"/>
          <w:sz w:val="22"/>
          <w:szCs w:val="22"/>
          <w:highlight w:val="cyan"/>
        </w:rPr>
      </w:pPr>
    </w:p>
    <w:p w:rsidR="000A7585" w:rsidRPr="00AE6EDB" w:rsidRDefault="000A7585" w:rsidP="000A7585">
      <w:pPr>
        <w:jc w:val="left"/>
        <w:rPr>
          <w:rFonts w:ascii="Times New Roman Bold" w:hAnsi="Times New Roman Bold"/>
          <w:b/>
          <w:color w:val="D83E2C" w:themeColor="accent2"/>
          <w:sz w:val="24"/>
          <w:szCs w:val="20"/>
          <w:highlight w:val="cyan"/>
          <w:lang w:eastAsia="cs-CZ"/>
        </w:rPr>
      </w:pPr>
      <w:bookmarkStart w:id="589" w:name="_Toc356482704"/>
      <w:r w:rsidRPr="00AE6EDB">
        <w:rPr>
          <w:highlight w:val="cyan"/>
        </w:rPr>
        <w:br w:type="page"/>
      </w:r>
    </w:p>
    <w:p w:rsidR="000A7585" w:rsidRPr="00AE6EDB" w:rsidRDefault="000A7585" w:rsidP="000A7585">
      <w:pPr>
        <w:pStyle w:val="Nadpis6"/>
      </w:pPr>
      <w:bookmarkStart w:id="590" w:name="_Toc452469885"/>
      <w:bookmarkEnd w:id="589"/>
      <w:r w:rsidRPr="00AE6EDB">
        <w:lastRenderedPageBreak/>
        <w:t>Príspevok pri narodení dieťaťa</w:t>
      </w:r>
      <w:bookmarkEnd w:id="590"/>
    </w:p>
    <w:p w:rsidR="00253734" w:rsidRPr="00AE6EDB" w:rsidRDefault="00DD2CDB" w:rsidP="000A7585">
      <w:pPr>
        <w:ind w:firstLine="431"/>
      </w:pPr>
      <w:bookmarkStart w:id="591" w:name="_Toc356482705"/>
      <w:r w:rsidRPr="00AE6EDB">
        <w:t>Príspevok pri narodení dieťaťa je jednorazová dávka štátnej sociálnej podpory, legislatívne upravená zákonom č. 383/2013 Z. z. o</w:t>
      </w:r>
      <w:r w:rsidR="00253734" w:rsidRPr="00AE6EDB">
        <w:t> </w:t>
      </w:r>
      <w:r w:rsidRPr="00AE6EDB">
        <w:t>pr</w:t>
      </w:r>
      <w:r w:rsidR="00253734" w:rsidRPr="00AE6EDB">
        <w:t>íspevku pri narodení dieťaťa a príspevku na viac súčasne narodených detí</w:t>
      </w:r>
      <w:r w:rsidR="00F67F7C">
        <w:t>,</w:t>
      </w:r>
      <w:r w:rsidR="00253734" w:rsidRPr="00AE6EDB">
        <w:t xml:space="preserve"> účinným od </w:t>
      </w:r>
      <w:r w:rsidR="000A7585" w:rsidRPr="00AE6EDB">
        <w:t xml:space="preserve">1.1.2014. </w:t>
      </w:r>
      <w:r w:rsidR="00253734" w:rsidRPr="00AE6EDB">
        <w:t>Dávkou štát prispieva rodičom na pokrytie výdavkov spojených so zabezpečením nevyhnutných potrieb novorodenca.</w:t>
      </w:r>
    </w:p>
    <w:p w:rsidR="000A7585" w:rsidRPr="00AE6EDB" w:rsidRDefault="00253734" w:rsidP="000A7585">
      <w:pPr>
        <w:ind w:firstLine="431"/>
      </w:pPr>
      <w:r w:rsidRPr="00AE6EDB">
        <w:t>Výška príspevku závisí od poradia pôrodu</w:t>
      </w:r>
      <w:r w:rsidR="000A7585" w:rsidRPr="00AE6EDB">
        <w:t xml:space="preserve"> – pri prvom až treťom pôrode sa vypláca suma 829,86</w:t>
      </w:r>
      <w:r w:rsidR="0054295F">
        <w:t> eur</w:t>
      </w:r>
      <w:r w:rsidR="000A7585" w:rsidRPr="00AE6EDB">
        <w:t>a a pri štvrtom a ďalšom 151,37</w:t>
      </w:r>
      <w:r w:rsidR="0054295F">
        <w:t> eur</w:t>
      </w:r>
      <w:r w:rsidR="000A7585" w:rsidRPr="00AE6EDB">
        <w:t>a.</w:t>
      </w:r>
      <w:r w:rsidRPr="00AE6EDB">
        <w:t xml:space="preserve"> Ak sa súčasne narodili dve deti alebo sa súčasne narodilo viac detí a najmenej dve z nich sa dožili 28 dní, suma príspevku </w:t>
      </w:r>
      <w:r w:rsidR="00F67F7C">
        <w:t xml:space="preserve">sa </w:t>
      </w:r>
      <w:r w:rsidRPr="00AE6EDB">
        <w:t>pri narodení dieťaťa zvyšuje o 75,69</w:t>
      </w:r>
      <w:r w:rsidR="0054295F">
        <w:t> eur</w:t>
      </w:r>
      <w:r w:rsidRPr="00AE6EDB">
        <w:t xml:space="preserve">a na každé </w:t>
      </w:r>
      <w:r w:rsidR="00AE6EDB" w:rsidRPr="00AE6EDB">
        <w:t>dieťa, ktoré</w:t>
      </w:r>
      <w:r w:rsidRPr="00AE6EDB">
        <w:t xml:space="preserve"> sa dožilo najmenej 28 dní. </w:t>
      </w:r>
    </w:p>
    <w:p w:rsidR="000A7585" w:rsidRPr="00AE6EDB" w:rsidRDefault="00253734" w:rsidP="00970440">
      <w:pPr>
        <w:ind w:firstLine="431"/>
      </w:pPr>
      <w:r w:rsidRPr="00AE6EDB">
        <w:t>Medzi podmienk</w:t>
      </w:r>
      <w:r w:rsidR="00970440" w:rsidRPr="00AE6EDB">
        <w:t>y</w:t>
      </w:r>
      <w:r w:rsidRPr="00AE6EDB">
        <w:t xml:space="preserve"> nároku okrem narodenia dieťaťa patria </w:t>
      </w:r>
      <w:r w:rsidR="00970440" w:rsidRPr="00AE6EDB">
        <w:t>medzi inými aj</w:t>
      </w:r>
      <w:r w:rsidRPr="00AE6EDB">
        <w:t xml:space="preserve"> bydlisko žiadateľa </w:t>
      </w:r>
      <w:r w:rsidR="00970440" w:rsidRPr="00AE6EDB">
        <w:t xml:space="preserve">na území SR, </w:t>
      </w:r>
      <w:r w:rsidR="000A7585" w:rsidRPr="00AE6EDB">
        <w:t>absolvovanie pravidelných mesačných preventívnych lekárskych prehliadok od štvrtého mesiaca tehotenstva do pôrodu</w:t>
      </w:r>
      <w:r w:rsidR="00970440" w:rsidRPr="00AE6EDB">
        <w:t xml:space="preserve"> a</w:t>
      </w:r>
      <w:r w:rsidR="000A7585" w:rsidRPr="00AE6EDB">
        <w:t xml:space="preserve"> uzatvorenie dohody o poskytovaní všeobecnej ambul</w:t>
      </w:r>
      <w:r w:rsidR="00970440" w:rsidRPr="00AE6EDB">
        <w:t>antnej starostlivosti pre dieťa</w:t>
      </w:r>
      <w:r w:rsidR="000A7585" w:rsidRPr="00AE6EDB">
        <w:t xml:space="preserve">. </w:t>
      </w:r>
    </w:p>
    <w:p w:rsidR="000A7585" w:rsidRPr="00AE6EDB" w:rsidRDefault="000A7585" w:rsidP="000A7585">
      <w:pPr>
        <w:pStyle w:val="Nadpis7"/>
      </w:pPr>
      <w:bookmarkStart w:id="592" w:name="_Toc356482706"/>
      <w:bookmarkEnd w:id="591"/>
      <w:r w:rsidRPr="00AE6EDB">
        <w:t>Tabuľka 3.1</w:t>
      </w:r>
      <w:r w:rsidR="00F2550D" w:rsidRPr="00AE6EDB">
        <w:t>6</w:t>
      </w:r>
      <w:r w:rsidRPr="00AE6EDB">
        <w:t xml:space="preserve"> Príspevok pri narodení dieťaťa v roku 2014 a 2015</w:t>
      </w:r>
    </w:p>
    <w:tbl>
      <w:tblPr>
        <w:tblStyle w:val="LightList-Accent1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ook w:val="04A0" w:firstRow="1" w:lastRow="0" w:firstColumn="1" w:lastColumn="0" w:noHBand="0" w:noVBand="1"/>
      </w:tblPr>
      <w:tblGrid>
        <w:gridCol w:w="754"/>
        <w:gridCol w:w="2173"/>
        <w:gridCol w:w="2176"/>
        <w:gridCol w:w="2176"/>
      </w:tblGrid>
      <w:tr w:rsidR="005A6B41" w:rsidRPr="00AE6EDB" w:rsidTr="006E00C3">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top w:val="single" w:sz="4" w:space="0" w:color="BF0000" w:themeColor="accent3" w:themeShade="BF"/>
            </w:tcBorders>
            <w:shd w:val="clear" w:color="auto" w:fill="BF0000" w:themeFill="accent3" w:themeFillShade="BF"/>
            <w:vAlign w:val="center"/>
          </w:tcPr>
          <w:p w:rsidR="005A6B41" w:rsidRPr="00AE6EDB" w:rsidRDefault="005A6B41" w:rsidP="00DE0EEC">
            <w:pPr>
              <w:jc w:val="center"/>
              <w:rPr>
                <w:color w:val="FFFFFF" w:themeColor="background1"/>
              </w:rPr>
            </w:pPr>
            <w:r w:rsidRPr="00AE6EDB">
              <w:rPr>
                <w:color w:val="FFFFFF" w:themeColor="background1"/>
              </w:rPr>
              <w:t>rok</w:t>
            </w:r>
          </w:p>
        </w:tc>
        <w:tc>
          <w:tcPr>
            <w:tcW w:w="4349" w:type="dxa"/>
            <w:gridSpan w:val="2"/>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6E00C3" w:rsidRPr="00AE6EDB" w:rsidRDefault="005A6B41" w:rsidP="00DE0EE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E6EDB">
              <w:rPr>
                <w:color w:val="FFFFFF" w:themeColor="background1"/>
              </w:rPr>
              <w:t>počet poberateľov</w:t>
            </w:r>
          </w:p>
          <w:p w:rsidR="005A6B41" w:rsidRPr="00AE6EDB" w:rsidRDefault="005A6B41" w:rsidP="00DE0EE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E6EDB">
              <w:rPr>
                <w:color w:val="FFFFFF" w:themeColor="background1"/>
              </w:rPr>
              <w:t xml:space="preserve"> príspevku pri narodení dieťaťa</w:t>
            </w:r>
          </w:p>
        </w:tc>
        <w:tc>
          <w:tcPr>
            <w:tcW w:w="2176" w:type="dxa"/>
            <w:vMerge w:val="restart"/>
            <w:tcBorders>
              <w:top w:val="single" w:sz="4" w:space="0" w:color="BF0000" w:themeColor="accent3" w:themeShade="BF"/>
            </w:tcBorders>
            <w:shd w:val="clear" w:color="auto" w:fill="BF0000" w:themeFill="accent3" w:themeFillShade="BF"/>
            <w:vAlign w:val="center"/>
          </w:tcPr>
          <w:p w:rsidR="005A6B41" w:rsidRPr="00AE6EDB" w:rsidRDefault="005A6B41" w:rsidP="00DE0EE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E6EDB">
              <w:rPr>
                <w:color w:val="FFFFFF" w:themeColor="background1"/>
              </w:rPr>
              <w:t>počet poberateľov zvýšeného príspevku</w:t>
            </w:r>
          </w:p>
        </w:tc>
      </w:tr>
      <w:tr w:rsidR="005A6B41" w:rsidRPr="00AE6EDB" w:rsidTr="005A6B41">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tcBorders>
              <w:bottom w:val="single" w:sz="6" w:space="0" w:color="BF0000" w:themeColor="accent3" w:themeShade="BF"/>
            </w:tcBorders>
            <w:shd w:val="clear" w:color="auto" w:fill="BF0000" w:themeFill="accent3" w:themeFillShade="BF"/>
            <w:vAlign w:val="center"/>
          </w:tcPr>
          <w:p w:rsidR="005A6B41" w:rsidRPr="00AE6EDB" w:rsidRDefault="005A6B41" w:rsidP="00DE0EEC">
            <w:pPr>
              <w:jc w:val="center"/>
              <w:rPr>
                <w:color w:val="FFFFFF" w:themeColor="background1"/>
              </w:rPr>
            </w:pPr>
          </w:p>
        </w:tc>
        <w:tc>
          <w:tcPr>
            <w:tcW w:w="2173"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5A6B41" w:rsidRPr="00AE6EDB" w:rsidRDefault="005A6B41" w:rsidP="005A6B41">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E6EDB">
              <w:rPr>
                <w:b/>
                <w:color w:val="FFFFFF" w:themeColor="background1"/>
              </w:rPr>
              <w:t>spolu</w:t>
            </w:r>
          </w:p>
        </w:tc>
        <w:tc>
          <w:tcPr>
            <w:tcW w:w="2176" w:type="dxa"/>
            <w:tcBorders>
              <w:top w:val="nil"/>
              <w:bottom w:val="single" w:sz="6" w:space="0" w:color="BF0000" w:themeColor="accent3" w:themeShade="BF"/>
            </w:tcBorders>
            <w:shd w:val="clear" w:color="auto" w:fill="BF0000" w:themeFill="accent3" w:themeFillShade="BF"/>
            <w:vAlign w:val="center"/>
          </w:tcPr>
          <w:p w:rsidR="005A6B41" w:rsidRPr="00AE6EDB" w:rsidRDefault="005A6B41" w:rsidP="005A6B41">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E6EDB">
              <w:rPr>
                <w:b/>
                <w:color w:val="FFFFFF" w:themeColor="background1"/>
              </w:rPr>
              <w:t>z toho vo vyššej sume</w:t>
            </w:r>
          </w:p>
        </w:tc>
        <w:tc>
          <w:tcPr>
            <w:tcW w:w="2176" w:type="dxa"/>
            <w:vMerge/>
            <w:tcBorders>
              <w:bottom w:val="single" w:sz="6" w:space="0" w:color="BF0000" w:themeColor="accent3" w:themeShade="BF"/>
            </w:tcBorders>
            <w:shd w:val="clear" w:color="auto" w:fill="BF0000" w:themeFill="accent3" w:themeFillShade="BF"/>
            <w:vAlign w:val="center"/>
          </w:tcPr>
          <w:p w:rsidR="005A6B41" w:rsidRPr="00AE6EDB" w:rsidRDefault="005A6B41" w:rsidP="00DE0EE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5A6B41" w:rsidRPr="00AE6EDB" w:rsidTr="006E00C3">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bottom w:val="single" w:sz="8" w:space="0" w:color="BF0000" w:themeColor="accent3" w:themeShade="BF"/>
            </w:tcBorders>
          </w:tcPr>
          <w:p w:rsidR="005A6B41" w:rsidRPr="00AE6EDB" w:rsidRDefault="005A6B41" w:rsidP="00DE0EEC">
            <w:pPr>
              <w:spacing w:line="226" w:lineRule="atLeast"/>
            </w:pPr>
            <w:r w:rsidRPr="00AE6EDB">
              <w:t>2014</w:t>
            </w:r>
          </w:p>
        </w:tc>
        <w:tc>
          <w:tcPr>
            <w:tcW w:w="2173" w:type="dxa"/>
            <w:tcBorders>
              <w:bottom w:val="single" w:sz="8" w:space="0" w:color="BF0000" w:themeColor="accent3" w:themeShade="BF"/>
            </w:tcBorders>
          </w:tcPr>
          <w:p w:rsidR="005A6B41" w:rsidRPr="00AE6EDB" w:rsidRDefault="005A6B41" w:rsidP="00DE0EEC">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AE6EDB">
              <w:t>5</w:t>
            </w:r>
            <w:r w:rsidR="0054295F">
              <w:t>0 4</w:t>
            </w:r>
            <w:r w:rsidRPr="00AE6EDB">
              <w:t>83</w:t>
            </w:r>
          </w:p>
        </w:tc>
        <w:tc>
          <w:tcPr>
            <w:tcW w:w="2176" w:type="dxa"/>
            <w:tcBorders>
              <w:bottom w:val="single" w:sz="8" w:space="0" w:color="BF0000" w:themeColor="accent3" w:themeShade="BF"/>
            </w:tcBorders>
          </w:tcPr>
          <w:p w:rsidR="005A6B41" w:rsidRPr="00AE6EDB" w:rsidRDefault="005A6B41" w:rsidP="00DE0EEC">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AE6EDB">
              <w:t>3</w:t>
            </w:r>
            <w:r w:rsidR="00AC44CB">
              <w:t>9 7</w:t>
            </w:r>
            <w:r w:rsidRPr="00AE6EDB">
              <w:t>26</w:t>
            </w:r>
          </w:p>
        </w:tc>
        <w:tc>
          <w:tcPr>
            <w:tcW w:w="2176" w:type="dxa"/>
            <w:tcBorders>
              <w:bottom w:val="single" w:sz="8" w:space="0" w:color="BF0000" w:themeColor="accent3" w:themeShade="BF"/>
            </w:tcBorders>
          </w:tcPr>
          <w:p w:rsidR="005A6B41" w:rsidRPr="00AE6EDB" w:rsidRDefault="005A6B41" w:rsidP="00DE0EEC">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AE6EDB">
              <w:t>627</w:t>
            </w:r>
          </w:p>
        </w:tc>
      </w:tr>
      <w:tr w:rsidR="005A6B41" w:rsidRPr="00AE6EDB" w:rsidTr="006E00C3">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8" w:space="0" w:color="BF0000" w:themeColor="accent3" w:themeShade="BF"/>
              <w:left w:val="single" w:sz="8" w:space="0" w:color="BF0000" w:themeColor="accent3" w:themeShade="BF"/>
              <w:bottom w:val="single" w:sz="8" w:space="0" w:color="BF0000" w:themeColor="accent3" w:themeShade="BF"/>
            </w:tcBorders>
          </w:tcPr>
          <w:p w:rsidR="005A6B41" w:rsidRPr="00AE6EDB" w:rsidRDefault="005A6B41" w:rsidP="00DE0EEC">
            <w:pPr>
              <w:spacing w:line="226" w:lineRule="atLeast"/>
              <w:rPr>
                <w:b w:val="0"/>
                <w:bCs w:val="0"/>
              </w:rPr>
            </w:pPr>
            <w:r w:rsidRPr="00AE6EDB">
              <w:t>2015</w:t>
            </w:r>
          </w:p>
        </w:tc>
        <w:tc>
          <w:tcPr>
            <w:tcW w:w="2173" w:type="dxa"/>
            <w:tcBorders>
              <w:top w:val="single" w:sz="8" w:space="0" w:color="BF0000" w:themeColor="accent3" w:themeShade="BF"/>
              <w:bottom w:val="single" w:sz="8" w:space="0" w:color="BF0000" w:themeColor="accent3" w:themeShade="BF"/>
            </w:tcBorders>
          </w:tcPr>
          <w:p w:rsidR="005A6B41" w:rsidRPr="00AE6EDB" w:rsidRDefault="005A6B41" w:rsidP="00F20567">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AE6EDB">
              <w:t>5</w:t>
            </w:r>
            <w:r w:rsidR="0054295F">
              <w:t>1 9</w:t>
            </w:r>
            <w:r w:rsidRPr="00AE6EDB">
              <w:t>24</w:t>
            </w:r>
          </w:p>
        </w:tc>
        <w:tc>
          <w:tcPr>
            <w:tcW w:w="2176" w:type="dxa"/>
            <w:tcBorders>
              <w:top w:val="single" w:sz="8" w:space="0" w:color="BF0000" w:themeColor="accent3" w:themeShade="BF"/>
              <w:bottom w:val="single" w:sz="8" w:space="0" w:color="BF0000" w:themeColor="accent3" w:themeShade="BF"/>
            </w:tcBorders>
          </w:tcPr>
          <w:p w:rsidR="005A6B41" w:rsidRPr="00AE6EDB" w:rsidRDefault="005A6B41" w:rsidP="00DE0EEC">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AE6EDB">
              <w:t>4</w:t>
            </w:r>
            <w:r w:rsidR="00AC44CB">
              <w:t>8 6</w:t>
            </w:r>
            <w:r w:rsidRPr="00AE6EDB">
              <w:t>48</w:t>
            </w:r>
          </w:p>
        </w:tc>
        <w:tc>
          <w:tcPr>
            <w:tcW w:w="2176" w:type="dxa"/>
            <w:tcBorders>
              <w:top w:val="single" w:sz="8" w:space="0" w:color="BF0000" w:themeColor="accent3" w:themeShade="BF"/>
              <w:bottom w:val="single" w:sz="8" w:space="0" w:color="BF0000" w:themeColor="accent3" w:themeShade="BF"/>
              <w:right w:val="single" w:sz="8" w:space="0" w:color="BF0000" w:themeColor="accent3" w:themeShade="BF"/>
            </w:tcBorders>
          </w:tcPr>
          <w:p w:rsidR="005A6B41" w:rsidRPr="00AE6EDB" w:rsidRDefault="005A6B41" w:rsidP="00DE0EEC">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AE6EDB">
              <w:t>621</w:t>
            </w:r>
          </w:p>
        </w:tc>
      </w:tr>
    </w:tbl>
    <w:p w:rsidR="000A7585" w:rsidRPr="00AE6EDB" w:rsidRDefault="000A7585" w:rsidP="000A7585">
      <w:pPr>
        <w:pStyle w:val="zdroj"/>
        <w:ind w:left="1701"/>
      </w:pPr>
      <w:r w:rsidRPr="00AE6EDB">
        <w:t>Zdroj: RSD MIS</w:t>
      </w:r>
    </w:p>
    <w:p w:rsidR="000A7585" w:rsidRPr="00AE6EDB" w:rsidRDefault="000A7585" w:rsidP="000A7585">
      <w:pPr>
        <w:ind w:firstLine="431"/>
      </w:pPr>
      <w:r w:rsidRPr="00AE6EDB">
        <w:t>V roku 2015 bol príspevok pri narodení dieťaťa poskytnutý 5</w:t>
      </w:r>
      <w:r w:rsidR="0054295F">
        <w:t>1 9</w:t>
      </w:r>
      <w:r w:rsidRPr="00AE6EDB">
        <w:t>24 poberateľom</w:t>
      </w:r>
      <w:r w:rsidR="00575B81" w:rsidRPr="00AE6EDB">
        <w:t xml:space="preserve"> na 5</w:t>
      </w:r>
      <w:r w:rsidR="0054295F">
        <w:t>2 5</w:t>
      </w:r>
      <w:r w:rsidR="00575B81" w:rsidRPr="00AE6EDB">
        <w:t>20 detí</w:t>
      </w:r>
      <w:r w:rsidRPr="00AE6EDB">
        <w:t xml:space="preserve"> </w:t>
      </w:r>
      <w:r w:rsidRPr="00AE6EDB">
        <w:br/>
        <w:t>(z toho 4</w:t>
      </w:r>
      <w:r w:rsidR="00AC44CB">
        <w:t>8 6</w:t>
      </w:r>
      <w:r w:rsidRPr="00AE6EDB">
        <w:t>48 poberateľom vo vyššej sume), čo je o </w:t>
      </w:r>
      <w:r w:rsidR="0054295F">
        <w:t>1 4</w:t>
      </w:r>
      <w:r w:rsidRPr="00AE6EDB">
        <w:t xml:space="preserve">41 poberateľov </w:t>
      </w:r>
      <w:r w:rsidR="00575B81" w:rsidRPr="00AE6EDB">
        <w:t>a </w:t>
      </w:r>
      <w:r w:rsidR="0054295F">
        <w:t>1 7</w:t>
      </w:r>
      <w:r w:rsidR="00575B81" w:rsidRPr="00AE6EDB">
        <w:t xml:space="preserve">65 detí </w:t>
      </w:r>
      <w:r w:rsidRPr="00AE6EDB">
        <w:t>viac ako v roku 2014. Finančné prostriedky vyplatené na príspevok pri narodení dieťaťa a zvýšený príspevok pri</w:t>
      </w:r>
      <w:r w:rsidR="00CE15D0">
        <w:t> </w:t>
      </w:r>
      <w:r w:rsidRPr="00AE6EDB">
        <w:t>narodení dieťaťa dosiahli sumu 4</w:t>
      </w:r>
      <w:r w:rsidR="0054295F">
        <w:t>1 4</w:t>
      </w:r>
      <w:r w:rsidR="006D1822">
        <w:t>65</w:t>
      </w:r>
      <w:r w:rsidR="00AC44CB">
        <w:t> </w:t>
      </w:r>
      <w:r w:rsidR="006D1822">
        <w:t>512</w:t>
      </w:r>
      <w:r w:rsidR="0054295F">
        <w:t> eur</w:t>
      </w:r>
      <w:r w:rsidRPr="00AE6EDB">
        <w:t>, čo je o</w:t>
      </w:r>
      <w:r w:rsidR="00B00B8E" w:rsidRPr="00AE6EDB">
        <w:t> </w:t>
      </w:r>
      <w:r w:rsidRPr="00AE6EDB">
        <w:t>6</w:t>
      </w:r>
      <w:r w:rsidR="006D1822">
        <w:t>13</w:t>
      </w:r>
      <w:r w:rsidR="0054295F">
        <w:t> </w:t>
      </w:r>
      <w:r w:rsidR="006D1822">
        <w:t>042</w:t>
      </w:r>
      <w:r w:rsidR="0054295F">
        <w:t> eur</w:t>
      </w:r>
      <w:r w:rsidRPr="00AE6EDB">
        <w:t xml:space="preserve"> menej ako v roku 2014 (pokles o 1,4</w:t>
      </w:r>
      <w:r w:rsidR="006D1822">
        <w:t>6</w:t>
      </w:r>
      <w:r w:rsidR="005676EF">
        <w:t> %</w:t>
      </w:r>
      <w:r w:rsidRPr="00AE6EDB">
        <w:t>)</w:t>
      </w:r>
      <w:r w:rsidR="00A33BBA" w:rsidRPr="00AE6EDB">
        <w:rPr>
          <w:rStyle w:val="Odkaznapoznmkupodiarou"/>
        </w:rPr>
        <w:footnoteReference w:id="40"/>
      </w:r>
      <w:r w:rsidRPr="00AE6EDB">
        <w:t>.</w:t>
      </w:r>
    </w:p>
    <w:p w:rsidR="000A7585" w:rsidRPr="00AE6EDB" w:rsidRDefault="000A7585" w:rsidP="000A7585">
      <w:pPr>
        <w:pStyle w:val="Nadpis6"/>
      </w:pPr>
      <w:bookmarkStart w:id="593" w:name="_Toc452469886"/>
      <w:bookmarkStart w:id="594" w:name="_Toc356482707"/>
      <w:bookmarkEnd w:id="592"/>
      <w:r w:rsidRPr="00AE6EDB">
        <w:t>Príspevok na viac súčasne narodených detí</w:t>
      </w:r>
      <w:bookmarkEnd w:id="593"/>
    </w:p>
    <w:p w:rsidR="000A7585" w:rsidRPr="00AE6EDB" w:rsidRDefault="000A7585" w:rsidP="000A7585">
      <w:pPr>
        <w:pStyle w:val="AAAodstavecsprava"/>
        <w:spacing w:after="0"/>
        <w:ind w:firstLine="431"/>
        <w:rPr>
          <w:sz w:val="22"/>
          <w:szCs w:val="22"/>
          <w:lang w:eastAsia="sk-SK"/>
        </w:rPr>
      </w:pPr>
      <w:r w:rsidRPr="00AE6EDB">
        <w:rPr>
          <w:sz w:val="22"/>
          <w:szCs w:val="22"/>
          <w:lang w:eastAsia="sk-SK"/>
        </w:rPr>
        <w:t>Príspevok rodičom, ktorým sa súčasne narodili tri deti alebo viac detí alebo ktorým sa v priebehu dvoch rokov opakovane narodili dvojčatá, je dávka štátnej sociálnej podpory, ktorou štát prispieva raz za rok rodičom alebo oprávneným osobám na zvýšené výdavky spojené so starostlivosťou o súčasne narodené 3 deti alebo viac detí alebo o opakovane narodené dvojčatá alebo viac detí súčasne v priebehu dvoch rokov.</w:t>
      </w:r>
    </w:p>
    <w:p w:rsidR="000A7585" w:rsidRPr="00AE6EDB" w:rsidRDefault="000A7585" w:rsidP="000A7585">
      <w:pPr>
        <w:pStyle w:val="AAAodstavecsprava"/>
        <w:spacing w:after="0"/>
        <w:ind w:firstLine="431"/>
        <w:rPr>
          <w:sz w:val="22"/>
          <w:szCs w:val="22"/>
          <w:lang w:eastAsia="sk-SK"/>
        </w:rPr>
      </w:pPr>
      <w:r w:rsidRPr="00AE6EDB">
        <w:rPr>
          <w:sz w:val="22"/>
          <w:szCs w:val="22"/>
          <w:lang w:eastAsia="sk-SK"/>
        </w:rPr>
        <w:t>Zákonom č. 383/2013 Z. z. o príspevku pri narodení dieťaťa a príspevku na viac súčasne narodených detí sa s účinnosťou od 1. januára 2014 upravila suma príspevku bez ohľadu na vek detí, a to na výšku 110,36</w:t>
      </w:r>
      <w:r w:rsidR="0054295F">
        <w:rPr>
          <w:sz w:val="22"/>
          <w:szCs w:val="22"/>
          <w:lang w:eastAsia="sk-SK"/>
        </w:rPr>
        <w:t> eur</w:t>
      </w:r>
      <w:r w:rsidRPr="00AE6EDB">
        <w:rPr>
          <w:sz w:val="22"/>
          <w:szCs w:val="22"/>
          <w:lang w:eastAsia="sk-SK"/>
        </w:rPr>
        <w:t>a na každé dieťa. Najmenej tri z detí však musia byť vo veku najviac 15</w:t>
      </w:r>
      <w:r w:rsidR="00CE15D0">
        <w:rPr>
          <w:sz w:val="22"/>
          <w:szCs w:val="22"/>
          <w:lang w:eastAsia="sk-SK"/>
        </w:rPr>
        <w:t> </w:t>
      </w:r>
      <w:r w:rsidRPr="00AE6EDB">
        <w:rPr>
          <w:sz w:val="22"/>
          <w:szCs w:val="22"/>
          <w:lang w:eastAsia="sk-SK"/>
        </w:rPr>
        <w:t>rokov, pritom sa sleduje veková hranica detí, ktoré sa narodili prvé v poradí.</w:t>
      </w:r>
    </w:p>
    <w:p w:rsidR="000A7585" w:rsidRPr="00AE6EDB" w:rsidRDefault="000A7585" w:rsidP="000A7585">
      <w:pPr>
        <w:ind w:firstLine="431"/>
        <w:rPr>
          <w:szCs w:val="22"/>
        </w:rPr>
      </w:pPr>
      <w:bookmarkStart w:id="595" w:name="_Toc356482708"/>
      <w:bookmarkEnd w:id="594"/>
      <w:r w:rsidRPr="00AE6EDB">
        <w:rPr>
          <w:szCs w:val="22"/>
        </w:rPr>
        <w:t xml:space="preserve">V roku 2015 </w:t>
      </w:r>
      <w:r w:rsidR="00A33BBA" w:rsidRPr="00AE6EDB">
        <w:rPr>
          <w:szCs w:val="22"/>
        </w:rPr>
        <w:t>príspevok poberalo</w:t>
      </w:r>
      <w:r w:rsidRPr="00AE6EDB">
        <w:rPr>
          <w:szCs w:val="22"/>
        </w:rPr>
        <w:t xml:space="preserve"> 13</w:t>
      </w:r>
      <w:r w:rsidR="00D21D65" w:rsidRPr="00AE6EDB">
        <w:rPr>
          <w:szCs w:val="22"/>
        </w:rPr>
        <w:t>3</w:t>
      </w:r>
      <w:r w:rsidRPr="00AE6EDB">
        <w:rPr>
          <w:szCs w:val="22"/>
        </w:rPr>
        <w:t xml:space="preserve"> poberateľov </w:t>
      </w:r>
      <w:r w:rsidR="00A33BBA" w:rsidRPr="00AE6EDB">
        <w:rPr>
          <w:szCs w:val="22"/>
        </w:rPr>
        <w:t xml:space="preserve">na 427 detí (medziročný pokles </w:t>
      </w:r>
      <w:r w:rsidR="00CE15D0">
        <w:rPr>
          <w:szCs w:val="22"/>
        </w:rPr>
        <w:br/>
      </w:r>
      <w:r w:rsidR="00A33BBA" w:rsidRPr="00AE6EDB">
        <w:rPr>
          <w:szCs w:val="22"/>
        </w:rPr>
        <w:t>o 6 poberateľov a nárast o 2 deti)</w:t>
      </w:r>
      <w:r w:rsidRPr="00AE6EDB">
        <w:rPr>
          <w:szCs w:val="22"/>
        </w:rPr>
        <w:t>. Spolu bolo na</w:t>
      </w:r>
      <w:r w:rsidR="00921785" w:rsidRPr="00AE6EDB">
        <w:rPr>
          <w:szCs w:val="22"/>
        </w:rPr>
        <w:t> </w:t>
      </w:r>
      <w:r w:rsidRPr="00AE6EDB">
        <w:rPr>
          <w:szCs w:val="22"/>
        </w:rPr>
        <w:t>príspevok vynaložených 4</w:t>
      </w:r>
      <w:r w:rsidR="00AC44CB">
        <w:rPr>
          <w:szCs w:val="22"/>
        </w:rPr>
        <w:t>7 7</w:t>
      </w:r>
      <w:r w:rsidRPr="00AE6EDB">
        <w:rPr>
          <w:szCs w:val="22"/>
        </w:rPr>
        <w:t>86</w:t>
      </w:r>
      <w:r w:rsidR="0054295F">
        <w:rPr>
          <w:szCs w:val="22"/>
        </w:rPr>
        <w:t> eur</w:t>
      </w:r>
      <w:r w:rsidRPr="00AE6EDB">
        <w:rPr>
          <w:szCs w:val="22"/>
        </w:rPr>
        <w:t xml:space="preserve"> (nárast o </w:t>
      </w:r>
      <w:r w:rsidR="0054295F">
        <w:rPr>
          <w:szCs w:val="22"/>
        </w:rPr>
        <w:t>1 2</w:t>
      </w:r>
      <w:r w:rsidRPr="00AE6EDB">
        <w:rPr>
          <w:szCs w:val="22"/>
        </w:rPr>
        <w:t>84</w:t>
      </w:r>
      <w:r w:rsidR="0054295F">
        <w:rPr>
          <w:szCs w:val="22"/>
        </w:rPr>
        <w:t> eur</w:t>
      </w:r>
      <w:r w:rsidRPr="00AE6EDB">
        <w:rPr>
          <w:szCs w:val="22"/>
        </w:rPr>
        <w:t>, resp. o 2,8</w:t>
      </w:r>
      <w:r w:rsidR="00411759">
        <w:rPr>
          <w:szCs w:val="22"/>
        </w:rPr>
        <w:t> </w:t>
      </w:r>
      <w:r w:rsidRPr="00AE6EDB">
        <w:rPr>
          <w:szCs w:val="22"/>
        </w:rPr>
        <w:t>%).</w:t>
      </w:r>
    </w:p>
    <w:p w:rsidR="000A7585" w:rsidRPr="00AE6EDB" w:rsidRDefault="000A7585" w:rsidP="000A7585">
      <w:pPr>
        <w:pStyle w:val="Nadpis6"/>
      </w:pPr>
      <w:bookmarkStart w:id="596" w:name="_Toc452469887"/>
      <w:r w:rsidRPr="00AE6EDB">
        <w:t>Príspevok na pohreb</w:t>
      </w:r>
      <w:bookmarkEnd w:id="595"/>
      <w:bookmarkEnd w:id="596"/>
      <w:r w:rsidRPr="00AE6EDB">
        <w:t xml:space="preserve"> </w:t>
      </w:r>
    </w:p>
    <w:p w:rsidR="000A7585" w:rsidRPr="00AE6EDB" w:rsidRDefault="000A7585" w:rsidP="000A7585">
      <w:pPr>
        <w:ind w:firstLine="431"/>
      </w:pPr>
      <w:bookmarkStart w:id="597" w:name="_Toc356482709"/>
      <w:bookmarkStart w:id="598" w:name="_Toc356482817"/>
      <w:r w:rsidRPr="00AE6EDB">
        <w:t xml:space="preserve">Príspevok na pohreb je s účinnosťou od 1. januára 1999 </w:t>
      </w:r>
      <w:r w:rsidRPr="00AE6EDB">
        <w:rPr>
          <w:i/>
        </w:rPr>
        <w:t xml:space="preserve">jednorazová </w:t>
      </w:r>
      <w:r w:rsidRPr="00AE6EDB">
        <w:t>dávka štátnej sociálnej podpory, legislatívne upravená zákonom č.238/1998 Z. z. o príspevku na pohreb. Uvedenou dávkou štát finančne prispieva na úhradu výdavkov spojených so zabezpečením pohrebu zomrelého.</w:t>
      </w:r>
    </w:p>
    <w:p w:rsidR="000A7585" w:rsidRPr="00AE6EDB" w:rsidRDefault="000A7585" w:rsidP="000A7585">
      <w:pPr>
        <w:ind w:firstLine="431"/>
      </w:pPr>
      <w:r w:rsidRPr="00AE6EDB">
        <w:lastRenderedPageBreak/>
        <w:t xml:space="preserve">V roku 2015 ostala výška príspevku na pohreb nezmenená, a to </w:t>
      </w:r>
      <w:r w:rsidRPr="00AE6EDB">
        <w:rPr>
          <w:b/>
          <w:bCs/>
        </w:rPr>
        <w:t>79,67</w:t>
      </w:r>
      <w:r w:rsidR="0054295F">
        <w:rPr>
          <w:b/>
          <w:bCs/>
        </w:rPr>
        <w:t> eur</w:t>
      </w:r>
      <w:r w:rsidRPr="00AE6EDB">
        <w:rPr>
          <w:b/>
          <w:bCs/>
        </w:rPr>
        <w:t>a</w:t>
      </w:r>
      <w:r w:rsidRPr="00AE6EDB">
        <w:t>. Príspevok bol v roku 2015 vyplatený spolu 5</w:t>
      </w:r>
      <w:r w:rsidR="0054295F">
        <w:t>0 6</w:t>
      </w:r>
      <w:r w:rsidRPr="00AE6EDB">
        <w:t>25 občanom, čo je o </w:t>
      </w:r>
      <w:r w:rsidR="0054295F">
        <w:t>1 9</w:t>
      </w:r>
      <w:r w:rsidRPr="00AE6EDB">
        <w:t>22 poberateľov viac ako v roku 2014 (nárast</w:t>
      </w:r>
      <w:r w:rsidR="001C72AB" w:rsidRPr="00AE6EDB">
        <w:t xml:space="preserve"> </w:t>
      </w:r>
      <w:r w:rsidRPr="00AE6EDB">
        <w:t>o 3,95</w:t>
      </w:r>
      <w:r w:rsidR="005676EF">
        <w:t> %</w:t>
      </w:r>
      <w:r w:rsidRPr="00AE6EDB">
        <w:t xml:space="preserve">). </w:t>
      </w:r>
    </w:p>
    <w:p w:rsidR="000A7585" w:rsidRPr="00AE6EDB" w:rsidRDefault="000A7585" w:rsidP="000A7585">
      <w:pPr>
        <w:ind w:firstLine="431"/>
        <w:rPr>
          <w:highlight w:val="cyan"/>
        </w:rPr>
      </w:pPr>
      <w:r w:rsidRPr="00AE6EDB">
        <w:t xml:space="preserve">Finančné prostriedky vyplatené na tento príspevok dosiahli sumu </w:t>
      </w:r>
      <w:r w:rsidR="0054295F">
        <w:t>4 0</w:t>
      </w:r>
      <w:r w:rsidR="006D1822">
        <w:t>68 827</w:t>
      </w:r>
      <w:r w:rsidR="0054295F">
        <w:t> eur</w:t>
      </w:r>
      <w:r w:rsidRPr="00AE6EDB">
        <w:t xml:space="preserve"> </w:t>
      </w:r>
      <w:r w:rsidRPr="00AE6EDB">
        <w:rPr>
          <w:szCs w:val="22"/>
        </w:rPr>
        <w:t>(medziročný nárast o</w:t>
      </w:r>
      <w:r w:rsidR="00C41DC8">
        <w:rPr>
          <w:szCs w:val="22"/>
        </w:rPr>
        <w:t> </w:t>
      </w:r>
      <w:r w:rsidRPr="00AE6EDB">
        <w:rPr>
          <w:szCs w:val="22"/>
        </w:rPr>
        <w:t>1</w:t>
      </w:r>
      <w:r w:rsidR="00C41DC8">
        <w:rPr>
          <w:szCs w:val="22"/>
        </w:rPr>
        <w:t>62 138</w:t>
      </w:r>
      <w:r w:rsidR="0054295F">
        <w:rPr>
          <w:szCs w:val="22"/>
        </w:rPr>
        <w:t> eur</w:t>
      </w:r>
      <w:r w:rsidRPr="00AE6EDB">
        <w:rPr>
          <w:szCs w:val="22"/>
        </w:rPr>
        <w:t>, t.j. 4,1</w:t>
      </w:r>
      <w:r w:rsidR="00C41DC8">
        <w:rPr>
          <w:szCs w:val="22"/>
        </w:rPr>
        <w:t>5</w:t>
      </w:r>
      <w:r w:rsidR="005676EF">
        <w:rPr>
          <w:szCs w:val="22"/>
        </w:rPr>
        <w:t> %</w:t>
      </w:r>
      <w:r w:rsidRPr="00AE6EDB">
        <w:rPr>
          <w:szCs w:val="22"/>
        </w:rPr>
        <w:t>)</w:t>
      </w:r>
      <w:r w:rsidR="00C41DC8">
        <w:rPr>
          <w:rStyle w:val="Odkaznapoznmkupodiarou"/>
          <w:szCs w:val="22"/>
        </w:rPr>
        <w:footnoteReference w:id="41"/>
      </w:r>
      <w:r w:rsidRPr="00AE6EDB">
        <w:t>. Počet poberateľov príspevku je ovplyvnený len demografickým ukazovateľom – úmrtnosťou obyvateľov, ktorí majú na území Slovenskej republiky trvalý alebo prechodný pobyt.</w:t>
      </w:r>
    </w:p>
    <w:p w:rsidR="000A7585" w:rsidRPr="00AE6EDB" w:rsidRDefault="000A7585" w:rsidP="000A7585">
      <w:pPr>
        <w:jc w:val="left"/>
        <w:rPr>
          <w:rFonts w:ascii="Times New Roman Bold" w:hAnsi="Times New Roman Bold"/>
          <w:b/>
          <w:bCs/>
          <w:iCs/>
          <w:color w:val="365F91"/>
          <w:sz w:val="28"/>
          <w:szCs w:val="22"/>
          <w:highlight w:val="cyan"/>
          <w:lang w:eastAsia="cs-CZ"/>
        </w:rPr>
      </w:pPr>
      <w:r w:rsidRPr="00AE6EDB">
        <w:rPr>
          <w:highlight w:val="cyan"/>
        </w:rPr>
        <w:br w:type="page"/>
      </w:r>
    </w:p>
    <w:p w:rsidR="000A7585" w:rsidRPr="00AE6EDB" w:rsidRDefault="000A7585" w:rsidP="000A7585">
      <w:pPr>
        <w:pStyle w:val="nadpis2"/>
      </w:pPr>
      <w:bookmarkStart w:id="599" w:name="_Toc326217040"/>
      <w:bookmarkStart w:id="600" w:name="_Toc452469888"/>
      <w:bookmarkStart w:id="601" w:name="_Toc294027393"/>
      <w:bookmarkStart w:id="602" w:name="_Toc294029632"/>
      <w:bookmarkStart w:id="603" w:name="_Toc313879123"/>
      <w:bookmarkStart w:id="604" w:name="_Toc325438199"/>
      <w:bookmarkStart w:id="605" w:name="_Toc325440968"/>
      <w:bookmarkStart w:id="606" w:name="_Toc325626781"/>
      <w:bookmarkStart w:id="607" w:name="_Toc326217042"/>
      <w:bookmarkEnd w:id="597"/>
      <w:bookmarkEnd w:id="598"/>
      <w:r w:rsidRPr="00AE6EDB">
        <w:lastRenderedPageBreak/>
        <w:t>Sociálna pomoc</w:t>
      </w:r>
      <w:bookmarkEnd w:id="599"/>
      <w:bookmarkEnd w:id="600"/>
      <w:r w:rsidRPr="00AE6EDB">
        <w:t xml:space="preserve"> </w:t>
      </w:r>
    </w:p>
    <w:p w:rsidR="000A7585" w:rsidRPr="00AE6EDB" w:rsidRDefault="000A7585" w:rsidP="000A7585">
      <w:pPr>
        <w:ind w:firstLine="431"/>
        <w:rPr>
          <w:lang w:eastAsia="en-US"/>
        </w:rPr>
      </w:pPr>
      <w:r w:rsidRPr="00AE6EDB">
        <w:rPr>
          <w:lang w:eastAsia="en-US"/>
        </w:rPr>
        <w:t>Nasledujúca kapitola obsahuje prehľad o poskytovaní sociálnej pomoci prostredníctvom pomoci v hmotnej núdzi, kompenzácií sociálnych dôsledkov ťažkého zdravotného postihnutia, podpory náhradnej starostlivosti o</w:t>
      </w:r>
      <w:r w:rsidR="00253FA5">
        <w:rPr>
          <w:lang w:eastAsia="en-US"/>
        </w:rPr>
        <w:t> </w:t>
      </w:r>
      <w:r w:rsidRPr="00AE6EDB">
        <w:rPr>
          <w:lang w:eastAsia="en-US"/>
        </w:rPr>
        <w:t>deti</w:t>
      </w:r>
      <w:r w:rsidR="00253FA5">
        <w:rPr>
          <w:lang w:eastAsia="en-US"/>
        </w:rPr>
        <w:t xml:space="preserve"> a </w:t>
      </w:r>
      <w:r w:rsidRPr="00AE6EDB">
        <w:rPr>
          <w:lang w:eastAsia="en-US"/>
        </w:rPr>
        <w:t xml:space="preserve"> pod., ako aj výdavkov vynaložených na jej zabezpečenie v rámci rozpočtovej kapitoly MPSVR SR</w:t>
      </w:r>
      <w:r w:rsidR="00253FA5">
        <w:rPr>
          <w:lang w:eastAsia="en-US"/>
        </w:rPr>
        <w:t xml:space="preserve"> </w:t>
      </w:r>
      <w:r w:rsidRPr="00AE6EDB">
        <w:rPr>
          <w:lang w:eastAsia="en-US"/>
        </w:rPr>
        <w:t xml:space="preserve"> (viď tabuľka 37, príloha ku kapitole 3). </w:t>
      </w:r>
    </w:p>
    <w:p w:rsidR="000A7585" w:rsidRPr="00AE6EDB" w:rsidRDefault="000A7585" w:rsidP="000A7585">
      <w:pPr>
        <w:ind w:firstLine="431"/>
        <w:rPr>
          <w:lang w:eastAsia="en-US"/>
        </w:rPr>
      </w:pPr>
      <w:r w:rsidRPr="00AE6EDB">
        <w:rPr>
          <w:lang w:eastAsia="en-US"/>
        </w:rPr>
        <w:t xml:space="preserve">Vplyv na vývoj situácie v rámci systému sociálnej pomoci, pozostávajúceho z vyššie uvedených oblastí, ale aj štátnych sociálnych dávok, má aj úprava súm životného minima v zmysle zákona č. 601/2003 Z. z. o životnom minime a o zmene a doplnení niektorých zákonov v znení neskorších predpisov. Vzhľadom na vývoj indexov, ktorými sa upravujú sumy životného minima podľa taxatívne vymedzených pravidiel daných citovaným zákonom, bola s účinnosťou od 1. júla 2014 prijatá úprava mechanizmu valorizácie súm životného minima. Systém valorizácie súm životného minima bol nastavený tak, aby nedošlo k zníženiu životnej úrovne obyvateľstva, predovšetkým poberateľov jednotlivých dávok v rámci sociálnej pomoci, ako aj štátnych sociálnych dávok či iných systémových opatrení dotýkajúcich sa širokej skupiny obyvateľstva. </w:t>
      </w:r>
    </w:p>
    <w:p w:rsidR="000A7585" w:rsidRPr="00AE6EDB" w:rsidRDefault="000A7585" w:rsidP="000A7585">
      <w:pPr>
        <w:pStyle w:val="Nadpis6"/>
      </w:pPr>
      <w:bookmarkStart w:id="608" w:name="_Toc452469889"/>
      <w:r w:rsidRPr="00AE6EDB">
        <w:t>Pomoc v hmotnej núdzi</w:t>
      </w:r>
      <w:bookmarkEnd w:id="608"/>
      <w:r w:rsidRPr="00AE6EDB">
        <w:t xml:space="preserve"> </w:t>
      </w:r>
    </w:p>
    <w:p w:rsidR="000A7585" w:rsidRPr="00AE6EDB" w:rsidRDefault="000A7585" w:rsidP="000A7585">
      <w:pPr>
        <w:ind w:firstLine="431"/>
        <w:rPr>
          <w:rStyle w:val="Textzstupnhosymbolu"/>
          <w:color w:val="000000"/>
        </w:rPr>
      </w:pPr>
      <w:bookmarkStart w:id="609" w:name="_Toc356482722"/>
      <w:bookmarkEnd w:id="601"/>
      <w:bookmarkEnd w:id="602"/>
      <w:bookmarkEnd w:id="603"/>
      <w:bookmarkEnd w:id="604"/>
      <w:bookmarkEnd w:id="605"/>
      <w:bookmarkEnd w:id="606"/>
      <w:bookmarkEnd w:id="607"/>
      <w:r w:rsidRPr="00AE6EDB">
        <w:t>S účinnosťou od 1. januára 2014 sa pomoc v hmotnej núdzi upravuje zákonom č. 417/2013 Z. z. o pomoci v hmotnej núdzi a o zmene a doplnení niektorých zákonov v znení neskorších predpisov. Zákon vychádza z filozofie motivácie a aktívnej účasti členov domácností na riešení svojej nepriaznivej sociálnej situácie. Cieľom zákona je zabezpečiť adresnosť, zásluhovosť</w:t>
      </w:r>
      <w:r w:rsidR="00253FA5">
        <w:t>,</w:t>
      </w:r>
      <w:r w:rsidRPr="00AE6EDB">
        <w:t xml:space="preserve"> ako aj ochranu tých, ktorí si vlastným pričinením nemôžu alebo nevedia zabezpečiť alebo zvýšiť príjem vlastnou prácou,</w:t>
      </w:r>
      <w:r w:rsidRPr="00AE6EDB">
        <w:rPr>
          <w:rStyle w:val="Textzstupnhosymbolu"/>
          <w:color w:val="000000"/>
        </w:rPr>
        <w:t xml:space="preserve"> pričom sa vychádza z ústavnej garancie zabezpečenia základných životných podmienok. Paralelným cieľom je aj motivovať dlhodobo nezamestnané osoby, ktorým sa poskytuje pomoc v hmotnej núdzi, uplatniť sa na trhu práce resp. zamestnať sa aj za nižšiu mzdu. </w:t>
      </w:r>
      <w:r w:rsidR="00880215" w:rsidRPr="00AE6EDB">
        <w:rPr>
          <w:rStyle w:val="Textzstupnhosymbolu"/>
          <w:color w:val="000000"/>
        </w:rPr>
        <w:t>Predmetom zákona je poskytovanie pomoci v hmotnej núdzi, osobitného príspevku a jednorazovej dávky</w:t>
      </w:r>
      <w:r w:rsidRPr="00AE6EDB">
        <w:rPr>
          <w:rStyle w:val="Textzstupnhosymbolu"/>
          <w:color w:val="000000"/>
        </w:rPr>
        <w:t xml:space="preserve">. </w:t>
      </w:r>
    </w:p>
    <w:p w:rsidR="000A7585" w:rsidRPr="00AE6EDB" w:rsidRDefault="000A7585" w:rsidP="000A7585">
      <w:pPr>
        <w:ind w:firstLine="431"/>
      </w:pPr>
      <w:r w:rsidRPr="00AE6EDB">
        <w:t xml:space="preserve">Pomoc v hmotnej núdzi je dávka v hmotnej núdzi stanovená na šiestich úrovniach, ochranný príspevok, aktivačný príspevok, príspevok na nezaopatrené dieťa a príspevok na bývanie. Poskytuje sa domácnosti v hmotnej núdzi za taxatívne vymedzených podmienok v citovanom zákone o pomoci v hmotnej núdzi. </w:t>
      </w:r>
    </w:p>
    <w:p w:rsidR="00880215" w:rsidRPr="00AE6EDB" w:rsidRDefault="00880215" w:rsidP="000A7585">
      <w:pPr>
        <w:ind w:firstLine="431"/>
      </w:pPr>
      <w:r w:rsidRPr="00AE6EDB">
        <w:t xml:space="preserve">S účinnosťou od 1. januára 2015 sa upravili podmienky nároku na osobitný príspevok zavedením možnosti súbehu pomoci v hmotnej núdzi, príjmu zo zamestnania a osobitného príspevku. Predmetné opatrenie sa zameriava na motiváciu dlhodobo nezamestnaných a dlhodobo </w:t>
      </w:r>
      <w:r w:rsidR="00AE6EDB" w:rsidRPr="00AE6EDB">
        <w:t>neaktívnych</w:t>
      </w:r>
      <w:r w:rsidRPr="00AE6EDB">
        <w:t xml:space="preserve"> osôb v systéme pomoci v hmotnej núdzi uplatniť sa na trhu práce, resp. vrátiť sa na trh práce. Príjemca pomoci v hmotnej núdzi, ktorý sa zamestná a jeho príjem je v rozsahu od polovice minimálnej mzdy do dvojnásobku minimálnej mzdy</w:t>
      </w:r>
      <w:r w:rsidR="007B5C4D" w:rsidRPr="00AE6EDB">
        <w:t>, môže počas dvanástich mesiacov poberať osobitný príspevok súbežne so mzdou (6 mesiacov v sume 126,14</w:t>
      </w:r>
      <w:r w:rsidR="0054295F">
        <w:t> eur</w:t>
      </w:r>
      <w:r w:rsidR="007B5C4D" w:rsidRPr="00AE6EDB">
        <w:t>a a 6 mesiacov v sume 63,07</w:t>
      </w:r>
      <w:r w:rsidR="0054295F">
        <w:t> eur</w:t>
      </w:r>
      <w:r w:rsidR="007B5C4D" w:rsidRPr="00AE6EDB">
        <w:t>a).</w:t>
      </w:r>
    </w:p>
    <w:p w:rsidR="000A7585" w:rsidRPr="00AE6EDB" w:rsidRDefault="000A7585" w:rsidP="000A7585">
      <w:pPr>
        <w:jc w:val="left"/>
        <w:rPr>
          <w:b/>
          <w:i/>
          <w:highlight w:val="cyan"/>
        </w:rPr>
      </w:pPr>
      <w:r w:rsidRPr="00AE6EDB">
        <w:rPr>
          <w:i/>
          <w:highlight w:val="cyan"/>
        </w:rPr>
        <w:br w:type="page"/>
      </w:r>
    </w:p>
    <w:p w:rsidR="000A7585" w:rsidRPr="00AE6EDB" w:rsidRDefault="000A7585" w:rsidP="000A7585">
      <w:pPr>
        <w:pStyle w:val="Nadpis7"/>
        <w:rPr>
          <w:i/>
        </w:rPr>
      </w:pPr>
      <w:r w:rsidRPr="00AE6EDB">
        <w:rPr>
          <w:i/>
        </w:rPr>
        <w:lastRenderedPageBreak/>
        <w:t>Sumy pomoci v hmotnej núdzi a osobitného príspevku platné v roku 201</w:t>
      </w:r>
      <w:r w:rsidR="007B5C4D" w:rsidRPr="00AE6EDB">
        <w:rPr>
          <w:i/>
        </w:rPr>
        <w:t>5</w:t>
      </w:r>
    </w:p>
    <w:tbl>
      <w:tblPr>
        <w:tblStyle w:val="Mriekatabuky"/>
        <w:tblW w:w="0" w:type="auto"/>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none" w:sz="0" w:space="0" w:color="auto"/>
        </w:tblBorders>
        <w:tblLook w:val="04A0" w:firstRow="1" w:lastRow="0" w:firstColumn="1" w:lastColumn="0" w:noHBand="0" w:noVBand="1"/>
      </w:tblPr>
      <w:tblGrid>
        <w:gridCol w:w="7792"/>
        <w:gridCol w:w="1270"/>
      </w:tblGrid>
      <w:tr w:rsidR="007B5C4D" w:rsidRPr="00AE6EDB" w:rsidTr="007B5C4D">
        <w:tc>
          <w:tcPr>
            <w:tcW w:w="7792" w:type="dxa"/>
            <w:shd w:val="clear" w:color="auto" w:fill="BF0000" w:themeFill="accent3" w:themeFillShade="BF"/>
          </w:tcPr>
          <w:p w:rsidR="007B5C4D" w:rsidRPr="00AE6EDB" w:rsidRDefault="007B5C4D" w:rsidP="006E7C9B">
            <w:pPr>
              <w:overflowPunct/>
              <w:autoSpaceDE/>
              <w:autoSpaceDN/>
              <w:adjustRightInd/>
              <w:ind w:firstLine="0"/>
              <w:jc w:val="left"/>
              <w:textAlignment w:val="auto"/>
            </w:pPr>
            <w:r w:rsidRPr="00AE6EDB">
              <w:rPr>
                <w:b/>
                <w:color w:val="FFFFFF" w:themeColor="background1"/>
              </w:rPr>
              <w:t>DÁVKA V HMOTNEJ NÚDZI</w:t>
            </w:r>
            <w:r w:rsidRPr="00AE6EDB">
              <w:rPr>
                <w:color w:val="FFFFFF" w:themeColor="background1"/>
              </w:rPr>
              <w:t>:</w:t>
            </w:r>
          </w:p>
        </w:tc>
        <w:tc>
          <w:tcPr>
            <w:tcW w:w="1270" w:type="dxa"/>
            <w:shd w:val="clear" w:color="auto" w:fill="BF0000" w:themeFill="accent3" w:themeFillShade="BF"/>
          </w:tcPr>
          <w:p w:rsidR="007B5C4D" w:rsidRPr="00AE6EDB" w:rsidRDefault="007B5C4D" w:rsidP="006E7C9B">
            <w:pPr>
              <w:overflowPunct/>
              <w:autoSpaceDE/>
              <w:autoSpaceDN/>
              <w:adjustRightInd/>
              <w:ind w:firstLine="0"/>
              <w:textAlignment w:val="auto"/>
              <w:rPr>
                <w:i/>
              </w:rPr>
            </w:pP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jednotlivec</w:t>
            </w:r>
          </w:p>
        </w:tc>
        <w:tc>
          <w:tcPr>
            <w:tcW w:w="1270" w:type="dxa"/>
            <w:shd w:val="clear" w:color="auto" w:fill="auto"/>
          </w:tcPr>
          <w:p w:rsidR="007B5C4D" w:rsidRPr="00AE6EDB" w:rsidRDefault="007B5C4D" w:rsidP="007B5C4D">
            <w:pPr>
              <w:overflowPunct/>
              <w:autoSpaceDE/>
              <w:autoSpaceDN/>
              <w:adjustRightInd/>
              <w:ind w:firstLine="0"/>
              <w:jc w:val="right"/>
              <w:textAlignment w:val="auto"/>
            </w:pPr>
            <w:r w:rsidRPr="00AE6EDB">
              <w:t>61,60 €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jednotlivec s dieťaťom alebo najviac so štyrmi deťmi</w:t>
            </w:r>
          </w:p>
        </w:tc>
        <w:tc>
          <w:tcPr>
            <w:tcW w:w="1270" w:type="dxa"/>
            <w:shd w:val="clear" w:color="auto" w:fill="auto"/>
          </w:tcPr>
          <w:p w:rsidR="007B5C4D" w:rsidRPr="00AE6EDB" w:rsidRDefault="007B5C4D" w:rsidP="007B5C4D">
            <w:pPr>
              <w:overflowPunct/>
              <w:autoSpaceDE/>
              <w:autoSpaceDN/>
              <w:adjustRightInd/>
              <w:ind w:firstLine="0"/>
              <w:jc w:val="right"/>
              <w:textAlignment w:val="auto"/>
            </w:pPr>
            <w:r w:rsidRPr="00AE6EDB">
              <w:t>117,20 €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jednotlivec s viac ako štyrmi deťmi</w:t>
            </w:r>
          </w:p>
        </w:tc>
        <w:tc>
          <w:tcPr>
            <w:tcW w:w="1270" w:type="dxa"/>
            <w:shd w:val="clear" w:color="auto" w:fill="auto"/>
          </w:tcPr>
          <w:p w:rsidR="007B5C4D" w:rsidRPr="00AE6EDB" w:rsidRDefault="007B5C4D" w:rsidP="007B5C4D">
            <w:pPr>
              <w:overflowPunct/>
              <w:autoSpaceDE/>
              <w:autoSpaceDN/>
              <w:adjustRightInd/>
              <w:ind w:firstLine="0"/>
              <w:jc w:val="right"/>
              <w:textAlignment w:val="auto"/>
            </w:pPr>
            <w:r w:rsidRPr="00AE6EDB">
              <w:t>171,20 €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dvojica bez detí</w:t>
            </w:r>
          </w:p>
        </w:tc>
        <w:tc>
          <w:tcPr>
            <w:tcW w:w="1270" w:type="dxa"/>
            <w:shd w:val="clear" w:color="auto" w:fill="auto"/>
          </w:tcPr>
          <w:p w:rsidR="007B5C4D" w:rsidRPr="00AE6EDB" w:rsidRDefault="007B5C4D" w:rsidP="007B5C4D">
            <w:pPr>
              <w:overflowPunct/>
              <w:autoSpaceDE/>
              <w:autoSpaceDN/>
              <w:adjustRightInd/>
              <w:ind w:firstLine="0"/>
              <w:jc w:val="right"/>
              <w:textAlignment w:val="auto"/>
            </w:pPr>
            <w:r w:rsidRPr="00AE6EDB">
              <w:t>107,10 €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dvojica s dieťaťom alebo najviac so štyrmi deťmi</w:t>
            </w:r>
          </w:p>
        </w:tc>
        <w:tc>
          <w:tcPr>
            <w:tcW w:w="1270" w:type="dxa"/>
            <w:shd w:val="clear" w:color="auto" w:fill="auto"/>
          </w:tcPr>
          <w:p w:rsidR="007B5C4D" w:rsidRPr="00AE6EDB" w:rsidRDefault="007B5C4D" w:rsidP="007B5C4D">
            <w:pPr>
              <w:overflowPunct/>
              <w:autoSpaceDE/>
              <w:autoSpaceDN/>
              <w:adjustRightInd/>
              <w:ind w:firstLine="0"/>
              <w:jc w:val="right"/>
              <w:textAlignment w:val="auto"/>
            </w:pPr>
            <w:r w:rsidRPr="00AE6EDB">
              <w:t>160,40 €</w:t>
            </w:r>
          </w:p>
        </w:tc>
      </w:tr>
      <w:tr w:rsidR="007B5C4D" w:rsidRPr="00AE6EDB" w:rsidTr="007B5C4D">
        <w:tc>
          <w:tcPr>
            <w:tcW w:w="7792" w:type="dxa"/>
            <w:tcBorders>
              <w:bottom w:val="single" w:sz="8" w:space="0" w:color="BF0000" w:themeColor="accent3" w:themeShade="BF"/>
            </w:tcBorders>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dvojica s viac ako štyrmi deťmi</w:t>
            </w:r>
          </w:p>
        </w:tc>
        <w:tc>
          <w:tcPr>
            <w:tcW w:w="1270" w:type="dxa"/>
            <w:tcBorders>
              <w:bottom w:val="single" w:sz="8" w:space="0" w:color="BF0000" w:themeColor="accent3" w:themeShade="BF"/>
            </w:tcBorders>
            <w:shd w:val="clear" w:color="auto" w:fill="auto"/>
          </w:tcPr>
          <w:p w:rsidR="007B5C4D" w:rsidRPr="00AE6EDB" w:rsidRDefault="007B5C4D" w:rsidP="007B5C4D">
            <w:pPr>
              <w:overflowPunct/>
              <w:autoSpaceDE/>
              <w:autoSpaceDN/>
              <w:adjustRightInd/>
              <w:ind w:firstLine="0"/>
              <w:jc w:val="right"/>
              <w:textAlignment w:val="auto"/>
            </w:pPr>
            <w:r w:rsidRPr="00AE6EDB">
              <w:t>216,10 €</w:t>
            </w:r>
          </w:p>
        </w:tc>
      </w:tr>
      <w:tr w:rsidR="007B5C4D" w:rsidRPr="00AE6EDB" w:rsidTr="007B5C4D">
        <w:trPr>
          <w:trHeight w:val="270"/>
        </w:trPr>
        <w:tc>
          <w:tcPr>
            <w:tcW w:w="7792" w:type="dxa"/>
            <w:shd w:val="clear" w:color="auto" w:fill="BF0000" w:themeFill="accent3" w:themeFillShade="BF"/>
          </w:tcPr>
          <w:p w:rsidR="007B5C4D" w:rsidRPr="00AE6EDB" w:rsidRDefault="007B5C4D" w:rsidP="006E7C9B">
            <w:pPr>
              <w:overflowPunct/>
              <w:autoSpaceDE/>
              <w:autoSpaceDN/>
              <w:adjustRightInd/>
              <w:ind w:firstLine="0"/>
              <w:jc w:val="left"/>
              <w:textAlignment w:val="auto"/>
              <w:rPr>
                <w:b/>
                <w:color w:val="FFFFFF" w:themeColor="background1"/>
              </w:rPr>
            </w:pPr>
            <w:r w:rsidRPr="00AE6EDB">
              <w:rPr>
                <w:b/>
                <w:color w:val="FFFFFF" w:themeColor="background1"/>
              </w:rPr>
              <w:t>PRÍSPEVKY K DÁVKE V HMOTNEJ NÚDZI</w:t>
            </w:r>
          </w:p>
        </w:tc>
        <w:tc>
          <w:tcPr>
            <w:tcW w:w="1270" w:type="dxa"/>
            <w:shd w:val="clear" w:color="auto" w:fill="BF0000" w:themeFill="accent3" w:themeFillShade="BF"/>
          </w:tcPr>
          <w:p w:rsidR="007B5C4D" w:rsidRPr="00AE6EDB" w:rsidRDefault="007B5C4D" w:rsidP="006E7C9B">
            <w:pPr>
              <w:overflowPunct/>
              <w:autoSpaceDE/>
              <w:autoSpaceDN/>
              <w:adjustRightInd/>
              <w:ind w:firstLine="0"/>
              <w:jc w:val="left"/>
              <w:textAlignment w:val="auto"/>
              <w:rPr>
                <w:b/>
                <w:color w:val="FFFFFF" w:themeColor="background1"/>
              </w:rPr>
            </w:pPr>
          </w:p>
        </w:tc>
      </w:tr>
      <w:tr w:rsidR="007B5C4D" w:rsidRPr="00AE6EDB" w:rsidTr="007B5C4D">
        <w:trPr>
          <w:trHeight w:val="270"/>
        </w:trPr>
        <w:tc>
          <w:tcPr>
            <w:tcW w:w="7792" w:type="dxa"/>
            <w:shd w:val="clear" w:color="auto" w:fill="auto"/>
          </w:tcPr>
          <w:p w:rsidR="007B5C4D" w:rsidRPr="00AE6EDB" w:rsidRDefault="007B5C4D" w:rsidP="006E7C9B">
            <w:pPr>
              <w:overflowPunct/>
              <w:autoSpaceDE/>
              <w:autoSpaceDN/>
              <w:adjustRightInd/>
              <w:ind w:firstLine="0"/>
              <w:textAlignment w:val="auto"/>
              <w:rPr>
                <w:i/>
              </w:rPr>
            </w:pPr>
            <w:r w:rsidRPr="00AE6EDB">
              <w:rPr>
                <w:i/>
              </w:rPr>
              <w:t>OCHRANNÝ PRÍSPEVOK:</w:t>
            </w:r>
          </w:p>
        </w:tc>
        <w:tc>
          <w:tcPr>
            <w:tcW w:w="1270" w:type="dxa"/>
            <w:shd w:val="clear" w:color="auto" w:fill="auto"/>
          </w:tcPr>
          <w:p w:rsidR="007B5C4D" w:rsidRPr="00AE6EDB" w:rsidRDefault="007B5C4D" w:rsidP="006E7C9B">
            <w:pPr>
              <w:overflowPunct/>
              <w:autoSpaceDE/>
              <w:autoSpaceDN/>
              <w:adjustRightInd/>
              <w:ind w:firstLine="0"/>
              <w:textAlignment w:val="auto"/>
              <w:rPr>
                <w:i/>
              </w:rPr>
            </w:pP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rPr>
                <w:i/>
              </w:rPr>
            </w:pPr>
            <w:r w:rsidRPr="00AE6EDB">
              <w:t xml:space="preserve">pre člena domácnosti podľa § 7 ods. 2 písm. a), b), d) až f) </w:t>
            </w:r>
          </w:p>
        </w:tc>
        <w:tc>
          <w:tcPr>
            <w:tcW w:w="1270" w:type="dxa"/>
            <w:shd w:val="clear" w:color="auto" w:fill="auto"/>
          </w:tcPr>
          <w:p w:rsidR="007B5C4D" w:rsidRPr="00AE6EDB" w:rsidRDefault="007B5C4D" w:rsidP="006E7C9B">
            <w:pPr>
              <w:jc w:val="right"/>
              <w:rPr>
                <w:i/>
              </w:rPr>
            </w:pPr>
            <w:r w:rsidRPr="00AE6EDB">
              <w:rPr>
                <w:i/>
              </w:rPr>
              <w:t>63,07 €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pre člena domácnosti podľa § 7 ods. 2 písm. h) – (nepriaznivý zdravotný stav)</w:t>
            </w:r>
          </w:p>
        </w:tc>
        <w:tc>
          <w:tcPr>
            <w:tcW w:w="1270" w:type="dxa"/>
            <w:shd w:val="clear" w:color="auto" w:fill="auto"/>
          </w:tcPr>
          <w:p w:rsidR="007B5C4D" w:rsidRPr="00AE6EDB" w:rsidRDefault="007B5C4D" w:rsidP="006E7C9B">
            <w:pPr>
              <w:jc w:val="right"/>
              <w:rPr>
                <w:i/>
              </w:rPr>
            </w:pPr>
            <w:r w:rsidRPr="00AE6EDB">
              <w:rPr>
                <w:i/>
              </w:rPr>
              <w:t>34,69 €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 xml:space="preserve">pre člena domácnosti, ktorým je tehotná žena </w:t>
            </w:r>
          </w:p>
        </w:tc>
        <w:tc>
          <w:tcPr>
            <w:tcW w:w="1270" w:type="dxa"/>
            <w:shd w:val="clear" w:color="auto" w:fill="auto"/>
          </w:tcPr>
          <w:p w:rsidR="007B5C4D" w:rsidRPr="00AE6EDB" w:rsidRDefault="007B5C4D" w:rsidP="006E7C9B">
            <w:pPr>
              <w:jc w:val="right"/>
              <w:rPr>
                <w:i/>
              </w:rPr>
            </w:pPr>
            <w:r w:rsidRPr="00AE6EDB">
              <w:rPr>
                <w:i/>
              </w:rPr>
              <w:t>13,50 €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pre člena domácnosti, ktorým je rodič dieťaťa do jedného roku veku</w:t>
            </w:r>
          </w:p>
        </w:tc>
        <w:tc>
          <w:tcPr>
            <w:tcW w:w="1270" w:type="dxa"/>
            <w:shd w:val="clear" w:color="auto" w:fill="auto"/>
          </w:tcPr>
          <w:p w:rsidR="007B5C4D" w:rsidRPr="00AE6EDB" w:rsidRDefault="007B5C4D" w:rsidP="006E7C9B">
            <w:pPr>
              <w:jc w:val="right"/>
              <w:rPr>
                <w:i/>
              </w:rPr>
            </w:pPr>
            <w:r w:rsidRPr="00AE6EDB">
              <w:rPr>
                <w:i/>
              </w:rPr>
              <w:t>13,50 €</w:t>
            </w:r>
          </w:p>
        </w:tc>
      </w:tr>
      <w:tr w:rsidR="007B5C4D" w:rsidRPr="00AE6EDB" w:rsidTr="007B5C4D">
        <w:tc>
          <w:tcPr>
            <w:tcW w:w="7792" w:type="dxa"/>
            <w:shd w:val="clear" w:color="auto" w:fill="auto"/>
          </w:tcPr>
          <w:p w:rsidR="007B5C4D" w:rsidRPr="00AE6EDB" w:rsidRDefault="007B5C4D" w:rsidP="006E7C9B">
            <w:pPr>
              <w:overflowPunct/>
              <w:autoSpaceDE/>
              <w:autoSpaceDN/>
              <w:adjustRightInd/>
              <w:ind w:firstLine="0"/>
              <w:textAlignment w:val="auto"/>
              <w:rPr>
                <w:i/>
              </w:rPr>
            </w:pPr>
            <w:r w:rsidRPr="00AE6EDB">
              <w:rPr>
                <w:i/>
              </w:rPr>
              <w:t>AKTIVAČNÝ PRÍSPEVOK</w:t>
            </w:r>
          </w:p>
        </w:tc>
        <w:tc>
          <w:tcPr>
            <w:tcW w:w="1270" w:type="dxa"/>
            <w:shd w:val="clear" w:color="auto" w:fill="auto"/>
          </w:tcPr>
          <w:p w:rsidR="007B5C4D" w:rsidRPr="00AE6EDB" w:rsidRDefault="007B5C4D" w:rsidP="006E7C9B">
            <w:pPr>
              <w:jc w:val="right"/>
              <w:rPr>
                <w:i/>
              </w:rPr>
            </w:pPr>
            <w:r w:rsidRPr="00AE6EDB">
              <w:rPr>
                <w:i/>
              </w:rPr>
              <w:t>63,07 €</w:t>
            </w:r>
          </w:p>
        </w:tc>
      </w:tr>
      <w:tr w:rsidR="007B5C4D" w:rsidRPr="00AE6EDB" w:rsidTr="007B5C4D">
        <w:tc>
          <w:tcPr>
            <w:tcW w:w="7792" w:type="dxa"/>
            <w:shd w:val="clear" w:color="auto" w:fill="auto"/>
          </w:tcPr>
          <w:p w:rsidR="007B5C4D" w:rsidRPr="00AE6EDB" w:rsidRDefault="007B5C4D" w:rsidP="006E7C9B">
            <w:pPr>
              <w:overflowPunct/>
              <w:autoSpaceDE/>
              <w:autoSpaceDN/>
              <w:adjustRightInd/>
              <w:ind w:firstLine="0"/>
              <w:textAlignment w:val="auto"/>
              <w:rPr>
                <w:i/>
              </w:rPr>
            </w:pPr>
            <w:r w:rsidRPr="00AE6EDB">
              <w:rPr>
                <w:i/>
              </w:rPr>
              <w:t>PRÍSPEVOK NA NEZAOPATRENÉ DIEŤA</w:t>
            </w:r>
          </w:p>
        </w:tc>
        <w:tc>
          <w:tcPr>
            <w:tcW w:w="1270" w:type="dxa"/>
            <w:shd w:val="clear" w:color="auto" w:fill="auto"/>
          </w:tcPr>
          <w:p w:rsidR="007B5C4D" w:rsidRPr="00AE6EDB" w:rsidRDefault="007B5C4D" w:rsidP="006E7C9B">
            <w:pPr>
              <w:jc w:val="right"/>
              <w:rPr>
                <w:i/>
              </w:rPr>
            </w:pPr>
            <w:r w:rsidRPr="00AE6EDB">
              <w:rPr>
                <w:i/>
              </w:rPr>
              <w:t>17,20 €</w:t>
            </w:r>
          </w:p>
        </w:tc>
      </w:tr>
      <w:tr w:rsidR="007B5C4D" w:rsidRPr="00AE6EDB" w:rsidTr="007B5C4D">
        <w:tc>
          <w:tcPr>
            <w:tcW w:w="7792" w:type="dxa"/>
            <w:shd w:val="clear" w:color="auto" w:fill="auto"/>
          </w:tcPr>
          <w:p w:rsidR="007B5C4D" w:rsidRPr="00AE6EDB" w:rsidRDefault="007B5C4D" w:rsidP="006E7C9B">
            <w:pPr>
              <w:overflowPunct/>
              <w:autoSpaceDE/>
              <w:autoSpaceDN/>
              <w:adjustRightInd/>
              <w:ind w:firstLine="0"/>
              <w:textAlignment w:val="auto"/>
              <w:rPr>
                <w:i/>
              </w:rPr>
            </w:pPr>
            <w:r w:rsidRPr="00AE6EDB">
              <w:rPr>
                <w:i/>
              </w:rPr>
              <w:t>PRÍSPEVOK NA BÝVANIE</w:t>
            </w:r>
          </w:p>
        </w:tc>
        <w:tc>
          <w:tcPr>
            <w:tcW w:w="1270" w:type="dxa"/>
            <w:shd w:val="clear" w:color="auto" w:fill="auto"/>
          </w:tcPr>
          <w:p w:rsidR="007B5C4D" w:rsidRPr="00AE6EDB" w:rsidRDefault="007B5C4D" w:rsidP="006E7C9B">
            <w:pPr>
              <w:jc w:val="right"/>
              <w:rPr>
                <w:i/>
              </w:rPr>
            </w:pP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 xml:space="preserve">jednočlenná domácnosť </w:t>
            </w:r>
          </w:p>
        </w:tc>
        <w:tc>
          <w:tcPr>
            <w:tcW w:w="1270" w:type="dxa"/>
            <w:shd w:val="clear" w:color="auto" w:fill="auto"/>
          </w:tcPr>
          <w:p w:rsidR="007B5C4D" w:rsidRPr="00AE6EDB" w:rsidRDefault="007B5C4D" w:rsidP="006E7C9B">
            <w:pPr>
              <w:jc w:val="right"/>
              <w:rPr>
                <w:i/>
              </w:rPr>
            </w:pPr>
            <w:r w:rsidRPr="00AE6EDB">
              <w:rPr>
                <w:i/>
              </w:rPr>
              <w:t>55,80 €</w:t>
            </w:r>
          </w:p>
        </w:tc>
      </w:tr>
      <w:tr w:rsidR="007B5C4D" w:rsidRPr="00AE6EDB" w:rsidTr="007B5C4D">
        <w:tc>
          <w:tcPr>
            <w:tcW w:w="7792" w:type="dxa"/>
            <w:shd w:val="clear" w:color="auto" w:fill="auto"/>
          </w:tcPr>
          <w:p w:rsidR="007B5C4D" w:rsidRPr="00AE6EDB" w:rsidRDefault="007B5C4D" w:rsidP="006E7C9B">
            <w:pPr>
              <w:pStyle w:val="Odsekzoznamu"/>
              <w:numPr>
                <w:ilvl w:val="0"/>
                <w:numId w:val="14"/>
              </w:numPr>
              <w:overflowPunct/>
              <w:autoSpaceDE/>
              <w:autoSpaceDN/>
              <w:adjustRightInd/>
              <w:ind w:left="142" w:hanging="142"/>
              <w:contextualSpacing/>
              <w:textAlignment w:val="auto"/>
            </w:pPr>
            <w:r w:rsidRPr="00AE6EDB">
              <w:t>viacčlenná domácnosť</w:t>
            </w:r>
          </w:p>
        </w:tc>
        <w:tc>
          <w:tcPr>
            <w:tcW w:w="1270" w:type="dxa"/>
            <w:shd w:val="clear" w:color="auto" w:fill="auto"/>
          </w:tcPr>
          <w:p w:rsidR="007B5C4D" w:rsidRPr="00AE6EDB" w:rsidRDefault="007B5C4D" w:rsidP="006E7C9B">
            <w:pPr>
              <w:jc w:val="right"/>
              <w:rPr>
                <w:i/>
              </w:rPr>
            </w:pPr>
            <w:r w:rsidRPr="00AE6EDB">
              <w:rPr>
                <w:i/>
              </w:rPr>
              <w:t>89,20 €</w:t>
            </w:r>
          </w:p>
        </w:tc>
      </w:tr>
      <w:tr w:rsidR="007B5C4D" w:rsidRPr="00AE6EDB" w:rsidTr="007B5C4D">
        <w:tc>
          <w:tcPr>
            <w:tcW w:w="7792" w:type="dxa"/>
            <w:shd w:val="clear" w:color="auto" w:fill="auto"/>
          </w:tcPr>
          <w:p w:rsidR="007B5C4D" w:rsidRPr="00AE6EDB" w:rsidRDefault="007B5C4D" w:rsidP="006E7C9B">
            <w:pPr>
              <w:overflowPunct/>
              <w:autoSpaceDE/>
              <w:autoSpaceDN/>
              <w:adjustRightInd/>
              <w:ind w:firstLine="0"/>
              <w:textAlignment w:val="auto"/>
            </w:pPr>
            <w:r w:rsidRPr="00AE6EDB">
              <w:rPr>
                <w:i/>
              </w:rPr>
              <w:t>OSOBITNÝ PRÍSPEVOK</w:t>
            </w:r>
          </w:p>
        </w:tc>
        <w:tc>
          <w:tcPr>
            <w:tcW w:w="1270" w:type="dxa"/>
            <w:shd w:val="clear" w:color="auto" w:fill="auto"/>
          </w:tcPr>
          <w:p w:rsidR="007B5C4D" w:rsidRPr="00AE6EDB" w:rsidRDefault="007B5C4D" w:rsidP="006E7C9B">
            <w:pPr>
              <w:jc w:val="right"/>
              <w:rPr>
                <w:i/>
              </w:rPr>
            </w:pPr>
          </w:p>
        </w:tc>
      </w:tr>
      <w:tr w:rsidR="007B5C4D" w:rsidRPr="00AE6EDB" w:rsidTr="007B5C4D">
        <w:tc>
          <w:tcPr>
            <w:tcW w:w="7792" w:type="dxa"/>
            <w:shd w:val="clear" w:color="auto" w:fill="auto"/>
          </w:tcPr>
          <w:p w:rsidR="007B5C4D" w:rsidRPr="00AE6EDB" w:rsidRDefault="007B5C4D" w:rsidP="006E7C9B">
            <w:pPr>
              <w:ind w:firstLine="0"/>
            </w:pPr>
            <w:r w:rsidRPr="00AE6EDB">
              <w:t>- prvých 6 kalendárnych mesiacov</w:t>
            </w:r>
          </w:p>
        </w:tc>
        <w:tc>
          <w:tcPr>
            <w:tcW w:w="1270" w:type="dxa"/>
            <w:shd w:val="clear" w:color="auto" w:fill="auto"/>
          </w:tcPr>
          <w:p w:rsidR="007B5C4D" w:rsidRPr="00AE6EDB" w:rsidRDefault="007B5C4D" w:rsidP="006E7C9B">
            <w:pPr>
              <w:jc w:val="right"/>
              <w:rPr>
                <w:i/>
              </w:rPr>
            </w:pPr>
            <w:r w:rsidRPr="00AE6EDB">
              <w:rPr>
                <w:i/>
              </w:rPr>
              <w:t>126,14 €</w:t>
            </w:r>
          </w:p>
        </w:tc>
      </w:tr>
      <w:tr w:rsidR="007B5C4D" w:rsidRPr="00AE6EDB" w:rsidTr="007B5C4D">
        <w:tc>
          <w:tcPr>
            <w:tcW w:w="7792" w:type="dxa"/>
            <w:shd w:val="clear" w:color="auto" w:fill="auto"/>
          </w:tcPr>
          <w:p w:rsidR="007B5C4D" w:rsidRPr="00AE6EDB" w:rsidRDefault="007B5C4D" w:rsidP="006E7C9B">
            <w:pPr>
              <w:ind w:firstLine="0"/>
            </w:pPr>
            <w:r w:rsidRPr="00AE6EDB">
              <w:t>- ďalších 6 kalendárnych mesiacov</w:t>
            </w:r>
          </w:p>
        </w:tc>
        <w:tc>
          <w:tcPr>
            <w:tcW w:w="1270" w:type="dxa"/>
            <w:shd w:val="clear" w:color="auto" w:fill="auto"/>
          </w:tcPr>
          <w:p w:rsidR="007B5C4D" w:rsidRPr="00AE6EDB" w:rsidRDefault="007B5C4D" w:rsidP="006E7C9B">
            <w:pPr>
              <w:jc w:val="right"/>
              <w:rPr>
                <w:i/>
              </w:rPr>
            </w:pPr>
            <w:r w:rsidRPr="00AE6EDB">
              <w:rPr>
                <w:i/>
              </w:rPr>
              <w:t>63,07 €</w:t>
            </w:r>
          </w:p>
        </w:tc>
      </w:tr>
    </w:tbl>
    <w:p w:rsidR="000A7585" w:rsidRPr="00AE6EDB" w:rsidRDefault="000A7585" w:rsidP="000A7585">
      <w:pPr>
        <w:pStyle w:val="zdroj"/>
        <w:ind w:firstLine="431"/>
      </w:pPr>
      <w:r w:rsidRPr="00AE6EDB">
        <w:t>Zdroj: MPSVR SR</w:t>
      </w:r>
    </w:p>
    <w:p w:rsidR="000A7585" w:rsidRPr="00AE6EDB" w:rsidRDefault="000A7585" w:rsidP="000A7585">
      <w:pPr>
        <w:ind w:firstLine="431"/>
      </w:pPr>
      <w:r w:rsidRPr="00AE6EDB">
        <w:t>V roku 201</w:t>
      </w:r>
      <w:r w:rsidR="00AD3DB1" w:rsidRPr="00AE6EDB">
        <w:t>5</w:t>
      </w:r>
      <w:r w:rsidRPr="00AE6EDB">
        <w:t xml:space="preserve"> bolo priemerne mesačne evidovaných </w:t>
      </w:r>
      <w:r w:rsidR="00AD3DB1" w:rsidRPr="00AE6EDB">
        <w:t>12</w:t>
      </w:r>
      <w:r w:rsidR="00AC44CB">
        <w:t>8 0</w:t>
      </w:r>
      <w:r w:rsidR="00AD3DB1" w:rsidRPr="00AE6EDB">
        <w:t>40</w:t>
      </w:r>
      <w:r w:rsidRPr="00AE6EDB">
        <w:t xml:space="preserve"> poberateľov pomoci v hmotnej núdzi, čo v porovnaní s rokom 201</w:t>
      </w:r>
      <w:r w:rsidR="00AD3DB1" w:rsidRPr="00AE6EDB">
        <w:t>4</w:t>
      </w:r>
      <w:r w:rsidRPr="00AE6EDB">
        <w:t xml:space="preserve"> predstavuje pokles o</w:t>
      </w:r>
      <w:r w:rsidR="00AD3DB1" w:rsidRPr="00AE6EDB">
        <w:t> 21,4</w:t>
      </w:r>
      <w:r w:rsidR="005676EF">
        <w:t> %</w:t>
      </w:r>
      <w:r w:rsidRPr="00AE6EDB">
        <w:t>, v absolútnom vyjadrení išlo priemerne mesačne o</w:t>
      </w:r>
      <w:r w:rsidR="00AD3DB1" w:rsidRPr="00AE6EDB">
        <w:t> 3</w:t>
      </w:r>
      <w:r w:rsidR="0054295F">
        <w:t>4 8</w:t>
      </w:r>
      <w:r w:rsidR="00AD3DB1" w:rsidRPr="00AE6EDB">
        <w:t>64</w:t>
      </w:r>
      <w:r w:rsidRPr="00AE6EDB">
        <w:t xml:space="preserve"> poberateľov. Na základe administratívnych údajov boli na pomoc v hmotnej núdzi v roku 201</w:t>
      </w:r>
      <w:r w:rsidR="00AD3DB1" w:rsidRPr="00AE6EDB">
        <w:t>5</w:t>
      </w:r>
      <w:r w:rsidRPr="00AE6EDB">
        <w:t xml:space="preserve"> poskytnuté finančné prostriedky vo výške </w:t>
      </w:r>
      <w:r w:rsidR="00613670" w:rsidRPr="00AE6EDB">
        <w:t>21</w:t>
      </w:r>
      <w:r w:rsidR="0054295F">
        <w:t>3 6</w:t>
      </w:r>
      <w:r w:rsidR="00613670" w:rsidRPr="00AE6EDB">
        <w:t>8</w:t>
      </w:r>
      <w:r w:rsidR="00AC44CB">
        <w:t>5 7</w:t>
      </w:r>
      <w:r w:rsidR="00613670" w:rsidRPr="00AE6EDB">
        <w:t>97</w:t>
      </w:r>
      <w:r w:rsidR="0054295F">
        <w:t> eur</w:t>
      </w:r>
      <w:r w:rsidR="00613670" w:rsidRPr="00AE6EDB">
        <w:rPr>
          <w:rStyle w:val="Odkaznapoznmkupodiarou"/>
        </w:rPr>
        <w:footnoteReference w:id="42"/>
      </w:r>
      <w:r w:rsidRPr="00AE6EDB">
        <w:t>. V porovnaní s rokom 201</w:t>
      </w:r>
      <w:r w:rsidR="00604A18" w:rsidRPr="00AE6EDB">
        <w:t>4</w:t>
      </w:r>
      <w:r w:rsidRPr="00AE6EDB">
        <w:t xml:space="preserve"> bol zaznamenaný pokles finančných prostriedkov o</w:t>
      </w:r>
      <w:r w:rsidR="00613670" w:rsidRPr="00AE6EDB">
        <w:t> 3</w:t>
      </w:r>
      <w:r w:rsidR="0054295F">
        <w:t>2 2</w:t>
      </w:r>
      <w:r w:rsidR="00613670" w:rsidRPr="00AE6EDB">
        <w:t>1</w:t>
      </w:r>
      <w:r w:rsidR="00AC44CB">
        <w:t>7 7</w:t>
      </w:r>
      <w:r w:rsidR="00613670" w:rsidRPr="00AE6EDB">
        <w:t>50</w:t>
      </w:r>
      <w:r w:rsidR="0054295F">
        <w:t> eur</w:t>
      </w:r>
      <w:r w:rsidRPr="00AE6EDB">
        <w:t>, t. j. o</w:t>
      </w:r>
      <w:r w:rsidR="00613670" w:rsidRPr="00AE6EDB">
        <w:t> </w:t>
      </w:r>
      <w:r w:rsidR="00604A18" w:rsidRPr="00AE6EDB">
        <w:t>1</w:t>
      </w:r>
      <w:r w:rsidR="00613670" w:rsidRPr="00AE6EDB">
        <w:t>3,1</w:t>
      </w:r>
      <w:r w:rsidR="005676EF">
        <w:t> %</w:t>
      </w:r>
      <w:r w:rsidRPr="00AE6EDB">
        <w:t xml:space="preserve">. </w:t>
      </w:r>
      <w:r w:rsidRPr="00AE6EDB">
        <w:rPr>
          <w:b/>
        </w:rPr>
        <w:t>Priemerná mesačná výška</w:t>
      </w:r>
      <w:r w:rsidRPr="00AE6EDB">
        <w:t xml:space="preserve"> pomoci v hmotnej núdzi v roku 201</w:t>
      </w:r>
      <w:r w:rsidR="00604A18" w:rsidRPr="00AE6EDB">
        <w:t>5</w:t>
      </w:r>
      <w:r w:rsidRPr="00AE6EDB">
        <w:t xml:space="preserve"> dosiahla výšku </w:t>
      </w:r>
      <w:r w:rsidR="00604A18" w:rsidRPr="00AE6EDB">
        <w:rPr>
          <w:b/>
        </w:rPr>
        <w:t>13</w:t>
      </w:r>
      <w:r w:rsidR="00613670" w:rsidRPr="00AE6EDB">
        <w:rPr>
          <w:b/>
        </w:rPr>
        <w:t>0,86</w:t>
      </w:r>
      <w:r w:rsidR="0054295F">
        <w:rPr>
          <w:b/>
        </w:rPr>
        <w:t> eur</w:t>
      </w:r>
      <w:r w:rsidRPr="00AE6EDB">
        <w:rPr>
          <w:b/>
        </w:rPr>
        <w:t>a,</w:t>
      </w:r>
      <w:r w:rsidRPr="00AE6EDB">
        <w:t xml:space="preserve"> čo v porovnaní s rokom 201</w:t>
      </w:r>
      <w:r w:rsidR="00604A18" w:rsidRPr="00AE6EDB">
        <w:t>4</w:t>
      </w:r>
      <w:r w:rsidRPr="00AE6EDB">
        <w:t xml:space="preserve"> predstavuje nárast o</w:t>
      </w:r>
      <w:r w:rsidR="00613670" w:rsidRPr="00AE6EDB">
        <w:t> 5,87</w:t>
      </w:r>
      <w:r w:rsidR="0054295F">
        <w:t> eur</w:t>
      </w:r>
      <w:r w:rsidRPr="00AE6EDB">
        <w:t>a. Významný vplyv na vývoj počtu poberateľov pomoci v hmotnej núdzi, ako aj čerpanie finančných prostriedkov, mala zmena štruktúry systému pomoci v hmotnej núdzi, predovšetkým zdôraznenie princípov, ako je adresnosť, zásluhovosť, ochrana a aktívna participácia dotknutých osôb na riešení svojej nepriaznivej sociálnej situácie.</w:t>
      </w:r>
      <w:r w:rsidR="00604A18" w:rsidRPr="00AE6EDB">
        <w:t xml:space="preserve"> Značný vplyv na vývoj počtu príjemcov pomoci v hmotnej núdzi mala aj zmena podmienok nároku na osobitný príspevok a predĺženie jeho poberania vrátane jeho výšky.</w:t>
      </w:r>
    </w:p>
    <w:p w:rsidR="000A7585" w:rsidRPr="00AE6EDB" w:rsidRDefault="000A7585" w:rsidP="000A7585">
      <w:pPr>
        <w:pStyle w:val="Normlnysozarkami12"/>
        <w:ind w:firstLine="431"/>
      </w:pPr>
      <w:r w:rsidRPr="00AE6EDB">
        <w:t>V roku 201</w:t>
      </w:r>
      <w:r w:rsidR="00604A18" w:rsidRPr="00AE6EDB">
        <w:t>5</w:t>
      </w:r>
      <w:r w:rsidRPr="00AE6EDB">
        <w:t xml:space="preserve"> bolo v systéme pomoci v hmotnej núdzi priemerne mesačne evidovaných </w:t>
      </w:r>
      <w:r w:rsidRPr="00AE6EDB">
        <w:br/>
      </w:r>
      <w:r w:rsidR="00EE6D91" w:rsidRPr="00AE6EDB">
        <w:t>9</w:t>
      </w:r>
      <w:r w:rsidR="0054295F">
        <w:t>3 0</w:t>
      </w:r>
      <w:r w:rsidR="00EE6D91" w:rsidRPr="00AE6EDB">
        <w:t>34</w:t>
      </w:r>
      <w:r w:rsidRPr="00AE6EDB">
        <w:t xml:space="preserve"> poberateľov pomoci v hmotnej núdzi, ktorí boli súčasne v evidencii uchádzačov o zamest</w:t>
      </w:r>
      <w:r w:rsidRPr="00AE6EDB">
        <w:softHyphen/>
        <w:t xml:space="preserve">nanie, čo tvorilo </w:t>
      </w:r>
      <w:r w:rsidR="00EE6D91" w:rsidRPr="00AE6EDB">
        <w:t>72,7</w:t>
      </w:r>
      <w:r w:rsidR="005676EF">
        <w:t> %</w:t>
      </w:r>
      <w:r w:rsidRPr="00AE6EDB">
        <w:t xml:space="preserve"> z celkového počtu poberateľov pomoci v hmotnej núdzi. V porovnaní s rokom 201</w:t>
      </w:r>
      <w:r w:rsidR="00EE6D91" w:rsidRPr="00AE6EDB">
        <w:t>4</w:t>
      </w:r>
      <w:r w:rsidRPr="00AE6EDB">
        <w:t xml:space="preserve"> bol zaznamenaný výrazný pokles v priemernom mesačnom počte o</w:t>
      </w:r>
      <w:r w:rsidR="00EE6D91" w:rsidRPr="00AE6EDB">
        <w:t> </w:t>
      </w:r>
      <w:r w:rsidRPr="00AE6EDB">
        <w:t>2</w:t>
      </w:r>
      <w:r w:rsidR="0054295F">
        <w:t>1 4</w:t>
      </w:r>
      <w:r w:rsidR="00EE6D91" w:rsidRPr="00AE6EDB">
        <w:t>48</w:t>
      </w:r>
      <w:r w:rsidRPr="00AE6EDB">
        <w:t xml:space="preserve"> poberateľov (pokles o</w:t>
      </w:r>
      <w:r w:rsidR="00EE6D91" w:rsidRPr="00AE6EDB">
        <w:t> </w:t>
      </w:r>
      <w:r w:rsidRPr="00AE6EDB">
        <w:t>1</w:t>
      </w:r>
      <w:r w:rsidR="00EE6D91" w:rsidRPr="00AE6EDB">
        <w:t>8,7</w:t>
      </w:r>
      <w:r w:rsidR="005676EF">
        <w:t> %</w:t>
      </w:r>
      <w:r w:rsidRPr="00AE6EDB">
        <w:t>). Z celkového počtu spoločne posudzovaných členov domácností v hmotnej núdzi, ktorých v roku 201</w:t>
      </w:r>
      <w:r w:rsidR="00EE6D91" w:rsidRPr="00AE6EDB">
        <w:t>5</w:t>
      </w:r>
      <w:r w:rsidRPr="00AE6EDB">
        <w:t xml:space="preserve"> bolo </w:t>
      </w:r>
      <w:r w:rsidR="00EE6D91" w:rsidRPr="00AE6EDB">
        <w:t>26</w:t>
      </w:r>
      <w:r w:rsidR="00AC44CB">
        <w:t>6 1</w:t>
      </w:r>
      <w:r w:rsidR="00EE6D91" w:rsidRPr="00AE6EDB">
        <w:t>29</w:t>
      </w:r>
      <w:r w:rsidRPr="00AE6EDB">
        <w:t xml:space="preserve">, bolo v evidencii uchádzačov o zamestnanie </w:t>
      </w:r>
      <w:r w:rsidR="00EE6D91" w:rsidRPr="00AE6EDB">
        <w:t>12</w:t>
      </w:r>
      <w:r w:rsidR="00AC44CB">
        <w:t>5 0</w:t>
      </w:r>
      <w:r w:rsidR="00EE6D91" w:rsidRPr="00AE6EDB">
        <w:t>32</w:t>
      </w:r>
      <w:r w:rsidRPr="00AE6EDB">
        <w:t xml:space="preserve"> osôb, t. j. 46,9</w:t>
      </w:r>
      <w:r w:rsidR="00EE6D91" w:rsidRPr="00AE6EDB">
        <w:t>8</w:t>
      </w:r>
      <w:r w:rsidR="005676EF">
        <w:t> %</w:t>
      </w:r>
      <w:r w:rsidRPr="00AE6EDB">
        <w:t>. Oproti roku 201</w:t>
      </w:r>
      <w:r w:rsidR="00EE6D91" w:rsidRPr="00AE6EDB">
        <w:t>4</w:t>
      </w:r>
      <w:r w:rsidRPr="00AE6EDB">
        <w:t xml:space="preserve"> sa počet</w:t>
      </w:r>
      <w:r w:rsidR="00DF585E">
        <w:t xml:space="preserve"> spoločne posudzovaných členov domácností v evidencii </w:t>
      </w:r>
      <w:proofErr w:type="spellStart"/>
      <w:r w:rsidR="00DF585E">
        <w:t>UoZ</w:t>
      </w:r>
      <w:proofErr w:type="spellEnd"/>
      <w:r w:rsidRPr="00AE6EDB">
        <w:t xml:space="preserve"> tiež výrazne znížil, a to o</w:t>
      </w:r>
      <w:r w:rsidR="00EE6D91" w:rsidRPr="00AE6EDB">
        <w:t> </w:t>
      </w:r>
      <w:r w:rsidRPr="00AE6EDB">
        <w:t>2</w:t>
      </w:r>
      <w:r w:rsidR="00AC44CB">
        <w:t>6 6</w:t>
      </w:r>
      <w:r w:rsidR="00EE6D91" w:rsidRPr="00AE6EDB">
        <w:t>68</w:t>
      </w:r>
      <w:r w:rsidRPr="00AE6EDB">
        <w:t xml:space="preserve"> osôb (o 1</w:t>
      </w:r>
      <w:r w:rsidR="00EE6D91" w:rsidRPr="00AE6EDB">
        <w:t>7,58</w:t>
      </w:r>
      <w:r w:rsidR="005676EF">
        <w:t> %</w:t>
      </w:r>
      <w:r w:rsidRPr="00AE6EDB">
        <w:t xml:space="preserve">). </w:t>
      </w:r>
    </w:p>
    <w:p w:rsidR="00CE15D0" w:rsidRDefault="00CE15D0">
      <w:pPr>
        <w:jc w:val="left"/>
        <w:rPr>
          <w:b/>
        </w:rPr>
      </w:pPr>
      <w:r>
        <w:br w:type="page"/>
      </w:r>
    </w:p>
    <w:p w:rsidR="000A7585" w:rsidRPr="00AE6EDB" w:rsidRDefault="000A7585" w:rsidP="000A7585">
      <w:pPr>
        <w:pStyle w:val="Nadpis7"/>
      </w:pPr>
      <w:r w:rsidRPr="00AE6EDB">
        <w:lastRenderedPageBreak/>
        <w:t>Tabuľka 3.1</w:t>
      </w:r>
      <w:r w:rsidR="00F2550D" w:rsidRPr="00AE6EDB">
        <w:t>7</w:t>
      </w:r>
      <w:r w:rsidRPr="00AE6EDB">
        <w:t xml:space="preserve"> Priemerný mesačný počet poberateľov pomoci v hmotnej núdzi, ročné čerpanie finančných prostriedkov v rokoch 201</w:t>
      </w:r>
      <w:r w:rsidR="00EE6D91" w:rsidRPr="00AE6EDB">
        <w:t>4</w:t>
      </w:r>
      <w:r w:rsidRPr="00AE6EDB">
        <w:t xml:space="preserve"> – 201</w:t>
      </w:r>
      <w:r w:rsidR="00EE6D91" w:rsidRPr="00AE6EDB">
        <w:t>5</w:t>
      </w:r>
    </w:p>
    <w:tbl>
      <w:tblPr>
        <w:tblW w:w="4145"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4678"/>
        <w:gridCol w:w="1511"/>
        <w:gridCol w:w="1511"/>
      </w:tblGrid>
      <w:tr w:rsidR="00EE6D91" w:rsidRPr="00AE6EDB" w:rsidTr="00EE6D91">
        <w:trPr>
          <w:trHeight w:val="246"/>
          <w:jc w:val="center"/>
        </w:trPr>
        <w:tc>
          <w:tcPr>
            <w:tcW w:w="3038" w:type="pct"/>
            <w:shd w:val="clear" w:color="auto" w:fill="BF0000" w:themeFill="accent3" w:themeFillShade="BF"/>
            <w:noWrap/>
            <w:vAlign w:val="center"/>
            <w:hideMark/>
          </w:tcPr>
          <w:p w:rsidR="00EE6D91" w:rsidRPr="00AE6EDB" w:rsidRDefault="00EE6D91" w:rsidP="00DE0EEC">
            <w:pPr>
              <w:rPr>
                <w:lang w:eastAsia="cs-CZ"/>
              </w:rPr>
            </w:pPr>
          </w:p>
        </w:tc>
        <w:tc>
          <w:tcPr>
            <w:tcW w:w="981" w:type="pct"/>
            <w:shd w:val="clear" w:color="auto" w:fill="BF0000" w:themeFill="accent3" w:themeFillShade="BF"/>
            <w:noWrap/>
            <w:vAlign w:val="center"/>
            <w:hideMark/>
          </w:tcPr>
          <w:p w:rsidR="00EE6D91" w:rsidRPr="00AE6EDB" w:rsidRDefault="00EE6D91" w:rsidP="00DE0EEC">
            <w:pPr>
              <w:jc w:val="center"/>
              <w:rPr>
                <w:b/>
                <w:lang w:eastAsia="cs-CZ"/>
              </w:rPr>
            </w:pPr>
            <w:r w:rsidRPr="00AE6EDB">
              <w:rPr>
                <w:b/>
                <w:lang w:eastAsia="cs-CZ"/>
              </w:rPr>
              <w:t>2014</w:t>
            </w:r>
          </w:p>
        </w:tc>
        <w:tc>
          <w:tcPr>
            <w:tcW w:w="981" w:type="pct"/>
            <w:shd w:val="clear" w:color="auto" w:fill="BF0000" w:themeFill="accent3" w:themeFillShade="BF"/>
          </w:tcPr>
          <w:p w:rsidR="00EE6D91" w:rsidRPr="00AE6EDB" w:rsidRDefault="00EE6D91" w:rsidP="00DE0EEC">
            <w:pPr>
              <w:jc w:val="center"/>
              <w:rPr>
                <w:b/>
                <w:lang w:eastAsia="cs-CZ"/>
              </w:rPr>
            </w:pPr>
            <w:r w:rsidRPr="00AE6EDB">
              <w:rPr>
                <w:b/>
                <w:lang w:eastAsia="cs-CZ"/>
              </w:rPr>
              <w:t>2015</w:t>
            </w:r>
          </w:p>
        </w:tc>
      </w:tr>
      <w:tr w:rsidR="00EE6D91" w:rsidRPr="00AE6EDB" w:rsidTr="00EE6D91">
        <w:trPr>
          <w:trHeight w:val="300"/>
          <w:jc w:val="center"/>
        </w:trPr>
        <w:tc>
          <w:tcPr>
            <w:tcW w:w="3038" w:type="pct"/>
            <w:noWrap/>
            <w:vAlign w:val="center"/>
            <w:hideMark/>
          </w:tcPr>
          <w:p w:rsidR="00EE6D91" w:rsidRPr="00AE6EDB" w:rsidRDefault="00EE6D91" w:rsidP="00DE0EEC">
            <w:r w:rsidRPr="00AE6EDB">
              <w:t>Počet poberateľov celkom</w:t>
            </w:r>
          </w:p>
        </w:tc>
        <w:tc>
          <w:tcPr>
            <w:tcW w:w="981" w:type="pct"/>
            <w:noWrap/>
            <w:vAlign w:val="center"/>
            <w:hideMark/>
          </w:tcPr>
          <w:p w:rsidR="00EE6D91" w:rsidRPr="00AE6EDB" w:rsidRDefault="00EE6D91" w:rsidP="00DE0EEC">
            <w:pPr>
              <w:ind w:right="169"/>
              <w:jc w:val="right"/>
            </w:pPr>
            <w:r w:rsidRPr="00AE6EDB">
              <w:t>16</w:t>
            </w:r>
            <w:r w:rsidR="0054295F">
              <w:t>2 9</w:t>
            </w:r>
            <w:r w:rsidRPr="00AE6EDB">
              <w:t>04</w:t>
            </w:r>
          </w:p>
        </w:tc>
        <w:tc>
          <w:tcPr>
            <w:tcW w:w="981" w:type="pct"/>
          </w:tcPr>
          <w:p w:rsidR="00EE6D91" w:rsidRPr="00AE6EDB" w:rsidRDefault="00EE6D91" w:rsidP="00DE0EEC">
            <w:pPr>
              <w:ind w:right="169"/>
              <w:jc w:val="right"/>
            </w:pPr>
            <w:r w:rsidRPr="00AE6EDB">
              <w:t>12</w:t>
            </w:r>
            <w:r w:rsidR="00AC44CB">
              <w:t>8 0</w:t>
            </w:r>
            <w:r w:rsidRPr="00AE6EDB">
              <w:t>40</w:t>
            </w:r>
          </w:p>
        </w:tc>
      </w:tr>
      <w:tr w:rsidR="00EE6D91" w:rsidRPr="00AE6EDB" w:rsidTr="00EE6D91">
        <w:trPr>
          <w:trHeight w:val="300"/>
          <w:jc w:val="center"/>
        </w:trPr>
        <w:tc>
          <w:tcPr>
            <w:tcW w:w="3038" w:type="pct"/>
            <w:noWrap/>
            <w:vAlign w:val="center"/>
            <w:hideMark/>
          </w:tcPr>
          <w:p w:rsidR="00EE6D91" w:rsidRPr="00AE6EDB" w:rsidRDefault="00EE6D91" w:rsidP="00DE0EEC">
            <w:r w:rsidRPr="00AE6EDB">
              <w:t xml:space="preserve">z toho </w:t>
            </w:r>
            <w:proofErr w:type="spellStart"/>
            <w:r w:rsidRPr="00AE6EDB">
              <w:t>UoZ</w:t>
            </w:r>
            <w:proofErr w:type="spellEnd"/>
          </w:p>
        </w:tc>
        <w:tc>
          <w:tcPr>
            <w:tcW w:w="981" w:type="pct"/>
            <w:noWrap/>
            <w:vAlign w:val="center"/>
            <w:hideMark/>
          </w:tcPr>
          <w:p w:rsidR="00EE6D91" w:rsidRPr="00AE6EDB" w:rsidRDefault="00EE6D91" w:rsidP="00DE0EEC">
            <w:pPr>
              <w:ind w:right="169"/>
              <w:jc w:val="right"/>
            </w:pPr>
            <w:r w:rsidRPr="00AE6EDB">
              <w:t>11</w:t>
            </w:r>
            <w:r w:rsidR="0054295F">
              <w:t>4 4</w:t>
            </w:r>
            <w:r w:rsidRPr="00AE6EDB">
              <w:t>82</w:t>
            </w:r>
          </w:p>
        </w:tc>
        <w:tc>
          <w:tcPr>
            <w:tcW w:w="981" w:type="pct"/>
          </w:tcPr>
          <w:p w:rsidR="00EE6D91" w:rsidRPr="00AE6EDB" w:rsidRDefault="00EE6D91" w:rsidP="00DE0EEC">
            <w:pPr>
              <w:ind w:right="169"/>
              <w:jc w:val="right"/>
            </w:pPr>
            <w:r w:rsidRPr="00AE6EDB">
              <w:t>9</w:t>
            </w:r>
            <w:r w:rsidR="0054295F">
              <w:t>3 0</w:t>
            </w:r>
            <w:r w:rsidRPr="00AE6EDB">
              <w:t>34</w:t>
            </w:r>
          </w:p>
        </w:tc>
      </w:tr>
      <w:tr w:rsidR="00EE6D91" w:rsidRPr="00AE6EDB" w:rsidTr="00EE6D91">
        <w:trPr>
          <w:trHeight w:val="300"/>
          <w:jc w:val="center"/>
        </w:trPr>
        <w:tc>
          <w:tcPr>
            <w:tcW w:w="3038" w:type="pct"/>
            <w:noWrap/>
            <w:vAlign w:val="center"/>
          </w:tcPr>
          <w:p w:rsidR="00EE6D91" w:rsidRPr="00AE6EDB" w:rsidRDefault="00EE6D91" w:rsidP="00DE0EEC">
            <w:r w:rsidRPr="00AE6EDB">
              <w:t>Počet spoločne posudzovaných členov domácnosti</w:t>
            </w:r>
          </w:p>
        </w:tc>
        <w:tc>
          <w:tcPr>
            <w:tcW w:w="981" w:type="pct"/>
            <w:noWrap/>
            <w:vAlign w:val="center"/>
          </w:tcPr>
          <w:p w:rsidR="00EE6D91" w:rsidRPr="00AE6EDB" w:rsidRDefault="00EE6D91" w:rsidP="00DE0EEC">
            <w:pPr>
              <w:ind w:right="169"/>
              <w:jc w:val="right"/>
            </w:pPr>
            <w:r w:rsidRPr="00AE6EDB">
              <w:t>32</w:t>
            </w:r>
            <w:r w:rsidR="0054295F">
              <w:t>3 2</w:t>
            </w:r>
            <w:r w:rsidRPr="00AE6EDB">
              <w:t>23</w:t>
            </w:r>
          </w:p>
        </w:tc>
        <w:tc>
          <w:tcPr>
            <w:tcW w:w="981" w:type="pct"/>
          </w:tcPr>
          <w:p w:rsidR="00EE6D91" w:rsidRPr="00AE6EDB" w:rsidRDefault="00EE6D91" w:rsidP="00DE0EEC">
            <w:pPr>
              <w:ind w:right="169"/>
              <w:jc w:val="right"/>
            </w:pPr>
            <w:r w:rsidRPr="00AE6EDB">
              <w:t>26</w:t>
            </w:r>
            <w:r w:rsidR="00AC44CB">
              <w:t>6 1</w:t>
            </w:r>
            <w:r w:rsidRPr="00AE6EDB">
              <w:t>29</w:t>
            </w:r>
          </w:p>
        </w:tc>
      </w:tr>
      <w:tr w:rsidR="00EE6D91" w:rsidRPr="00AE6EDB" w:rsidTr="00EE6D91">
        <w:trPr>
          <w:trHeight w:val="300"/>
          <w:jc w:val="center"/>
        </w:trPr>
        <w:tc>
          <w:tcPr>
            <w:tcW w:w="3038" w:type="pct"/>
            <w:noWrap/>
            <w:vAlign w:val="center"/>
          </w:tcPr>
          <w:p w:rsidR="00EE6D91" w:rsidRPr="00AE6EDB" w:rsidRDefault="00EE6D91" w:rsidP="00DE0EEC">
            <w:r w:rsidRPr="00AE6EDB">
              <w:t xml:space="preserve"> z toho </w:t>
            </w:r>
            <w:proofErr w:type="spellStart"/>
            <w:r w:rsidRPr="00AE6EDB">
              <w:t>UoZ</w:t>
            </w:r>
            <w:proofErr w:type="spellEnd"/>
          </w:p>
        </w:tc>
        <w:tc>
          <w:tcPr>
            <w:tcW w:w="981" w:type="pct"/>
            <w:shd w:val="clear" w:color="auto" w:fill="auto"/>
            <w:noWrap/>
            <w:vAlign w:val="center"/>
          </w:tcPr>
          <w:p w:rsidR="00EE6D91" w:rsidRPr="00AE6EDB" w:rsidRDefault="00EE6D91" w:rsidP="00DE0EEC">
            <w:pPr>
              <w:ind w:right="169"/>
              <w:jc w:val="right"/>
              <w:rPr>
                <w:color w:val="000000" w:themeColor="text1"/>
              </w:rPr>
            </w:pPr>
            <w:r w:rsidRPr="00AE6EDB">
              <w:rPr>
                <w:color w:val="000000" w:themeColor="text1"/>
              </w:rPr>
              <w:t>15</w:t>
            </w:r>
            <w:r w:rsidR="0054295F">
              <w:rPr>
                <w:color w:val="000000" w:themeColor="text1"/>
              </w:rPr>
              <w:t>1 7</w:t>
            </w:r>
            <w:r w:rsidRPr="00AE6EDB">
              <w:rPr>
                <w:color w:val="000000" w:themeColor="text1"/>
              </w:rPr>
              <w:t>00</w:t>
            </w:r>
          </w:p>
        </w:tc>
        <w:tc>
          <w:tcPr>
            <w:tcW w:w="981" w:type="pct"/>
          </w:tcPr>
          <w:p w:rsidR="00EE6D91" w:rsidRPr="00AE6EDB" w:rsidRDefault="00EE6D91" w:rsidP="00DE0EEC">
            <w:pPr>
              <w:ind w:right="169"/>
              <w:jc w:val="right"/>
              <w:rPr>
                <w:color w:val="000000" w:themeColor="text1"/>
              </w:rPr>
            </w:pPr>
            <w:r w:rsidRPr="00AE6EDB">
              <w:rPr>
                <w:color w:val="000000" w:themeColor="text1"/>
              </w:rPr>
              <w:t>12</w:t>
            </w:r>
            <w:r w:rsidR="00AC44CB">
              <w:rPr>
                <w:color w:val="000000" w:themeColor="text1"/>
              </w:rPr>
              <w:t>5 0</w:t>
            </w:r>
            <w:r w:rsidRPr="00AE6EDB">
              <w:rPr>
                <w:color w:val="000000" w:themeColor="text1"/>
              </w:rPr>
              <w:t>32</w:t>
            </w:r>
          </w:p>
        </w:tc>
      </w:tr>
      <w:tr w:rsidR="00EE6D91" w:rsidRPr="00AE6EDB" w:rsidTr="00EE6D91">
        <w:trPr>
          <w:trHeight w:val="300"/>
          <w:jc w:val="center"/>
        </w:trPr>
        <w:tc>
          <w:tcPr>
            <w:tcW w:w="3038" w:type="pct"/>
            <w:noWrap/>
            <w:vAlign w:val="center"/>
            <w:hideMark/>
          </w:tcPr>
          <w:p w:rsidR="00EE6D91" w:rsidRPr="00AE6EDB" w:rsidRDefault="00EE6D91" w:rsidP="00DE0EEC">
            <w:r w:rsidRPr="00AE6EDB">
              <w:t>Poskytnuté finančné prostriedky celkom v €</w:t>
            </w:r>
          </w:p>
        </w:tc>
        <w:tc>
          <w:tcPr>
            <w:tcW w:w="981" w:type="pct"/>
            <w:shd w:val="clear" w:color="auto" w:fill="auto"/>
            <w:noWrap/>
            <w:vAlign w:val="center"/>
          </w:tcPr>
          <w:p w:rsidR="00EE6D91" w:rsidRPr="00AE6EDB" w:rsidRDefault="00EE6D91" w:rsidP="00DE0EEC">
            <w:pPr>
              <w:ind w:right="169"/>
              <w:jc w:val="right"/>
              <w:rPr>
                <w:color w:val="000000" w:themeColor="text1"/>
              </w:rPr>
            </w:pPr>
            <w:r w:rsidRPr="00AE6EDB">
              <w:rPr>
                <w:color w:val="000000" w:themeColor="text1"/>
              </w:rPr>
              <w:t>24</w:t>
            </w:r>
            <w:r w:rsidR="00AC44CB">
              <w:rPr>
                <w:color w:val="000000" w:themeColor="text1"/>
              </w:rPr>
              <w:t>5 9</w:t>
            </w:r>
            <w:r w:rsidRPr="00AE6EDB">
              <w:rPr>
                <w:color w:val="000000" w:themeColor="text1"/>
              </w:rPr>
              <w:t>0</w:t>
            </w:r>
            <w:r w:rsidR="0054295F">
              <w:rPr>
                <w:color w:val="000000" w:themeColor="text1"/>
              </w:rPr>
              <w:t>3 5</w:t>
            </w:r>
            <w:r w:rsidRPr="00AE6EDB">
              <w:rPr>
                <w:color w:val="000000" w:themeColor="text1"/>
              </w:rPr>
              <w:t>47</w:t>
            </w:r>
          </w:p>
        </w:tc>
        <w:tc>
          <w:tcPr>
            <w:tcW w:w="981" w:type="pct"/>
          </w:tcPr>
          <w:p w:rsidR="00EE6D91" w:rsidRPr="00AE6EDB" w:rsidRDefault="00613670" w:rsidP="00613670">
            <w:pPr>
              <w:ind w:right="169"/>
              <w:jc w:val="right"/>
              <w:rPr>
                <w:color w:val="000000" w:themeColor="text1"/>
              </w:rPr>
            </w:pPr>
            <w:r w:rsidRPr="00AE6EDB">
              <w:rPr>
                <w:color w:val="000000" w:themeColor="text1"/>
              </w:rPr>
              <w:t>21</w:t>
            </w:r>
            <w:r w:rsidR="0054295F">
              <w:rPr>
                <w:color w:val="000000" w:themeColor="text1"/>
              </w:rPr>
              <w:t>3 6</w:t>
            </w:r>
            <w:r w:rsidRPr="00AE6EDB">
              <w:rPr>
                <w:color w:val="000000" w:themeColor="text1"/>
              </w:rPr>
              <w:t>8</w:t>
            </w:r>
            <w:r w:rsidR="00AC44CB">
              <w:rPr>
                <w:color w:val="000000" w:themeColor="text1"/>
              </w:rPr>
              <w:t>5 7</w:t>
            </w:r>
            <w:r w:rsidRPr="00AE6EDB">
              <w:rPr>
                <w:color w:val="000000" w:themeColor="text1"/>
              </w:rPr>
              <w:t>97</w:t>
            </w:r>
          </w:p>
        </w:tc>
      </w:tr>
      <w:tr w:rsidR="00EE6D91" w:rsidRPr="00AE6EDB" w:rsidTr="00EE6D91">
        <w:trPr>
          <w:trHeight w:val="300"/>
          <w:jc w:val="center"/>
        </w:trPr>
        <w:tc>
          <w:tcPr>
            <w:tcW w:w="3038" w:type="pct"/>
            <w:noWrap/>
            <w:vAlign w:val="center"/>
            <w:hideMark/>
          </w:tcPr>
          <w:p w:rsidR="00EE6D91" w:rsidRPr="00AE6EDB" w:rsidRDefault="00EE6D91" w:rsidP="00DE0EEC">
            <w:r w:rsidRPr="00AE6EDB">
              <w:t>Priemerná výška dávky a príspevkov k dávke v €</w:t>
            </w:r>
          </w:p>
        </w:tc>
        <w:tc>
          <w:tcPr>
            <w:tcW w:w="981" w:type="pct"/>
            <w:shd w:val="clear" w:color="auto" w:fill="auto"/>
            <w:noWrap/>
            <w:vAlign w:val="center"/>
          </w:tcPr>
          <w:p w:rsidR="00EE6D91" w:rsidRPr="00AE6EDB" w:rsidRDefault="00EE6D91" w:rsidP="00DE0EEC">
            <w:pPr>
              <w:ind w:right="169"/>
              <w:jc w:val="right"/>
              <w:rPr>
                <w:color w:val="000000" w:themeColor="text1"/>
              </w:rPr>
            </w:pPr>
            <w:r w:rsidRPr="00AE6EDB">
              <w:rPr>
                <w:color w:val="000000" w:themeColor="text1"/>
              </w:rPr>
              <w:t>124,99</w:t>
            </w:r>
          </w:p>
        </w:tc>
        <w:tc>
          <w:tcPr>
            <w:tcW w:w="981" w:type="pct"/>
          </w:tcPr>
          <w:p w:rsidR="00EE6D91" w:rsidRPr="00AE6EDB" w:rsidRDefault="00EE6D91" w:rsidP="00613670">
            <w:pPr>
              <w:ind w:right="169"/>
              <w:jc w:val="right"/>
              <w:rPr>
                <w:color w:val="000000" w:themeColor="text1"/>
              </w:rPr>
            </w:pPr>
            <w:r w:rsidRPr="00AE6EDB">
              <w:rPr>
                <w:color w:val="000000" w:themeColor="text1"/>
              </w:rPr>
              <w:t>13</w:t>
            </w:r>
            <w:r w:rsidR="00613670" w:rsidRPr="00AE6EDB">
              <w:rPr>
                <w:color w:val="000000" w:themeColor="text1"/>
              </w:rPr>
              <w:t>0,86</w:t>
            </w:r>
          </w:p>
        </w:tc>
      </w:tr>
    </w:tbl>
    <w:p w:rsidR="000A7585" w:rsidRPr="00AE6EDB" w:rsidRDefault="000A7585" w:rsidP="000A7585">
      <w:pPr>
        <w:pStyle w:val="zdroj"/>
        <w:ind w:left="567"/>
      </w:pPr>
      <w:r w:rsidRPr="00AE6EDB">
        <w:t>Zdroj: RSD MIS</w:t>
      </w:r>
    </w:p>
    <w:p w:rsidR="000A7585" w:rsidRPr="00AE6EDB" w:rsidRDefault="000A7585" w:rsidP="000A7585">
      <w:r w:rsidRPr="00AE6EDB">
        <w:t>Z nižšie uvedeného grafického znázornenia je zrejmé, že vývoj počtu poberateľov pomoci v hmotnej núdzi v priebehu roka 201</w:t>
      </w:r>
      <w:r w:rsidR="00A742F5" w:rsidRPr="00AE6EDB">
        <w:t>5</w:t>
      </w:r>
      <w:r w:rsidRPr="00AE6EDB">
        <w:t xml:space="preserve"> mal klesajúci trend. Výraznejšie zmeny zaznamenávame vždy začiatkom roka v dôsledku valorizácie dôchodkových dávok a zmien v príjmovej situácii dôchodcov v hmotnej núdzi, čo sa najvýraznejšie prejaví v mesiaci február v podobe zníženia počtu poberateľov. Následne dochádza k prehodnocovaniu príjmovej situácie dôchodcov, a tak sa časti z nich môže znova obnoviť výplata pomoci v hmotnej núdzi. </w:t>
      </w:r>
      <w:r w:rsidR="00A2621D" w:rsidRPr="00AE6EDB">
        <w:t>K poklesu počtu príjemcov pomoci v hmotnej núdzi v roku 2015 došlo vo všetkých skupinách, pričom pokles bol najvýraznejší v skupine jednotlivcov</w:t>
      </w:r>
      <w:r w:rsidRPr="00AE6EDB">
        <w:t>, čím sa mierne zmenil aj pomer jednotlivých skupín v rámci systému. Daný vývoj taktiež ovplyvnilo zavedenie motivačných prvkov v systéme za účelom aktívnej účasti občanov na riešení svojej nepriaznivej sociálnej situácie</w:t>
      </w:r>
      <w:r w:rsidR="00A742F5" w:rsidRPr="00AE6EDB">
        <w:t>, predovšetkým zmien týkajúcich sa osobitného príspevku</w:t>
      </w:r>
      <w:r w:rsidRPr="00AE6EDB">
        <w:t xml:space="preserve">. </w:t>
      </w:r>
    </w:p>
    <w:p w:rsidR="000A7585" w:rsidRPr="00AE6EDB" w:rsidRDefault="000A7585" w:rsidP="000A7585">
      <w:pPr>
        <w:pStyle w:val="Nadpis7"/>
      </w:pPr>
      <w:bookmarkStart w:id="610" w:name="_Toc294027408"/>
      <w:bookmarkStart w:id="611" w:name="_Toc294029647"/>
      <w:bookmarkStart w:id="612" w:name="_Toc313879138"/>
      <w:bookmarkStart w:id="613" w:name="_Toc325438200"/>
      <w:bookmarkStart w:id="614" w:name="_Toc325440969"/>
      <w:bookmarkStart w:id="615" w:name="_Toc325626782"/>
      <w:bookmarkStart w:id="616" w:name="_Toc326217043"/>
      <w:r w:rsidRPr="00AE6EDB">
        <w:t xml:space="preserve">Graf 3.5 Vývoj počtu </w:t>
      </w:r>
      <w:r w:rsidR="00A5630F" w:rsidRPr="00AE6EDB">
        <w:t>príjemcov</w:t>
      </w:r>
      <w:r w:rsidRPr="00AE6EDB">
        <w:t xml:space="preserve"> pomoci v hmotnej núdzi v priebehu rokov 201</w:t>
      </w:r>
      <w:r w:rsidR="00A742F5" w:rsidRPr="00AE6EDB">
        <w:t>4 a 2015</w:t>
      </w:r>
    </w:p>
    <w:p w:rsidR="000A7585" w:rsidRPr="00AE6EDB" w:rsidRDefault="00A742F5" w:rsidP="000A7585">
      <w:pPr>
        <w:jc w:val="center"/>
      </w:pPr>
      <w:r w:rsidRPr="00AE6EDB">
        <w:rPr>
          <w:noProof/>
        </w:rPr>
        <w:drawing>
          <wp:inline distT="0" distB="0" distL="0" distR="0" wp14:anchorId="36AA4FDC" wp14:editId="3EC687E4">
            <wp:extent cx="5146040" cy="232791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A7585" w:rsidRPr="00AE6EDB" w:rsidRDefault="000A7585" w:rsidP="000A7585">
      <w:pPr>
        <w:pStyle w:val="zdroj"/>
        <w:ind w:firstLine="1418"/>
      </w:pPr>
      <w:r w:rsidRPr="00AE6EDB">
        <w:t>Zdroj: RSD MIS</w:t>
      </w:r>
    </w:p>
    <w:p w:rsidR="00CE15D0" w:rsidRDefault="00CE15D0">
      <w:pPr>
        <w:jc w:val="left"/>
        <w:rPr>
          <w:b/>
        </w:rPr>
      </w:pPr>
      <w:r>
        <w:br w:type="page"/>
      </w:r>
    </w:p>
    <w:p w:rsidR="000A7585" w:rsidRPr="00AE6EDB" w:rsidRDefault="000A7585" w:rsidP="000A7585">
      <w:pPr>
        <w:pStyle w:val="Nadpis7"/>
      </w:pPr>
      <w:r w:rsidRPr="00AE6EDB">
        <w:lastRenderedPageBreak/>
        <w:t xml:space="preserve">Graf 3.6 Percentuálne zastúpenie jednotlivých skupín </w:t>
      </w:r>
      <w:r w:rsidR="00A5630F" w:rsidRPr="00AE6EDB">
        <w:t>príjemcov</w:t>
      </w:r>
      <w:r w:rsidRPr="00AE6EDB">
        <w:t xml:space="preserve"> pomoci v hmotnej núdzi </w:t>
      </w:r>
      <w:r w:rsidRPr="00AE6EDB">
        <w:br/>
        <w:t>v roku 201</w:t>
      </w:r>
      <w:r w:rsidR="00A742F5" w:rsidRPr="00AE6EDB">
        <w:t>5</w:t>
      </w:r>
    </w:p>
    <w:p w:rsidR="000A7585" w:rsidRPr="00AE6EDB" w:rsidRDefault="000A7585" w:rsidP="000A7585">
      <w:pPr>
        <w:jc w:val="center"/>
      </w:pPr>
      <w:r w:rsidRPr="00AE6EDB">
        <w:rPr>
          <w:noProof/>
        </w:rPr>
        <w:t xml:space="preserve"> </w:t>
      </w:r>
      <w:r w:rsidR="00A742F5" w:rsidRPr="00AE6EDB">
        <w:rPr>
          <w:noProof/>
        </w:rPr>
        <w:drawing>
          <wp:inline distT="0" distB="0" distL="0" distR="0" wp14:anchorId="61580121" wp14:editId="08303DE3">
            <wp:extent cx="4612005" cy="261239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A7585" w:rsidRPr="00AE6EDB" w:rsidRDefault="000A7585" w:rsidP="000A7585">
      <w:pPr>
        <w:jc w:val="center"/>
      </w:pPr>
    </w:p>
    <w:p w:rsidR="000A7585" w:rsidRPr="00AE6EDB" w:rsidRDefault="000A7585" w:rsidP="000A7585">
      <w:pPr>
        <w:pStyle w:val="zdroj"/>
      </w:pPr>
      <w:r w:rsidRPr="00AE6EDB">
        <w:t xml:space="preserve">Zdroj: UPSVR </w:t>
      </w:r>
    </w:p>
    <w:p w:rsidR="000A7585" w:rsidRPr="00AE6EDB" w:rsidRDefault="000A7585" w:rsidP="000A7585">
      <w:pPr>
        <w:ind w:firstLine="431"/>
      </w:pPr>
      <w:bookmarkStart w:id="617" w:name="_Toc294027411"/>
      <w:bookmarkStart w:id="618" w:name="_Toc294029650"/>
      <w:bookmarkStart w:id="619" w:name="_Toc313879141"/>
      <w:bookmarkStart w:id="620" w:name="_Toc325438203"/>
      <w:bookmarkStart w:id="621" w:name="_Toc325440972"/>
      <w:bookmarkStart w:id="622" w:name="_Toc325626785"/>
      <w:bookmarkStart w:id="623" w:name="_Toc326217046"/>
      <w:bookmarkEnd w:id="610"/>
      <w:bookmarkEnd w:id="611"/>
      <w:bookmarkEnd w:id="612"/>
      <w:bookmarkEnd w:id="613"/>
      <w:bookmarkEnd w:id="614"/>
      <w:bookmarkEnd w:id="615"/>
      <w:bookmarkEnd w:id="616"/>
      <w:r w:rsidRPr="00AE6EDB">
        <w:t xml:space="preserve">Pri porovnaní štruktúry </w:t>
      </w:r>
      <w:r w:rsidR="00A5630F" w:rsidRPr="00AE6EDB">
        <w:t>príjemcov</w:t>
      </w:r>
      <w:r w:rsidRPr="00AE6EDB">
        <w:t xml:space="preserve"> pomoci v hmotnej núdzi medzi </w:t>
      </w:r>
      <w:r w:rsidR="00A5630F" w:rsidRPr="00AE6EDB">
        <w:t>rokmi</w:t>
      </w:r>
      <w:r w:rsidRPr="00AE6EDB">
        <w:t xml:space="preserve"> 201</w:t>
      </w:r>
      <w:r w:rsidR="00A5630F" w:rsidRPr="00AE6EDB">
        <w:t>4</w:t>
      </w:r>
      <w:r w:rsidRPr="00AE6EDB">
        <w:t xml:space="preserve"> a 201</w:t>
      </w:r>
      <w:r w:rsidR="00A5630F" w:rsidRPr="00AE6EDB">
        <w:t>5</w:t>
      </w:r>
      <w:r w:rsidRPr="00AE6EDB">
        <w:t xml:space="preserve"> bol zaznamenaný pokles počtu </w:t>
      </w:r>
      <w:r w:rsidR="00A5630F" w:rsidRPr="00AE6EDB">
        <w:t>príjemcov</w:t>
      </w:r>
      <w:r w:rsidRPr="00AE6EDB">
        <w:t xml:space="preserve"> u všetkých skupín domácností. Pokles bol u jednotlivcov bez detí o</w:t>
      </w:r>
      <w:r w:rsidR="00A5630F" w:rsidRPr="00AE6EDB">
        <w:t> 25,1</w:t>
      </w:r>
      <w:r w:rsidR="005676EF">
        <w:t> %</w:t>
      </w:r>
      <w:r w:rsidRPr="00AE6EDB">
        <w:t>, u jednotlivcov s jedným až štyrmi deťmi o</w:t>
      </w:r>
      <w:r w:rsidR="00A5630F" w:rsidRPr="00AE6EDB">
        <w:t> 15,9</w:t>
      </w:r>
      <w:r w:rsidR="005676EF">
        <w:t> %</w:t>
      </w:r>
      <w:r w:rsidRPr="00AE6EDB">
        <w:t xml:space="preserve">, </w:t>
      </w:r>
      <w:r w:rsidR="00A5630F" w:rsidRPr="00AE6EDB">
        <w:t>u jednotlivcov s päť a viac deťmi o 5,4</w:t>
      </w:r>
      <w:r w:rsidR="005676EF">
        <w:t> %</w:t>
      </w:r>
      <w:r w:rsidR="00A5630F" w:rsidRPr="00AE6EDB">
        <w:t xml:space="preserve">, </w:t>
      </w:r>
      <w:r w:rsidRPr="00AE6EDB">
        <w:t>u dvojíc bez detí o</w:t>
      </w:r>
      <w:r w:rsidR="00A5630F" w:rsidRPr="00AE6EDB">
        <w:t> 16,3</w:t>
      </w:r>
      <w:r w:rsidR="005676EF">
        <w:t> %</w:t>
      </w:r>
      <w:r w:rsidRPr="00AE6EDB">
        <w:t>, u dvojíc s jedným až štyrmi deťmi o</w:t>
      </w:r>
      <w:r w:rsidR="00A5630F" w:rsidRPr="00AE6EDB">
        <w:t> 16,2</w:t>
      </w:r>
      <w:r w:rsidR="005676EF">
        <w:t> %</w:t>
      </w:r>
      <w:r w:rsidR="00A5630F" w:rsidRPr="00AE6EDB">
        <w:t xml:space="preserve"> a</w:t>
      </w:r>
      <w:r w:rsidRPr="00AE6EDB">
        <w:t xml:space="preserve"> u dvojíc s päť a viac deťmi o</w:t>
      </w:r>
      <w:r w:rsidR="00A5630F" w:rsidRPr="00AE6EDB">
        <w:t> 8,8</w:t>
      </w:r>
      <w:r w:rsidR="005676EF">
        <w:t> %</w:t>
      </w:r>
      <w:r w:rsidRPr="00AE6EDB">
        <w:t xml:space="preserve">. Mierna zmena nastala aj v pomere jednotlivých skupín v rámci celkového počtu </w:t>
      </w:r>
      <w:r w:rsidR="00A5630F" w:rsidRPr="00AE6EDB">
        <w:t>príjemcov</w:t>
      </w:r>
      <w:r w:rsidRPr="00AE6EDB">
        <w:t xml:space="preserve"> pomoci v hmotnej núdzi, a to najmä u jednotlivcov bez detí, ktorí predstavujú </w:t>
      </w:r>
      <w:r w:rsidR="00A5630F" w:rsidRPr="00AE6EDB">
        <w:t>58,8</w:t>
      </w:r>
      <w:r w:rsidR="005676EF">
        <w:t> %</w:t>
      </w:r>
      <w:r w:rsidRPr="00AE6EDB">
        <w:t xml:space="preserve"> (pokles oproti predchádzajúcemu roku o</w:t>
      </w:r>
      <w:r w:rsidR="00A5630F" w:rsidRPr="00AE6EDB">
        <w:t> 2,9</w:t>
      </w:r>
      <w:r w:rsidRPr="00AE6EDB">
        <w:t> p. b.).</w:t>
      </w:r>
    </w:p>
    <w:p w:rsidR="000A7585" w:rsidRPr="00AE6EDB" w:rsidRDefault="000A7585" w:rsidP="000A7585">
      <w:pPr>
        <w:ind w:firstLine="431"/>
      </w:pPr>
      <w:bookmarkStart w:id="624" w:name="_Toc294027409"/>
      <w:bookmarkStart w:id="625" w:name="_Toc294029648"/>
      <w:bookmarkStart w:id="626" w:name="_Toc313879139"/>
      <w:bookmarkStart w:id="627" w:name="_Toc325438201"/>
      <w:bookmarkStart w:id="628" w:name="_Toc325440970"/>
      <w:bookmarkStart w:id="629" w:name="_Toc325626783"/>
      <w:bookmarkStart w:id="630" w:name="_Toc326217044"/>
      <w:r w:rsidRPr="00AE6EDB">
        <w:t>V roku 201</w:t>
      </w:r>
      <w:r w:rsidR="00A5630F" w:rsidRPr="00AE6EDB">
        <w:t>5</w:t>
      </w:r>
      <w:r w:rsidRPr="00AE6EDB">
        <w:t xml:space="preserve"> bolo v systéme pomoci v hmotnej núdzi priemerne mesačne evidovaných </w:t>
      </w:r>
      <w:r w:rsidRPr="00AE6EDB">
        <w:br/>
      </w:r>
      <w:r w:rsidR="00A5630F" w:rsidRPr="00AE6EDB">
        <w:t>26</w:t>
      </w:r>
      <w:r w:rsidR="00AC44CB">
        <w:t>6 1</w:t>
      </w:r>
      <w:r w:rsidR="00A5630F" w:rsidRPr="00AE6EDB">
        <w:t>29</w:t>
      </w:r>
      <w:r w:rsidRPr="00AE6EDB">
        <w:t xml:space="preserve"> členov domácností, čo predstavovalo </w:t>
      </w:r>
      <w:r w:rsidR="00086485" w:rsidRPr="00AE6EDB">
        <w:t>4,9</w:t>
      </w:r>
      <w:r w:rsidR="005676EF">
        <w:t> %</w:t>
      </w:r>
      <w:r w:rsidRPr="00AE6EDB">
        <w:t>-</w:t>
      </w:r>
      <w:proofErr w:type="spellStart"/>
      <w:r w:rsidRPr="00AE6EDB">
        <w:t>ný</w:t>
      </w:r>
      <w:proofErr w:type="spellEnd"/>
      <w:r w:rsidRPr="00AE6EDB">
        <w:t xml:space="preserve"> podiel na celkovom počte obyvateľov Slovenska. Tento počet oproti roku 201</w:t>
      </w:r>
      <w:r w:rsidR="00086485" w:rsidRPr="00AE6EDB">
        <w:t>4</w:t>
      </w:r>
      <w:r w:rsidRPr="00AE6EDB">
        <w:t xml:space="preserve"> poklesol o</w:t>
      </w:r>
      <w:r w:rsidR="00086485" w:rsidRPr="00AE6EDB">
        <w:t> </w:t>
      </w:r>
      <w:r w:rsidRPr="00AE6EDB">
        <w:t>1</w:t>
      </w:r>
      <w:r w:rsidR="00086485" w:rsidRPr="00AE6EDB">
        <w:t>7,7</w:t>
      </w:r>
      <w:r w:rsidR="005676EF">
        <w:t> %</w:t>
      </w:r>
      <w:r w:rsidRPr="00AE6EDB">
        <w:t xml:space="preserve"> t. j. o</w:t>
      </w:r>
      <w:r w:rsidR="00086485" w:rsidRPr="00AE6EDB">
        <w:t> 5</w:t>
      </w:r>
      <w:r w:rsidR="00AC44CB">
        <w:t>7 0</w:t>
      </w:r>
      <w:r w:rsidR="00086485" w:rsidRPr="00AE6EDB">
        <w:t>94</w:t>
      </w:r>
      <w:r w:rsidRPr="00AE6EDB">
        <w:t xml:space="preserve"> osôb. Zároveň v porovnaní s rokom 201</w:t>
      </w:r>
      <w:r w:rsidR="00086485" w:rsidRPr="00AE6EDB">
        <w:t>4</w:t>
      </w:r>
      <w:r w:rsidRPr="00AE6EDB">
        <w:t xml:space="preserve"> došlo k zníženiu podielu celkového počtu členov domácností v systéme pomoci v hmotnej núdzi na celkovom počte obyvateľov</w:t>
      </w:r>
      <w:r w:rsidR="00086485" w:rsidRPr="00AE6EDB">
        <w:t xml:space="preserve"> o 1,1 p.</w:t>
      </w:r>
      <w:r w:rsidR="00AE6EDB">
        <w:t> </w:t>
      </w:r>
      <w:r w:rsidR="00086485" w:rsidRPr="00AE6EDB">
        <w:t>b</w:t>
      </w:r>
      <w:r w:rsidRPr="00AE6EDB">
        <w:t>.</w:t>
      </w:r>
    </w:p>
    <w:p w:rsidR="000A7585" w:rsidRPr="00AE6EDB" w:rsidRDefault="000A7585" w:rsidP="000A7585">
      <w:pPr>
        <w:pStyle w:val="Nadpis7"/>
      </w:pPr>
      <w:r w:rsidRPr="00AE6EDB">
        <w:t>Graf 3.7 Podiel členov domácností v systéme pomoci v hmotnej núdzi z počtu obyvateľov v</w:t>
      </w:r>
      <w:r w:rsidR="005676EF">
        <w:t> %</w:t>
      </w:r>
      <w:r w:rsidRPr="00AE6EDB">
        <w:t xml:space="preserve"> v jednotlivých regiónoch (ku koncu roka)</w:t>
      </w:r>
      <w:bookmarkEnd w:id="624"/>
      <w:bookmarkEnd w:id="625"/>
      <w:bookmarkEnd w:id="626"/>
      <w:bookmarkEnd w:id="627"/>
      <w:bookmarkEnd w:id="628"/>
      <w:bookmarkEnd w:id="629"/>
      <w:bookmarkEnd w:id="630"/>
    </w:p>
    <w:p w:rsidR="000A7585" w:rsidRPr="00AE6EDB" w:rsidRDefault="000A7585" w:rsidP="000A7585">
      <w:pPr>
        <w:jc w:val="center"/>
      </w:pPr>
      <w:r w:rsidRPr="00AE6EDB">
        <w:rPr>
          <w:noProof/>
        </w:rPr>
        <w:t xml:space="preserve"> </w:t>
      </w:r>
      <w:r w:rsidR="00086485" w:rsidRPr="00AE6EDB">
        <w:rPr>
          <w:noProof/>
        </w:rPr>
        <w:drawing>
          <wp:inline distT="0" distB="0" distL="0" distR="0" wp14:anchorId="3DC2DA59" wp14:editId="773F5A9A">
            <wp:extent cx="4572000" cy="27432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A7585" w:rsidRPr="00AE6EDB" w:rsidRDefault="000A7585" w:rsidP="000A7585">
      <w:pPr>
        <w:pStyle w:val="zdroj"/>
      </w:pPr>
      <w:r w:rsidRPr="00AE6EDB">
        <w:t xml:space="preserve">Zdroj: RSD MIS a ŠÚ SR </w:t>
      </w:r>
    </w:p>
    <w:p w:rsidR="000A7585" w:rsidRPr="00AE6EDB" w:rsidRDefault="000A7585" w:rsidP="000A7585">
      <w:pPr>
        <w:ind w:firstLine="431"/>
      </w:pPr>
      <w:bookmarkStart w:id="631" w:name="_Toc294027410"/>
      <w:bookmarkStart w:id="632" w:name="_Toc294029649"/>
      <w:bookmarkStart w:id="633" w:name="_Toc313879140"/>
      <w:bookmarkStart w:id="634" w:name="_Toc325438202"/>
      <w:bookmarkStart w:id="635" w:name="_Toc325440971"/>
      <w:bookmarkStart w:id="636" w:name="_Toc325626784"/>
      <w:bookmarkStart w:id="637" w:name="_Toc326217045"/>
      <w:r w:rsidRPr="00AE6EDB">
        <w:lastRenderedPageBreak/>
        <w:t>Najvyšší podiel členov domácností v systéme pomoci v hmotnej núdzi za sledované obdobie (ku koncu roka) bol v Košickom kraji (</w:t>
      </w:r>
      <w:r w:rsidR="00086485" w:rsidRPr="00AE6EDB">
        <w:t>8,5</w:t>
      </w:r>
      <w:r w:rsidR="005676EF">
        <w:t> %</w:t>
      </w:r>
      <w:r w:rsidRPr="00AE6EDB">
        <w:t>), v Banskobystrickom kraji (</w:t>
      </w:r>
      <w:r w:rsidR="00086485" w:rsidRPr="00AE6EDB">
        <w:t>8,0</w:t>
      </w:r>
      <w:r w:rsidR="005676EF">
        <w:t> %</w:t>
      </w:r>
      <w:r w:rsidRPr="00AE6EDB">
        <w:t>) a v Prešovskom kraji (</w:t>
      </w:r>
      <w:r w:rsidR="00086485" w:rsidRPr="00AE6EDB">
        <w:t>7,9</w:t>
      </w:r>
      <w:r w:rsidR="005676EF">
        <w:t> %</w:t>
      </w:r>
      <w:r w:rsidRPr="00AE6EDB">
        <w:t xml:space="preserve">). Najnižší podiel vykazoval Bratislavský kraj, a to </w:t>
      </w:r>
      <w:r w:rsidR="00086485" w:rsidRPr="00AE6EDB">
        <w:t>0,5</w:t>
      </w:r>
      <w:r w:rsidR="005676EF">
        <w:t> %</w:t>
      </w:r>
      <w:r w:rsidRPr="00AE6EDB">
        <w:t>.</w:t>
      </w:r>
    </w:p>
    <w:bookmarkEnd w:id="631"/>
    <w:bookmarkEnd w:id="632"/>
    <w:bookmarkEnd w:id="633"/>
    <w:bookmarkEnd w:id="634"/>
    <w:bookmarkEnd w:id="635"/>
    <w:bookmarkEnd w:id="636"/>
    <w:bookmarkEnd w:id="637"/>
    <w:p w:rsidR="000A7585" w:rsidRPr="00AE6EDB" w:rsidRDefault="000A7585" w:rsidP="000A7585">
      <w:pPr>
        <w:pStyle w:val="Normlnysozarkami12"/>
        <w:ind w:firstLine="431"/>
      </w:pPr>
      <w:r w:rsidRPr="00AE6EDB">
        <w:t>Z celkového počtu členov domácností v systéme pomoci v hmotnej núdzi bolo 51,</w:t>
      </w:r>
      <w:r w:rsidR="00086485" w:rsidRPr="00AE6EDB">
        <w:t>6</w:t>
      </w:r>
      <w:r w:rsidR="005676EF">
        <w:t> %</w:t>
      </w:r>
      <w:r w:rsidRPr="00AE6EDB">
        <w:t xml:space="preserve"> mužov a 48,</w:t>
      </w:r>
      <w:r w:rsidR="00086485" w:rsidRPr="00AE6EDB">
        <w:t>4</w:t>
      </w:r>
      <w:r w:rsidR="005676EF">
        <w:t> %</w:t>
      </w:r>
      <w:r w:rsidRPr="00AE6EDB">
        <w:t xml:space="preserve"> žien. V porovnaní s rokom 201</w:t>
      </w:r>
      <w:r w:rsidR="00086485" w:rsidRPr="00AE6EDB">
        <w:t>4</w:t>
      </w:r>
      <w:r w:rsidRPr="00AE6EDB">
        <w:t xml:space="preserve"> </w:t>
      </w:r>
      <w:r w:rsidR="00086485" w:rsidRPr="00AE6EDB">
        <w:t>sa podiel mierne zvýšil (o 0,1 p.</w:t>
      </w:r>
      <w:r w:rsidR="00AE6EDB">
        <w:t> </w:t>
      </w:r>
      <w:r w:rsidR="00086485" w:rsidRPr="00AE6EDB">
        <w:t>b.) v prospech mužov</w:t>
      </w:r>
      <w:r w:rsidRPr="00AE6EDB">
        <w:t>. Nasledujúci graf znázorňuje štruktúru členov domácností v systéme pomoci v hmotnej núdzi podľa veku a pohlavia. V jednotlivých vekových skupinách je vyšší podiel mužov ako žien, až na vekov</w:t>
      </w:r>
      <w:r w:rsidR="00086485" w:rsidRPr="00AE6EDB">
        <w:t xml:space="preserve">é </w:t>
      </w:r>
      <w:r w:rsidRPr="00AE6EDB">
        <w:t>skupin</w:t>
      </w:r>
      <w:r w:rsidR="00086485" w:rsidRPr="00AE6EDB">
        <w:t>y25 – 29 rokov (žien je o 10,6</w:t>
      </w:r>
      <w:r w:rsidR="005676EF">
        <w:t> %</w:t>
      </w:r>
      <w:r w:rsidR="00086485" w:rsidRPr="00AE6EDB">
        <w:t xml:space="preserve"> viac), 30 – 34 rokov (žien je o 3,7</w:t>
      </w:r>
      <w:r w:rsidR="005676EF">
        <w:t> %</w:t>
      </w:r>
      <w:r w:rsidR="00086485" w:rsidRPr="00AE6EDB">
        <w:t xml:space="preserve"> viac) a</w:t>
      </w:r>
      <w:r w:rsidRPr="00AE6EDB">
        <w:t xml:space="preserve"> 60 a viac rokov. Počet žien v</w:t>
      </w:r>
      <w:r w:rsidR="00086485" w:rsidRPr="00AE6EDB">
        <w:t> poslednej menovanej</w:t>
      </w:r>
      <w:r w:rsidRPr="00AE6EDB">
        <w:t xml:space="preserve"> vekovej skupine je vyšší oproti počtu mužov o</w:t>
      </w:r>
      <w:r w:rsidR="00086485" w:rsidRPr="00AE6EDB">
        <w:t> </w:t>
      </w:r>
      <w:r w:rsidRPr="00AE6EDB">
        <w:t>6</w:t>
      </w:r>
      <w:r w:rsidR="00086485" w:rsidRPr="00AE6EDB">
        <w:t>5,7</w:t>
      </w:r>
      <w:r w:rsidR="005676EF">
        <w:t> %</w:t>
      </w:r>
      <w:r w:rsidRPr="00AE6EDB">
        <w:t xml:space="preserve">. Tento stav pretrváva už od roku 2006 a okrem demografického vývoja je ovplyvnený aj </w:t>
      </w:r>
      <w:r w:rsidRPr="00AE6EDB">
        <w:rPr>
          <w:bCs/>
        </w:rPr>
        <w:t xml:space="preserve">nižšími dôchodkami u žien, ktoré vyplývajú z nižších predchádzajúcich príjmov počas pracovnej kariéry. </w:t>
      </w:r>
      <w:r w:rsidR="00086485" w:rsidRPr="00AE6EDB">
        <w:t>Táto</w:t>
      </w:r>
      <w:r w:rsidRPr="00AE6EDB">
        <w:t xml:space="preserve"> veková skupina </w:t>
      </w:r>
      <w:r w:rsidR="00086485" w:rsidRPr="00AE6EDB">
        <w:t xml:space="preserve">príjemcov pomoci </w:t>
      </w:r>
      <w:r w:rsidRPr="00AE6EDB">
        <w:t>v hmotnej núdzi žije predovšetkým v domácnostiach jednotlivcov, resp. v</w:t>
      </w:r>
      <w:r w:rsidR="00CE15D0">
        <w:t> </w:t>
      </w:r>
      <w:r w:rsidRPr="00AE6EDB">
        <w:t>neúplných rodinách, ktoré tvoria až 83,</w:t>
      </w:r>
      <w:r w:rsidR="00086485" w:rsidRPr="00AE6EDB">
        <w:t>29</w:t>
      </w:r>
      <w:r w:rsidR="005676EF">
        <w:t> %</w:t>
      </w:r>
      <w:r w:rsidRPr="00AE6EDB">
        <w:t xml:space="preserve"> z celkového počtu poberateľov, pričom ženy predstavujú 73,</w:t>
      </w:r>
      <w:r w:rsidR="00086485" w:rsidRPr="00AE6EDB">
        <w:t>55</w:t>
      </w:r>
      <w:r w:rsidR="005676EF">
        <w:t> %</w:t>
      </w:r>
      <w:r w:rsidR="00086485" w:rsidRPr="00AE6EDB">
        <w:t xml:space="preserve"> z tejto podskupiny</w:t>
      </w:r>
      <w:r w:rsidRPr="00AE6EDB">
        <w:t>.</w:t>
      </w:r>
    </w:p>
    <w:p w:rsidR="000A7585" w:rsidRPr="00AE6EDB" w:rsidRDefault="000A7585" w:rsidP="000A7585">
      <w:pPr>
        <w:pStyle w:val="Nadpis7"/>
      </w:pPr>
      <w:r w:rsidRPr="00AE6EDB">
        <w:t xml:space="preserve">Graf 3.8 Členovia domácností v systéme pomoci v hmotnej núdzi v členení podľa </w:t>
      </w:r>
      <w:r w:rsidRPr="00AE6EDB">
        <w:br/>
        <w:t>veku a pohlavia v roku 201</w:t>
      </w:r>
      <w:r w:rsidR="00086485" w:rsidRPr="00AE6EDB">
        <w:t>5</w:t>
      </w:r>
    </w:p>
    <w:p w:rsidR="000A7585" w:rsidRPr="00AE6EDB" w:rsidRDefault="000A7585" w:rsidP="000A7585">
      <w:pPr>
        <w:jc w:val="center"/>
      </w:pPr>
      <w:r w:rsidRPr="00AE6EDB">
        <w:rPr>
          <w:noProof/>
        </w:rPr>
        <w:t xml:space="preserve"> </w:t>
      </w:r>
      <w:r w:rsidR="00086485" w:rsidRPr="00AE6EDB">
        <w:rPr>
          <w:noProof/>
        </w:rPr>
        <w:drawing>
          <wp:inline distT="0" distB="0" distL="0" distR="0" wp14:anchorId="5483B0B8" wp14:editId="5B1F568A">
            <wp:extent cx="5486400" cy="27432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A7585" w:rsidRPr="00AE6EDB" w:rsidRDefault="000A7585" w:rsidP="000A7585">
      <w:pPr>
        <w:pStyle w:val="zdroj"/>
      </w:pPr>
      <w:bookmarkStart w:id="638" w:name="_Toc294027412"/>
      <w:bookmarkStart w:id="639" w:name="_Toc294029651"/>
      <w:bookmarkStart w:id="640" w:name="_Toc313879142"/>
      <w:bookmarkStart w:id="641" w:name="_Toc325438204"/>
      <w:bookmarkStart w:id="642" w:name="_Toc325440973"/>
      <w:bookmarkStart w:id="643" w:name="_Toc325626786"/>
      <w:bookmarkStart w:id="644" w:name="_Toc326217047"/>
      <w:bookmarkEnd w:id="617"/>
      <w:bookmarkEnd w:id="618"/>
      <w:bookmarkEnd w:id="619"/>
      <w:bookmarkEnd w:id="620"/>
      <w:bookmarkEnd w:id="621"/>
      <w:bookmarkEnd w:id="622"/>
      <w:bookmarkEnd w:id="623"/>
      <w:r w:rsidRPr="00AE6EDB">
        <w:t xml:space="preserve">Zdroj: RSD MIS </w:t>
      </w:r>
    </w:p>
    <w:p w:rsidR="006E7C9B" w:rsidRPr="00AE6EDB" w:rsidRDefault="006E7C9B" w:rsidP="000A7585">
      <w:pPr>
        <w:ind w:firstLine="431"/>
      </w:pPr>
      <w:r w:rsidRPr="00AE6EDB">
        <w:t>Na základe účelu a obsahu pomoci v hmotnej núdzi, ktorá pozostáva z dávky v hmotnej núdzi (na</w:t>
      </w:r>
      <w:r w:rsidR="00CE15D0">
        <w:t> </w:t>
      </w:r>
      <w:r w:rsidRPr="00AE6EDB">
        <w:t xml:space="preserve">šiestich </w:t>
      </w:r>
      <w:r w:rsidR="00AE6EDB" w:rsidRPr="00AE6EDB">
        <w:t>úrovniach</w:t>
      </w:r>
      <w:r w:rsidRPr="00AE6EDB">
        <w:t>), ochranného príspevku (na troch úrovniach), aktivačného príspevku, príspevku na nezaopatrené dieťa a príspevku na bývanie (na dvoch úrovniach) bola situácia vo vývoji počtu príjemcov nasledovná:</w:t>
      </w:r>
    </w:p>
    <w:p w:rsidR="000A7585" w:rsidRPr="00AE6EDB" w:rsidRDefault="000A7585" w:rsidP="006E7C9B">
      <w:pPr>
        <w:spacing w:before="120"/>
        <w:ind w:firstLine="431"/>
      </w:pPr>
      <w:r w:rsidRPr="00AE6EDB">
        <w:rPr>
          <w:i/>
        </w:rPr>
        <w:t>Ochranný príspevok</w:t>
      </w:r>
      <w:r w:rsidRPr="00AE6EDB">
        <w:t xml:space="preserve"> je určený na zabezpečenie osobitných výdavkov členov domácností, ktorí nemajú možnosť zabezpečiť si príjem alebo zvýšiť si príjem vlastnou prácou. Poskytuje sa na základe zákonom stanovených podmienok, a to v sume </w:t>
      </w:r>
    </w:p>
    <w:p w:rsidR="000A7585" w:rsidRPr="00AE6EDB" w:rsidRDefault="000A7585" w:rsidP="000A7585">
      <w:pPr>
        <w:pStyle w:val="Odsekzoznamu"/>
        <w:numPr>
          <w:ilvl w:val="0"/>
          <w:numId w:val="38"/>
        </w:numPr>
        <w:contextualSpacing/>
      </w:pPr>
      <w:r w:rsidRPr="00AE6EDB">
        <w:t>63,07</w:t>
      </w:r>
      <w:r w:rsidR="0054295F">
        <w:t> eur</w:t>
      </w:r>
      <w:r w:rsidRPr="00AE6EDB">
        <w:t>a mesačne, ak ide o člena domácnosti, ktorý má vek potrebný na starobný dôchodok, má invaliditu z titulu poklesu schopnosti vykonávať zárobkovú činnosť o viac ako 70</w:t>
      </w:r>
      <w:r w:rsidR="005676EF">
        <w:t> %</w:t>
      </w:r>
      <w:r w:rsidRPr="00AE6EDB">
        <w:t xml:space="preserve">, je osamelý rodič starajúci sa o dieťa do 31 týždňov veku, osobne sa stará o fyzickú osobu s ťažkým zdravotným postihnutím atď., </w:t>
      </w:r>
    </w:p>
    <w:p w:rsidR="000A7585" w:rsidRPr="00AE6EDB" w:rsidRDefault="000A7585" w:rsidP="000A7585">
      <w:pPr>
        <w:pStyle w:val="Odsekzoznamu"/>
        <w:numPr>
          <w:ilvl w:val="0"/>
          <w:numId w:val="38"/>
        </w:numPr>
        <w:contextualSpacing/>
      </w:pPr>
      <w:r w:rsidRPr="00AE6EDB">
        <w:t>34,69</w:t>
      </w:r>
      <w:r w:rsidR="0054295F">
        <w:t> eur</w:t>
      </w:r>
      <w:r w:rsidRPr="00AE6EDB">
        <w:t>a mesačne, ak má nepriaznivý zdravotný stav, za ktorý sa považuje choroba, úraz alebo karanténne opatrenie, trvajúce viac ako 30 po sebe nasledujúcich dní,</w:t>
      </w:r>
    </w:p>
    <w:p w:rsidR="000A7585" w:rsidRPr="00AE6EDB" w:rsidRDefault="000A7585" w:rsidP="000A7585">
      <w:pPr>
        <w:pStyle w:val="Odsekzoznamu"/>
        <w:numPr>
          <w:ilvl w:val="0"/>
          <w:numId w:val="38"/>
        </w:numPr>
        <w:contextualSpacing/>
      </w:pPr>
      <w:r w:rsidRPr="00AE6EDB">
        <w:t>13,50</w:t>
      </w:r>
      <w:r w:rsidR="0054295F">
        <w:t> eur</w:t>
      </w:r>
      <w:r w:rsidRPr="00AE6EDB">
        <w:t>a mesačne, ak ide o tehotnú ženu alebo rodiča dieťaťa do 1 roka jeho veku.</w:t>
      </w:r>
    </w:p>
    <w:p w:rsidR="000A7585" w:rsidRPr="00AE6EDB" w:rsidRDefault="000A7585" w:rsidP="000A7585">
      <w:pPr>
        <w:ind w:firstLine="567"/>
        <w:rPr>
          <w:highlight w:val="cyan"/>
        </w:rPr>
      </w:pPr>
    </w:p>
    <w:p w:rsidR="000A7585" w:rsidRPr="00AE6EDB" w:rsidRDefault="000A7585" w:rsidP="000A7585">
      <w:pPr>
        <w:ind w:firstLine="431"/>
      </w:pPr>
      <w:r w:rsidRPr="00AE6EDB">
        <w:t>V roku 201</w:t>
      </w:r>
      <w:r w:rsidR="00190CED" w:rsidRPr="00AE6EDB">
        <w:t>5</w:t>
      </w:r>
      <w:r w:rsidRPr="00AE6EDB">
        <w:t xml:space="preserve"> bol ochranný príspevok poskytnutý v priemere mesačne </w:t>
      </w:r>
      <w:r w:rsidR="0047049E" w:rsidRPr="00AE6EDB">
        <w:t>2</w:t>
      </w:r>
      <w:r w:rsidR="00AC44CB">
        <w:t>7 2</w:t>
      </w:r>
      <w:r w:rsidR="0047049E" w:rsidRPr="00AE6EDB">
        <w:t>59 členom domácností</w:t>
      </w:r>
      <w:r w:rsidRPr="00AE6EDB">
        <w:t>, z toho s nárokom na sumu 63,07</w:t>
      </w:r>
      <w:r w:rsidR="0054295F">
        <w:t> eur</w:t>
      </w:r>
      <w:r w:rsidRPr="00AE6EDB">
        <w:t xml:space="preserve">a bol poskytnutý </w:t>
      </w:r>
      <w:r w:rsidR="004B34A2" w:rsidRPr="00AE6EDB">
        <w:t>1</w:t>
      </w:r>
      <w:r w:rsidR="00AC44CB">
        <w:t>5 0</w:t>
      </w:r>
      <w:r w:rsidR="004B34A2" w:rsidRPr="00AE6EDB">
        <w:t>16</w:t>
      </w:r>
      <w:r w:rsidRPr="00AE6EDB">
        <w:t xml:space="preserve"> členom domácností, s nárokom na sumu 34,69</w:t>
      </w:r>
      <w:r w:rsidR="0054295F">
        <w:t> eur</w:t>
      </w:r>
      <w:r w:rsidRPr="00AE6EDB">
        <w:t>a bol poskytnutý 1</w:t>
      </w:r>
      <w:r w:rsidR="0054295F">
        <w:t>0 1</w:t>
      </w:r>
      <w:r w:rsidR="004B34A2" w:rsidRPr="00AE6EDB">
        <w:t>48</w:t>
      </w:r>
      <w:r w:rsidRPr="00AE6EDB">
        <w:t xml:space="preserve"> členom domácností a s nárokom na sumu 13,50</w:t>
      </w:r>
      <w:r w:rsidR="0054295F">
        <w:t> eur</w:t>
      </w:r>
      <w:r w:rsidRPr="00AE6EDB">
        <w:t xml:space="preserve">a bol poskytnutý </w:t>
      </w:r>
      <w:r w:rsidR="0054295F">
        <w:lastRenderedPageBreak/>
        <w:t>1 1</w:t>
      </w:r>
      <w:r w:rsidR="0047049E" w:rsidRPr="00AE6EDB">
        <w:t>64</w:t>
      </w:r>
      <w:r w:rsidRPr="00AE6EDB">
        <w:t xml:space="preserve"> členom domácností (tehotné ženy) a </w:t>
      </w:r>
      <w:r w:rsidR="0047049E" w:rsidRPr="00AE6EDB">
        <w:t>931</w:t>
      </w:r>
      <w:r w:rsidRPr="00AE6EDB">
        <w:t xml:space="preserve"> členom domácností, t.j. rodičom starajúcim sa o dieťa do 1 roka veku</w:t>
      </w:r>
      <w:r w:rsidR="00AF6824" w:rsidRPr="00AE6EDB">
        <w:t>.</w:t>
      </w:r>
      <w:r w:rsidRPr="00AE6EDB">
        <w:t xml:space="preserve"> V porovnaní s rokom 201</w:t>
      </w:r>
      <w:r w:rsidR="0047049E" w:rsidRPr="00AE6EDB">
        <w:t>4</w:t>
      </w:r>
      <w:r w:rsidRPr="00AE6EDB">
        <w:t xml:space="preserve"> sme zaznamenali medziročný pokles o</w:t>
      </w:r>
      <w:r w:rsidR="00AF6824" w:rsidRPr="00AE6EDB">
        <w:t> 12,26</w:t>
      </w:r>
      <w:r w:rsidR="005676EF">
        <w:t> %</w:t>
      </w:r>
      <w:r w:rsidRPr="00AE6EDB">
        <w:t>.</w:t>
      </w:r>
    </w:p>
    <w:p w:rsidR="000A7585" w:rsidRPr="00AE6EDB" w:rsidRDefault="000A7585" w:rsidP="000A7585">
      <w:pPr>
        <w:ind w:firstLine="431"/>
      </w:pPr>
      <w:r w:rsidRPr="00AE6EDB">
        <w:rPr>
          <w:i/>
        </w:rPr>
        <w:t>Aktivačný príspevok</w:t>
      </w:r>
      <w:r w:rsidRPr="00AE6EDB">
        <w:t xml:space="preserve"> je určený na podporu získania, udržania, prehĺbenia alebo zvýšenia vedomostí, odborných zručností, praktických skúseností a pracovných návykov za účelom zvýšenia pracovného uplatnenia na trhu práce. Aktivačný príspevok patrí každému členovi domácnosti, ak je zamestnaný, vedený ako uchádzač o zamestnanie alebo je mu vyplácaný rodičovský príspevok. V prípade uchádzačov o zamestnanie dôvody poskytnutia aktivačného príspevku sú: zvyšovanie kvalifikácie, zúčastňovanie sa na vzdelávaní a príprave pre trh práce alebo vykonávanie menších obecných služieb. </w:t>
      </w:r>
    </w:p>
    <w:p w:rsidR="000A7585" w:rsidRPr="00AE6EDB" w:rsidRDefault="000A7585" w:rsidP="000A7585">
      <w:pPr>
        <w:ind w:firstLine="431"/>
      </w:pPr>
      <w:r w:rsidRPr="00AE6EDB">
        <w:t>V roku 201</w:t>
      </w:r>
      <w:r w:rsidR="004B34A2" w:rsidRPr="00AE6EDB">
        <w:t>5</w:t>
      </w:r>
      <w:r w:rsidRPr="00AE6EDB">
        <w:t xml:space="preserve"> bol aktivačný príspevok poskytnutý v priemere mesačne </w:t>
      </w:r>
      <w:r w:rsidR="004B34A2" w:rsidRPr="00AE6EDB">
        <w:t>5</w:t>
      </w:r>
      <w:r w:rsidR="0054295F">
        <w:t>3 3</w:t>
      </w:r>
      <w:r w:rsidR="004B34A2" w:rsidRPr="00AE6EDB">
        <w:t>18</w:t>
      </w:r>
      <w:r w:rsidRPr="00AE6EDB">
        <w:t xml:space="preserve"> členom domácností, z toho bolo </w:t>
      </w:r>
      <w:r w:rsidR="0044746E" w:rsidRPr="00AE6EDB">
        <w:t>859</w:t>
      </w:r>
      <w:r w:rsidRPr="00AE6EDB">
        <w:t xml:space="preserve"> členov domácností zamestnaných, 5</w:t>
      </w:r>
      <w:r w:rsidR="0054295F">
        <w:t>2 4</w:t>
      </w:r>
      <w:r w:rsidR="0044746E" w:rsidRPr="00AE6EDB">
        <w:t>53</w:t>
      </w:r>
      <w:r w:rsidRPr="00AE6EDB">
        <w:t xml:space="preserve"> uchádzačov o zamestnanie a 6 na rodičov</w:t>
      </w:r>
      <w:r w:rsidRPr="00AE6EDB">
        <w:softHyphen/>
        <w:t xml:space="preserve">skom príspevku. Z celkového počtu uchádzačov o zamestnanie, ktorým bol poskytovaný aktivačný príspevok, bolo </w:t>
      </w:r>
      <w:r w:rsidR="0044746E" w:rsidRPr="00AE6EDB">
        <w:t>5</w:t>
      </w:r>
      <w:r w:rsidR="0054295F">
        <w:t>0 5</w:t>
      </w:r>
      <w:r w:rsidR="0044746E" w:rsidRPr="00AE6EDB">
        <w:t>20</w:t>
      </w:r>
      <w:r w:rsidRPr="00AE6EDB">
        <w:t xml:space="preserve"> členov domácností vykonávajúcich menšie obecné služby alebo menšie služby pre samosprávny kraj. V porovnaní s rokom 201</w:t>
      </w:r>
      <w:r w:rsidR="0044746E" w:rsidRPr="00AE6EDB">
        <w:t>4</w:t>
      </w:r>
      <w:r w:rsidRPr="00AE6EDB">
        <w:t xml:space="preserve"> sme zaznamenali medziročne pokles nárokov o</w:t>
      </w:r>
      <w:r w:rsidR="0044746E" w:rsidRPr="00AE6EDB">
        <w:t> 12,1</w:t>
      </w:r>
      <w:r w:rsidR="005676EF">
        <w:t> %</w:t>
      </w:r>
      <w:r w:rsidRPr="00AE6EDB">
        <w:t>.</w:t>
      </w:r>
    </w:p>
    <w:p w:rsidR="000A7585" w:rsidRPr="00AE6EDB" w:rsidRDefault="000A7585" w:rsidP="000A7585">
      <w:pPr>
        <w:ind w:firstLine="431"/>
        <w:rPr>
          <w:highlight w:val="cyan"/>
        </w:rPr>
      </w:pPr>
      <w:bookmarkStart w:id="645" w:name="_Toc294027413"/>
      <w:bookmarkStart w:id="646" w:name="_Toc294029652"/>
      <w:bookmarkStart w:id="647" w:name="_Toc313879143"/>
      <w:bookmarkStart w:id="648" w:name="_Toc325438205"/>
      <w:bookmarkStart w:id="649" w:name="_Toc325440974"/>
      <w:bookmarkStart w:id="650" w:name="_Toc325626787"/>
      <w:bookmarkStart w:id="651" w:name="_Toc326217048"/>
      <w:bookmarkEnd w:id="638"/>
      <w:bookmarkEnd w:id="639"/>
      <w:bookmarkEnd w:id="640"/>
      <w:bookmarkEnd w:id="641"/>
      <w:bookmarkEnd w:id="642"/>
      <w:bookmarkEnd w:id="643"/>
      <w:bookmarkEnd w:id="644"/>
      <w:r w:rsidRPr="00AE6EDB">
        <w:rPr>
          <w:i/>
        </w:rPr>
        <w:t xml:space="preserve">Príspevok na nezaopatrené dieťa </w:t>
      </w:r>
      <w:r w:rsidRPr="00AE6EDB">
        <w:t>je určený na podporu výchovy, vzdelávania a všestranného rozvoja dieťaťa v domácnosti, ktoré si riadne plní povinnú školskú dochádzku. Výška príspevku je pre každé nezaopatrené dieťa 17,20</w:t>
      </w:r>
      <w:r w:rsidR="0054295F">
        <w:t> eur</w:t>
      </w:r>
      <w:r w:rsidRPr="00AE6EDB">
        <w:t>a mesačne. V roku 201</w:t>
      </w:r>
      <w:r w:rsidR="004C7CA3" w:rsidRPr="00AE6EDB">
        <w:t>5</w:t>
      </w:r>
      <w:r w:rsidRPr="00AE6EDB">
        <w:t xml:space="preserve"> bol príspevok na starostlivosť o nezaopatrené dieťa poskytnutý v priemere mesačne na </w:t>
      </w:r>
      <w:r w:rsidR="004C7CA3" w:rsidRPr="00AE6EDB">
        <w:t>5</w:t>
      </w:r>
      <w:r w:rsidR="0054295F">
        <w:t>4 5</w:t>
      </w:r>
      <w:r w:rsidR="004C7CA3" w:rsidRPr="00AE6EDB">
        <w:t>29</w:t>
      </w:r>
      <w:r w:rsidRPr="00AE6EDB">
        <w:t xml:space="preserve"> nezaopatrených detí</w:t>
      </w:r>
      <w:r w:rsidR="00746341">
        <w:t>, čo predstavuje pokles o 11,06 %</w:t>
      </w:r>
      <w:r w:rsidRPr="00AE6EDB">
        <w:t xml:space="preserve">. </w:t>
      </w:r>
    </w:p>
    <w:p w:rsidR="000A7585" w:rsidRPr="00AE6EDB" w:rsidRDefault="000A7585" w:rsidP="000A7585">
      <w:pPr>
        <w:ind w:firstLine="431"/>
      </w:pPr>
      <w:r w:rsidRPr="00AE6EDB">
        <w:rPr>
          <w:i/>
        </w:rPr>
        <w:t xml:space="preserve">Príspevok na bývanie </w:t>
      </w:r>
      <w:r w:rsidRPr="00AE6EDB">
        <w:t xml:space="preserve">je určený na úhradu nákladov spojených s bývaním. Poskytuje sa poberateľovi, ak niektorý člen domácnosti je vlastníkom alebo spoluvlastníkom bytu, vlastníkom alebo spoluvlastníkom rodinného domu, nájomcom bytu, nájomcom rodinného domu alebo nájomcom obytnej miestnosti v zariadení určenom na trvalé bývanie alebo býva v byte alebo v rodinnom dome na základe práva doživotného užívania. Taktiež príspevok na bývanie patrí, ak domácnosť býva v zariadení podporovaného bývania, zariadení pre seniorov, domove sociálnych služieb alebo špecializovanom zariadení s celoročnou pobytovou formou, v útulku, domove na polceste, zariadení núdzového bývania alebo v krízovom stredisku. </w:t>
      </w:r>
    </w:p>
    <w:p w:rsidR="000A7585" w:rsidRPr="00AE6EDB" w:rsidRDefault="000A7585" w:rsidP="000A7585">
      <w:pPr>
        <w:ind w:firstLine="431"/>
      </w:pPr>
      <w:r w:rsidRPr="00AE6EDB">
        <w:t>K roku 201</w:t>
      </w:r>
      <w:r w:rsidR="007618A9" w:rsidRPr="00AE6EDB">
        <w:t>5</w:t>
      </w:r>
      <w:r w:rsidRPr="00AE6EDB">
        <w:t xml:space="preserve"> sa príspevok na bývanie poskytol priemerne mesačne </w:t>
      </w:r>
      <w:r w:rsidR="004C7CA3" w:rsidRPr="00AE6EDB">
        <w:t>6</w:t>
      </w:r>
      <w:r w:rsidR="0054295F">
        <w:t>2 0</w:t>
      </w:r>
      <w:r w:rsidR="004C7CA3" w:rsidRPr="00AE6EDB">
        <w:t>52</w:t>
      </w:r>
      <w:r w:rsidRPr="00AE6EDB">
        <w:t xml:space="preserve"> domácnostiam. V porovnaní s rokom 201</w:t>
      </w:r>
      <w:r w:rsidR="007618A9" w:rsidRPr="00AE6EDB">
        <w:t>4</w:t>
      </w:r>
      <w:r w:rsidRPr="00AE6EDB">
        <w:t xml:space="preserve"> sme zaznamenali medziročne pokles nárokov o</w:t>
      </w:r>
      <w:r w:rsidR="004C7CA3" w:rsidRPr="00AE6EDB">
        <w:t> </w:t>
      </w:r>
      <w:r w:rsidRPr="00AE6EDB">
        <w:t>1</w:t>
      </w:r>
      <w:r w:rsidR="004C7CA3" w:rsidRPr="00AE6EDB">
        <w:t>4,63</w:t>
      </w:r>
      <w:r w:rsidR="005676EF">
        <w:t> %</w:t>
      </w:r>
      <w:r w:rsidRPr="00AE6EDB">
        <w:t>.</w:t>
      </w:r>
    </w:p>
    <w:p w:rsidR="000A7585" w:rsidRPr="00AE6EDB" w:rsidRDefault="000A7585" w:rsidP="000A7585">
      <w:pPr>
        <w:ind w:firstLine="567"/>
      </w:pPr>
    </w:p>
    <w:p w:rsidR="000A7585" w:rsidRPr="00AE6EDB" w:rsidRDefault="000A7585" w:rsidP="000A7585">
      <w:pPr>
        <w:rPr>
          <w:b/>
        </w:rPr>
      </w:pPr>
      <w:r w:rsidRPr="00AE6EDB">
        <w:rPr>
          <w:b/>
        </w:rPr>
        <w:t xml:space="preserve">Osobitný príspevok </w:t>
      </w:r>
    </w:p>
    <w:p w:rsidR="003F12DD" w:rsidRPr="00AE6EDB" w:rsidRDefault="004C7CA3" w:rsidP="000A7585">
      <w:pPr>
        <w:ind w:firstLine="431"/>
      </w:pPr>
      <w:r w:rsidRPr="00AE6EDB">
        <w:t>V systéme pomoci v hmotnej núdzi sú zadefinované aj podmienky poskytovania osobitného príspevku. S účinnosťou od 1. januára 201</w:t>
      </w:r>
      <w:r w:rsidR="00B57478">
        <w:t>5</w:t>
      </w:r>
      <w:r w:rsidRPr="00AE6EDB">
        <w:t xml:space="preserve"> sa tieto podmienky upravili a rozšíril sa okruh oprávnených na poskytovanie predmetného príspevku.</w:t>
      </w:r>
      <w:r w:rsidR="000A7585" w:rsidRPr="00AE6EDB">
        <w:t xml:space="preserve"> </w:t>
      </w:r>
      <w:r w:rsidR="00E67FBD" w:rsidRPr="00AE6EDB">
        <w:t xml:space="preserve">Osobitný príspevok </w:t>
      </w:r>
      <w:r w:rsidR="000A7585" w:rsidRPr="00AE6EDB">
        <w:t>patrí fyzickej osobe, ktorá bola dlhodobo nezamestnaná</w:t>
      </w:r>
      <w:r w:rsidR="00E67FBD" w:rsidRPr="00AE6EDB">
        <w:t xml:space="preserve"> alebo dlhodobo neaktívna v systéme pomoci v hmotnej núdzi a</w:t>
      </w:r>
      <w:r w:rsidR="00CE15D0">
        <w:t> </w:t>
      </w:r>
      <w:r w:rsidR="000A7585" w:rsidRPr="00AE6EDB">
        <w:t xml:space="preserve">zamestnala sa s príjmom zo závislej činnosti najmenej na úrovni </w:t>
      </w:r>
      <w:r w:rsidR="00E67FBD" w:rsidRPr="00AE6EDB">
        <w:t xml:space="preserve">polovice </w:t>
      </w:r>
      <w:r w:rsidR="000A7585" w:rsidRPr="00AE6EDB">
        <w:t xml:space="preserve">minimálnej mzdy a maximálne na úrovni </w:t>
      </w:r>
      <w:r w:rsidR="00E67FBD" w:rsidRPr="00AE6EDB">
        <w:t>dvoj</w:t>
      </w:r>
      <w:r w:rsidR="000A7585" w:rsidRPr="00AE6EDB">
        <w:t xml:space="preserve">násobku minimálnej mzdy. </w:t>
      </w:r>
      <w:r w:rsidR="00E67FBD" w:rsidRPr="00AE6EDB">
        <w:t xml:space="preserve">Právna úprava nevylučuje poberanie predmetného príspevku v situácii, keď občan alebo celá domácnosť </w:t>
      </w:r>
      <w:r w:rsidR="000A5547" w:rsidRPr="00AE6EDB">
        <w:t xml:space="preserve">zostane naďalej v systéme pomoci v hmotnej núdzi. </w:t>
      </w:r>
      <w:r w:rsidR="000A7585" w:rsidRPr="00AE6EDB">
        <w:t>Osobitný príspevok sa vypláca takejto osobe</w:t>
      </w:r>
      <w:r w:rsidR="000A5547" w:rsidRPr="00AE6EDB">
        <w:t xml:space="preserve"> počas prvých šiestich mesiacov v sume 126,14</w:t>
      </w:r>
      <w:r w:rsidR="0054295F">
        <w:t> eur</w:t>
      </w:r>
      <w:r w:rsidR="000A5547" w:rsidRPr="00AE6EDB">
        <w:t>a a podobu ďalších šiestich mesiacov</w:t>
      </w:r>
      <w:r w:rsidR="000A7585" w:rsidRPr="00AE6EDB">
        <w:t xml:space="preserve"> v sume 63,07</w:t>
      </w:r>
      <w:r w:rsidR="0054295F">
        <w:t> eur</w:t>
      </w:r>
      <w:r w:rsidR="000A7585" w:rsidRPr="00AE6EDB">
        <w:t>a</w:t>
      </w:r>
      <w:r w:rsidR="000A7585" w:rsidRPr="00AE6EDB">
        <w:rPr>
          <w:i/>
        </w:rPr>
        <w:t xml:space="preserve">. </w:t>
      </w:r>
      <w:r w:rsidR="000A7585" w:rsidRPr="00AE6EDB">
        <w:t>V roku 201</w:t>
      </w:r>
      <w:r w:rsidR="000A5547" w:rsidRPr="00AE6EDB">
        <w:t>5</w:t>
      </w:r>
      <w:r w:rsidR="000A7585" w:rsidRPr="00AE6EDB">
        <w:t xml:space="preserve"> sa osobitný príspevok poskytol priemerne mesačne </w:t>
      </w:r>
      <w:r w:rsidR="00AC44CB">
        <w:t>7 9</w:t>
      </w:r>
      <w:r w:rsidR="007618A9" w:rsidRPr="00AE6EDB">
        <w:t>21</w:t>
      </w:r>
      <w:r w:rsidR="000A7585" w:rsidRPr="00AE6EDB">
        <w:t xml:space="preserve"> fyzickým osobám</w:t>
      </w:r>
      <w:r w:rsidR="00080888" w:rsidRPr="00AE6EDB">
        <w:t xml:space="preserve">, z toho vo vyššej sume </w:t>
      </w:r>
      <w:r w:rsidR="00AC44CB">
        <w:t>5 4</w:t>
      </w:r>
      <w:r w:rsidR="00080888" w:rsidRPr="00AE6EDB">
        <w:t>26 osobám</w:t>
      </w:r>
      <w:r w:rsidR="000A7585" w:rsidRPr="00AE6EDB">
        <w:t>.</w:t>
      </w:r>
      <w:r w:rsidR="00080888" w:rsidRPr="00AE6EDB">
        <w:t xml:space="preserve"> </w:t>
      </w:r>
    </w:p>
    <w:p w:rsidR="000A7585" w:rsidRPr="00AE6EDB" w:rsidRDefault="000A7585" w:rsidP="000A7585">
      <w:pPr>
        <w:pStyle w:val="Nadpis6"/>
      </w:pPr>
      <w:bookmarkStart w:id="652" w:name="_Toc452469890"/>
      <w:bookmarkEnd w:id="645"/>
      <w:bookmarkEnd w:id="646"/>
      <w:bookmarkEnd w:id="647"/>
      <w:bookmarkEnd w:id="648"/>
      <w:bookmarkEnd w:id="649"/>
      <w:bookmarkEnd w:id="650"/>
      <w:bookmarkEnd w:id="651"/>
      <w:r w:rsidRPr="00AE6EDB">
        <w:t>Dotácie pre dieťa v hmotnej núdzi</w:t>
      </w:r>
      <w:bookmarkEnd w:id="652"/>
    </w:p>
    <w:p w:rsidR="000A7585" w:rsidRPr="00AE6EDB" w:rsidRDefault="000A7585" w:rsidP="000A7585">
      <w:pPr>
        <w:ind w:firstLine="431"/>
      </w:pPr>
      <w:r w:rsidRPr="00AE6EDB">
        <w:t xml:space="preserve">Ide o podporné opatrenie zamerané na zvýšenie motivácie detí z nízkopríjmových rodín k plneniu povinnej školskej dochádzky, realizované prostredníctvom dotačného programu MPSVR SR. Prostredníctvom dotačného programu MPSVR SR poskytuje dotáciu na podporu výchovy k stravovacím návykom a dotáciu na podporu výchovy k plneniu školských povinností dieťaťa, ohrozeného sociálnym vylúčením. </w:t>
      </w:r>
    </w:p>
    <w:p w:rsidR="000A7585" w:rsidRPr="00AE6EDB" w:rsidRDefault="000A7585" w:rsidP="000A7585">
      <w:pPr>
        <w:ind w:firstLine="431"/>
      </w:pPr>
      <w:r w:rsidRPr="00AE6EDB">
        <w:t>Poskytovanie dotácie na podporu výchovy k stravovacím návykom, ako aj dotácie na podporu výchovy k plneniu školských povinností dieťaťa ohrozeného sociálnym vylúčením je upravené zákonom č. 544/2010 Z. z. o dotáciách v pôsobnosti MPSVR SR.</w:t>
      </w:r>
    </w:p>
    <w:p w:rsidR="00893633" w:rsidRPr="002641CA" w:rsidRDefault="00893633" w:rsidP="00893633">
      <w:pPr>
        <w:ind w:firstLine="431"/>
      </w:pPr>
      <w:bookmarkStart w:id="653" w:name="_Toc294027415"/>
      <w:bookmarkStart w:id="654" w:name="_Toc294029654"/>
      <w:bookmarkStart w:id="655" w:name="_Toc313879145"/>
      <w:bookmarkStart w:id="656" w:name="_Toc325438207"/>
      <w:bookmarkStart w:id="657" w:name="_Toc325440976"/>
      <w:bookmarkStart w:id="658" w:name="_Toc325626789"/>
      <w:bookmarkStart w:id="659" w:name="_Toc326217050"/>
      <w:r w:rsidRPr="002641CA">
        <w:lastRenderedPageBreak/>
        <w:t>V roku 2015 boli vyplatené finančné prostriedky na dotáciu na podporu výchovy k stravovacím návykom v sume 1</w:t>
      </w:r>
      <w:r w:rsidR="0054295F">
        <w:t>0 7</w:t>
      </w:r>
      <w:r w:rsidRPr="002641CA">
        <w:t>6</w:t>
      </w:r>
      <w:r w:rsidR="00AC44CB">
        <w:t>7 7</w:t>
      </w:r>
      <w:r w:rsidRPr="002641CA">
        <w:t>28</w:t>
      </w:r>
      <w:r w:rsidR="0054295F">
        <w:t> eur</w:t>
      </w:r>
      <w:r w:rsidRPr="002641CA">
        <w:t>. Priemerný mesačný počet detí, ktorým bola dotácia poskytnutá, je</w:t>
      </w:r>
      <w:r w:rsidRPr="002641CA">
        <w:rPr>
          <w:color w:val="1F497D"/>
        </w:rPr>
        <w:t> </w:t>
      </w:r>
      <w:r w:rsidRPr="002641CA">
        <w:t>8</w:t>
      </w:r>
      <w:r w:rsidR="0054295F">
        <w:t>0</w:t>
      </w:r>
      <w:r w:rsidR="005206D8">
        <w:t> </w:t>
      </w:r>
      <w:r w:rsidR="0054295F">
        <w:t>5</w:t>
      </w:r>
      <w:r w:rsidR="00B45924" w:rsidRPr="002641CA">
        <w:t>43</w:t>
      </w:r>
      <w:r w:rsidR="005206D8">
        <w:t>. V</w:t>
      </w:r>
      <w:r w:rsidRPr="002641CA">
        <w:t> porovnaní s rokom 2014 došlo k poklesu o</w:t>
      </w:r>
      <w:r w:rsidR="00B45924" w:rsidRPr="002641CA">
        <w:t> 8,75</w:t>
      </w:r>
      <w:r w:rsidR="005676EF">
        <w:t> %</w:t>
      </w:r>
      <w:r w:rsidR="00B45924" w:rsidRPr="002641CA">
        <w:t xml:space="preserve"> </w:t>
      </w:r>
      <w:r w:rsidRPr="002641CA">
        <w:t>(pokles o</w:t>
      </w:r>
      <w:r w:rsidR="00B45924" w:rsidRPr="002641CA">
        <w:t> </w:t>
      </w:r>
      <w:r w:rsidR="00AC44CB">
        <w:t>7 7</w:t>
      </w:r>
      <w:r w:rsidR="00B45924" w:rsidRPr="002641CA">
        <w:t>24</w:t>
      </w:r>
      <w:r w:rsidRPr="002641CA">
        <w:t xml:space="preserve"> detí).</w:t>
      </w:r>
      <w:r w:rsidRPr="002641CA">
        <w:rPr>
          <w:rStyle w:val="Odkaznakomentr"/>
        </w:rPr>
        <w:t> </w:t>
      </w:r>
    </w:p>
    <w:p w:rsidR="00893633" w:rsidRPr="00AE6EDB" w:rsidRDefault="00893633" w:rsidP="00893633">
      <w:pPr>
        <w:rPr>
          <w:sz w:val="24"/>
        </w:rPr>
      </w:pPr>
      <w:r w:rsidRPr="002641CA">
        <w:t xml:space="preserve">Dotácia na podporu výchovy k plneniu školských povinností dieťaťa ohrozeného sociálnym vylúčením tvorila sumu </w:t>
      </w:r>
      <w:r w:rsidR="0054295F">
        <w:t>2 4</w:t>
      </w:r>
      <w:r w:rsidRPr="002641CA">
        <w:t>0</w:t>
      </w:r>
      <w:r w:rsidR="00AC44CB">
        <w:t>7 4</w:t>
      </w:r>
      <w:r w:rsidRPr="002641CA">
        <w:t>08</w:t>
      </w:r>
      <w:r w:rsidR="0054295F">
        <w:t> eur</w:t>
      </w:r>
      <w:r w:rsidRPr="002641CA">
        <w:t xml:space="preserve"> a bola poskytnutá priemerne 7</w:t>
      </w:r>
      <w:r w:rsidR="0054295F">
        <w:t>3 1</w:t>
      </w:r>
      <w:r w:rsidRPr="002641CA">
        <w:t>51 deťom, čo predstavuje medziročný pokles o 7,69</w:t>
      </w:r>
      <w:r w:rsidR="005676EF">
        <w:t> %</w:t>
      </w:r>
      <w:r w:rsidRPr="002641CA">
        <w:t xml:space="preserve"> (pokles oproti roku 2014 o </w:t>
      </w:r>
      <w:r w:rsidR="00AC44CB">
        <w:t>6 0</w:t>
      </w:r>
      <w:r w:rsidRPr="002641CA">
        <w:t>92</w:t>
      </w:r>
      <w:r w:rsidRPr="002641CA">
        <w:rPr>
          <w:rStyle w:val="Odkaznakomentr"/>
          <w:sz w:val="20"/>
          <w:szCs w:val="20"/>
        </w:rPr>
        <w:t> </w:t>
      </w:r>
      <w:r w:rsidRPr="002641CA">
        <w:t xml:space="preserve">detí). </w:t>
      </w:r>
    </w:p>
    <w:p w:rsidR="000A7585" w:rsidRPr="00AE6EDB" w:rsidRDefault="000A7585" w:rsidP="000A7585">
      <w:pPr>
        <w:pStyle w:val="Nadpis7"/>
      </w:pPr>
      <w:r w:rsidRPr="00AE6EDB">
        <w:t xml:space="preserve">Graf 3.9 Regionálne rozdelenie detí, na ktoré sa poskytli dotačné programy </w:t>
      </w:r>
      <w:r w:rsidRPr="00AE6EDB">
        <w:br/>
        <w:t>na podporu výchovy k stravovacím návykom v roku 201</w:t>
      </w:r>
      <w:bookmarkEnd w:id="653"/>
      <w:bookmarkEnd w:id="654"/>
      <w:bookmarkEnd w:id="655"/>
      <w:bookmarkEnd w:id="656"/>
      <w:bookmarkEnd w:id="657"/>
      <w:bookmarkEnd w:id="658"/>
      <w:bookmarkEnd w:id="659"/>
      <w:r w:rsidR="007249E9" w:rsidRPr="00AE6EDB">
        <w:t>5</w:t>
      </w:r>
    </w:p>
    <w:p w:rsidR="000A7585" w:rsidRPr="00AE6EDB" w:rsidRDefault="007249E9" w:rsidP="000A7585">
      <w:pPr>
        <w:jc w:val="center"/>
      </w:pPr>
      <w:r w:rsidRPr="00AE6EDB">
        <w:rPr>
          <w:noProof/>
        </w:rPr>
        <w:drawing>
          <wp:inline distT="0" distB="0" distL="0" distR="0" wp14:anchorId="5C47C1D9" wp14:editId="47E49A3E">
            <wp:extent cx="4572000"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A7585" w:rsidRPr="00AE6EDB" w:rsidRDefault="000A7585" w:rsidP="007249E9">
      <w:pPr>
        <w:pStyle w:val="zdroj"/>
      </w:pPr>
      <w:r w:rsidRPr="00AE6EDB">
        <w:t>Zdroj: RSD MIS</w:t>
      </w:r>
      <w:bookmarkStart w:id="660" w:name="_Toc294027416"/>
      <w:bookmarkStart w:id="661" w:name="_Toc294029655"/>
      <w:bookmarkStart w:id="662" w:name="_Toc313879146"/>
      <w:bookmarkStart w:id="663" w:name="_Toc325438208"/>
      <w:bookmarkStart w:id="664" w:name="_Toc325440977"/>
    </w:p>
    <w:p w:rsidR="000A7585" w:rsidRPr="00AE6EDB" w:rsidRDefault="000A7585" w:rsidP="000A7585">
      <w:pPr>
        <w:pStyle w:val="Nadpis7"/>
        <w:spacing w:before="0" w:after="0"/>
      </w:pPr>
      <w:bookmarkStart w:id="665" w:name="_Toc325626790"/>
      <w:bookmarkStart w:id="666" w:name="_Toc326217051"/>
      <w:r w:rsidRPr="00AE6EDB">
        <w:t xml:space="preserve">Graf 3.10 Regionálne rozdelenie detí, na ktoré sa poskytli dotačné programy </w:t>
      </w:r>
      <w:r w:rsidRPr="00AE6EDB">
        <w:br/>
        <w:t>podporu výchovy k plneniu školských povinností v roku 201</w:t>
      </w:r>
      <w:bookmarkEnd w:id="660"/>
      <w:bookmarkEnd w:id="661"/>
      <w:bookmarkEnd w:id="662"/>
      <w:bookmarkEnd w:id="663"/>
      <w:bookmarkEnd w:id="664"/>
      <w:bookmarkEnd w:id="665"/>
      <w:bookmarkEnd w:id="666"/>
      <w:r w:rsidR="004B6751" w:rsidRPr="00AE6EDB">
        <w:t>5</w:t>
      </w:r>
    </w:p>
    <w:p w:rsidR="000A7585" w:rsidRPr="00AE6EDB" w:rsidRDefault="007249E9" w:rsidP="000A7585">
      <w:pPr>
        <w:jc w:val="center"/>
      </w:pPr>
      <w:r w:rsidRPr="00AE6EDB">
        <w:rPr>
          <w:noProof/>
        </w:rPr>
        <w:drawing>
          <wp:inline distT="0" distB="0" distL="0" distR="0" wp14:anchorId="27FE1265" wp14:editId="5914664F">
            <wp:extent cx="4572000" cy="2743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7585" w:rsidRPr="00AE6EDB" w:rsidRDefault="000A7585" w:rsidP="000A7585">
      <w:pPr>
        <w:pStyle w:val="zdroj"/>
      </w:pPr>
      <w:r w:rsidRPr="00AE6EDB">
        <w:t>Zdroj: RSD MIS</w:t>
      </w:r>
    </w:p>
    <w:p w:rsidR="000A7585" w:rsidRPr="00AE6EDB" w:rsidRDefault="000A7585" w:rsidP="000A7585">
      <w:pPr>
        <w:ind w:firstLine="431"/>
      </w:pPr>
      <w:r w:rsidRPr="00AE6EDB">
        <w:t>Z pohľadu regionálneho rozmiestnenia počtu detí, na ktoré boli poskytnuté dotácie podľa vyššie citovaného zákona o dotáciách v pôsobnosti MPSVR SR, je situácia zachytená v predchádzajúcich grafoch. Najvyšší objem dotácií bol poskytnutý z pohľadu regionálneho rozmiestnenia počtu detí pre Prešovský, Košický a Banskobystrický kraj.</w:t>
      </w:r>
    </w:p>
    <w:p w:rsidR="000A7585" w:rsidRPr="00AE6EDB" w:rsidRDefault="000A7585" w:rsidP="000A7585">
      <w:pPr>
        <w:jc w:val="left"/>
      </w:pPr>
      <w:r w:rsidRPr="00AE6EDB">
        <w:br w:type="page"/>
      </w:r>
    </w:p>
    <w:p w:rsidR="000A7585" w:rsidRPr="00AE6EDB" w:rsidRDefault="000A7585" w:rsidP="000A7585">
      <w:pPr>
        <w:pStyle w:val="Nadpis6"/>
      </w:pPr>
      <w:r w:rsidRPr="00AE6EDB">
        <w:lastRenderedPageBreak/>
        <w:t xml:space="preserve"> </w:t>
      </w:r>
      <w:bookmarkStart w:id="667" w:name="_Toc452469891"/>
      <w:r w:rsidRPr="00AE6EDB">
        <w:t>Náhradné výživné</w:t>
      </w:r>
      <w:bookmarkEnd w:id="609"/>
      <w:bookmarkEnd w:id="667"/>
      <w:r w:rsidRPr="00AE6EDB">
        <w:t xml:space="preserve"> </w:t>
      </w:r>
    </w:p>
    <w:p w:rsidR="000A7585" w:rsidRPr="00AE6EDB" w:rsidRDefault="000A7585" w:rsidP="000A7585">
      <w:pPr>
        <w:ind w:firstLine="431"/>
      </w:pPr>
      <w:bookmarkStart w:id="668" w:name="_Toc325438210"/>
      <w:bookmarkStart w:id="669" w:name="_Toc325440979"/>
      <w:bookmarkStart w:id="670" w:name="_Toc325626792"/>
      <w:bookmarkStart w:id="671" w:name="_Toc326217053"/>
      <w:bookmarkStart w:id="672" w:name="_Toc356482723"/>
      <w:r w:rsidRPr="00AE6EDB">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rsidR="000A7585" w:rsidRPr="00AE6EDB" w:rsidRDefault="000A7585" w:rsidP="000A7585">
      <w:pPr>
        <w:ind w:firstLine="431"/>
      </w:pPr>
      <w:r w:rsidRPr="00AE6EDB">
        <w:t xml:space="preserve">Zákonom č. 201/2008 Z. z. o náhradnom výživnom a o zmene a doplnení zákona č. 36/2005 Z. 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rodine. </w:t>
      </w:r>
    </w:p>
    <w:p w:rsidR="000A7585" w:rsidRPr="00AE6EDB" w:rsidRDefault="000A7585" w:rsidP="000A7585">
      <w:pPr>
        <w:ind w:firstLine="431"/>
      </w:pPr>
      <w:r w:rsidRPr="00AE6EDB">
        <w:t xml:space="preserve">V roku 2015 bolo evidovaných v priemere </w:t>
      </w:r>
      <w:r w:rsidR="00226CF0" w:rsidRPr="00AE6EDB">
        <w:t xml:space="preserve">mesačne </w:t>
      </w:r>
      <w:r w:rsidR="00AC44CB">
        <w:t>8 3</w:t>
      </w:r>
      <w:r w:rsidRPr="00AE6EDB">
        <w:t>65 poberateľov náhradného neplateného výživného, čo predstavuje oproti roku 2014 pokles o 557 poberateľov (t.j. 6,24</w:t>
      </w:r>
      <w:r w:rsidR="005676EF">
        <w:t> %</w:t>
      </w:r>
      <w:r w:rsidRPr="00AE6EDB">
        <w:t>). Náhradné neplatené výživné bolo priemerne mesačne vyplácané 1</w:t>
      </w:r>
      <w:r w:rsidR="0054295F">
        <w:t>2 5</w:t>
      </w:r>
      <w:r w:rsidRPr="00AE6EDB">
        <w:t>39 deťom, čo oproti predchádzajúcemu roku predstavuje pokles o 871 detí (t.j. 6,50</w:t>
      </w:r>
      <w:r w:rsidR="005676EF">
        <w:t> %</w:t>
      </w:r>
      <w:r w:rsidRPr="00AE6EDB">
        <w:t>).</w:t>
      </w:r>
    </w:p>
    <w:p w:rsidR="000A7585" w:rsidRPr="00AE6EDB" w:rsidRDefault="000A7585" w:rsidP="000A7585">
      <w:pPr>
        <w:ind w:firstLine="431"/>
      </w:pPr>
      <w:r w:rsidRPr="00AE6EDB">
        <w:t>Priemerný mesačný počet poberateľov náhradného výživného – sirotského v roku 2015 bol 580 poberateľov, čo je oproti roku 2014 pokles o 38 poberateľov (t.j. 6,15</w:t>
      </w:r>
      <w:r w:rsidR="005676EF">
        <w:t> %</w:t>
      </w:r>
      <w:r w:rsidRPr="00AE6EDB">
        <w:t>). Náhradné výživné – sirotské bolo v roku 2015 vyplácané priemerne mesačne 972 deťom, čo oproti predchádzajúcemu roku predstavuje pokles o 59 detí (t.j. 5,72</w:t>
      </w:r>
      <w:r w:rsidR="005676EF">
        <w:t> %</w:t>
      </w:r>
      <w:r w:rsidRPr="00AE6EDB">
        <w:t xml:space="preserve">). </w:t>
      </w:r>
    </w:p>
    <w:p w:rsidR="000A7585" w:rsidRPr="00AE6EDB" w:rsidRDefault="000A7585" w:rsidP="000A7585">
      <w:pPr>
        <w:ind w:firstLine="431"/>
      </w:pPr>
      <w:r w:rsidRPr="00AE6EDB">
        <w:t xml:space="preserve">Na výplatu náhradného výživného boli v roku 2015 vynaložené finančné prostriedky v sume </w:t>
      </w:r>
      <w:r w:rsidR="00B8449A">
        <w:t>8 911 460</w:t>
      </w:r>
      <w:r w:rsidR="0054295F">
        <w:t> eur</w:t>
      </w:r>
      <w:r w:rsidRPr="00AE6EDB">
        <w:t xml:space="preserve"> (medziročný pokles o</w:t>
      </w:r>
      <w:r w:rsidR="00B8449A">
        <w:t> 464 617</w:t>
      </w:r>
      <w:r w:rsidR="0054295F">
        <w:t> eur</w:t>
      </w:r>
      <w:r w:rsidRPr="00AE6EDB">
        <w:t>)</w:t>
      </w:r>
      <w:r w:rsidR="00B8449A">
        <w:rPr>
          <w:rStyle w:val="Odkaznapoznmkupodiarou"/>
        </w:rPr>
        <w:footnoteReference w:id="43"/>
      </w:r>
      <w:r w:rsidRPr="00AE6EDB">
        <w:t>.</w:t>
      </w:r>
    </w:p>
    <w:p w:rsidR="000A7585" w:rsidRPr="00AE6EDB" w:rsidRDefault="000A7585" w:rsidP="000A7585">
      <w:pPr>
        <w:ind w:firstLine="431"/>
      </w:pPr>
      <w:r w:rsidRPr="00AE6EDB">
        <w:t>Maximálna výška náhradného výživného je podľa zákona poskytovaná do výšky 1,2-násobku životného minima pre nezaopat</w:t>
      </w:r>
      <w:r w:rsidR="001E03B8" w:rsidRPr="00AE6EDB">
        <w:t>rené dieťa. Oproti predchádzajúcemu roku sa maximálna výška náhradného výživného nezmenila, v roku 2015</w:t>
      </w:r>
      <w:r w:rsidRPr="00AE6EDB">
        <w:t xml:space="preserve"> bol maximálny nárok na náhradné výživné na jedno dieťa 108,50</w:t>
      </w:r>
      <w:r w:rsidR="0054295F">
        <w:t> eura</w:t>
      </w:r>
      <w:r w:rsidRPr="00AE6EDB">
        <w:t>.</w:t>
      </w:r>
    </w:p>
    <w:p w:rsidR="000A7585" w:rsidRPr="00AE6EDB" w:rsidRDefault="000A7585" w:rsidP="000A7585">
      <w:pPr>
        <w:pStyle w:val="Nadpis7"/>
        <w:rPr>
          <w:color w:val="000000"/>
        </w:rPr>
      </w:pPr>
      <w:bookmarkStart w:id="673" w:name="_Toc294029658"/>
      <w:bookmarkStart w:id="674" w:name="_Toc356482724"/>
      <w:bookmarkEnd w:id="668"/>
      <w:bookmarkEnd w:id="669"/>
      <w:bookmarkEnd w:id="670"/>
      <w:bookmarkEnd w:id="671"/>
      <w:bookmarkEnd w:id="672"/>
      <w:r w:rsidRPr="00AE6EDB">
        <w:rPr>
          <w:color w:val="000000"/>
        </w:rPr>
        <w:t>Graf 3.11 Vývoj počtu poberateľov (detí) náhradného výživného v rokoch 2014 a 2015</w:t>
      </w:r>
    </w:p>
    <w:p w:rsidR="000A7585" w:rsidRPr="00AE6EDB" w:rsidRDefault="000A7585" w:rsidP="000A7585">
      <w:r w:rsidRPr="00AE6EDB">
        <w:rPr>
          <w:noProof/>
        </w:rPr>
        <w:drawing>
          <wp:inline distT="0" distB="0" distL="0" distR="0" wp14:anchorId="378E30C5" wp14:editId="64F1D4E0">
            <wp:extent cx="5760720" cy="2658110"/>
            <wp:effectExtent l="0" t="0" r="0" b="889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7585" w:rsidRPr="00AE6EDB" w:rsidRDefault="000A7585" w:rsidP="000A7585">
      <w:pPr>
        <w:pStyle w:val="zdroj"/>
        <w:rPr>
          <w:color w:val="auto"/>
        </w:rPr>
      </w:pPr>
      <w:r w:rsidRPr="00AE6EDB">
        <w:rPr>
          <w:color w:val="auto"/>
        </w:rPr>
        <w:t>Zdroj: RSD MIS</w:t>
      </w:r>
    </w:p>
    <w:p w:rsidR="000A7585" w:rsidRPr="00AE6EDB" w:rsidRDefault="000A7585" w:rsidP="000A7585">
      <w:pPr>
        <w:jc w:val="left"/>
        <w:rPr>
          <w:i/>
          <w:sz w:val="20"/>
          <w:szCs w:val="20"/>
          <w:highlight w:val="cyan"/>
        </w:rPr>
      </w:pPr>
      <w:r w:rsidRPr="00AE6EDB">
        <w:rPr>
          <w:highlight w:val="cyan"/>
        </w:rPr>
        <w:br w:type="page"/>
      </w:r>
    </w:p>
    <w:p w:rsidR="000A7585" w:rsidRPr="00AE6EDB" w:rsidRDefault="000A7585" w:rsidP="000A7585">
      <w:pPr>
        <w:pStyle w:val="Nadpis6"/>
      </w:pPr>
      <w:bookmarkStart w:id="675" w:name="_Toc422233435"/>
      <w:bookmarkStart w:id="676" w:name="_Toc452469892"/>
      <w:bookmarkEnd w:id="673"/>
      <w:bookmarkEnd w:id="674"/>
      <w:r w:rsidRPr="00AE6EDB">
        <w:lastRenderedPageBreak/>
        <w:t>Sociálnoprávna ochrana detí a sociálna kuratela</w:t>
      </w:r>
      <w:bookmarkEnd w:id="675"/>
      <w:bookmarkEnd w:id="676"/>
    </w:p>
    <w:p w:rsidR="000A7585" w:rsidRPr="00AE6EDB" w:rsidRDefault="000A7585" w:rsidP="000A7585">
      <w:pPr>
        <w:ind w:firstLine="567"/>
        <w:rPr>
          <w:szCs w:val="22"/>
        </w:rPr>
      </w:pPr>
      <w:r w:rsidRPr="00AE6EDB">
        <w:rPr>
          <w:szCs w:val="22"/>
        </w:rPr>
        <w:t>Opatrenia sociálno-právnej ochrany detí a sociálnej kurately (ďalej len „</w:t>
      </w:r>
      <w:proofErr w:type="spellStart"/>
      <w:r w:rsidRPr="00AE6EDB">
        <w:rPr>
          <w:szCs w:val="22"/>
        </w:rPr>
        <w:t>SPODaSK</w:t>
      </w:r>
      <w:proofErr w:type="spellEnd"/>
      <w:r w:rsidRPr="00AE6EDB">
        <w:rPr>
          <w:szCs w:val="22"/>
        </w:rPr>
        <w:t>“)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0A7585" w:rsidRPr="00AE6EDB" w:rsidRDefault="000A7585" w:rsidP="000A7585">
      <w:pPr>
        <w:ind w:firstLine="567"/>
        <w:rPr>
          <w:szCs w:val="22"/>
        </w:rPr>
      </w:pPr>
      <w:r w:rsidRPr="00AE6EDB">
        <w:rPr>
          <w:szCs w:val="22"/>
        </w:rPr>
        <w:t xml:space="preserve">V roku 2015 zabezpečovalo výkon opatrení sociálnoprávnej ochrany detí a sociálnej kurately na 46 úradoch PSVR </w:t>
      </w:r>
      <w:r w:rsidRPr="00AE6EDB">
        <w:rPr>
          <w:color w:val="000000" w:themeColor="text1"/>
        </w:rPr>
        <w:t>–</w:t>
      </w:r>
      <w:r w:rsidRPr="00AE6EDB">
        <w:rPr>
          <w:szCs w:val="22"/>
        </w:rPr>
        <w:t xml:space="preserve"> odboroch sociálnych vecí a rodiny, oddeleniach sociálnoprávnej ochrany detí a sociálnej kurately (orgány sociálnoprávnej ochrany detí a sociálnej kurately) 582 zamestnancov. </w:t>
      </w:r>
    </w:p>
    <w:p w:rsidR="000A7585" w:rsidRPr="00AE6EDB" w:rsidRDefault="000A7585" w:rsidP="000A7585">
      <w:pPr>
        <w:ind w:firstLine="567"/>
        <w:rPr>
          <w:szCs w:val="22"/>
        </w:rPr>
      </w:pPr>
      <w:r w:rsidRPr="00AE6EDB">
        <w:rPr>
          <w:szCs w:val="22"/>
        </w:rPr>
        <w:t>V priebehu roku 2015 bolo zaznamenaných 1</w:t>
      </w:r>
      <w:r w:rsidR="00AC44CB">
        <w:rPr>
          <w:szCs w:val="22"/>
        </w:rPr>
        <w:t>5 3</w:t>
      </w:r>
      <w:r w:rsidRPr="00AE6EDB">
        <w:rPr>
          <w:szCs w:val="22"/>
        </w:rPr>
        <w:t>78 nových rodín a 2</w:t>
      </w:r>
      <w:r w:rsidR="0054295F">
        <w:rPr>
          <w:szCs w:val="22"/>
        </w:rPr>
        <w:t>1 7</w:t>
      </w:r>
      <w:r w:rsidRPr="00AE6EDB">
        <w:rPr>
          <w:szCs w:val="22"/>
        </w:rPr>
        <w:t xml:space="preserve">37 nových detí, pre ktoré boli vykonávané opatrenia </w:t>
      </w:r>
      <w:proofErr w:type="spellStart"/>
      <w:r w:rsidRPr="00AE6EDB">
        <w:rPr>
          <w:szCs w:val="22"/>
        </w:rPr>
        <w:t>SPODaSK</w:t>
      </w:r>
      <w:proofErr w:type="spellEnd"/>
      <w:r w:rsidRPr="00AE6EDB">
        <w:rPr>
          <w:szCs w:val="22"/>
        </w:rPr>
        <w:t>.</w:t>
      </w:r>
    </w:p>
    <w:p w:rsidR="000A7585" w:rsidRPr="00AE6EDB" w:rsidRDefault="000A7585" w:rsidP="000A7585">
      <w:pPr>
        <w:ind w:firstLine="567"/>
        <w:rPr>
          <w:szCs w:val="22"/>
        </w:rPr>
      </w:pPr>
      <w:r w:rsidRPr="00AE6EDB">
        <w:rPr>
          <w:szCs w:val="22"/>
        </w:rPr>
        <w:t xml:space="preserve">V pôsobnosti úradov PSVR ako orgánov sociálnoprávnej ochrany detí a sociálnej kurately je okrem iného podávanie návrhov a podnetov vo veciach maloletých detí príslušným súdom. </w:t>
      </w:r>
    </w:p>
    <w:p w:rsidR="000A7585" w:rsidRPr="00AE6EDB" w:rsidRDefault="000A7585" w:rsidP="00FD3E7E">
      <w:pPr>
        <w:rPr>
          <w:szCs w:val="22"/>
        </w:rPr>
      </w:pPr>
      <w:r w:rsidRPr="00AE6EDB">
        <w:rPr>
          <w:szCs w:val="22"/>
        </w:rPr>
        <w:t>V roku 2015 úrady PSVR podali súdom 883 návrhov a podnetov na vydanie predbežného opatrenia (</w:t>
      </w:r>
      <w:r w:rsidR="0054295F">
        <w:rPr>
          <w:szCs w:val="22"/>
        </w:rPr>
        <w:t>1 0</w:t>
      </w:r>
      <w:r w:rsidRPr="00AE6EDB">
        <w:rPr>
          <w:szCs w:val="22"/>
        </w:rPr>
        <w:t>29 v roku 2014), na nariadenie ústavnej starostlivosti bolo podaných 219 návrhov a podnetov (346</w:t>
      </w:r>
      <w:r w:rsidR="00CE15D0">
        <w:rPr>
          <w:szCs w:val="22"/>
        </w:rPr>
        <w:t> </w:t>
      </w:r>
      <w:r w:rsidRPr="00AE6EDB">
        <w:rPr>
          <w:szCs w:val="22"/>
        </w:rPr>
        <w:t xml:space="preserve">v roku 2014) a na zrušenie ústavnej starostlivosti 46 návrhov a podnetov (54 v roku 2014). V porovnaní s predchádzajúcim rokom ide o zníženie počtu návrhov a podnetov na vyňatie dieťaťa z jeho prirodzeného prostredia, čo možno hodnotiť ako jeden z pozitívnych dôsledkov stabilizácie počtov zamestnancov orgánov </w:t>
      </w:r>
      <w:proofErr w:type="spellStart"/>
      <w:r w:rsidRPr="00AE6EDB">
        <w:rPr>
          <w:szCs w:val="22"/>
        </w:rPr>
        <w:t>SPODaSK</w:t>
      </w:r>
      <w:proofErr w:type="spellEnd"/>
      <w:r w:rsidRPr="00AE6EDB">
        <w:rPr>
          <w:szCs w:val="22"/>
        </w:rPr>
        <w:t xml:space="preserve"> a podpory výkonu opatrení sociálnoprávnej ochrany detí a sociálnej kurately v prirodzenom prostredí klientov zo zdrojov EÚ. V roku 2015 podali orgány </w:t>
      </w:r>
      <w:proofErr w:type="spellStart"/>
      <w:r w:rsidRPr="00AE6EDB">
        <w:rPr>
          <w:szCs w:val="22"/>
        </w:rPr>
        <w:t>SPODaSK</w:t>
      </w:r>
      <w:proofErr w:type="spellEnd"/>
      <w:r w:rsidRPr="00AE6EDB">
        <w:rPr>
          <w:szCs w:val="22"/>
        </w:rPr>
        <w:t xml:space="preserve"> súdu alebo iným štátnym orgánom 3</w:t>
      </w:r>
      <w:r w:rsidR="0054295F">
        <w:rPr>
          <w:szCs w:val="22"/>
        </w:rPr>
        <w:t>3 8</w:t>
      </w:r>
      <w:r w:rsidRPr="00AE6EDB">
        <w:rPr>
          <w:szCs w:val="22"/>
        </w:rPr>
        <w:t>72 správ vo veciach výživy a výchovy maloletých (3</w:t>
      </w:r>
      <w:r w:rsidR="00AC44CB">
        <w:rPr>
          <w:szCs w:val="22"/>
        </w:rPr>
        <w:t>7 4</w:t>
      </w:r>
      <w:r w:rsidRPr="00AE6EDB">
        <w:rPr>
          <w:szCs w:val="22"/>
        </w:rPr>
        <w:t>82 v roku 2014).</w:t>
      </w:r>
    </w:p>
    <w:p w:rsidR="000A7585" w:rsidRPr="00AE6EDB" w:rsidRDefault="000A7585" w:rsidP="000A7585">
      <w:pPr>
        <w:ind w:firstLine="567"/>
        <w:rPr>
          <w:szCs w:val="22"/>
        </w:rPr>
      </w:pPr>
      <w:r w:rsidRPr="00AE6EDB">
        <w:rPr>
          <w:szCs w:val="22"/>
        </w:rPr>
        <w:t xml:space="preserve">Orgán </w:t>
      </w:r>
      <w:proofErr w:type="spellStart"/>
      <w:r w:rsidRPr="00AE6EDB">
        <w:rPr>
          <w:szCs w:val="22"/>
        </w:rPr>
        <w:t>SPODaSK</w:t>
      </w:r>
      <w:proofErr w:type="spellEnd"/>
      <w:r w:rsidRPr="00AE6EDB">
        <w:rPr>
          <w:szCs w:val="22"/>
        </w:rPr>
        <w:t xml:space="preserve"> zisťoval z vlastného podnetu, z podnetu súdu alebo inej osoby názor dieťaťa na situáciu, v ktorej sa nachádza, celkovo u 1</w:t>
      </w:r>
      <w:r w:rsidR="0054295F">
        <w:rPr>
          <w:szCs w:val="22"/>
        </w:rPr>
        <w:t>4 3</w:t>
      </w:r>
      <w:r w:rsidRPr="00AE6EDB">
        <w:rPr>
          <w:szCs w:val="22"/>
        </w:rPr>
        <w:t>65 detí.</w:t>
      </w:r>
    </w:p>
    <w:p w:rsidR="000A7585" w:rsidRPr="00AE6EDB" w:rsidRDefault="000A7585" w:rsidP="000A7585">
      <w:pPr>
        <w:ind w:firstLine="431"/>
        <w:rPr>
          <w:b/>
          <w:szCs w:val="22"/>
          <w:highlight w:val="cyan"/>
        </w:rPr>
      </w:pPr>
      <w:r w:rsidRPr="00AE6EDB">
        <w:rPr>
          <w:szCs w:val="22"/>
        </w:rPr>
        <w:t xml:space="preserve">Ak je to potrebné v záujme dieťaťa, orgán </w:t>
      </w:r>
      <w:proofErr w:type="spellStart"/>
      <w:r w:rsidRPr="00AE6EDB">
        <w:rPr>
          <w:szCs w:val="22"/>
        </w:rPr>
        <w:t>SPODaSK</w:t>
      </w:r>
      <w:proofErr w:type="spellEnd"/>
      <w:r w:rsidRPr="00AE6EDB">
        <w:rPr>
          <w:szCs w:val="22"/>
        </w:rPr>
        <w:t xml:space="preserve"> rozhodne o uložení výchovného opatrenia, pričom v roku 2015 bolo orgánmi </w:t>
      </w:r>
      <w:proofErr w:type="spellStart"/>
      <w:r w:rsidRPr="00AE6EDB">
        <w:rPr>
          <w:szCs w:val="22"/>
        </w:rPr>
        <w:t>SPODaSK</w:t>
      </w:r>
      <w:proofErr w:type="spellEnd"/>
      <w:r w:rsidRPr="00AE6EDB">
        <w:rPr>
          <w:szCs w:val="22"/>
        </w:rPr>
        <w:t xml:space="preserve"> uložených spolu 424 výchovných opatrení pre 743 detí</w:t>
      </w:r>
      <w:r w:rsidRPr="00AE6EDB">
        <w:rPr>
          <w:i/>
          <w:szCs w:val="22"/>
        </w:rPr>
        <w:t xml:space="preserve">. </w:t>
      </w:r>
      <w:r w:rsidRPr="00AE6EDB">
        <w:rPr>
          <w:szCs w:val="22"/>
        </w:rPr>
        <w:t>Súdy nariadili v priebehu roka 2015 spolu 385 výchovných opatrení pre 618 detí.</w:t>
      </w:r>
      <w:r w:rsidRPr="00AE6EDB">
        <w:rPr>
          <w:szCs w:val="22"/>
          <w:highlight w:val="cyan"/>
        </w:rPr>
        <w:t xml:space="preserve"> </w:t>
      </w:r>
    </w:p>
    <w:p w:rsidR="000A7585" w:rsidRPr="00AE6EDB" w:rsidRDefault="000A7585" w:rsidP="000A7585">
      <w:pPr>
        <w:ind w:firstLine="567"/>
        <w:rPr>
          <w:b/>
          <w:szCs w:val="22"/>
          <w:highlight w:val="cyan"/>
        </w:rPr>
      </w:pPr>
    </w:p>
    <w:p w:rsidR="000A7585" w:rsidRPr="00AE6EDB" w:rsidRDefault="000A7585" w:rsidP="000A7585">
      <w:pPr>
        <w:rPr>
          <w:b/>
          <w:szCs w:val="22"/>
          <w:highlight w:val="cyan"/>
        </w:rPr>
      </w:pPr>
    </w:p>
    <w:p w:rsidR="000A7585" w:rsidRPr="00AE6EDB" w:rsidRDefault="000A7585" w:rsidP="000A7585">
      <w:pPr>
        <w:rPr>
          <w:b/>
          <w:color w:val="D83E2C" w:themeColor="accent2"/>
          <w:szCs w:val="22"/>
        </w:rPr>
      </w:pPr>
      <w:r w:rsidRPr="00AE6EDB">
        <w:rPr>
          <w:b/>
          <w:color w:val="D83E2C" w:themeColor="accent2"/>
          <w:szCs w:val="22"/>
        </w:rPr>
        <w:t xml:space="preserve">Sociálna kuratela pre deti </w:t>
      </w:r>
    </w:p>
    <w:p w:rsidR="000A7585" w:rsidRPr="00AE6EDB" w:rsidRDefault="000A7585" w:rsidP="000A7585">
      <w:pPr>
        <w:rPr>
          <w:szCs w:val="22"/>
          <w:highlight w:val="cyan"/>
        </w:rPr>
      </w:pPr>
    </w:p>
    <w:p w:rsidR="000A7585" w:rsidRPr="00AE6EDB" w:rsidRDefault="000A7585" w:rsidP="000A7585">
      <w:pPr>
        <w:ind w:firstLine="567"/>
        <w:rPr>
          <w:szCs w:val="22"/>
        </w:rPr>
      </w:pPr>
      <w:r w:rsidRPr="00AE6EDB">
        <w:rPr>
          <w:szCs w:val="22"/>
        </w:rPr>
        <w:t xml:space="preserve">Výkon opatrení sociálnej kurately detí zabezpečovalo v sledovanom roku 108 zamestnancov úradov PSVR </w:t>
      </w:r>
      <w:r w:rsidRPr="00AE6EDB">
        <w:rPr>
          <w:color w:val="000000" w:themeColor="text1"/>
        </w:rPr>
        <w:t>–</w:t>
      </w:r>
      <w:r w:rsidRPr="00AE6EDB">
        <w:rPr>
          <w:szCs w:val="22"/>
        </w:rPr>
        <w:t xml:space="preserve"> sociálnych kurátorov pre deti, ktorí sa na túto oblasť špecializujú. Opatrenia boli v sledovanom roku vykonávané spolu pre 1</w:t>
      </w:r>
      <w:r w:rsidR="00AC44CB">
        <w:rPr>
          <w:szCs w:val="22"/>
        </w:rPr>
        <w:t>5 1</w:t>
      </w:r>
      <w:r w:rsidRPr="00AE6EDB">
        <w:rPr>
          <w:szCs w:val="22"/>
        </w:rPr>
        <w:t>82 detí (tabuľka 3.18). Na jedného sociálneho kurátora pripadalo priemerne riešenie situácie pre 140 detí.</w:t>
      </w:r>
    </w:p>
    <w:p w:rsidR="000A7585" w:rsidRPr="00AE6EDB" w:rsidRDefault="000A7585" w:rsidP="000A7585">
      <w:pPr>
        <w:rPr>
          <w:szCs w:val="22"/>
        </w:rPr>
      </w:pPr>
      <w:r w:rsidRPr="00AE6EDB">
        <w:rPr>
          <w:szCs w:val="22"/>
        </w:rPr>
        <w:t>Z hľadiska dôvodov boli opatrenia sociálnej kurately pre deti vykonávané u </w:t>
      </w:r>
      <w:r w:rsidR="0054295F">
        <w:rPr>
          <w:szCs w:val="22"/>
        </w:rPr>
        <w:t>2 0</w:t>
      </w:r>
      <w:r w:rsidRPr="00AE6EDB">
        <w:rPr>
          <w:szCs w:val="22"/>
        </w:rPr>
        <w:t xml:space="preserve">46 mladistvých z dôvodu spáchania trestnej činnosti a u 710 detí, ktoré spáchali čin inak trestný. </w:t>
      </w:r>
    </w:p>
    <w:p w:rsidR="000A7585" w:rsidRPr="00AE6EDB" w:rsidRDefault="000A7585" w:rsidP="000A7585">
      <w:pPr>
        <w:rPr>
          <w:szCs w:val="22"/>
        </w:rPr>
      </w:pPr>
      <w:r w:rsidRPr="00AE6EDB">
        <w:rPr>
          <w:szCs w:val="22"/>
        </w:rPr>
        <w:tab/>
        <w:t xml:space="preserve">V roku 2015 bola pomoc a ochrana v priestupkovom konaní poskytnutá </w:t>
      </w:r>
      <w:r w:rsidR="0054295F">
        <w:rPr>
          <w:szCs w:val="22"/>
        </w:rPr>
        <w:t>3 5</w:t>
      </w:r>
      <w:r w:rsidRPr="00AE6EDB">
        <w:rPr>
          <w:szCs w:val="22"/>
        </w:rPr>
        <w:t xml:space="preserve">34 deťom. </w:t>
      </w:r>
    </w:p>
    <w:p w:rsidR="000A7585" w:rsidRPr="00AE6EDB" w:rsidRDefault="000A7585" w:rsidP="000A7585">
      <w:pPr>
        <w:rPr>
          <w:szCs w:val="22"/>
        </w:rPr>
      </w:pPr>
      <w:r w:rsidRPr="00AE6EDB">
        <w:rPr>
          <w:szCs w:val="22"/>
        </w:rPr>
        <w:tab/>
        <w:t xml:space="preserve">Pre 193 detí vykonávali v roku 2015 sociálni kurátori opatrenia sociálnej kurately z dôvodu experimentovania a závislosti na drogách, 14 z nich bolo vo veku do 14 rokov. Pre 17 detí boli vykonávané opatrenia z dôvodu iných, nelátkových závislostí, napr. závislosť od hazardných hier a počítačov, 4 z nich bolo vo veku do 14 rokov. </w:t>
      </w:r>
    </w:p>
    <w:p w:rsidR="000A7585" w:rsidRPr="00AE6EDB" w:rsidRDefault="000A7585" w:rsidP="000A7585">
      <w:pPr>
        <w:rPr>
          <w:szCs w:val="22"/>
        </w:rPr>
      </w:pPr>
      <w:r w:rsidRPr="00AE6EDB">
        <w:rPr>
          <w:szCs w:val="22"/>
        </w:rPr>
        <w:tab/>
        <w:t xml:space="preserve">Spolu </w:t>
      </w:r>
      <w:r w:rsidR="00AC44CB">
        <w:rPr>
          <w:szCs w:val="22"/>
        </w:rPr>
        <w:t>5 7</w:t>
      </w:r>
      <w:r w:rsidRPr="00AE6EDB">
        <w:rPr>
          <w:szCs w:val="22"/>
        </w:rPr>
        <w:t>47 detí bolo v starostlivosti sociálnych kurátorov z dôvodu zanedbávania školskej dochádzky. U 552 detí sa prejavovali poruchy vo vzťahu s inými deťmi, rodičmi alebo inými plnoletými fyzickými osobami, u 19 detí riešili sociálni kurátori úteky z domu alebo zo zariadenia.</w:t>
      </w:r>
    </w:p>
    <w:p w:rsidR="000A7585" w:rsidRPr="00AE6EDB" w:rsidRDefault="000A7585" w:rsidP="000A7585">
      <w:pPr>
        <w:rPr>
          <w:szCs w:val="22"/>
        </w:rPr>
      </w:pPr>
      <w:r w:rsidRPr="00AE6EDB">
        <w:rPr>
          <w:szCs w:val="22"/>
        </w:rPr>
        <w:tab/>
        <w:t>Počet detí, pre ktoré bola vykonávaná sociálna kuratela z dôvodu, že sa stali obeťami trestných činov, mierne stúpol na 258 detí.</w:t>
      </w:r>
    </w:p>
    <w:p w:rsidR="000A7585" w:rsidRPr="00AE6EDB" w:rsidRDefault="000A7585" w:rsidP="000A7585">
      <w:pPr>
        <w:ind w:firstLine="431"/>
        <w:rPr>
          <w:szCs w:val="22"/>
          <w:highlight w:val="cyan"/>
        </w:rPr>
      </w:pPr>
      <w:r w:rsidRPr="00AE6EDB">
        <w:rPr>
          <w:szCs w:val="22"/>
        </w:rPr>
        <w:tab/>
        <w:t>Opatrenia sociálnej kurately detí boli vykonávané pre 554 detí, ktoré sa stali svedkami trestného činu.</w:t>
      </w:r>
    </w:p>
    <w:p w:rsidR="000A7585" w:rsidRPr="00AE6EDB" w:rsidRDefault="000A7585" w:rsidP="000A7585">
      <w:pPr>
        <w:jc w:val="left"/>
        <w:rPr>
          <w:b/>
          <w:highlight w:val="cyan"/>
        </w:rPr>
      </w:pPr>
      <w:r w:rsidRPr="00AE6EDB">
        <w:rPr>
          <w:highlight w:val="cyan"/>
        </w:rPr>
        <w:br w:type="page"/>
      </w:r>
    </w:p>
    <w:p w:rsidR="000A7585" w:rsidRPr="00AE6EDB" w:rsidRDefault="000A7585" w:rsidP="000A7585">
      <w:pPr>
        <w:pStyle w:val="Nadpis7"/>
      </w:pPr>
      <w:r w:rsidRPr="00AE6EDB">
        <w:lastRenderedPageBreak/>
        <w:t>Tabuľka 3.1</w:t>
      </w:r>
      <w:r w:rsidR="00F2550D" w:rsidRPr="00AE6EDB">
        <w:t>8</w:t>
      </w:r>
      <w:r w:rsidRPr="00AE6EDB">
        <w:t xml:space="preserve"> Počet detí, pre ktoré sa vykonávala v rokoch 2014 a 2015 sociálna kuratela</w:t>
      </w:r>
    </w:p>
    <w:tbl>
      <w:tblPr>
        <w:tblW w:w="868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shd w:val="clear" w:color="auto" w:fill="FFFFFF"/>
        <w:tblLayout w:type="fixed"/>
        <w:tblCellMar>
          <w:left w:w="70" w:type="dxa"/>
          <w:right w:w="70" w:type="dxa"/>
        </w:tblCellMar>
        <w:tblLook w:val="04A0" w:firstRow="1" w:lastRow="0" w:firstColumn="1" w:lastColumn="0" w:noHBand="0" w:noVBand="1"/>
      </w:tblPr>
      <w:tblGrid>
        <w:gridCol w:w="2075"/>
        <w:gridCol w:w="2043"/>
        <w:gridCol w:w="1260"/>
        <w:gridCol w:w="1011"/>
        <w:gridCol w:w="1072"/>
        <w:gridCol w:w="1224"/>
      </w:tblGrid>
      <w:tr w:rsidR="000A7585" w:rsidRPr="00AE6EDB" w:rsidTr="00DE0EEC">
        <w:trPr>
          <w:trHeight w:val="275"/>
          <w:jc w:val="center"/>
        </w:trPr>
        <w:tc>
          <w:tcPr>
            <w:tcW w:w="2075" w:type="dxa"/>
            <w:vMerge w:val="restart"/>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Rok</w:t>
            </w:r>
          </w:p>
        </w:tc>
        <w:tc>
          <w:tcPr>
            <w:tcW w:w="2043" w:type="dxa"/>
            <w:vMerge w:val="restart"/>
            <w:shd w:val="clear" w:color="auto" w:fill="BF0000" w:themeFill="accent3" w:themeFillShade="BF"/>
            <w:vAlign w:val="center"/>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Počet detí spolu</w:t>
            </w:r>
          </w:p>
        </w:tc>
        <w:tc>
          <w:tcPr>
            <w:tcW w:w="4567" w:type="dxa"/>
            <w:gridSpan w:val="4"/>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Počet detí</w:t>
            </w:r>
          </w:p>
        </w:tc>
      </w:tr>
      <w:tr w:rsidR="000A7585" w:rsidRPr="00AE6EDB" w:rsidTr="00DE0EEC">
        <w:trPr>
          <w:trHeight w:val="328"/>
          <w:jc w:val="center"/>
        </w:trPr>
        <w:tc>
          <w:tcPr>
            <w:tcW w:w="2075" w:type="dxa"/>
            <w:vMerge/>
            <w:shd w:val="clear" w:color="auto" w:fill="BF0000" w:themeFill="accent3" w:themeFillShade="BF"/>
            <w:vAlign w:val="center"/>
            <w:hideMark/>
          </w:tcPr>
          <w:p w:rsidR="000A7585" w:rsidRPr="00AE6EDB"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AE6EDB" w:rsidRDefault="000A7585" w:rsidP="00DE0EEC">
            <w:pPr>
              <w:jc w:val="center"/>
              <w:rPr>
                <w:b/>
                <w:color w:val="FFFFFF" w:themeColor="background1"/>
                <w:szCs w:val="22"/>
                <w:lang w:eastAsia="en-US"/>
              </w:rPr>
            </w:pPr>
          </w:p>
        </w:tc>
        <w:tc>
          <w:tcPr>
            <w:tcW w:w="2271" w:type="dxa"/>
            <w:gridSpan w:val="2"/>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do 14 rokov</w:t>
            </w:r>
          </w:p>
        </w:tc>
        <w:tc>
          <w:tcPr>
            <w:tcW w:w="2296" w:type="dxa"/>
            <w:gridSpan w:val="2"/>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vek 15 – 18 rokov</w:t>
            </w:r>
          </w:p>
        </w:tc>
      </w:tr>
      <w:tr w:rsidR="000A7585" w:rsidRPr="00AE6EDB" w:rsidTr="00DE0EEC">
        <w:trPr>
          <w:trHeight w:val="197"/>
          <w:jc w:val="center"/>
        </w:trPr>
        <w:tc>
          <w:tcPr>
            <w:tcW w:w="2075" w:type="dxa"/>
            <w:vMerge/>
            <w:shd w:val="clear" w:color="auto" w:fill="BF0000" w:themeFill="accent3" w:themeFillShade="BF"/>
            <w:vAlign w:val="center"/>
            <w:hideMark/>
          </w:tcPr>
          <w:p w:rsidR="000A7585" w:rsidRPr="00AE6EDB"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AE6EDB" w:rsidRDefault="000A7585" w:rsidP="00DE0EEC">
            <w:pPr>
              <w:jc w:val="center"/>
              <w:rPr>
                <w:b/>
                <w:color w:val="FFFFFF" w:themeColor="background1"/>
                <w:szCs w:val="22"/>
                <w:lang w:eastAsia="en-US"/>
              </w:rPr>
            </w:pPr>
          </w:p>
        </w:tc>
        <w:tc>
          <w:tcPr>
            <w:tcW w:w="1260" w:type="dxa"/>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chlapci</w:t>
            </w:r>
          </w:p>
        </w:tc>
        <w:tc>
          <w:tcPr>
            <w:tcW w:w="1011" w:type="dxa"/>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dievčatá</w:t>
            </w:r>
          </w:p>
        </w:tc>
        <w:tc>
          <w:tcPr>
            <w:tcW w:w="1072" w:type="dxa"/>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chlapci</w:t>
            </w:r>
          </w:p>
        </w:tc>
        <w:tc>
          <w:tcPr>
            <w:tcW w:w="1224" w:type="dxa"/>
            <w:shd w:val="clear" w:color="auto" w:fill="BF0000" w:themeFill="accent3" w:themeFillShade="BF"/>
            <w:vAlign w:val="center"/>
            <w:hideMark/>
          </w:tcPr>
          <w:p w:rsidR="000A7585" w:rsidRPr="00AE6EDB" w:rsidRDefault="000A7585" w:rsidP="00DE0EEC">
            <w:pPr>
              <w:spacing w:line="276" w:lineRule="auto"/>
              <w:jc w:val="center"/>
              <w:rPr>
                <w:b/>
                <w:color w:val="FFFFFF" w:themeColor="background1"/>
                <w:szCs w:val="22"/>
                <w:lang w:eastAsia="en-US"/>
              </w:rPr>
            </w:pPr>
            <w:r w:rsidRPr="00AE6EDB">
              <w:rPr>
                <w:b/>
                <w:color w:val="FFFFFF" w:themeColor="background1"/>
                <w:szCs w:val="22"/>
                <w:lang w:eastAsia="en-US"/>
              </w:rPr>
              <w:t>dievčatá</w:t>
            </w:r>
          </w:p>
        </w:tc>
      </w:tr>
      <w:tr w:rsidR="000A7585" w:rsidRPr="00AE6EDB" w:rsidTr="00DE0EEC">
        <w:trPr>
          <w:trHeight w:val="454"/>
          <w:jc w:val="center"/>
        </w:trPr>
        <w:tc>
          <w:tcPr>
            <w:tcW w:w="2075" w:type="dxa"/>
            <w:shd w:val="clear" w:color="auto" w:fill="FFFFFF" w:themeFill="background1"/>
            <w:vAlign w:val="center"/>
          </w:tcPr>
          <w:p w:rsidR="000A7585" w:rsidRPr="00AE6EDB" w:rsidRDefault="000A7585" w:rsidP="00DE0EEC">
            <w:pPr>
              <w:spacing w:line="276" w:lineRule="auto"/>
              <w:jc w:val="center"/>
              <w:rPr>
                <w:b/>
                <w:lang w:eastAsia="en-US"/>
              </w:rPr>
            </w:pPr>
            <w:r w:rsidRPr="00AE6EDB">
              <w:rPr>
                <w:b/>
                <w:szCs w:val="22"/>
                <w:lang w:eastAsia="en-US"/>
              </w:rPr>
              <w:t>2014</w:t>
            </w:r>
          </w:p>
        </w:tc>
        <w:tc>
          <w:tcPr>
            <w:tcW w:w="2043" w:type="dxa"/>
            <w:shd w:val="clear" w:color="auto" w:fill="FFFFFF"/>
            <w:vAlign w:val="center"/>
          </w:tcPr>
          <w:p w:rsidR="000A7585" w:rsidRPr="00AE6EDB" w:rsidRDefault="000A7585" w:rsidP="00DE0EEC">
            <w:pPr>
              <w:spacing w:line="276" w:lineRule="auto"/>
              <w:jc w:val="center"/>
              <w:rPr>
                <w:b/>
                <w:lang w:eastAsia="en-US"/>
              </w:rPr>
            </w:pPr>
            <w:r w:rsidRPr="00AE6EDB">
              <w:rPr>
                <w:b/>
                <w:szCs w:val="22"/>
                <w:lang w:eastAsia="en-US"/>
              </w:rPr>
              <w:t>1</w:t>
            </w:r>
            <w:r w:rsidR="0054295F">
              <w:rPr>
                <w:b/>
                <w:szCs w:val="22"/>
                <w:lang w:eastAsia="en-US"/>
              </w:rPr>
              <w:t>4 2</w:t>
            </w:r>
            <w:r w:rsidRPr="00AE6EDB">
              <w:rPr>
                <w:b/>
                <w:szCs w:val="22"/>
                <w:lang w:eastAsia="en-US"/>
              </w:rPr>
              <w:t>05</w:t>
            </w:r>
          </w:p>
        </w:tc>
        <w:tc>
          <w:tcPr>
            <w:tcW w:w="1260" w:type="dxa"/>
            <w:shd w:val="clear" w:color="auto" w:fill="FFFFFF"/>
            <w:vAlign w:val="center"/>
          </w:tcPr>
          <w:p w:rsidR="000A7585" w:rsidRPr="00AE6EDB" w:rsidRDefault="0054295F" w:rsidP="00DE0EEC">
            <w:pPr>
              <w:spacing w:line="276" w:lineRule="auto"/>
              <w:jc w:val="center"/>
              <w:rPr>
                <w:lang w:eastAsia="en-US"/>
              </w:rPr>
            </w:pPr>
            <w:r>
              <w:rPr>
                <w:lang w:eastAsia="en-US"/>
              </w:rPr>
              <w:t>4 3</w:t>
            </w:r>
            <w:r w:rsidR="000A7585" w:rsidRPr="00AE6EDB">
              <w:rPr>
                <w:lang w:eastAsia="en-US"/>
              </w:rPr>
              <w:t>65</w:t>
            </w:r>
          </w:p>
        </w:tc>
        <w:tc>
          <w:tcPr>
            <w:tcW w:w="1011" w:type="dxa"/>
            <w:shd w:val="clear" w:color="auto" w:fill="FFFFFF"/>
            <w:vAlign w:val="center"/>
          </w:tcPr>
          <w:p w:rsidR="000A7585" w:rsidRPr="00AE6EDB" w:rsidRDefault="0054295F" w:rsidP="00DE0EEC">
            <w:pPr>
              <w:spacing w:line="276" w:lineRule="auto"/>
              <w:jc w:val="center"/>
              <w:rPr>
                <w:lang w:eastAsia="en-US"/>
              </w:rPr>
            </w:pPr>
            <w:r>
              <w:rPr>
                <w:lang w:eastAsia="en-US"/>
              </w:rPr>
              <w:t>2 5</w:t>
            </w:r>
            <w:r w:rsidR="000A7585" w:rsidRPr="00AE6EDB">
              <w:rPr>
                <w:lang w:eastAsia="en-US"/>
              </w:rPr>
              <w:t>58</w:t>
            </w:r>
          </w:p>
        </w:tc>
        <w:tc>
          <w:tcPr>
            <w:tcW w:w="1072" w:type="dxa"/>
            <w:shd w:val="clear" w:color="auto" w:fill="FFFFFF"/>
            <w:vAlign w:val="center"/>
          </w:tcPr>
          <w:p w:rsidR="000A7585" w:rsidRPr="00AE6EDB" w:rsidRDefault="0054295F" w:rsidP="00DE0EEC">
            <w:pPr>
              <w:spacing w:line="276" w:lineRule="auto"/>
              <w:jc w:val="center"/>
              <w:rPr>
                <w:lang w:eastAsia="en-US"/>
              </w:rPr>
            </w:pPr>
            <w:r>
              <w:rPr>
                <w:lang w:eastAsia="en-US"/>
              </w:rPr>
              <w:t>4 8</w:t>
            </w:r>
            <w:r w:rsidR="000A7585" w:rsidRPr="00AE6EDB">
              <w:rPr>
                <w:lang w:eastAsia="en-US"/>
              </w:rPr>
              <w:t>54</w:t>
            </w:r>
          </w:p>
        </w:tc>
        <w:tc>
          <w:tcPr>
            <w:tcW w:w="1224" w:type="dxa"/>
            <w:shd w:val="clear" w:color="auto" w:fill="FFFFFF"/>
            <w:vAlign w:val="center"/>
          </w:tcPr>
          <w:p w:rsidR="000A7585" w:rsidRPr="00AE6EDB" w:rsidRDefault="0054295F" w:rsidP="00DE0EEC">
            <w:pPr>
              <w:spacing w:line="276" w:lineRule="auto"/>
              <w:jc w:val="center"/>
              <w:rPr>
                <w:lang w:eastAsia="en-US"/>
              </w:rPr>
            </w:pPr>
            <w:r>
              <w:rPr>
                <w:lang w:eastAsia="en-US"/>
              </w:rPr>
              <w:t>2 4</w:t>
            </w:r>
            <w:r w:rsidR="000A7585" w:rsidRPr="00AE6EDB">
              <w:rPr>
                <w:lang w:eastAsia="en-US"/>
              </w:rPr>
              <w:t>28</w:t>
            </w:r>
          </w:p>
        </w:tc>
      </w:tr>
      <w:tr w:rsidR="000A7585" w:rsidRPr="00AE6EDB" w:rsidTr="00DE0EEC">
        <w:trPr>
          <w:trHeight w:val="454"/>
          <w:jc w:val="center"/>
        </w:trPr>
        <w:tc>
          <w:tcPr>
            <w:tcW w:w="2075" w:type="dxa"/>
            <w:shd w:val="clear" w:color="auto" w:fill="FFFFFF" w:themeFill="background1"/>
            <w:vAlign w:val="center"/>
          </w:tcPr>
          <w:p w:rsidR="000A7585" w:rsidRPr="00AE6EDB" w:rsidRDefault="000A7585" w:rsidP="00DE0EEC">
            <w:pPr>
              <w:spacing w:line="276" w:lineRule="auto"/>
              <w:jc w:val="center"/>
              <w:rPr>
                <w:b/>
                <w:lang w:eastAsia="en-US"/>
              </w:rPr>
            </w:pPr>
            <w:r w:rsidRPr="00AE6EDB">
              <w:rPr>
                <w:b/>
                <w:szCs w:val="22"/>
                <w:lang w:eastAsia="en-US"/>
              </w:rPr>
              <w:t>2015</w:t>
            </w:r>
          </w:p>
        </w:tc>
        <w:tc>
          <w:tcPr>
            <w:tcW w:w="2043" w:type="dxa"/>
            <w:shd w:val="clear" w:color="auto" w:fill="FFFFFF"/>
            <w:vAlign w:val="center"/>
          </w:tcPr>
          <w:p w:rsidR="000A7585" w:rsidRPr="00AE6EDB" w:rsidRDefault="000A7585" w:rsidP="00DE0EEC">
            <w:pPr>
              <w:spacing w:line="276" w:lineRule="auto"/>
              <w:jc w:val="center"/>
              <w:rPr>
                <w:b/>
                <w:lang w:eastAsia="en-US"/>
              </w:rPr>
            </w:pPr>
            <w:r w:rsidRPr="00AE6EDB">
              <w:rPr>
                <w:b/>
                <w:szCs w:val="22"/>
                <w:lang w:eastAsia="en-US"/>
              </w:rPr>
              <w:t>1</w:t>
            </w:r>
            <w:r w:rsidR="00AC44CB">
              <w:rPr>
                <w:b/>
                <w:szCs w:val="22"/>
                <w:lang w:eastAsia="en-US"/>
              </w:rPr>
              <w:t>5 1</w:t>
            </w:r>
            <w:r w:rsidRPr="00AE6EDB">
              <w:rPr>
                <w:b/>
                <w:szCs w:val="22"/>
                <w:lang w:eastAsia="en-US"/>
              </w:rPr>
              <w:t>82</w:t>
            </w:r>
          </w:p>
        </w:tc>
        <w:tc>
          <w:tcPr>
            <w:tcW w:w="1260" w:type="dxa"/>
            <w:shd w:val="clear" w:color="auto" w:fill="FFFFFF"/>
            <w:vAlign w:val="center"/>
          </w:tcPr>
          <w:p w:rsidR="000A7585" w:rsidRPr="00AE6EDB" w:rsidRDefault="0054295F" w:rsidP="00DE0EEC">
            <w:pPr>
              <w:spacing w:line="276" w:lineRule="auto"/>
              <w:jc w:val="center"/>
              <w:rPr>
                <w:lang w:eastAsia="en-US"/>
              </w:rPr>
            </w:pPr>
            <w:r>
              <w:rPr>
                <w:lang w:eastAsia="en-US"/>
              </w:rPr>
              <w:t>3 9</w:t>
            </w:r>
            <w:r w:rsidR="000A7585" w:rsidRPr="00AE6EDB">
              <w:rPr>
                <w:lang w:eastAsia="en-US"/>
              </w:rPr>
              <w:t>83</w:t>
            </w:r>
          </w:p>
        </w:tc>
        <w:tc>
          <w:tcPr>
            <w:tcW w:w="1011" w:type="dxa"/>
            <w:shd w:val="clear" w:color="auto" w:fill="FFFFFF"/>
            <w:vAlign w:val="center"/>
          </w:tcPr>
          <w:p w:rsidR="000A7585" w:rsidRPr="00AE6EDB" w:rsidRDefault="0054295F" w:rsidP="00DE0EEC">
            <w:pPr>
              <w:spacing w:line="276" w:lineRule="auto"/>
              <w:jc w:val="center"/>
              <w:rPr>
                <w:lang w:eastAsia="en-US"/>
              </w:rPr>
            </w:pPr>
            <w:r>
              <w:rPr>
                <w:lang w:eastAsia="en-US"/>
              </w:rPr>
              <w:t>2 4</w:t>
            </w:r>
            <w:r w:rsidR="000A7585" w:rsidRPr="00AE6EDB">
              <w:rPr>
                <w:lang w:eastAsia="en-US"/>
              </w:rPr>
              <w:t>49</w:t>
            </w:r>
          </w:p>
        </w:tc>
        <w:tc>
          <w:tcPr>
            <w:tcW w:w="1072" w:type="dxa"/>
            <w:shd w:val="clear" w:color="auto" w:fill="FFFFFF"/>
            <w:vAlign w:val="center"/>
          </w:tcPr>
          <w:p w:rsidR="000A7585" w:rsidRPr="00AE6EDB" w:rsidRDefault="00AC44CB" w:rsidP="00DE0EEC">
            <w:pPr>
              <w:spacing w:line="276" w:lineRule="auto"/>
              <w:jc w:val="center"/>
              <w:rPr>
                <w:lang w:eastAsia="en-US"/>
              </w:rPr>
            </w:pPr>
            <w:r>
              <w:rPr>
                <w:lang w:eastAsia="en-US"/>
              </w:rPr>
              <w:t>5 8</w:t>
            </w:r>
            <w:r w:rsidR="000A7585" w:rsidRPr="00AE6EDB">
              <w:rPr>
                <w:lang w:eastAsia="en-US"/>
              </w:rPr>
              <w:t>86</w:t>
            </w:r>
          </w:p>
        </w:tc>
        <w:tc>
          <w:tcPr>
            <w:tcW w:w="1224" w:type="dxa"/>
            <w:shd w:val="clear" w:color="auto" w:fill="FFFFFF"/>
            <w:vAlign w:val="center"/>
          </w:tcPr>
          <w:p w:rsidR="000A7585" w:rsidRPr="00AE6EDB" w:rsidRDefault="0054295F" w:rsidP="00DE0EEC">
            <w:pPr>
              <w:spacing w:line="276" w:lineRule="auto"/>
              <w:jc w:val="center"/>
              <w:rPr>
                <w:lang w:eastAsia="en-US"/>
              </w:rPr>
            </w:pPr>
            <w:r>
              <w:rPr>
                <w:lang w:eastAsia="en-US"/>
              </w:rPr>
              <w:t>2 8</w:t>
            </w:r>
            <w:r w:rsidR="000A7585" w:rsidRPr="00AE6EDB">
              <w:rPr>
                <w:lang w:eastAsia="en-US"/>
              </w:rPr>
              <w:t>64</w:t>
            </w:r>
          </w:p>
        </w:tc>
      </w:tr>
    </w:tbl>
    <w:p w:rsidR="000A7585" w:rsidRPr="00AE6EDB" w:rsidRDefault="000A7585" w:rsidP="000A7585">
      <w:pPr>
        <w:pStyle w:val="zdroj"/>
        <w:tabs>
          <w:tab w:val="left" w:pos="2618"/>
        </w:tabs>
      </w:pPr>
      <w:r w:rsidRPr="00AE6EDB">
        <w:t>Zdroj: MPSVR SR</w:t>
      </w:r>
      <w:r w:rsidRPr="00AE6EDB">
        <w:tab/>
      </w:r>
    </w:p>
    <w:p w:rsidR="000A7585" w:rsidRPr="00AE6EDB" w:rsidRDefault="000A7585" w:rsidP="000A7585">
      <w:pPr>
        <w:rPr>
          <w:b/>
          <w:szCs w:val="22"/>
        </w:rPr>
      </w:pPr>
    </w:p>
    <w:p w:rsidR="000A7585" w:rsidRPr="00AE6EDB" w:rsidRDefault="000A7585" w:rsidP="000A7585">
      <w:pPr>
        <w:rPr>
          <w:b/>
          <w:color w:val="D83E2C" w:themeColor="accent2"/>
          <w:szCs w:val="22"/>
        </w:rPr>
      </w:pPr>
      <w:r w:rsidRPr="00AE6EDB">
        <w:rPr>
          <w:b/>
          <w:color w:val="D83E2C" w:themeColor="accent2"/>
          <w:szCs w:val="22"/>
        </w:rPr>
        <w:t>Sociálna kuratela pre plnoleté fyzické osoby</w:t>
      </w:r>
    </w:p>
    <w:p w:rsidR="000A7585" w:rsidRPr="00AE6EDB" w:rsidRDefault="000A7585" w:rsidP="000A7585">
      <w:pPr>
        <w:rPr>
          <w:b/>
          <w:szCs w:val="22"/>
          <w:highlight w:val="cyan"/>
        </w:rPr>
      </w:pPr>
    </w:p>
    <w:p w:rsidR="000A7585" w:rsidRPr="00AE6EDB" w:rsidRDefault="000A7585" w:rsidP="000A7585">
      <w:pPr>
        <w:ind w:firstLine="567"/>
        <w:rPr>
          <w:szCs w:val="22"/>
        </w:rPr>
      </w:pPr>
      <w:r w:rsidRPr="00AE6EDB">
        <w:rPr>
          <w:szCs w:val="22"/>
        </w:rPr>
        <w:t xml:space="preserve">V roku 2015 sa opatrenia sociálnej kurately vykonávali pre </w:t>
      </w:r>
      <w:r w:rsidR="0054295F">
        <w:rPr>
          <w:szCs w:val="22"/>
        </w:rPr>
        <w:t>4 8</w:t>
      </w:r>
      <w:r w:rsidRPr="00AE6EDB">
        <w:rPr>
          <w:szCs w:val="22"/>
        </w:rPr>
        <w:t xml:space="preserve">76 klientov </w:t>
      </w:r>
      <w:r w:rsidRPr="00AE6EDB">
        <w:rPr>
          <w:color w:val="000000" w:themeColor="text1"/>
        </w:rPr>
        <w:t>–</w:t>
      </w:r>
      <w:r w:rsidRPr="00AE6EDB">
        <w:rPr>
          <w:szCs w:val="22"/>
        </w:rPr>
        <w:t xml:space="preserve"> plnoletých fyzických osôb a vykonávalo ich 57 sociálnych kurátorov. Na jedného sociálneho kurátora pripadalo priemerne riešenie situácie pre 85 klientov.</w:t>
      </w:r>
    </w:p>
    <w:p w:rsidR="000A7585" w:rsidRPr="00AE6EDB" w:rsidRDefault="000A7585" w:rsidP="000A7585">
      <w:pPr>
        <w:ind w:firstLine="708"/>
        <w:rPr>
          <w:szCs w:val="22"/>
        </w:rPr>
      </w:pPr>
      <w:r w:rsidRPr="00AE6EDB">
        <w:rPr>
          <w:szCs w:val="22"/>
        </w:rPr>
        <w:t>Opatrenia sociálnej kurately pre plnoletých boli vykonávané najmä pre klientov po prepustení, prípadne po podmienečnom prepustení z výkonu trestu odňatia slobody.</w:t>
      </w:r>
    </w:p>
    <w:p w:rsidR="000A7585" w:rsidRPr="00AE6EDB" w:rsidRDefault="000A7585" w:rsidP="000A7585">
      <w:pPr>
        <w:ind w:firstLine="431"/>
        <w:rPr>
          <w:szCs w:val="22"/>
          <w:highlight w:val="cyan"/>
        </w:rPr>
      </w:pPr>
      <w:r w:rsidRPr="00AE6EDB">
        <w:t xml:space="preserve">V roku 2015 sociálni kurátori poskytli resocializačný príspevok </w:t>
      </w:r>
      <w:r w:rsidR="0054295F">
        <w:t>3 8</w:t>
      </w:r>
      <w:r w:rsidRPr="00AE6EDB">
        <w:t>70 osobám (príloha ku kapitole 3, tabuľky 12 a 13).</w:t>
      </w:r>
      <w:r w:rsidR="001C72AB" w:rsidRPr="00AE6EDB">
        <w:t xml:space="preserve"> </w:t>
      </w:r>
      <w:r w:rsidRPr="00AE6EDB">
        <w:t>Finančné prostriedky vyplatené na resocializačný príspevok boli v roku 2015 v celkovej výške 22</w:t>
      </w:r>
      <w:r w:rsidR="0054295F">
        <w:t>4 2</w:t>
      </w:r>
      <w:r w:rsidRPr="00AE6EDB">
        <w:t>13</w:t>
      </w:r>
      <w:r w:rsidR="0054295F">
        <w:t> eur</w:t>
      </w:r>
      <w:r w:rsidRPr="00AE6EDB">
        <w:t>.</w:t>
      </w:r>
    </w:p>
    <w:p w:rsidR="000A7585" w:rsidRPr="00AE6EDB" w:rsidRDefault="000A7585" w:rsidP="000A7585">
      <w:pPr>
        <w:jc w:val="left"/>
        <w:rPr>
          <w:b/>
          <w:szCs w:val="22"/>
          <w:highlight w:val="cyan"/>
        </w:rPr>
      </w:pPr>
    </w:p>
    <w:p w:rsidR="000A7585" w:rsidRPr="00AE6EDB" w:rsidRDefault="000A7585" w:rsidP="000A7585">
      <w:pPr>
        <w:rPr>
          <w:b/>
          <w:color w:val="D83E2C" w:themeColor="accent2"/>
          <w:szCs w:val="22"/>
        </w:rPr>
      </w:pPr>
      <w:r w:rsidRPr="00AE6EDB">
        <w:rPr>
          <w:b/>
          <w:color w:val="D83E2C" w:themeColor="accent2"/>
          <w:szCs w:val="22"/>
        </w:rPr>
        <w:t xml:space="preserve">Násilie páchané v rodinách, týrané, zanedbávané a zneužívané deti </w:t>
      </w:r>
    </w:p>
    <w:p w:rsidR="000A7585" w:rsidRPr="00AE6EDB" w:rsidRDefault="000A7585" w:rsidP="000A7585">
      <w:pPr>
        <w:rPr>
          <w:b/>
          <w:color w:val="D83E2C" w:themeColor="accent2"/>
          <w:szCs w:val="22"/>
          <w:highlight w:val="cyan"/>
        </w:rPr>
      </w:pPr>
    </w:p>
    <w:p w:rsidR="000A7585" w:rsidRPr="00AE6EDB" w:rsidRDefault="000A7585" w:rsidP="000A7585">
      <w:pPr>
        <w:ind w:firstLine="708"/>
        <w:rPr>
          <w:b/>
          <w:szCs w:val="22"/>
        </w:rPr>
      </w:pPr>
      <w:r w:rsidRPr="00AE6EDB">
        <w:rPr>
          <w:szCs w:val="22"/>
        </w:rPr>
        <w:t xml:space="preserve">V oblasti násilia páchaného v rodinách, týraných, zanedbávaných a zneužívaných detí, úrady PSVR v sledovanom roku na základe dôvodného podozrenia vykonávali opatrenia </w:t>
      </w:r>
      <w:proofErr w:type="spellStart"/>
      <w:r w:rsidRPr="00AE6EDB">
        <w:rPr>
          <w:szCs w:val="22"/>
        </w:rPr>
        <w:t>SPODaSK</w:t>
      </w:r>
      <w:proofErr w:type="spellEnd"/>
      <w:r w:rsidRPr="00AE6EDB">
        <w:rPr>
          <w:szCs w:val="22"/>
        </w:rPr>
        <w:t xml:space="preserve"> celkom pre</w:t>
      </w:r>
      <w:r w:rsidR="001C72AB" w:rsidRPr="00AE6EDB">
        <w:rPr>
          <w:szCs w:val="22"/>
        </w:rPr>
        <w:t xml:space="preserve"> </w:t>
      </w:r>
      <w:r w:rsidRPr="00AE6EDB">
        <w:rPr>
          <w:szCs w:val="22"/>
        </w:rPr>
        <w:t>302 detí.</w:t>
      </w:r>
      <w:r w:rsidR="001C72AB" w:rsidRPr="00AE6EDB">
        <w:rPr>
          <w:szCs w:val="22"/>
        </w:rPr>
        <w:t xml:space="preserve"> </w:t>
      </w:r>
      <w:r w:rsidRPr="00AE6EDB">
        <w:rPr>
          <w:szCs w:val="22"/>
        </w:rPr>
        <w:t xml:space="preserve">Vykonávanie opatrení </w:t>
      </w:r>
      <w:proofErr w:type="spellStart"/>
      <w:r w:rsidRPr="00AE6EDB">
        <w:rPr>
          <w:szCs w:val="22"/>
        </w:rPr>
        <w:t>SPODaSK</w:t>
      </w:r>
      <w:proofErr w:type="spellEnd"/>
      <w:r w:rsidRPr="00AE6EDB">
        <w:rPr>
          <w:szCs w:val="22"/>
        </w:rPr>
        <w:t xml:space="preserve"> je zamerané na poskytovanie sociálneho poradenstva, sociálnu prácu v teréne a prostredníctvom referátu poradensko-psychologických služieb sa poskytuje najmä psychologické poradenstvo a psychologická pomoc pri sanácii biologickej rodiny v rámci pomoci obetiam násilia. </w:t>
      </w:r>
    </w:p>
    <w:p w:rsidR="000A7585" w:rsidRPr="00AE6EDB" w:rsidRDefault="000A7585" w:rsidP="000A7585">
      <w:pPr>
        <w:ind w:firstLine="431"/>
        <w:rPr>
          <w:szCs w:val="22"/>
          <w:highlight w:val="cyan"/>
        </w:rPr>
      </w:pPr>
      <w:r w:rsidRPr="00AE6EDB">
        <w:rPr>
          <w:szCs w:val="22"/>
        </w:rPr>
        <w:t xml:space="preserve">V 28 prípadoch orgány </w:t>
      </w:r>
      <w:proofErr w:type="spellStart"/>
      <w:r w:rsidRPr="00AE6EDB">
        <w:rPr>
          <w:szCs w:val="22"/>
        </w:rPr>
        <w:t>SPODaSK</w:t>
      </w:r>
      <w:proofErr w:type="spellEnd"/>
      <w:r w:rsidRPr="00AE6EDB">
        <w:rPr>
          <w:szCs w:val="22"/>
        </w:rPr>
        <w:t xml:space="preserve"> podali návrh na začatie trestného stíhania. Pomoc deťom týraným, sexuálne zneužívaným a šikanovaným uvádza príloha ku kapitole 3, tabuľka 14.</w:t>
      </w:r>
    </w:p>
    <w:p w:rsidR="000A7585" w:rsidRPr="00AE6EDB" w:rsidRDefault="000A7585" w:rsidP="000A7585">
      <w:pPr>
        <w:rPr>
          <w:b/>
          <w:szCs w:val="22"/>
          <w:highlight w:val="cyan"/>
        </w:rPr>
      </w:pPr>
    </w:p>
    <w:p w:rsidR="000A7585" w:rsidRPr="00AE6EDB" w:rsidRDefault="000A7585" w:rsidP="000A7585">
      <w:pPr>
        <w:rPr>
          <w:b/>
          <w:color w:val="D83E2C" w:themeColor="accent2"/>
          <w:szCs w:val="22"/>
        </w:rPr>
      </w:pPr>
      <w:r w:rsidRPr="00AE6EDB">
        <w:rPr>
          <w:b/>
          <w:color w:val="D83E2C" w:themeColor="accent2"/>
          <w:szCs w:val="22"/>
        </w:rPr>
        <w:t>Ústavná starostlivosť a ochranná výchova</w:t>
      </w:r>
    </w:p>
    <w:p w:rsidR="000A7585" w:rsidRPr="00AE6EDB" w:rsidRDefault="000A7585" w:rsidP="000A7585">
      <w:pPr>
        <w:rPr>
          <w:color w:val="D83E2C" w:themeColor="accent2"/>
          <w:szCs w:val="22"/>
          <w:highlight w:val="cyan"/>
        </w:rPr>
      </w:pPr>
    </w:p>
    <w:p w:rsidR="000A7585" w:rsidRPr="00AE6EDB" w:rsidRDefault="000A7585" w:rsidP="000A7585">
      <w:pPr>
        <w:ind w:firstLine="567"/>
      </w:pPr>
      <w:r w:rsidRPr="00AE6EDB">
        <w:rPr>
          <w:szCs w:val="22"/>
        </w:rPr>
        <w:t xml:space="preserve">K 31. 12. 2015 bolo evidovaných </w:t>
      </w:r>
      <w:r w:rsidR="0054295F">
        <w:rPr>
          <w:szCs w:val="22"/>
        </w:rPr>
        <w:t>4 1</w:t>
      </w:r>
      <w:r w:rsidRPr="00AE6EDB">
        <w:rPr>
          <w:szCs w:val="22"/>
        </w:rPr>
        <w:t xml:space="preserve">72 detí s nariadenou ústavnou starostlivosťou a 23 detí malo nariadenú ochrannú výchovu. Celkovo bolo vo všetkých typoch zariadení na výkon rozhodnutia súdu umiestnených </w:t>
      </w:r>
      <w:r w:rsidR="00AC44CB">
        <w:rPr>
          <w:szCs w:val="22"/>
        </w:rPr>
        <w:t>5 1</w:t>
      </w:r>
      <w:r w:rsidRPr="00AE6EDB">
        <w:rPr>
          <w:szCs w:val="22"/>
        </w:rPr>
        <w:t xml:space="preserve">62 detí. Počet detí umiestnených na základe rozhodnutia súdu do zariadení na výkon rozhodnutia súdu a ich porovnanie s rokom 2014 uvádza </w:t>
      </w:r>
      <w:r w:rsidRPr="00AE6EDB">
        <w:t>príloha ku kapitole 3, tabuľka 15.</w:t>
      </w:r>
    </w:p>
    <w:p w:rsidR="000A7585" w:rsidRPr="00AE6EDB" w:rsidRDefault="000A7585" w:rsidP="000A7585">
      <w:pPr>
        <w:ind w:firstLine="708"/>
        <w:rPr>
          <w:szCs w:val="22"/>
          <w:highlight w:val="yellow"/>
        </w:rPr>
      </w:pPr>
      <w:r w:rsidRPr="00AE6EDB">
        <w:rPr>
          <w:szCs w:val="22"/>
        </w:rPr>
        <w:t xml:space="preserve">K 31. 12. 2015 bolo na Slovensku </w:t>
      </w:r>
      <w:r w:rsidR="00B57478">
        <w:rPr>
          <w:szCs w:val="22"/>
        </w:rPr>
        <w:t>91</w:t>
      </w:r>
      <w:r w:rsidRPr="00AE6EDB">
        <w:rPr>
          <w:i/>
          <w:szCs w:val="22"/>
        </w:rPr>
        <w:t xml:space="preserve"> detských domovov</w:t>
      </w:r>
      <w:r w:rsidRPr="00AE6EDB">
        <w:rPr>
          <w:szCs w:val="22"/>
        </w:rPr>
        <w:t xml:space="preserve"> s celkovým počtom </w:t>
      </w:r>
      <w:r w:rsidR="0054295F">
        <w:rPr>
          <w:szCs w:val="22"/>
        </w:rPr>
        <w:t>4 2</w:t>
      </w:r>
      <w:r w:rsidRPr="00AE6EDB">
        <w:rPr>
          <w:szCs w:val="22"/>
        </w:rPr>
        <w:t xml:space="preserve">88 umiestnených maloletých detí a 334 mladých dospelých. Z celkového počtu </w:t>
      </w:r>
      <w:r w:rsidR="00B57478">
        <w:rPr>
          <w:szCs w:val="22"/>
        </w:rPr>
        <w:t>91</w:t>
      </w:r>
      <w:r w:rsidRPr="00AE6EDB">
        <w:rPr>
          <w:szCs w:val="22"/>
        </w:rPr>
        <w:t xml:space="preserve"> detských domovov bolo 6</w:t>
      </w:r>
      <w:r w:rsidR="00B8449A">
        <w:rPr>
          <w:szCs w:val="22"/>
        </w:rPr>
        <w:t>6</w:t>
      </w:r>
      <w:r w:rsidRPr="00AE6EDB">
        <w:rPr>
          <w:szCs w:val="22"/>
        </w:rPr>
        <w:t xml:space="preserve"> štátnych detských domovov a 2</w:t>
      </w:r>
      <w:r w:rsidR="00B57478">
        <w:rPr>
          <w:szCs w:val="22"/>
        </w:rPr>
        <w:t>5</w:t>
      </w:r>
      <w:r w:rsidRPr="00AE6EDB">
        <w:rPr>
          <w:szCs w:val="22"/>
        </w:rPr>
        <w:t xml:space="preserve"> detských domovov bolo neštátnych.</w:t>
      </w:r>
    </w:p>
    <w:p w:rsidR="000A7585" w:rsidRPr="00AE6EDB" w:rsidRDefault="000A7585" w:rsidP="000A7585">
      <w:pPr>
        <w:ind w:firstLine="567"/>
        <w:rPr>
          <w:szCs w:val="22"/>
        </w:rPr>
      </w:pPr>
      <w:r w:rsidRPr="00AE6EDB">
        <w:rPr>
          <w:szCs w:val="22"/>
        </w:rPr>
        <w:t>V detských domovoch sa realizuje nariadená ústavná starostlivosť, predbežné opatrenie a výchovné opatrenie</w:t>
      </w:r>
      <w:r w:rsidR="00FD3E7E" w:rsidRPr="00AE6EDB">
        <w:rPr>
          <w:szCs w:val="22"/>
        </w:rPr>
        <w:t xml:space="preserve">, </w:t>
      </w:r>
      <w:r w:rsidR="008B41EC" w:rsidRPr="00AE6EDB">
        <w:rPr>
          <w:szCs w:val="22"/>
        </w:rPr>
        <w:t xml:space="preserve">a to buď </w:t>
      </w:r>
      <w:r w:rsidRPr="00AE6EDB">
        <w:rPr>
          <w:szCs w:val="22"/>
        </w:rPr>
        <w:t>v samostatnej skupine, v špecializovanej samostatnej skupine, v samostatnej diagnostickej skupine a</w:t>
      </w:r>
      <w:r w:rsidR="008B41EC" w:rsidRPr="00AE6EDB">
        <w:rPr>
          <w:szCs w:val="22"/>
        </w:rPr>
        <w:t>lebo</w:t>
      </w:r>
      <w:r w:rsidRPr="00AE6EDB">
        <w:rPr>
          <w:szCs w:val="22"/>
        </w:rPr>
        <w:t xml:space="preserve"> v profesionálnej rodine. </w:t>
      </w:r>
    </w:p>
    <w:p w:rsidR="000A7585" w:rsidRPr="00AE6EDB" w:rsidRDefault="000A7585" w:rsidP="000A7585">
      <w:pPr>
        <w:pStyle w:val="Textkomentra"/>
        <w:ind w:firstLine="431"/>
        <w:rPr>
          <w:sz w:val="22"/>
          <w:szCs w:val="22"/>
          <w:highlight w:val="cyan"/>
        </w:rPr>
      </w:pPr>
      <w:r w:rsidRPr="00AE6EDB">
        <w:rPr>
          <w:sz w:val="22"/>
          <w:szCs w:val="22"/>
        </w:rPr>
        <w:t xml:space="preserve">K 31.12.2015 bolo v detských domovoch 739 </w:t>
      </w:r>
      <w:r w:rsidRPr="00AE6EDB">
        <w:rPr>
          <w:i/>
          <w:sz w:val="22"/>
          <w:szCs w:val="22"/>
        </w:rPr>
        <w:t>profesionálnych rodičov</w:t>
      </w:r>
      <w:r w:rsidRPr="00AE6EDB">
        <w:rPr>
          <w:sz w:val="22"/>
          <w:szCs w:val="22"/>
        </w:rPr>
        <w:t xml:space="preserve">, u ktorých bolo umiestnených </w:t>
      </w:r>
      <w:r w:rsidR="0054295F">
        <w:rPr>
          <w:sz w:val="22"/>
          <w:szCs w:val="22"/>
        </w:rPr>
        <w:t>1 4</w:t>
      </w:r>
      <w:r w:rsidRPr="00AE6EDB">
        <w:rPr>
          <w:sz w:val="22"/>
          <w:szCs w:val="22"/>
        </w:rPr>
        <w:t>53 detí a mladých dospelých. Formy starostlivosti v detských domovoch a počty umiestnených detí v jednotlivých formách starostlivosti v detských domovoch uvádza príloha ku</w:t>
      </w:r>
      <w:r w:rsidR="00FD3E7E" w:rsidRPr="00AE6EDB">
        <w:rPr>
          <w:sz w:val="22"/>
          <w:szCs w:val="22"/>
        </w:rPr>
        <w:t> </w:t>
      </w:r>
      <w:r w:rsidRPr="00AE6EDB">
        <w:rPr>
          <w:sz w:val="22"/>
          <w:szCs w:val="22"/>
        </w:rPr>
        <w:t>kapitole 3, tabuľky 16 a 17.</w:t>
      </w:r>
    </w:p>
    <w:p w:rsidR="000A7585" w:rsidRPr="00AE6EDB" w:rsidRDefault="000A7585" w:rsidP="000A7585">
      <w:pPr>
        <w:pStyle w:val="Textkomentra"/>
        <w:ind w:firstLine="567"/>
        <w:rPr>
          <w:sz w:val="22"/>
          <w:szCs w:val="22"/>
          <w:highlight w:val="cyan"/>
        </w:rPr>
      </w:pPr>
    </w:p>
    <w:p w:rsidR="000A7585" w:rsidRPr="00AE6EDB" w:rsidRDefault="000A7585" w:rsidP="000A7585">
      <w:pPr>
        <w:jc w:val="left"/>
        <w:rPr>
          <w:b/>
          <w:color w:val="D83E2C" w:themeColor="accent2"/>
          <w:szCs w:val="22"/>
          <w:highlight w:val="cyan"/>
        </w:rPr>
      </w:pPr>
      <w:r w:rsidRPr="00AE6EDB">
        <w:rPr>
          <w:b/>
          <w:color w:val="D83E2C" w:themeColor="accent2"/>
          <w:szCs w:val="22"/>
          <w:highlight w:val="cyan"/>
        </w:rPr>
        <w:br w:type="page"/>
      </w:r>
    </w:p>
    <w:p w:rsidR="000A7585" w:rsidRPr="00AE6EDB" w:rsidRDefault="000A7585" w:rsidP="000A7585">
      <w:pPr>
        <w:rPr>
          <w:b/>
          <w:color w:val="D83E2C" w:themeColor="accent2"/>
          <w:szCs w:val="22"/>
        </w:rPr>
      </w:pPr>
      <w:r w:rsidRPr="00AE6EDB">
        <w:rPr>
          <w:b/>
          <w:color w:val="D83E2C" w:themeColor="accent2"/>
          <w:szCs w:val="22"/>
        </w:rPr>
        <w:lastRenderedPageBreak/>
        <w:t>Maloletí bez sprievodu a návrat či premiestnenie dieťaťa</w:t>
      </w:r>
    </w:p>
    <w:p w:rsidR="000A7585" w:rsidRPr="00AE6EDB" w:rsidRDefault="000A7585" w:rsidP="000A7585">
      <w:pPr>
        <w:rPr>
          <w:b/>
          <w:color w:val="D83E2C" w:themeColor="accent2"/>
          <w:szCs w:val="22"/>
          <w:highlight w:val="cyan"/>
        </w:rPr>
      </w:pPr>
    </w:p>
    <w:p w:rsidR="000A7585" w:rsidRPr="00AE6EDB" w:rsidRDefault="000A7585" w:rsidP="000A7585">
      <w:pPr>
        <w:ind w:firstLine="431"/>
        <w:rPr>
          <w:szCs w:val="22"/>
        </w:rPr>
      </w:pPr>
      <w:r w:rsidRPr="00AE6EDB">
        <w:rPr>
          <w:szCs w:val="22"/>
        </w:rPr>
        <w:t xml:space="preserve">V roku 2015 boli vykonané opatrenia </w:t>
      </w:r>
      <w:proofErr w:type="spellStart"/>
      <w:r w:rsidRPr="00AE6EDB">
        <w:rPr>
          <w:szCs w:val="22"/>
        </w:rPr>
        <w:t>SPODaSK</w:t>
      </w:r>
      <w:proofErr w:type="spellEnd"/>
      <w:r w:rsidRPr="00AE6EDB">
        <w:rPr>
          <w:szCs w:val="22"/>
        </w:rPr>
        <w:t xml:space="preserve"> pre 34 maloletých bez sprievodu, čo je o</w:t>
      </w:r>
      <w:r w:rsidR="00CE15D0">
        <w:rPr>
          <w:szCs w:val="22"/>
        </w:rPr>
        <w:t> </w:t>
      </w:r>
      <w:r w:rsidRPr="00AE6EDB">
        <w:rPr>
          <w:szCs w:val="22"/>
        </w:rPr>
        <w:t>5</w:t>
      </w:r>
      <w:r w:rsidR="00CE15D0">
        <w:rPr>
          <w:szCs w:val="22"/>
        </w:rPr>
        <w:t> </w:t>
      </w:r>
      <w:r w:rsidRPr="00AE6EDB">
        <w:rPr>
          <w:szCs w:val="22"/>
        </w:rPr>
        <w:t xml:space="preserve">maloletých bez sprievodu viac ako v roku 2014. </w:t>
      </w:r>
    </w:p>
    <w:p w:rsidR="000A7585" w:rsidRPr="00AE6EDB" w:rsidRDefault="000A7585" w:rsidP="000A7585">
      <w:pPr>
        <w:rPr>
          <w:b/>
          <w:szCs w:val="22"/>
          <w:highlight w:val="cyan"/>
        </w:rPr>
      </w:pPr>
      <w:r w:rsidRPr="00AE6EDB">
        <w:rPr>
          <w:szCs w:val="22"/>
        </w:rPr>
        <w:t>V roku 2015 sa návrat a premiestnenie dieťaťa realizoval u 5 detí, ktoré sa ocitli na území iného štátu bez sprievodu rodiča, príbuzného alebo osoby, ktorá sa o dieťa osobne stará.</w:t>
      </w:r>
    </w:p>
    <w:p w:rsidR="000A7585" w:rsidRPr="00AE6EDB" w:rsidRDefault="000A7585" w:rsidP="000A7585">
      <w:pPr>
        <w:jc w:val="left"/>
        <w:rPr>
          <w:b/>
          <w:color w:val="D83E2C" w:themeColor="accent2"/>
          <w:szCs w:val="22"/>
          <w:highlight w:val="cyan"/>
        </w:rPr>
      </w:pPr>
    </w:p>
    <w:p w:rsidR="000A7585" w:rsidRPr="00AE6EDB" w:rsidRDefault="000A7585" w:rsidP="000A7585">
      <w:pPr>
        <w:rPr>
          <w:b/>
          <w:color w:val="D83E2C" w:themeColor="accent2"/>
          <w:szCs w:val="22"/>
        </w:rPr>
      </w:pPr>
      <w:r w:rsidRPr="00AE6EDB">
        <w:rPr>
          <w:b/>
          <w:color w:val="D83E2C" w:themeColor="accent2"/>
          <w:szCs w:val="22"/>
        </w:rPr>
        <w:t xml:space="preserve">Náhradná rodinná starostlivosť – náhradná osobná starostlivosť, pestúnska starostlivosť, poručníctvo, </w:t>
      </w:r>
      <w:proofErr w:type="spellStart"/>
      <w:r w:rsidRPr="00AE6EDB">
        <w:rPr>
          <w:b/>
          <w:color w:val="D83E2C" w:themeColor="accent2"/>
          <w:szCs w:val="22"/>
        </w:rPr>
        <w:t>predosvojiteľská</w:t>
      </w:r>
      <w:proofErr w:type="spellEnd"/>
      <w:r w:rsidRPr="00AE6EDB">
        <w:rPr>
          <w:b/>
          <w:color w:val="D83E2C" w:themeColor="accent2"/>
          <w:szCs w:val="22"/>
        </w:rPr>
        <w:t xml:space="preserve"> starostlivosť a osvojenie</w:t>
      </w:r>
    </w:p>
    <w:p w:rsidR="000A7585" w:rsidRPr="00AE6EDB" w:rsidRDefault="000A7585" w:rsidP="000A7585">
      <w:pPr>
        <w:rPr>
          <w:szCs w:val="22"/>
          <w:highlight w:val="cyan"/>
        </w:rPr>
      </w:pPr>
    </w:p>
    <w:p w:rsidR="000A7585" w:rsidRPr="00AE6EDB" w:rsidRDefault="000A7585" w:rsidP="000A7585">
      <w:pPr>
        <w:ind w:firstLine="567"/>
        <w:rPr>
          <w:szCs w:val="22"/>
        </w:rPr>
      </w:pPr>
      <w:r w:rsidRPr="00AE6EDB">
        <w:rPr>
          <w:szCs w:val="22"/>
        </w:rPr>
        <w:t xml:space="preserve">V roku 2015 bolo </w:t>
      </w:r>
      <w:r w:rsidR="0054295F">
        <w:rPr>
          <w:szCs w:val="22"/>
        </w:rPr>
        <w:t>1 3</w:t>
      </w:r>
      <w:r w:rsidRPr="00AE6EDB">
        <w:rPr>
          <w:szCs w:val="22"/>
        </w:rPr>
        <w:t>78 detí zverených do náhradného rodinného prostredia (náhradná osobná starostlivosť, pestúnska starostlivosť, poručníctvo a </w:t>
      </w:r>
      <w:proofErr w:type="spellStart"/>
      <w:r w:rsidRPr="00AE6EDB">
        <w:rPr>
          <w:szCs w:val="22"/>
        </w:rPr>
        <w:t>predosvojiteľská</w:t>
      </w:r>
      <w:proofErr w:type="spellEnd"/>
      <w:r w:rsidRPr="00AE6EDB">
        <w:rPr>
          <w:szCs w:val="22"/>
        </w:rPr>
        <w:t xml:space="preserve"> starostlivosť). Porovnanie s predchádzajúcim rokom je uvedené v tabuľke 3.19. </w:t>
      </w:r>
    </w:p>
    <w:p w:rsidR="000A7585" w:rsidRPr="00AE6EDB" w:rsidRDefault="000A7585" w:rsidP="000A7585">
      <w:pPr>
        <w:ind w:firstLine="567"/>
        <w:rPr>
          <w:szCs w:val="22"/>
        </w:rPr>
      </w:pPr>
      <w:r w:rsidRPr="00AE6EDB">
        <w:rPr>
          <w:szCs w:val="22"/>
        </w:rPr>
        <w:t xml:space="preserve">K 31.12.2015 bolo celkovo </w:t>
      </w:r>
      <w:r w:rsidR="00AC44CB">
        <w:t>8 9</w:t>
      </w:r>
      <w:r w:rsidRPr="00AE6EDB">
        <w:t>02</w:t>
      </w:r>
      <w:r w:rsidRPr="00AE6EDB">
        <w:rPr>
          <w:szCs w:val="22"/>
        </w:rPr>
        <w:t xml:space="preserve"> detí zverených do náhradnej osobnej starostlivosti, pestúnskej starostlivosti a poručníctva. Celkový počet detí zverených do jednotlivých foriem náhradnej rodinnej starostlivosti a porovnanie s predchádzajúcim rokom uvádza príloha ku kapitole 3, tabuľka 18. </w:t>
      </w:r>
    </w:p>
    <w:p w:rsidR="000A7585" w:rsidRPr="00AE6EDB" w:rsidRDefault="000A7585" w:rsidP="000A7585">
      <w:pPr>
        <w:ind w:firstLine="431"/>
        <w:rPr>
          <w:szCs w:val="22"/>
          <w:highlight w:val="cyan"/>
        </w:rPr>
      </w:pPr>
      <w:r w:rsidRPr="00AE6EDB">
        <w:rPr>
          <w:szCs w:val="22"/>
        </w:rPr>
        <w:t xml:space="preserve">V roku 2015 bolo právoplatným rozhodnutím súdu osvojených 176 detí. V počte osvojených detí sú zahrnuté aj deti osvojené do cudziny. Do </w:t>
      </w:r>
      <w:proofErr w:type="spellStart"/>
      <w:r w:rsidRPr="00AE6EDB">
        <w:rPr>
          <w:szCs w:val="22"/>
        </w:rPr>
        <w:t>predosvojiteľskej</w:t>
      </w:r>
      <w:proofErr w:type="spellEnd"/>
      <w:r w:rsidRPr="00AE6EDB">
        <w:rPr>
          <w:szCs w:val="22"/>
        </w:rPr>
        <w:t xml:space="preserve"> starostlivosti do cudziny bolo v roku 2015 zverených 8 detí.</w:t>
      </w:r>
      <w:r w:rsidRPr="00AE6EDB">
        <w:rPr>
          <w:szCs w:val="22"/>
          <w:highlight w:val="cyan"/>
        </w:rPr>
        <w:t xml:space="preserve"> </w:t>
      </w:r>
    </w:p>
    <w:p w:rsidR="000A7585" w:rsidRPr="00AE6EDB" w:rsidRDefault="000A7585" w:rsidP="000A7585">
      <w:pPr>
        <w:pStyle w:val="Nadpis7"/>
      </w:pPr>
      <w:r w:rsidRPr="00AE6EDB">
        <w:t>Tabuľka 3.1</w:t>
      </w:r>
      <w:r w:rsidR="00F2550D" w:rsidRPr="00AE6EDB">
        <w:t>9</w:t>
      </w:r>
      <w:r w:rsidRPr="00AE6EDB">
        <w:t xml:space="preserve"> Počet detí zverených do náhradných rodín v rokoch – 2014 a 2015</w:t>
      </w:r>
    </w:p>
    <w:tbl>
      <w:tblPr>
        <w:tblW w:w="9181" w:type="dxa"/>
        <w:tblInd w:w="-3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1E0" w:firstRow="1" w:lastRow="1" w:firstColumn="1" w:lastColumn="1" w:noHBand="0" w:noVBand="0"/>
      </w:tblPr>
      <w:tblGrid>
        <w:gridCol w:w="1215"/>
        <w:gridCol w:w="11"/>
        <w:gridCol w:w="1749"/>
        <w:gridCol w:w="27"/>
        <w:gridCol w:w="1638"/>
        <w:gridCol w:w="42"/>
        <w:gridCol w:w="1623"/>
        <w:gridCol w:w="57"/>
        <w:gridCol w:w="1600"/>
        <w:gridCol w:w="71"/>
        <w:gridCol w:w="1148"/>
      </w:tblGrid>
      <w:tr w:rsidR="000A7585" w:rsidRPr="00AE6EDB" w:rsidTr="00CE15D0">
        <w:trPr>
          <w:trHeight w:val="413"/>
        </w:trPr>
        <w:tc>
          <w:tcPr>
            <w:tcW w:w="1226" w:type="dxa"/>
            <w:gridSpan w:val="2"/>
            <w:shd w:val="clear" w:color="auto" w:fill="BF0000" w:themeFill="accent3" w:themeFillShade="BF"/>
            <w:vAlign w:val="bottom"/>
          </w:tcPr>
          <w:p w:rsidR="000A7585" w:rsidRPr="00AE6EDB" w:rsidRDefault="000A7585" w:rsidP="00CE15D0">
            <w:pPr>
              <w:spacing w:line="276" w:lineRule="auto"/>
              <w:jc w:val="center"/>
              <w:rPr>
                <w:b/>
                <w:color w:val="FFFFFF" w:themeColor="background1"/>
                <w:szCs w:val="22"/>
                <w:lang w:eastAsia="en-US"/>
              </w:rPr>
            </w:pPr>
            <w:r w:rsidRPr="00AE6EDB">
              <w:rPr>
                <w:b/>
                <w:color w:val="FFFFFF" w:themeColor="background1"/>
                <w:szCs w:val="22"/>
                <w:lang w:eastAsia="en-US"/>
              </w:rPr>
              <w:t>rok</w:t>
            </w:r>
          </w:p>
        </w:tc>
        <w:tc>
          <w:tcPr>
            <w:tcW w:w="1776" w:type="dxa"/>
            <w:gridSpan w:val="2"/>
            <w:shd w:val="clear" w:color="auto" w:fill="BF0000" w:themeFill="accent3" w:themeFillShade="BF"/>
            <w:vAlign w:val="bottom"/>
            <w:hideMark/>
          </w:tcPr>
          <w:p w:rsidR="000A7585" w:rsidRPr="00AE6EDB" w:rsidRDefault="000A7585" w:rsidP="00CE15D0">
            <w:pPr>
              <w:spacing w:line="276" w:lineRule="auto"/>
              <w:jc w:val="center"/>
              <w:rPr>
                <w:b/>
                <w:color w:val="FFFFFF" w:themeColor="background1"/>
                <w:sz w:val="20"/>
                <w:szCs w:val="20"/>
                <w:lang w:eastAsia="en-US"/>
              </w:rPr>
            </w:pPr>
            <w:r w:rsidRPr="00AE6EDB">
              <w:rPr>
                <w:b/>
                <w:color w:val="FFFFFF" w:themeColor="background1"/>
                <w:sz w:val="20"/>
                <w:szCs w:val="20"/>
                <w:lang w:eastAsia="en-US"/>
              </w:rPr>
              <w:t>Osvojenie</w:t>
            </w:r>
            <w:r w:rsidRPr="00AE6EDB">
              <w:rPr>
                <w:b/>
                <w:color w:val="FFFFFF" w:themeColor="background1"/>
                <w:sz w:val="20"/>
                <w:szCs w:val="20"/>
                <w:lang w:eastAsia="en-US"/>
              </w:rPr>
              <w:br/>
              <w:t xml:space="preserve">(zverené do </w:t>
            </w:r>
            <w:proofErr w:type="spellStart"/>
            <w:r w:rsidRPr="00AE6EDB">
              <w:rPr>
                <w:b/>
                <w:color w:val="FFFFFF" w:themeColor="background1"/>
                <w:sz w:val="20"/>
                <w:szCs w:val="20"/>
                <w:lang w:eastAsia="en-US"/>
              </w:rPr>
              <w:t>predosvojiteľskej</w:t>
            </w:r>
            <w:proofErr w:type="spellEnd"/>
            <w:r w:rsidRPr="00AE6EDB">
              <w:rPr>
                <w:b/>
                <w:color w:val="FFFFFF" w:themeColor="background1"/>
                <w:sz w:val="20"/>
                <w:szCs w:val="20"/>
                <w:lang w:eastAsia="en-US"/>
              </w:rPr>
              <w:t xml:space="preserve"> starostlivosti)</w:t>
            </w:r>
          </w:p>
        </w:tc>
        <w:tc>
          <w:tcPr>
            <w:tcW w:w="1680" w:type="dxa"/>
            <w:gridSpan w:val="2"/>
            <w:shd w:val="clear" w:color="auto" w:fill="BF0000" w:themeFill="accent3" w:themeFillShade="BF"/>
            <w:vAlign w:val="bottom"/>
          </w:tcPr>
          <w:p w:rsidR="000A7585" w:rsidRPr="00AE6EDB" w:rsidRDefault="000A7585" w:rsidP="00CE15D0">
            <w:pPr>
              <w:spacing w:line="276" w:lineRule="auto"/>
              <w:jc w:val="center"/>
              <w:rPr>
                <w:b/>
                <w:color w:val="FFFFFF" w:themeColor="background1"/>
                <w:sz w:val="20"/>
                <w:szCs w:val="20"/>
                <w:lang w:eastAsia="en-US"/>
              </w:rPr>
            </w:pPr>
            <w:r w:rsidRPr="00AE6EDB">
              <w:rPr>
                <w:b/>
                <w:color w:val="FFFFFF" w:themeColor="background1"/>
                <w:sz w:val="20"/>
                <w:szCs w:val="20"/>
                <w:lang w:eastAsia="en-US"/>
              </w:rPr>
              <w:t>Náhradná osobná starostlivosť</w:t>
            </w:r>
          </w:p>
        </w:tc>
        <w:tc>
          <w:tcPr>
            <w:tcW w:w="1680" w:type="dxa"/>
            <w:gridSpan w:val="2"/>
            <w:shd w:val="clear" w:color="auto" w:fill="BF0000" w:themeFill="accent3" w:themeFillShade="BF"/>
            <w:vAlign w:val="bottom"/>
          </w:tcPr>
          <w:p w:rsidR="000A7585" w:rsidRPr="00AE6EDB" w:rsidRDefault="000A7585" w:rsidP="00CE15D0">
            <w:pPr>
              <w:spacing w:line="276" w:lineRule="auto"/>
              <w:jc w:val="center"/>
              <w:rPr>
                <w:b/>
                <w:color w:val="FFFFFF" w:themeColor="background1"/>
                <w:sz w:val="20"/>
                <w:szCs w:val="20"/>
                <w:lang w:eastAsia="en-US"/>
              </w:rPr>
            </w:pPr>
            <w:r w:rsidRPr="00AE6EDB">
              <w:rPr>
                <w:b/>
                <w:color w:val="FFFFFF" w:themeColor="background1"/>
                <w:sz w:val="20"/>
                <w:szCs w:val="20"/>
                <w:lang w:eastAsia="en-US"/>
              </w:rPr>
              <w:t>Pestúnska starostlivosť</w:t>
            </w:r>
          </w:p>
        </w:tc>
        <w:tc>
          <w:tcPr>
            <w:tcW w:w="1671" w:type="dxa"/>
            <w:gridSpan w:val="2"/>
            <w:shd w:val="clear" w:color="auto" w:fill="BF0000" w:themeFill="accent3" w:themeFillShade="BF"/>
            <w:vAlign w:val="bottom"/>
            <w:hideMark/>
          </w:tcPr>
          <w:p w:rsidR="000A7585" w:rsidRPr="00AE6EDB" w:rsidRDefault="000A7585" w:rsidP="00CE15D0">
            <w:pPr>
              <w:jc w:val="center"/>
              <w:rPr>
                <w:b/>
                <w:color w:val="FFFFFF" w:themeColor="background1"/>
                <w:sz w:val="20"/>
                <w:szCs w:val="20"/>
              </w:rPr>
            </w:pPr>
            <w:r w:rsidRPr="00AE6EDB">
              <w:rPr>
                <w:b/>
                <w:color w:val="FFFFFF" w:themeColor="background1"/>
                <w:sz w:val="20"/>
                <w:szCs w:val="20"/>
              </w:rPr>
              <w:t>Poručníctvo</w:t>
            </w:r>
          </w:p>
        </w:tc>
        <w:tc>
          <w:tcPr>
            <w:tcW w:w="1148" w:type="dxa"/>
            <w:shd w:val="clear" w:color="auto" w:fill="BF0000" w:themeFill="accent3" w:themeFillShade="BF"/>
            <w:vAlign w:val="bottom"/>
          </w:tcPr>
          <w:p w:rsidR="000A7585" w:rsidRPr="00AE6EDB" w:rsidRDefault="000A7585" w:rsidP="00CE15D0">
            <w:pPr>
              <w:spacing w:line="276" w:lineRule="auto"/>
              <w:jc w:val="center"/>
              <w:rPr>
                <w:b/>
                <w:color w:val="FFFFFF" w:themeColor="background1"/>
                <w:szCs w:val="22"/>
                <w:lang w:eastAsia="en-US"/>
              </w:rPr>
            </w:pPr>
            <w:r w:rsidRPr="00AE6EDB">
              <w:rPr>
                <w:b/>
                <w:color w:val="FFFFFF" w:themeColor="background1"/>
                <w:szCs w:val="22"/>
                <w:lang w:eastAsia="en-US"/>
              </w:rPr>
              <w:t>Spolu</w:t>
            </w:r>
          </w:p>
        </w:tc>
      </w:tr>
      <w:tr w:rsidR="000A7585" w:rsidRPr="00AE6EDB"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105"/>
        </w:trPr>
        <w:tc>
          <w:tcPr>
            <w:tcW w:w="1215" w:type="dxa"/>
          </w:tcPr>
          <w:p w:rsidR="000A7585" w:rsidRPr="00AE6EDB" w:rsidRDefault="000A7585" w:rsidP="00DE0EEC">
            <w:pPr>
              <w:spacing w:line="276" w:lineRule="auto"/>
              <w:jc w:val="center"/>
              <w:rPr>
                <w:b/>
                <w:lang w:eastAsia="en-US"/>
              </w:rPr>
            </w:pPr>
            <w:r w:rsidRPr="00AE6EDB">
              <w:rPr>
                <w:b/>
                <w:szCs w:val="22"/>
                <w:lang w:eastAsia="en-US"/>
              </w:rPr>
              <w:t>2014</w:t>
            </w:r>
          </w:p>
        </w:tc>
        <w:tc>
          <w:tcPr>
            <w:tcW w:w="1760" w:type="dxa"/>
            <w:gridSpan w:val="2"/>
          </w:tcPr>
          <w:p w:rsidR="000A7585" w:rsidRPr="00AE6EDB" w:rsidRDefault="000A7585" w:rsidP="00DE0EEC">
            <w:pPr>
              <w:spacing w:line="276" w:lineRule="auto"/>
              <w:jc w:val="center"/>
              <w:rPr>
                <w:lang w:eastAsia="en-US"/>
              </w:rPr>
            </w:pPr>
            <w:r w:rsidRPr="00AE6EDB">
              <w:rPr>
                <w:lang w:eastAsia="en-US"/>
              </w:rPr>
              <w:t>128</w:t>
            </w:r>
          </w:p>
        </w:tc>
        <w:tc>
          <w:tcPr>
            <w:tcW w:w="1665" w:type="dxa"/>
            <w:gridSpan w:val="2"/>
          </w:tcPr>
          <w:p w:rsidR="000A7585" w:rsidRPr="00AE6EDB" w:rsidRDefault="000A7585" w:rsidP="00DE0EEC">
            <w:pPr>
              <w:spacing w:line="276" w:lineRule="auto"/>
              <w:jc w:val="center"/>
              <w:rPr>
                <w:lang w:eastAsia="en-US"/>
              </w:rPr>
            </w:pPr>
            <w:r w:rsidRPr="00AE6EDB">
              <w:rPr>
                <w:lang w:eastAsia="en-US"/>
              </w:rPr>
              <w:t>931</w:t>
            </w:r>
          </w:p>
        </w:tc>
        <w:tc>
          <w:tcPr>
            <w:tcW w:w="1665" w:type="dxa"/>
            <w:gridSpan w:val="2"/>
          </w:tcPr>
          <w:p w:rsidR="000A7585" w:rsidRPr="00AE6EDB" w:rsidRDefault="000A7585" w:rsidP="00DE0EEC">
            <w:pPr>
              <w:spacing w:line="276" w:lineRule="auto"/>
              <w:jc w:val="center"/>
              <w:rPr>
                <w:lang w:eastAsia="en-US"/>
              </w:rPr>
            </w:pPr>
            <w:r w:rsidRPr="00AE6EDB">
              <w:rPr>
                <w:lang w:eastAsia="en-US"/>
              </w:rPr>
              <w:t>134</w:t>
            </w:r>
          </w:p>
        </w:tc>
        <w:tc>
          <w:tcPr>
            <w:tcW w:w="1657" w:type="dxa"/>
            <w:gridSpan w:val="2"/>
          </w:tcPr>
          <w:p w:rsidR="000A7585" w:rsidRPr="00AE6EDB" w:rsidRDefault="000A7585" w:rsidP="00DE0EEC">
            <w:pPr>
              <w:spacing w:line="276" w:lineRule="auto"/>
              <w:jc w:val="center"/>
              <w:rPr>
                <w:lang w:eastAsia="en-US"/>
              </w:rPr>
            </w:pPr>
            <w:r w:rsidRPr="00AE6EDB">
              <w:rPr>
                <w:lang w:eastAsia="en-US"/>
              </w:rPr>
              <w:t>142</w:t>
            </w:r>
          </w:p>
        </w:tc>
        <w:tc>
          <w:tcPr>
            <w:tcW w:w="1219" w:type="dxa"/>
            <w:gridSpan w:val="2"/>
          </w:tcPr>
          <w:p w:rsidR="000A7585" w:rsidRPr="00AE6EDB" w:rsidRDefault="0054295F" w:rsidP="00DE0EEC">
            <w:pPr>
              <w:spacing w:line="276" w:lineRule="auto"/>
              <w:jc w:val="center"/>
              <w:rPr>
                <w:b/>
                <w:lang w:eastAsia="en-US"/>
              </w:rPr>
            </w:pPr>
            <w:r>
              <w:rPr>
                <w:b/>
                <w:lang w:eastAsia="en-US"/>
              </w:rPr>
              <w:t>1 3</w:t>
            </w:r>
            <w:r w:rsidR="000A7585" w:rsidRPr="00AE6EDB">
              <w:rPr>
                <w:b/>
                <w:lang w:eastAsia="en-US"/>
              </w:rPr>
              <w:t>35</w:t>
            </w:r>
          </w:p>
        </w:tc>
      </w:tr>
      <w:tr w:rsidR="000A7585" w:rsidRPr="00AE6EDB"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217"/>
        </w:trPr>
        <w:tc>
          <w:tcPr>
            <w:tcW w:w="1215" w:type="dxa"/>
          </w:tcPr>
          <w:p w:rsidR="000A7585" w:rsidRPr="00AE6EDB" w:rsidRDefault="000A7585" w:rsidP="00DE0EEC">
            <w:pPr>
              <w:spacing w:line="276" w:lineRule="auto"/>
              <w:jc w:val="center"/>
              <w:rPr>
                <w:b/>
                <w:lang w:eastAsia="en-US"/>
              </w:rPr>
            </w:pPr>
            <w:r w:rsidRPr="00AE6EDB">
              <w:rPr>
                <w:b/>
                <w:szCs w:val="22"/>
                <w:lang w:eastAsia="en-US"/>
              </w:rPr>
              <w:t>2015</w:t>
            </w:r>
          </w:p>
        </w:tc>
        <w:tc>
          <w:tcPr>
            <w:tcW w:w="1760" w:type="dxa"/>
            <w:gridSpan w:val="2"/>
          </w:tcPr>
          <w:p w:rsidR="000A7585" w:rsidRPr="00AE6EDB" w:rsidRDefault="000A7585" w:rsidP="00DE0EEC">
            <w:pPr>
              <w:spacing w:line="276" w:lineRule="auto"/>
              <w:jc w:val="center"/>
              <w:rPr>
                <w:lang w:eastAsia="en-US"/>
              </w:rPr>
            </w:pPr>
            <w:r w:rsidRPr="00AE6EDB">
              <w:rPr>
                <w:lang w:eastAsia="en-US"/>
              </w:rPr>
              <w:t>122</w:t>
            </w:r>
          </w:p>
        </w:tc>
        <w:tc>
          <w:tcPr>
            <w:tcW w:w="1665" w:type="dxa"/>
            <w:gridSpan w:val="2"/>
          </w:tcPr>
          <w:p w:rsidR="000A7585" w:rsidRPr="00AE6EDB" w:rsidRDefault="000A7585" w:rsidP="00DE0EEC">
            <w:pPr>
              <w:spacing w:line="276" w:lineRule="auto"/>
              <w:jc w:val="center"/>
              <w:rPr>
                <w:lang w:eastAsia="en-US"/>
              </w:rPr>
            </w:pPr>
            <w:r w:rsidRPr="00AE6EDB">
              <w:rPr>
                <w:lang w:eastAsia="en-US"/>
              </w:rPr>
              <w:t>948</w:t>
            </w:r>
          </w:p>
        </w:tc>
        <w:tc>
          <w:tcPr>
            <w:tcW w:w="1665" w:type="dxa"/>
            <w:gridSpan w:val="2"/>
          </w:tcPr>
          <w:p w:rsidR="000A7585" w:rsidRPr="00AE6EDB" w:rsidRDefault="000A7585" w:rsidP="00DE0EEC">
            <w:pPr>
              <w:spacing w:line="276" w:lineRule="auto"/>
              <w:jc w:val="center"/>
              <w:rPr>
                <w:lang w:eastAsia="en-US"/>
              </w:rPr>
            </w:pPr>
            <w:r w:rsidRPr="00AE6EDB">
              <w:rPr>
                <w:lang w:eastAsia="en-US"/>
              </w:rPr>
              <w:t>143</w:t>
            </w:r>
          </w:p>
        </w:tc>
        <w:tc>
          <w:tcPr>
            <w:tcW w:w="1657" w:type="dxa"/>
            <w:gridSpan w:val="2"/>
          </w:tcPr>
          <w:p w:rsidR="000A7585" w:rsidRPr="00AE6EDB" w:rsidRDefault="000A7585" w:rsidP="00DE0EEC">
            <w:pPr>
              <w:spacing w:line="276" w:lineRule="auto"/>
              <w:jc w:val="center"/>
              <w:rPr>
                <w:lang w:eastAsia="en-US"/>
              </w:rPr>
            </w:pPr>
            <w:r w:rsidRPr="00AE6EDB">
              <w:rPr>
                <w:lang w:eastAsia="en-US"/>
              </w:rPr>
              <w:t>165</w:t>
            </w:r>
          </w:p>
        </w:tc>
        <w:tc>
          <w:tcPr>
            <w:tcW w:w="1219" w:type="dxa"/>
            <w:gridSpan w:val="2"/>
          </w:tcPr>
          <w:p w:rsidR="000A7585" w:rsidRPr="00AE6EDB" w:rsidRDefault="0054295F" w:rsidP="00DE0EEC">
            <w:pPr>
              <w:spacing w:line="276" w:lineRule="auto"/>
              <w:jc w:val="center"/>
              <w:rPr>
                <w:b/>
                <w:lang w:eastAsia="en-US"/>
              </w:rPr>
            </w:pPr>
            <w:r>
              <w:rPr>
                <w:b/>
                <w:lang w:eastAsia="en-US"/>
              </w:rPr>
              <w:t>1 3</w:t>
            </w:r>
            <w:r w:rsidR="000A7585" w:rsidRPr="00AE6EDB">
              <w:rPr>
                <w:b/>
                <w:lang w:eastAsia="en-US"/>
              </w:rPr>
              <w:t>78</w:t>
            </w:r>
          </w:p>
        </w:tc>
      </w:tr>
    </w:tbl>
    <w:p w:rsidR="000A7585" w:rsidRPr="00AE6EDB" w:rsidRDefault="000A7585" w:rsidP="000A7585">
      <w:pPr>
        <w:pStyle w:val="zdroj"/>
        <w:rPr>
          <w:rFonts w:eastAsia="Calibri"/>
        </w:rPr>
      </w:pPr>
      <w:r w:rsidRPr="00AE6EDB">
        <w:t xml:space="preserve"> </w:t>
      </w:r>
      <w:r w:rsidRPr="00AE6EDB">
        <w:rPr>
          <w:rFonts w:eastAsia="Calibri"/>
        </w:rPr>
        <w:t>Zdroj: V(MPSVR SR)12-01</w:t>
      </w:r>
    </w:p>
    <w:p w:rsidR="000A7585" w:rsidRPr="00AE6EDB" w:rsidRDefault="000A7585" w:rsidP="000A7585">
      <w:pPr>
        <w:rPr>
          <w:b/>
          <w:color w:val="D83E2C" w:themeColor="accent2"/>
          <w:szCs w:val="22"/>
        </w:rPr>
      </w:pPr>
      <w:r w:rsidRPr="00AE6EDB">
        <w:rPr>
          <w:b/>
          <w:color w:val="D83E2C" w:themeColor="accent2"/>
          <w:szCs w:val="22"/>
        </w:rPr>
        <w:t>Poradensko-psychologické služby</w:t>
      </w:r>
    </w:p>
    <w:p w:rsidR="000A7585" w:rsidRPr="00AE6EDB" w:rsidRDefault="000A7585" w:rsidP="000A7585">
      <w:pPr>
        <w:rPr>
          <w:szCs w:val="22"/>
          <w:highlight w:val="cyan"/>
        </w:rPr>
      </w:pPr>
    </w:p>
    <w:p w:rsidR="000A7585" w:rsidRPr="00AE6EDB" w:rsidRDefault="000A7585" w:rsidP="000A7585">
      <w:pPr>
        <w:ind w:firstLine="431"/>
        <w:rPr>
          <w:szCs w:val="22"/>
        </w:rPr>
      </w:pPr>
      <w:r w:rsidRPr="00AE6EDB">
        <w:rPr>
          <w:szCs w:val="22"/>
        </w:rPr>
        <w:t>V roku 2015 pracoval</w:t>
      </w:r>
      <w:r w:rsidR="009A6998">
        <w:rPr>
          <w:szCs w:val="22"/>
        </w:rPr>
        <w:t>i zamestnanci</w:t>
      </w:r>
      <w:r w:rsidRPr="00AE6EDB">
        <w:rPr>
          <w:szCs w:val="22"/>
        </w:rPr>
        <w:t xml:space="preserve"> referáto</w:t>
      </w:r>
      <w:r w:rsidR="009A6998">
        <w:rPr>
          <w:szCs w:val="22"/>
        </w:rPr>
        <w:t>v</w:t>
      </w:r>
      <w:r w:rsidRPr="00AE6EDB">
        <w:rPr>
          <w:szCs w:val="22"/>
        </w:rPr>
        <w:t xml:space="preserve"> poradensko-psychologických služieb (ďalej len „RPPS“)</w:t>
      </w:r>
      <w:r w:rsidR="009A6998">
        <w:rPr>
          <w:szCs w:val="22"/>
        </w:rPr>
        <w:t xml:space="preserve"> </w:t>
      </w:r>
      <w:bookmarkStart w:id="677" w:name="_GoBack"/>
      <w:bookmarkEnd w:id="677"/>
      <w:r w:rsidR="009A6998" w:rsidRPr="00C92B52">
        <w:rPr>
          <w:szCs w:val="22"/>
        </w:rPr>
        <w:t>na</w:t>
      </w:r>
      <w:r w:rsidRPr="00C92B52">
        <w:rPr>
          <w:szCs w:val="22"/>
        </w:rPr>
        <w:t xml:space="preserve"> </w:t>
      </w:r>
      <w:r w:rsidR="00B57478" w:rsidRPr="00C92B52">
        <w:rPr>
          <w:szCs w:val="22"/>
        </w:rPr>
        <w:t>91</w:t>
      </w:r>
      <w:r w:rsidR="00B57478" w:rsidRPr="00C92B52">
        <w:rPr>
          <w:b/>
          <w:szCs w:val="22"/>
        </w:rPr>
        <w:t> </w:t>
      </w:r>
      <w:r w:rsidR="009A6998" w:rsidRPr="00C92B52">
        <w:rPr>
          <w:szCs w:val="22"/>
        </w:rPr>
        <w:t>úväzkoch</w:t>
      </w:r>
      <w:r w:rsidR="00B57478" w:rsidRPr="00747418">
        <w:rPr>
          <w:szCs w:val="22"/>
        </w:rPr>
        <w:t xml:space="preserve">, </w:t>
      </w:r>
      <w:r w:rsidR="009A6998">
        <w:rPr>
          <w:szCs w:val="22"/>
        </w:rPr>
        <w:t>spolu</w:t>
      </w:r>
      <w:r w:rsidRPr="00AE6EDB">
        <w:rPr>
          <w:szCs w:val="22"/>
        </w:rPr>
        <w:t xml:space="preserve"> poskytli 4</w:t>
      </w:r>
      <w:r w:rsidR="00AC44CB">
        <w:rPr>
          <w:szCs w:val="22"/>
        </w:rPr>
        <w:t>7 0</w:t>
      </w:r>
      <w:r w:rsidRPr="00AE6EDB">
        <w:rPr>
          <w:szCs w:val="22"/>
        </w:rPr>
        <w:t xml:space="preserve">42 konzultácií pri celkovom počte </w:t>
      </w:r>
      <w:r w:rsidR="00AC44CB">
        <w:rPr>
          <w:szCs w:val="22"/>
        </w:rPr>
        <w:t>8 2</w:t>
      </w:r>
      <w:r w:rsidRPr="00AE6EDB">
        <w:rPr>
          <w:szCs w:val="22"/>
        </w:rPr>
        <w:t xml:space="preserve">74 prípadov. Priemer konzultácií na jeden prípad tvorí 5,69 konzultácií. </w:t>
      </w:r>
    </w:p>
    <w:p w:rsidR="000A7585" w:rsidRPr="00AE6EDB" w:rsidRDefault="000A7585" w:rsidP="000A7585">
      <w:pPr>
        <w:rPr>
          <w:b/>
          <w:szCs w:val="22"/>
          <w:u w:val="single"/>
        </w:rPr>
      </w:pPr>
    </w:p>
    <w:p w:rsidR="000A7585" w:rsidRPr="00AE6EDB" w:rsidRDefault="000A7585" w:rsidP="000A7585">
      <w:pPr>
        <w:spacing w:after="120"/>
        <w:rPr>
          <w:rFonts w:eastAsia="Calibri"/>
          <w:i/>
          <w:iCs/>
          <w:szCs w:val="22"/>
        </w:rPr>
      </w:pPr>
      <w:r w:rsidRPr="00AE6EDB">
        <w:rPr>
          <w:rFonts w:eastAsia="Calibri"/>
          <w:b/>
          <w:bCs/>
          <w:i/>
          <w:iCs/>
          <w:szCs w:val="22"/>
        </w:rPr>
        <w:t>Ťažiskové činnosti RPPS boli:</w:t>
      </w:r>
    </w:p>
    <w:p w:rsidR="000A7585" w:rsidRPr="00AE6EDB" w:rsidRDefault="000A7585" w:rsidP="000A7585">
      <w:pPr>
        <w:spacing w:line="200" w:lineRule="atLeast"/>
        <w:rPr>
          <w:rFonts w:eastAsia="Calibri"/>
          <w:szCs w:val="22"/>
        </w:rPr>
      </w:pPr>
      <w:r w:rsidRPr="00AE6EDB">
        <w:rPr>
          <w:rFonts w:eastAsia="Calibri"/>
          <w:b/>
          <w:bCs/>
          <w:szCs w:val="22"/>
        </w:rPr>
        <w:t>a) psychologické partnerské, manželské a rodinné poradenstvo, psychologická diagnostika, krízová psychologická intervencia</w:t>
      </w:r>
    </w:p>
    <w:p w:rsidR="00FA41C5" w:rsidRPr="00AE6EDB" w:rsidRDefault="000A7585" w:rsidP="00FA41C5">
      <w:pPr>
        <w:pStyle w:val="Odsekzoznamu"/>
        <w:rPr>
          <w:rFonts w:eastAsia="Calibri"/>
        </w:rPr>
      </w:pPr>
      <w:r w:rsidRPr="00AE6EDB">
        <w:rPr>
          <w:rFonts w:eastAsia="Calibri"/>
        </w:rPr>
        <w:t>v oblasti pomoci dieťaťu, rodičom alebo plnoletej fyzickej osobe pri riešení výchovných, manželských, rodinný</w:t>
      </w:r>
      <w:r w:rsidR="00FD3E7E" w:rsidRPr="00AE6EDB">
        <w:rPr>
          <w:rFonts w:eastAsia="Calibri"/>
        </w:rPr>
        <w:t xml:space="preserve">ch a iných </w:t>
      </w:r>
      <w:r w:rsidR="00B57478">
        <w:rPr>
          <w:rFonts w:eastAsia="Calibri"/>
        </w:rPr>
        <w:t>rodinných</w:t>
      </w:r>
      <w:r w:rsidR="00B57478" w:rsidRPr="00AE6EDB">
        <w:rPr>
          <w:rFonts w:eastAsia="Calibri"/>
        </w:rPr>
        <w:t xml:space="preserve"> </w:t>
      </w:r>
      <w:r w:rsidR="00FD3E7E" w:rsidRPr="00AE6EDB">
        <w:rPr>
          <w:rFonts w:eastAsia="Calibri"/>
        </w:rPr>
        <w:t>problémov</w:t>
      </w:r>
      <w:r w:rsidR="00FA41C5" w:rsidRPr="00AE6EDB">
        <w:rPr>
          <w:rFonts w:eastAsia="Calibri"/>
        </w:rPr>
        <w:t>,</w:t>
      </w:r>
      <w:r w:rsidRPr="00AE6EDB">
        <w:rPr>
          <w:rFonts w:eastAsia="Calibri"/>
        </w:rPr>
        <w:t xml:space="preserve"> </w:t>
      </w:r>
    </w:p>
    <w:p w:rsidR="00FA41C5" w:rsidRPr="00AE6EDB" w:rsidRDefault="000A7585" w:rsidP="00FA41C5">
      <w:pPr>
        <w:pStyle w:val="Odsekzoznamu"/>
        <w:rPr>
          <w:rFonts w:eastAsia="Calibri"/>
        </w:rPr>
      </w:pPr>
      <w:r w:rsidRPr="00AE6EDB">
        <w:rPr>
          <w:rFonts w:eastAsia="Calibri"/>
        </w:rPr>
        <w:t>v oblasti pomoci manželom, rodičom maloletých detí v rozvode a po rozvo</w:t>
      </w:r>
      <w:r w:rsidR="00FD3E7E" w:rsidRPr="00AE6EDB">
        <w:rPr>
          <w:rFonts w:eastAsia="Calibri"/>
        </w:rPr>
        <w:t>de, taktiež ich maloletým deťom</w:t>
      </w:r>
      <w:r w:rsidR="00FA41C5" w:rsidRPr="00AE6EDB">
        <w:rPr>
          <w:rFonts w:eastAsia="Calibri"/>
        </w:rPr>
        <w:t>,</w:t>
      </w:r>
      <w:r w:rsidRPr="00AE6EDB">
        <w:rPr>
          <w:rFonts w:eastAsia="Calibri"/>
        </w:rPr>
        <w:t xml:space="preserve"> </w:t>
      </w:r>
    </w:p>
    <w:p w:rsidR="00FA41C5" w:rsidRPr="00AE6EDB" w:rsidRDefault="000A7585" w:rsidP="00FA41C5">
      <w:pPr>
        <w:pStyle w:val="Odsekzoznamu"/>
        <w:rPr>
          <w:rFonts w:eastAsia="Calibri"/>
        </w:rPr>
      </w:pPr>
      <w:r w:rsidRPr="00AE6EDB">
        <w:rPr>
          <w:rFonts w:eastAsia="Calibri"/>
        </w:rPr>
        <w:t xml:space="preserve">v oblasti pomoci pri </w:t>
      </w:r>
      <w:r w:rsidR="00FD3E7E" w:rsidRPr="00AE6EDB">
        <w:rPr>
          <w:rFonts w:eastAsia="Calibri"/>
        </w:rPr>
        <w:t>úprave styku rodičov s</w:t>
      </w:r>
      <w:r w:rsidR="00FA41C5" w:rsidRPr="00AE6EDB">
        <w:rPr>
          <w:rFonts w:eastAsia="Calibri"/>
        </w:rPr>
        <w:t> </w:t>
      </w:r>
      <w:r w:rsidR="00FD3E7E" w:rsidRPr="00AE6EDB">
        <w:rPr>
          <w:rFonts w:eastAsia="Calibri"/>
        </w:rPr>
        <w:t>dieťaťom</w:t>
      </w:r>
      <w:r w:rsidR="00FA41C5" w:rsidRPr="00AE6EDB">
        <w:rPr>
          <w:rFonts w:eastAsia="Calibri"/>
        </w:rPr>
        <w:t>,</w:t>
      </w:r>
      <w:r w:rsidRPr="00AE6EDB">
        <w:rPr>
          <w:rFonts w:eastAsia="Calibri"/>
        </w:rPr>
        <w:t xml:space="preserve"> </w:t>
      </w:r>
    </w:p>
    <w:p w:rsidR="00FA41C5" w:rsidRPr="00AE6EDB" w:rsidRDefault="000A7585" w:rsidP="00FA41C5">
      <w:pPr>
        <w:pStyle w:val="Odsekzoznamu"/>
        <w:rPr>
          <w:rFonts w:eastAsia="Calibri"/>
        </w:rPr>
      </w:pPr>
      <w:r w:rsidRPr="00AE6EDB">
        <w:rPr>
          <w:rFonts w:eastAsia="Calibri"/>
        </w:rPr>
        <w:t>v oblasti skúmania názoru dieťaťa</w:t>
      </w:r>
      <w:r w:rsidR="00FA41C5" w:rsidRPr="00AE6EDB">
        <w:rPr>
          <w:rFonts w:eastAsia="Calibri"/>
        </w:rPr>
        <w:t xml:space="preserve"> vo veciach, ktoré sa ho týkajú,</w:t>
      </w:r>
      <w:r w:rsidRPr="00AE6EDB">
        <w:rPr>
          <w:rFonts w:eastAsia="Calibri"/>
        </w:rPr>
        <w:t xml:space="preserve"> </w:t>
      </w:r>
      <w:r w:rsidR="00B57478">
        <w:rPr>
          <w:rFonts w:eastAsia="Calibri"/>
        </w:rPr>
        <w:t>v prípade že dieťa a/alebo rodina je klientom RPPS</w:t>
      </w:r>
    </w:p>
    <w:p w:rsidR="00FA41C5" w:rsidRPr="00AE6EDB" w:rsidRDefault="000A7585" w:rsidP="00FA41C5">
      <w:pPr>
        <w:pStyle w:val="Odsekzoznamu"/>
        <w:rPr>
          <w:rFonts w:eastAsia="Calibri"/>
        </w:rPr>
      </w:pPr>
      <w:r w:rsidRPr="00AE6EDB">
        <w:rPr>
          <w:rFonts w:eastAsia="Calibri"/>
        </w:rPr>
        <w:t>v oblasti pomoci jednotlivcom a rodine s problémo</w:t>
      </w:r>
      <w:r w:rsidR="00FA41C5" w:rsidRPr="00AE6EDB">
        <w:rPr>
          <w:rFonts w:eastAsia="Calibri"/>
        </w:rPr>
        <w:t>m násilia a</w:t>
      </w:r>
      <w:r w:rsidR="00B57478">
        <w:rPr>
          <w:rFonts w:eastAsia="Calibri"/>
        </w:rPr>
        <w:t>lebo</w:t>
      </w:r>
      <w:r w:rsidR="00FA41C5" w:rsidRPr="00AE6EDB">
        <w:rPr>
          <w:rFonts w:eastAsia="Calibri"/>
        </w:rPr>
        <w:t xml:space="preserve"> drogovej závislosti,</w:t>
      </w:r>
      <w:r w:rsidRPr="00AE6EDB">
        <w:rPr>
          <w:rFonts w:eastAsia="Calibri"/>
        </w:rPr>
        <w:t xml:space="preserve"> </w:t>
      </w:r>
    </w:p>
    <w:p w:rsidR="000A7585" w:rsidRPr="00AE6EDB" w:rsidRDefault="000A7585" w:rsidP="00FA41C5">
      <w:pPr>
        <w:pStyle w:val="Odsekzoznamu"/>
        <w:rPr>
          <w:rFonts w:eastAsia="Calibri"/>
        </w:rPr>
      </w:pPr>
      <w:r w:rsidRPr="00AE6EDB">
        <w:rPr>
          <w:rFonts w:eastAsia="Calibri"/>
        </w:rPr>
        <w:t>v oblasti pomoci jednotlivcom a rodine v krízových situáciách a závažných životných zmenách,</w:t>
      </w:r>
    </w:p>
    <w:p w:rsidR="000A7585" w:rsidRPr="00AE6EDB" w:rsidRDefault="000A7585" w:rsidP="000A7585">
      <w:pPr>
        <w:spacing w:line="200" w:lineRule="atLeast"/>
        <w:rPr>
          <w:rFonts w:eastAsia="Calibri"/>
          <w:szCs w:val="22"/>
        </w:rPr>
      </w:pPr>
      <w:r w:rsidRPr="00AE6EDB">
        <w:rPr>
          <w:rFonts w:eastAsia="Calibri"/>
          <w:b/>
          <w:bCs/>
          <w:szCs w:val="22"/>
        </w:rPr>
        <w:t xml:space="preserve">b) príprava fyzických osôb </w:t>
      </w:r>
      <w:r w:rsidR="00B57478">
        <w:rPr>
          <w:rFonts w:eastAsia="Calibri"/>
          <w:b/>
          <w:bCs/>
          <w:szCs w:val="22"/>
        </w:rPr>
        <w:t>– záujemcov o vykonávanie náhradnej rodinnej starostlivosti</w:t>
      </w:r>
    </w:p>
    <w:p w:rsidR="00FA41C5" w:rsidRPr="00AE6EDB" w:rsidRDefault="00174440" w:rsidP="00FA41C5">
      <w:pPr>
        <w:pStyle w:val="Odsekzoznamu"/>
        <w:rPr>
          <w:rFonts w:eastAsia="Calibri"/>
        </w:rPr>
      </w:pPr>
      <w:r>
        <w:rPr>
          <w:rFonts w:eastAsia="Calibri"/>
        </w:rPr>
        <w:t>psychologické posudzovanie</w:t>
      </w:r>
      <w:r w:rsidR="000A7585" w:rsidRPr="00AE6EDB">
        <w:rPr>
          <w:rFonts w:eastAsia="Calibri"/>
        </w:rPr>
        <w:t xml:space="preserve"> </w:t>
      </w:r>
      <w:proofErr w:type="spellStart"/>
      <w:r w:rsidR="000A7585" w:rsidRPr="00AE6EDB">
        <w:rPr>
          <w:rFonts w:eastAsia="Calibri"/>
        </w:rPr>
        <w:t>posudzovanie</w:t>
      </w:r>
      <w:proofErr w:type="spellEnd"/>
      <w:r w:rsidR="000A7585" w:rsidRPr="00AE6EDB">
        <w:rPr>
          <w:rFonts w:eastAsia="Calibri"/>
        </w:rPr>
        <w:t xml:space="preserve"> predpokladov a</w:t>
      </w:r>
      <w:r>
        <w:rPr>
          <w:rFonts w:eastAsia="Calibri"/>
        </w:rPr>
        <w:t> </w:t>
      </w:r>
      <w:r w:rsidR="000A7585" w:rsidRPr="00AE6EDB">
        <w:rPr>
          <w:rFonts w:eastAsia="Calibri"/>
        </w:rPr>
        <w:t>príprava</w:t>
      </w:r>
      <w:r>
        <w:rPr>
          <w:rFonts w:eastAsia="Calibri"/>
        </w:rPr>
        <w:t xml:space="preserve"> fyzických osôb – záujemcov o</w:t>
      </w:r>
      <w:r w:rsidR="000A7585" w:rsidRPr="00AE6EDB">
        <w:rPr>
          <w:rFonts w:eastAsia="Calibri"/>
        </w:rPr>
        <w:t xml:space="preserve"> vykonávanie náhradnej rodinnej starostlivosti, </w:t>
      </w:r>
    </w:p>
    <w:p w:rsidR="000A7585" w:rsidRPr="00AE6EDB" w:rsidRDefault="000A7585" w:rsidP="00FA41C5">
      <w:pPr>
        <w:pStyle w:val="Odsekzoznamu"/>
        <w:rPr>
          <w:rFonts w:eastAsia="Calibri"/>
        </w:rPr>
      </w:pPr>
      <w:r w:rsidRPr="00AE6EDB">
        <w:rPr>
          <w:rFonts w:eastAsia="Calibri"/>
        </w:rPr>
        <w:t xml:space="preserve">príprava fyzických osôb na profesionálne vykonávanie náhradnej starostlivosti. </w:t>
      </w:r>
    </w:p>
    <w:p w:rsidR="000A7585" w:rsidRPr="00AE6EDB" w:rsidRDefault="000A7585" w:rsidP="00FA41C5">
      <w:pPr>
        <w:spacing w:before="120" w:line="200" w:lineRule="atLeast"/>
        <w:rPr>
          <w:rFonts w:eastAsia="Calibri"/>
          <w:b/>
          <w:bCs/>
          <w:szCs w:val="22"/>
          <w:highlight w:val="cyan"/>
        </w:rPr>
      </w:pPr>
      <w:r w:rsidRPr="00AE6EDB">
        <w:rPr>
          <w:rFonts w:eastAsia="Calibri"/>
          <w:szCs w:val="22"/>
        </w:rPr>
        <w:t>Základné štatistické údaje o činnosti RPPS sú uvedené v tabuľkách 19 a 20 v prílohe ku kapitole 3.</w:t>
      </w:r>
      <w:r w:rsidRPr="00AE6EDB">
        <w:rPr>
          <w:rFonts w:eastAsia="Calibri"/>
          <w:b/>
          <w:bCs/>
          <w:color w:val="D83E2C" w:themeColor="accent2"/>
          <w:szCs w:val="22"/>
          <w:highlight w:val="cyan"/>
        </w:rPr>
        <w:br w:type="page"/>
      </w:r>
    </w:p>
    <w:p w:rsidR="000A7585" w:rsidRPr="00AE6EDB" w:rsidRDefault="000A7585" w:rsidP="000A7585">
      <w:pPr>
        <w:rPr>
          <w:rFonts w:eastAsia="Calibri"/>
          <w:color w:val="D83E2C" w:themeColor="accent2"/>
          <w:szCs w:val="22"/>
        </w:rPr>
      </w:pPr>
      <w:r w:rsidRPr="00AE6EDB">
        <w:rPr>
          <w:rFonts w:eastAsia="Calibri"/>
          <w:b/>
          <w:bCs/>
          <w:color w:val="D83E2C" w:themeColor="accent2"/>
          <w:szCs w:val="22"/>
        </w:rPr>
        <w:lastRenderedPageBreak/>
        <w:t>Proces udeľovania akreditácií v roku 2014</w:t>
      </w:r>
    </w:p>
    <w:p w:rsidR="000A7585" w:rsidRPr="00AE6EDB" w:rsidRDefault="000A7585" w:rsidP="000A7585">
      <w:pPr>
        <w:rPr>
          <w:rFonts w:eastAsia="Calibri"/>
          <w:szCs w:val="22"/>
          <w:highlight w:val="cyan"/>
        </w:rPr>
      </w:pPr>
    </w:p>
    <w:p w:rsidR="000A7585" w:rsidRPr="00AE6EDB" w:rsidRDefault="000A7585" w:rsidP="000A7585">
      <w:pPr>
        <w:ind w:firstLine="431"/>
        <w:rPr>
          <w:rFonts w:eastAsia="Calibri"/>
          <w:szCs w:val="22"/>
        </w:rPr>
      </w:pPr>
      <w:r w:rsidRPr="00AE6EDB">
        <w:rPr>
          <w:rFonts w:eastAsia="Calibri"/>
          <w:szCs w:val="22"/>
        </w:rPr>
        <w:t xml:space="preserve">Akreditačná komisia MPSVR SR je zriadená ako poradný orgán ministra práce sociálnych vecí a rodiny pre oblasť udeľovania akreditácií podľa zákona </w:t>
      </w:r>
      <w:r w:rsidR="00FA41C5" w:rsidRPr="00AE6EDB">
        <w:rPr>
          <w:szCs w:val="22"/>
        </w:rPr>
        <w:t>o sociálnoprávnej ochrane detí</w:t>
      </w:r>
      <w:r w:rsidRPr="00AE6EDB">
        <w:rPr>
          <w:rFonts w:eastAsia="Calibri"/>
          <w:szCs w:val="22"/>
        </w:rPr>
        <w:t xml:space="preserve"> a podľa zákona č. 448/2008 Z. z. o sociálnych službách a o zmene a doplnení zákona č. 455/1991 Zb. o živnostenskom podnikaní (živnostenský zákon) v znení neskorších predpisov na:</w:t>
      </w:r>
    </w:p>
    <w:p w:rsidR="000A7585" w:rsidRPr="00AE6EDB" w:rsidRDefault="000A7585" w:rsidP="000A7585">
      <w:pPr>
        <w:pStyle w:val="Odsekzoznamu"/>
      </w:pPr>
      <w:r w:rsidRPr="00AE6EDB">
        <w:t xml:space="preserve">vykonávanie vybraných opatrení </w:t>
      </w:r>
      <w:proofErr w:type="spellStart"/>
      <w:r w:rsidRPr="00AE6EDB">
        <w:rPr>
          <w:rFonts w:eastAsia="Calibri"/>
        </w:rPr>
        <w:t>SPODaSK</w:t>
      </w:r>
      <w:proofErr w:type="spellEnd"/>
      <w:r w:rsidRPr="00AE6EDB">
        <w:rPr>
          <w:rFonts w:eastAsia="Calibri"/>
        </w:rPr>
        <w:t xml:space="preserve"> </w:t>
      </w:r>
    </w:p>
    <w:p w:rsidR="000A7585" w:rsidRPr="00AE6EDB" w:rsidRDefault="000A7585" w:rsidP="000A7585">
      <w:pPr>
        <w:pStyle w:val="Odsekzoznamu"/>
      </w:pPr>
      <w:r w:rsidRPr="00AE6EDB">
        <w:t>vzdelávacie programy podľa zákona o sociálnych službách,</w:t>
      </w:r>
    </w:p>
    <w:p w:rsidR="000A7585" w:rsidRPr="00AE6EDB" w:rsidRDefault="000A7585" w:rsidP="000A7585">
      <w:pPr>
        <w:pStyle w:val="Odsekzoznamu"/>
        <w:rPr>
          <w:lang w:eastAsia="cs-CZ"/>
        </w:rPr>
      </w:pPr>
      <w:r w:rsidRPr="00AE6EDB">
        <w:t>odbornú</w:t>
      </w:r>
      <w:r w:rsidRPr="00AE6EDB">
        <w:rPr>
          <w:lang w:eastAsia="cs-CZ"/>
        </w:rPr>
        <w:t xml:space="preserve"> činnosť podľa zákona o sociálnych službách. </w:t>
      </w:r>
    </w:p>
    <w:p w:rsidR="000A7585" w:rsidRPr="00AE6EDB" w:rsidRDefault="000A7585" w:rsidP="000A7585">
      <w:pPr>
        <w:rPr>
          <w:szCs w:val="22"/>
        </w:rPr>
      </w:pPr>
      <w:r w:rsidRPr="00AE6EDB">
        <w:rPr>
          <w:szCs w:val="22"/>
        </w:rPr>
        <w:t xml:space="preserve">Akreditačná komisia posudzuje žiadosti o udelenie, predĺženie, zmenu, zrušenie a odňatie akreditácie. </w:t>
      </w:r>
    </w:p>
    <w:p w:rsidR="000A7585" w:rsidRPr="00AE6EDB" w:rsidRDefault="000A7585" w:rsidP="000A7585">
      <w:pPr>
        <w:ind w:firstLine="431"/>
        <w:rPr>
          <w:rFonts w:eastAsia="Calibri"/>
          <w:bCs/>
          <w:szCs w:val="22"/>
          <w:highlight w:val="cyan"/>
        </w:rPr>
      </w:pPr>
      <w:r w:rsidRPr="00AE6EDB">
        <w:rPr>
          <w:rFonts w:eastAsia="Calibri"/>
          <w:szCs w:val="22"/>
        </w:rPr>
        <w:t xml:space="preserve">V oblasti udeľovania akreditácií na vykonávanie </w:t>
      </w:r>
      <w:proofErr w:type="spellStart"/>
      <w:r w:rsidRPr="00AE6EDB">
        <w:rPr>
          <w:rFonts w:eastAsia="Calibri"/>
          <w:szCs w:val="22"/>
        </w:rPr>
        <w:t>SPODaSK</w:t>
      </w:r>
      <w:proofErr w:type="spellEnd"/>
      <w:r w:rsidRPr="00AE6EDB">
        <w:rPr>
          <w:rFonts w:eastAsia="Calibri"/>
          <w:szCs w:val="22"/>
        </w:rPr>
        <w:t xml:space="preserve"> bolo na ministerstvo v roku 2015 doručených spolu 147 podaní. Na základe odporúčania akreditačnej komisie ministerstvo vydalo rozhodnutie o udelení akreditácie na vykonávanie </w:t>
      </w:r>
      <w:proofErr w:type="spellStart"/>
      <w:r w:rsidRPr="00AE6EDB">
        <w:rPr>
          <w:rFonts w:eastAsia="Calibri"/>
          <w:szCs w:val="22"/>
        </w:rPr>
        <w:t>SPODaSK</w:t>
      </w:r>
      <w:proofErr w:type="spellEnd"/>
      <w:r w:rsidRPr="00AE6EDB">
        <w:rPr>
          <w:rFonts w:eastAsia="Calibri"/>
          <w:szCs w:val="22"/>
        </w:rPr>
        <w:t xml:space="preserve"> 5 žiadateľom a 1 žiadateľovi rozhodlo o neudelení akreditácie. Akreditačná komisia rozhodla o 19</w:t>
      </w:r>
      <w:r w:rsidRPr="00AE6EDB">
        <w:rPr>
          <w:rFonts w:eastAsia="Calibri"/>
          <w:bCs/>
          <w:szCs w:val="22"/>
        </w:rPr>
        <w:t xml:space="preserve"> </w:t>
      </w:r>
      <w:r w:rsidRPr="00AE6EDB">
        <w:rPr>
          <w:rFonts w:eastAsia="Calibri"/>
          <w:szCs w:val="22"/>
        </w:rPr>
        <w:t>zmenách v existujúcich rozhodnutiach o udelení akreditácie (zmena miesta výkonu opatrení, zmena zodpovedného zástupcu, zmena kapacity) a v </w:t>
      </w:r>
      <w:r w:rsidRPr="00AE6EDB">
        <w:rPr>
          <w:rFonts w:eastAsia="Calibri"/>
          <w:bCs/>
          <w:szCs w:val="22"/>
        </w:rPr>
        <w:t>11 prípadoch</w:t>
      </w:r>
      <w:r w:rsidRPr="00AE6EDB">
        <w:rPr>
          <w:rFonts w:eastAsia="Calibri"/>
          <w:szCs w:val="22"/>
        </w:rPr>
        <w:t xml:space="preserve"> o predĺžení akreditácie</w:t>
      </w:r>
      <w:r w:rsidRPr="00AE6EDB">
        <w:rPr>
          <w:rFonts w:eastAsia="Calibri"/>
          <w:bCs/>
          <w:szCs w:val="22"/>
        </w:rPr>
        <w:t>. V roku 2015 Ministerstvo práce, sociálnych vecí a rodiny zrušilo akreditáciu 2 akreditovaným subjektom.</w:t>
      </w:r>
      <w:r w:rsidRPr="00AE6EDB">
        <w:rPr>
          <w:rFonts w:eastAsia="Calibri"/>
          <w:bCs/>
          <w:szCs w:val="22"/>
          <w:highlight w:val="cyan"/>
        </w:rPr>
        <w:t xml:space="preserve"> </w:t>
      </w:r>
    </w:p>
    <w:p w:rsidR="000A7585" w:rsidRPr="00AE6EDB" w:rsidRDefault="000A7585" w:rsidP="000A7585">
      <w:pPr>
        <w:pStyle w:val="Nadpis7"/>
        <w:rPr>
          <w:rFonts w:eastAsia="Calibri"/>
        </w:rPr>
      </w:pPr>
      <w:r w:rsidRPr="00AE6EDB">
        <w:rPr>
          <w:rFonts w:eastAsia="Calibri"/>
        </w:rPr>
        <w:t>Tabuľka 3.</w:t>
      </w:r>
      <w:r w:rsidR="00F2550D" w:rsidRPr="00AE6EDB">
        <w:rPr>
          <w:rFonts w:eastAsia="Calibri"/>
        </w:rPr>
        <w:t>20</w:t>
      </w:r>
      <w:r w:rsidRPr="00AE6EDB">
        <w:rPr>
          <w:rFonts w:eastAsia="Calibri"/>
        </w:rPr>
        <w:t xml:space="preserve"> Počet akreditovaných subjektov na vykonávanie opatrení </w:t>
      </w:r>
      <w:proofErr w:type="spellStart"/>
      <w:r w:rsidRPr="00AE6EDB">
        <w:rPr>
          <w:rFonts w:eastAsia="Calibri"/>
        </w:rPr>
        <w:t>SPODaSK</w:t>
      </w:r>
      <w:proofErr w:type="spellEnd"/>
      <w:r w:rsidRPr="00AE6EDB">
        <w:rPr>
          <w:rFonts w:eastAsia="Calibri"/>
        </w:rPr>
        <w:t xml:space="preserve"> v roku 2015</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111"/>
        <w:gridCol w:w="4464"/>
      </w:tblGrid>
      <w:tr w:rsidR="000A7585" w:rsidRPr="00AE6EDB" w:rsidTr="00DE0EEC">
        <w:trPr>
          <w:trHeight w:val="257"/>
          <w:jc w:val="center"/>
        </w:trPr>
        <w:tc>
          <w:tcPr>
            <w:tcW w:w="4111"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spacing w:before="120"/>
              <w:jc w:val="center"/>
              <w:rPr>
                <w:rFonts w:eastAsia="Calibri"/>
                <w:b/>
                <w:color w:val="FFFFFF" w:themeColor="background1"/>
                <w:szCs w:val="22"/>
              </w:rPr>
            </w:pPr>
          </w:p>
        </w:tc>
        <w:tc>
          <w:tcPr>
            <w:tcW w:w="4464"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AE6EDB" w:rsidRDefault="000A7585" w:rsidP="00DE0EEC">
            <w:pPr>
              <w:spacing w:before="120"/>
              <w:jc w:val="center"/>
              <w:rPr>
                <w:rFonts w:eastAsia="Calibri"/>
                <w:b/>
                <w:color w:val="FFFFFF" w:themeColor="background1"/>
                <w:szCs w:val="22"/>
              </w:rPr>
            </w:pPr>
            <w:r w:rsidRPr="00AE6EDB">
              <w:rPr>
                <w:rFonts w:eastAsia="Calibri"/>
                <w:b/>
                <w:color w:val="FFFFFF" w:themeColor="background1"/>
                <w:szCs w:val="22"/>
              </w:rPr>
              <w:t>Počet akreditovaných subjektov</w:t>
            </w:r>
          </w:p>
        </w:tc>
      </w:tr>
      <w:tr w:rsidR="000A7585" w:rsidRPr="00AE6EDB" w:rsidTr="00CE15D0">
        <w:trPr>
          <w:trHeight w:val="255"/>
          <w:jc w:val="center"/>
        </w:trPr>
        <w:tc>
          <w:tcPr>
            <w:tcW w:w="4111" w:type="dxa"/>
            <w:tcBorders>
              <w:top w:val="single" w:sz="6" w:space="0" w:color="BF0000" w:themeColor="accent3" w:themeShade="BF"/>
            </w:tcBorders>
            <w:hideMark/>
          </w:tcPr>
          <w:p w:rsidR="000A7585" w:rsidRPr="00AE6EDB" w:rsidRDefault="000A7585" w:rsidP="00DE0EEC">
            <w:pPr>
              <w:spacing w:before="120"/>
              <w:jc w:val="left"/>
              <w:rPr>
                <w:rFonts w:eastAsia="Calibri"/>
              </w:rPr>
            </w:pPr>
            <w:r w:rsidRPr="00AE6EDB">
              <w:rPr>
                <w:rFonts w:eastAsia="Calibri"/>
                <w:szCs w:val="22"/>
              </w:rPr>
              <w:t xml:space="preserve">Subjekty vykonávajúce opatrenia sociálnoprávnej ochrany detí a sociálnej kurately podľa zákona č. 305/2005 Z. z. </w:t>
            </w:r>
          </w:p>
        </w:tc>
        <w:tc>
          <w:tcPr>
            <w:tcW w:w="4464" w:type="dxa"/>
            <w:tcBorders>
              <w:top w:val="single" w:sz="6" w:space="0" w:color="BF0000" w:themeColor="accent3" w:themeShade="BF"/>
            </w:tcBorders>
            <w:vAlign w:val="center"/>
            <w:hideMark/>
          </w:tcPr>
          <w:p w:rsidR="000A7585" w:rsidRPr="00AE6EDB" w:rsidRDefault="000A7585" w:rsidP="00CE15D0">
            <w:pPr>
              <w:spacing w:before="120"/>
              <w:jc w:val="center"/>
              <w:rPr>
                <w:rFonts w:eastAsia="Calibri"/>
              </w:rPr>
            </w:pPr>
            <w:r w:rsidRPr="00AE6EDB">
              <w:rPr>
                <w:rFonts w:eastAsia="Calibri"/>
                <w:szCs w:val="22"/>
              </w:rPr>
              <w:t>58</w:t>
            </w:r>
          </w:p>
        </w:tc>
      </w:tr>
      <w:tr w:rsidR="000A7585" w:rsidRPr="00AE6EDB" w:rsidTr="00DE0EEC">
        <w:trPr>
          <w:trHeight w:val="255"/>
          <w:jc w:val="center"/>
        </w:trPr>
        <w:tc>
          <w:tcPr>
            <w:tcW w:w="4111" w:type="dxa"/>
            <w:hideMark/>
          </w:tcPr>
          <w:p w:rsidR="000A7585" w:rsidRPr="00AE6EDB" w:rsidRDefault="000A7585" w:rsidP="00DE0EEC">
            <w:pPr>
              <w:spacing w:before="120"/>
              <w:rPr>
                <w:rFonts w:eastAsia="Calibri"/>
              </w:rPr>
            </w:pPr>
            <w:r w:rsidRPr="00AE6EDB">
              <w:rPr>
                <w:rFonts w:eastAsia="Calibri"/>
                <w:szCs w:val="22"/>
              </w:rPr>
              <w:t>Detský domov</w:t>
            </w:r>
          </w:p>
        </w:tc>
        <w:tc>
          <w:tcPr>
            <w:tcW w:w="4464" w:type="dxa"/>
            <w:hideMark/>
          </w:tcPr>
          <w:p w:rsidR="000A7585" w:rsidRPr="00AE6EDB" w:rsidRDefault="000A7585" w:rsidP="00DE0EEC">
            <w:pPr>
              <w:spacing w:before="120"/>
              <w:jc w:val="center"/>
              <w:rPr>
                <w:rFonts w:eastAsia="Calibri"/>
              </w:rPr>
            </w:pPr>
            <w:r w:rsidRPr="00AE6EDB">
              <w:rPr>
                <w:rFonts w:eastAsia="Calibri"/>
                <w:szCs w:val="22"/>
              </w:rPr>
              <w:t>27</w:t>
            </w:r>
          </w:p>
        </w:tc>
      </w:tr>
      <w:tr w:rsidR="000A7585" w:rsidRPr="00AE6EDB" w:rsidTr="00DE0EEC">
        <w:trPr>
          <w:trHeight w:val="255"/>
          <w:jc w:val="center"/>
        </w:trPr>
        <w:tc>
          <w:tcPr>
            <w:tcW w:w="4111" w:type="dxa"/>
            <w:hideMark/>
          </w:tcPr>
          <w:p w:rsidR="000A7585" w:rsidRPr="00AE6EDB" w:rsidRDefault="000A7585" w:rsidP="00DE0EEC">
            <w:pPr>
              <w:spacing w:before="120"/>
              <w:rPr>
                <w:rFonts w:eastAsia="Calibri"/>
              </w:rPr>
            </w:pPr>
            <w:r w:rsidRPr="00AE6EDB">
              <w:rPr>
                <w:rFonts w:eastAsia="Calibri"/>
                <w:szCs w:val="22"/>
              </w:rPr>
              <w:t>Krízové stredisko</w:t>
            </w:r>
          </w:p>
        </w:tc>
        <w:tc>
          <w:tcPr>
            <w:tcW w:w="4464" w:type="dxa"/>
            <w:hideMark/>
          </w:tcPr>
          <w:p w:rsidR="000A7585" w:rsidRPr="00AE6EDB" w:rsidRDefault="000A7585" w:rsidP="00DE0EEC">
            <w:pPr>
              <w:spacing w:before="120"/>
              <w:jc w:val="center"/>
              <w:rPr>
                <w:rFonts w:eastAsia="Calibri"/>
              </w:rPr>
            </w:pPr>
            <w:r w:rsidRPr="00AE6EDB">
              <w:rPr>
                <w:rFonts w:eastAsia="Calibri"/>
              </w:rPr>
              <w:t>18</w:t>
            </w:r>
          </w:p>
        </w:tc>
      </w:tr>
      <w:tr w:rsidR="000A7585" w:rsidRPr="00AE6EDB" w:rsidTr="00DE0EEC">
        <w:trPr>
          <w:trHeight w:val="255"/>
          <w:jc w:val="center"/>
        </w:trPr>
        <w:tc>
          <w:tcPr>
            <w:tcW w:w="4111" w:type="dxa"/>
            <w:hideMark/>
          </w:tcPr>
          <w:p w:rsidR="000A7585" w:rsidRPr="00AE6EDB" w:rsidRDefault="000A7585" w:rsidP="00DE0EEC">
            <w:pPr>
              <w:spacing w:before="120"/>
              <w:rPr>
                <w:rFonts w:eastAsia="Calibri"/>
              </w:rPr>
            </w:pPr>
            <w:r w:rsidRPr="00AE6EDB">
              <w:rPr>
                <w:rFonts w:eastAsia="Calibri"/>
                <w:szCs w:val="22"/>
              </w:rPr>
              <w:t>Resocializačné stredisko</w:t>
            </w:r>
          </w:p>
        </w:tc>
        <w:tc>
          <w:tcPr>
            <w:tcW w:w="4464" w:type="dxa"/>
            <w:hideMark/>
          </w:tcPr>
          <w:p w:rsidR="000A7585" w:rsidRPr="00AE6EDB" w:rsidRDefault="000A7585" w:rsidP="00DE0EEC">
            <w:pPr>
              <w:spacing w:before="120"/>
              <w:jc w:val="center"/>
              <w:rPr>
                <w:rFonts w:eastAsia="Calibri"/>
              </w:rPr>
            </w:pPr>
            <w:r w:rsidRPr="00AE6EDB">
              <w:rPr>
                <w:rFonts w:eastAsia="Calibri"/>
                <w:szCs w:val="22"/>
              </w:rPr>
              <w:t>19</w:t>
            </w:r>
          </w:p>
        </w:tc>
      </w:tr>
      <w:tr w:rsidR="000A7585" w:rsidRPr="00AE6EDB" w:rsidTr="00DE0EEC">
        <w:trPr>
          <w:trHeight w:val="255"/>
          <w:jc w:val="center"/>
        </w:trPr>
        <w:tc>
          <w:tcPr>
            <w:tcW w:w="4111" w:type="dxa"/>
            <w:hideMark/>
          </w:tcPr>
          <w:p w:rsidR="000A7585" w:rsidRPr="00AE6EDB" w:rsidRDefault="00FA41C5" w:rsidP="00FA41C5">
            <w:pPr>
              <w:spacing w:before="120"/>
              <w:rPr>
                <w:rFonts w:eastAsia="Calibri"/>
                <w:b/>
              </w:rPr>
            </w:pPr>
            <w:r w:rsidRPr="00AE6EDB">
              <w:rPr>
                <w:rFonts w:eastAsia="Calibri"/>
                <w:b/>
                <w:szCs w:val="22"/>
              </w:rPr>
              <w:t>S</w:t>
            </w:r>
            <w:r w:rsidR="000A7585" w:rsidRPr="00AE6EDB">
              <w:rPr>
                <w:rFonts w:eastAsia="Calibri"/>
                <w:b/>
                <w:szCs w:val="22"/>
              </w:rPr>
              <w:t>POLU</w:t>
            </w:r>
          </w:p>
        </w:tc>
        <w:tc>
          <w:tcPr>
            <w:tcW w:w="4464" w:type="dxa"/>
            <w:hideMark/>
          </w:tcPr>
          <w:p w:rsidR="000A7585" w:rsidRPr="00AE6EDB" w:rsidRDefault="000A7585" w:rsidP="00DE0EEC">
            <w:pPr>
              <w:spacing w:before="120"/>
              <w:jc w:val="center"/>
              <w:rPr>
                <w:rFonts w:eastAsia="Calibri"/>
                <w:b/>
              </w:rPr>
            </w:pPr>
            <w:r w:rsidRPr="00AE6EDB">
              <w:rPr>
                <w:rFonts w:eastAsia="Calibri"/>
                <w:b/>
                <w:szCs w:val="22"/>
              </w:rPr>
              <w:t>122</w:t>
            </w:r>
          </w:p>
        </w:tc>
      </w:tr>
    </w:tbl>
    <w:p w:rsidR="000A7585" w:rsidRPr="00AE6EDB" w:rsidRDefault="000A7585" w:rsidP="000A7585">
      <w:pPr>
        <w:pStyle w:val="zdroj"/>
        <w:rPr>
          <w:rFonts w:eastAsia="Calibri"/>
        </w:rPr>
      </w:pPr>
      <w:r w:rsidRPr="00AE6EDB">
        <w:rPr>
          <w:rFonts w:eastAsia="Calibri"/>
        </w:rPr>
        <w:t>Zdroj: V(MPSVR SR)13-01</w:t>
      </w:r>
    </w:p>
    <w:p w:rsidR="000A7585" w:rsidRPr="00AE6EDB" w:rsidRDefault="000A7585" w:rsidP="000A7585">
      <w:pPr>
        <w:pStyle w:val="Nadpis6"/>
      </w:pPr>
      <w:bookmarkStart w:id="678" w:name="_Toc356482729"/>
      <w:bookmarkStart w:id="679" w:name="_Toc422233436"/>
      <w:bookmarkStart w:id="680" w:name="_Toc452469893"/>
      <w:bookmarkStart w:id="681" w:name="_Toc356482732"/>
      <w:r w:rsidRPr="00AE6EDB">
        <w:t>Príspevky na podporu náhradnej starostlivosti</w:t>
      </w:r>
      <w:bookmarkEnd w:id="678"/>
      <w:bookmarkEnd w:id="679"/>
      <w:bookmarkEnd w:id="680"/>
    </w:p>
    <w:p w:rsidR="00DD2CDB" w:rsidRPr="00AE6EDB" w:rsidRDefault="00DD2CDB" w:rsidP="00DD2CDB">
      <w:pPr>
        <w:ind w:firstLine="431"/>
      </w:pPr>
      <w:bookmarkStart w:id="682" w:name="_Toc356482731"/>
      <w:r w:rsidRPr="00AE6EDB">
        <w:t>Zákon č. 627/2005 Z. z. o príspevkoch na podporu náhradnej starostlivosti o dieťa podporuje prostredníctvom finančných príspevkov vykonávanie osobnej starostlivosti o dieťa inou fyzickou osobou, ak rodičia nezabezpečujú alebo nemôžu zabezpečiť osobnú starostlivosť o dieťa.</w:t>
      </w:r>
    </w:p>
    <w:p w:rsidR="000A7585" w:rsidRPr="00AE6EDB" w:rsidRDefault="000A7585" w:rsidP="000A7585">
      <w:pPr>
        <w:pStyle w:val="Nadpis7"/>
        <w:rPr>
          <w:color w:val="00B050"/>
        </w:rPr>
      </w:pPr>
      <w:r w:rsidRPr="00AE6EDB">
        <w:t>Tabuľka 3.2</w:t>
      </w:r>
      <w:r w:rsidR="00F2550D" w:rsidRPr="00AE6EDB">
        <w:t>1</w:t>
      </w:r>
      <w:r w:rsidRPr="00AE6EDB">
        <w:t xml:space="preserve"> Sumy príspevkov na podporu náhradnej starostlivosti v roku 2015</w:t>
      </w:r>
    </w:p>
    <w:tbl>
      <w:tblPr>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top w:w="15" w:type="dxa"/>
          <w:left w:w="120" w:type="dxa"/>
          <w:bottom w:w="15" w:type="dxa"/>
          <w:right w:w="120" w:type="dxa"/>
        </w:tblCellMar>
        <w:tblLook w:val="0000" w:firstRow="0" w:lastRow="0" w:firstColumn="0" w:lastColumn="0" w:noHBand="0" w:noVBand="0"/>
      </w:tblPr>
      <w:tblGrid>
        <w:gridCol w:w="5653"/>
        <w:gridCol w:w="1200"/>
      </w:tblGrid>
      <w:tr w:rsidR="000A7585" w:rsidRPr="00AE6EDB" w:rsidTr="00DE0EEC">
        <w:trPr>
          <w:jc w:val="center"/>
        </w:trPr>
        <w:tc>
          <w:tcPr>
            <w:tcW w:w="0" w:type="auto"/>
            <w:tcBorders>
              <w:bottom w:val="single" w:sz="4" w:space="0" w:color="FFFFFF" w:themeColor="background1"/>
            </w:tcBorders>
            <w:shd w:val="clear" w:color="auto" w:fill="BF0000" w:themeFill="accent3" w:themeFillShade="BF"/>
          </w:tcPr>
          <w:p w:rsidR="000A7585" w:rsidRPr="00AE6EDB" w:rsidRDefault="000A7585" w:rsidP="00DE0EEC">
            <w:pPr>
              <w:rPr>
                <w:b/>
                <w:color w:val="FFFFFF"/>
              </w:rPr>
            </w:pPr>
            <w:r w:rsidRPr="00AE6EDB">
              <w:rPr>
                <w:b/>
                <w:color w:val="FFFFFF"/>
              </w:rPr>
              <w:t>Príspevky na podporu náhradnej starostlivosti</w:t>
            </w:r>
          </w:p>
        </w:tc>
        <w:tc>
          <w:tcPr>
            <w:tcW w:w="0" w:type="auto"/>
            <w:tcBorders>
              <w:bottom w:val="single" w:sz="4" w:space="0" w:color="FFFFFF" w:themeColor="background1"/>
            </w:tcBorders>
            <w:shd w:val="clear" w:color="auto" w:fill="BF0000" w:themeFill="accent3" w:themeFillShade="BF"/>
          </w:tcPr>
          <w:p w:rsidR="000A7585" w:rsidRPr="00AE6EDB" w:rsidRDefault="000A7585" w:rsidP="00DE0EEC">
            <w:pPr>
              <w:rPr>
                <w:b/>
                <w:color w:val="FFFFFF"/>
              </w:rPr>
            </w:pPr>
          </w:p>
        </w:tc>
      </w:tr>
      <w:tr w:rsidR="000A7585" w:rsidRPr="00AE6EDB" w:rsidTr="00DE0EEC">
        <w:trPr>
          <w:jc w:val="center"/>
        </w:trPr>
        <w:tc>
          <w:tcPr>
            <w:tcW w:w="0" w:type="auto"/>
            <w:tcBorders>
              <w:top w:val="single" w:sz="4" w:space="0" w:color="FFFFFF" w:themeColor="background1"/>
            </w:tcBorders>
            <w:shd w:val="clear" w:color="auto" w:fill="auto"/>
          </w:tcPr>
          <w:p w:rsidR="000A7585" w:rsidRPr="00AE6EDB" w:rsidRDefault="000A7585" w:rsidP="00DE0EEC">
            <w:pPr>
              <w:rPr>
                <w:lang w:eastAsia="cs-CZ"/>
              </w:rPr>
            </w:pPr>
            <w:r w:rsidRPr="00AE6EDB">
              <w:rPr>
                <w:lang w:eastAsia="cs-CZ"/>
              </w:rPr>
              <w:t>Jednorazový príspevok pri zverení do náhradnej starostlivosti</w:t>
            </w:r>
          </w:p>
        </w:tc>
        <w:tc>
          <w:tcPr>
            <w:tcW w:w="0" w:type="auto"/>
            <w:tcBorders>
              <w:top w:val="single" w:sz="4" w:space="0" w:color="FFFFFF" w:themeColor="background1"/>
            </w:tcBorders>
            <w:shd w:val="clear" w:color="auto" w:fill="auto"/>
          </w:tcPr>
          <w:p w:rsidR="000A7585" w:rsidRPr="00AE6EDB" w:rsidRDefault="000A7585" w:rsidP="00DE0EEC">
            <w:pPr>
              <w:ind w:right="190"/>
              <w:jc w:val="right"/>
            </w:pPr>
            <w:r w:rsidRPr="00AE6EDB">
              <w:t>500,00 €</w:t>
            </w:r>
          </w:p>
        </w:tc>
      </w:tr>
      <w:tr w:rsidR="000A7585" w:rsidRPr="00AE6EDB" w:rsidTr="00DE0EEC">
        <w:trPr>
          <w:jc w:val="center"/>
        </w:trPr>
        <w:tc>
          <w:tcPr>
            <w:tcW w:w="0" w:type="auto"/>
            <w:shd w:val="clear" w:color="auto" w:fill="auto"/>
          </w:tcPr>
          <w:p w:rsidR="000A7585" w:rsidRPr="00AE6EDB" w:rsidRDefault="000A7585" w:rsidP="00DE0EEC">
            <w:pPr>
              <w:rPr>
                <w:lang w:eastAsia="cs-CZ"/>
              </w:rPr>
            </w:pPr>
            <w:r w:rsidRPr="00AE6EDB">
              <w:rPr>
                <w:lang w:eastAsia="cs-CZ"/>
              </w:rPr>
              <w:t>Jednorazový príspevok pri zániku náhradnej starostlivosti</w:t>
            </w:r>
          </w:p>
        </w:tc>
        <w:tc>
          <w:tcPr>
            <w:tcW w:w="0" w:type="auto"/>
            <w:shd w:val="clear" w:color="auto" w:fill="auto"/>
          </w:tcPr>
          <w:p w:rsidR="000A7585" w:rsidRPr="00AE6EDB" w:rsidRDefault="000A7585" w:rsidP="00DE0EEC">
            <w:pPr>
              <w:ind w:right="190"/>
              <w:jc w:val="right"/>
            </w:pPr>
            <w:r w:rsidRPr="00AE6EDB">
              <w:t>922,29 €</w:t>
            </w:r>
          </w:p>
        </w:tc>
      </w:tr>
      <w:tr w:rsidR="000A7585" w:rsidRPr="00AE6EDB" w:rsidTr="00DE0EEC">
        <w:trPr>
          <w:jc w:val="center"/>
        </w:trPr>
        <w:tc>
          <w:tcPr>
            <w:tcW w:w="0" w:type="auto"/>
            <w:shd w:val="clear" w:color="auto" w:fill="auto"/>
          </w:tcPr>
          <w:p w:rsidR="000A7585" w:rsidRPr="00AE6EDB" w:rsidRDefault="000A7585" w:rsidP="00DE0EEC">
            <w:pPr>
              <w:rPr>
                <w:lang w:eastAsia="cs-CZ"/>
              </w:rPr>
            </w:pPr>
            <w:r w:rsidRPr="00AE6EDB">
              <w:rPr>
                <w:lang w:eastAsia="cs-CZ"/>
              </w:rPr>
              <w:t>Opakovaný príspevok dieťaťu</w:t>
            </w:r>
          </w:p>
        </w:tc>
        <w:tc>
          <w:tcPr>
            <w:tcW w:w="0" w:type="auto"/>
            <w:shd w:val="clear" w:color="auto" w:fill="auto"/>
          </w:tcPr>
          <w:p w:rsidR="000A7585" w:rsidRPr="00AE6EDB" w:rsidRDefault="000A7585" w:rsidP="00DE0EEC">
            <w:pPr>
              <w:ind w:right="190"/>
              <w:jc w:val="right"/>
            </w:pPr>
            <w:r w:rsidRPr="00AE6EDB">
              <w:t>138,13 €</w:t>
            </w:r>
          </w:p>
        </w:tc>
      </w:tr>
      <w:tr w:rsidR="000A7585" w:rsidRPr="00AE6EDB" w:rsidTr="00DE0EEC">
        <w:trPr>
          <w:jc w:val="center"/>
        </w:trPr>
        <w:tc>
          <w:tcPr>
            <w:tcW w:w="0" w:type="auto"/>
            <w:shd w:val="clear" w:color="auto" w:fill="auto"/>
          </w:tcPr>
          <w:p w:rsidR="000A7585" w:rsidRPr="00AE6EDB" w:rsidRDefault="000A7585" w:rsidP="00DE0EEC">
            <w:pPr>
              <w:rPr>
                <w:lang w:eastAsia="cs-CZ"/>
              </w:rPr>
            </w:pPr>
            <w:r w:rsidRPr="00AE6EDB">
              <w:rPr>
                <w:lang w:eastAsia="cs-CZ"/>
              </w:rPr>
              <w:t>Opakovaný príspevok náhradnému rodičovi</w:t>
            </w:r>
          </w:p>
        </w:tc>
        <w:tc>
          <w:tcPr>
            <w:tcW w:w="0" w:type="auto"/>
            <w:shd w:val="clear" w:color="auto" w:fill="auto"/>
          </w:tcPr>
          <w:p w:rsidR="000A7585" w:rsidRPr="00AE6EDB" w:rsidRDefault="000A7585" w:rsidP="00DE0EEC">
            <w:pPr>
              <w:ind w:right="190"/>
              <w:jc w:val="right"/>
            </w:pPr>
            <w:r w:rsidRPr="00AE6EDB">
              <w:t>175,62 €</w:t>
            </w:r>
          </w:p>
        </w:tc>
      </w:tr>
      <w:tr w:rsidR="000A7585" w:rsidRPr="00AE6EDB" w:rsidTr="00DE0EEC">
        <w:trPr>
          <w:jc w:val="center"/>
        </w:trPr>
        <w:tc>
          <w:tcPr>
            <w:tcW w:w="0" w:type="auto"/>
            <w:shd w:val="clear" w:color="auto" w:fill="auto"/>
          </w:tcPr>
          <w:p w:rsidR="000A7585" w:rsidRPr="00AE6EDB" w:rsidRDefault="000A7585" w:rsidP="00DE0EEC">
            <w:pPr>
              <w:rPr>
                <w:lang w:eastAsia="cs-CZ"/>
              </w:rPr>
            </w:pPr>
            <w:r w:rsidRPr="00AE6EDB">
              <w:rPr>
                <w:lang w:eastAsia="cs-CZ"/>
              </w:rPr>
              <w:t>Zvýšenie opakovaného príspevku náhradnému rodičovi</w:t>
            </w:r>
          </w:p>
        </w:tc>
        <w:tc>
          <w:tcPr>
            <w:tcW w:w="0" w:type="auto"/>
            <w:shd w:val="clear" w:color="auto" w:fill="auto"/>
          </w:tcPr>
          <w:p w:rsidR="000A7585" w:rsidRPr="00AE6EDB" w:rsidRDefault="000A7585" w:rsidP="00DE0EEC">
            <w:pPr>
              <w:ind w:right="190"/>
              <w:jc w:val="right"/>
            </w:pPr>
            <w:r w:rsidRPr="00AE6EDB">
              <w:t>124,91 €</w:t>
            </w:r>
          </w:p>
        </w:tc>
      </w:tr>
      <w:tr w:rsidR="000A7585" w:rsidRPr="00AE6EDB" w:rsidTr="00DE0EEC">
        <w:trPr>
          <w:jc w:val="center"/>
        </w:trPr>
        <w:tc>
          <w:tcPr>
            <w:tcW w:w="0" w:type="auto"/>
            <w:shd w:val="clear" w:color="auto" w:fill="auto"/>
          </w:tcPr>
          <w:p w:rsidR="000A7585" w:rsidRPr="00AE6EDB" w:rsidRDefault="000A7585" w:rsidP="00DE0EEC">
            <w:pPr>
              <w:rPr>
                <w:lang w:eastAsia="cs-CZ"/>
              </w:rPr>
            </w:pPr>
            <w:r w:rsidRPr="00AE6EDB">
              <w:rPr>
                <w:lang w:eastAsia="cs-CZ"/>
              </w:rPr>
              <w:t>Osobitný opakovaný príspevok náhradnému rodičovi</w:t>
            </w:r>
          </w:p>
        </w:tc>
        <w:tc>
          <w:tcPr>
            <w:tcW w:w="0" w:type="auto"/>
            <w:shd w:val="clear" w:color="auto" w:fill="auto"/>
          </w:tcPr>
          <w:p w:rsidR="000A7585" w:rsidRPr="00AE6EDB" w:rsidRDefault="000A7585" w:rsidP="00DE0EEC">
            <w:pPr>
              <w:ind w:right="190"/>
              <w:jc w:val="right"/>
            </w:pPr>
            <w:r w:rsidRPr="00AE6EDB">
              <w:t>72,36 €</w:t>
            </w:r>
          </w:p>
        </w:tc>
      </w:tr>
    </w:tbl>
    <w:p w:rsidR="000A7585" w:rsidRPr="00AE6EDB" w:rsidRDefault="000A7585" w:rsidP="000A7585">
      <w:pPr>
        <w:pStyle w:val="zdroj"/>
        <w:ind w:left="567"/>
        <w:rPr>
          <w:rFonts w:eastAsia="Calibri"/>
        </w:rPr>
      </w:pPr>
      <w:r w:rsidRPr="00AE6EDB">
        <w:rPr>
          <w:rFonts w:eastAsia="Calibri"/>
        </w:rPr>
        <w:t>Zdroj: MPSVR SR</w:t>
      </w:r>
    </w:p>
    <w:p w:rsidR="000A7585" w:rsidRPr="00AE6EDB" w:rsidRDefault="00A55548" w:rsidP="000A7585">
      <w:pPr>
        <w:ind w:firstLine="431"/>
      </w:pPr>
      <w:r w:rsidRPr="00AE6EDB">
        <w:rPr>
          <w:b/>
        </w:rPr>
        <w:t>Jednorazový príspevok pri zverení do náhradnej starostlivosti</w:t>
      </w:r>
      <w:r w:rsidRPr="00AE6EDB">
        <w:t xml:space="preserve"> bol v</w:t>
      </w:r>
      <w:r w:rsidR="000A7585" w:rsidRPr="00AE6EDB">
        <w:t> roku 2015 poskytnutý na</w:t>
      </w:r>
      <w:r w:rsidRPr="00AE6EDB">
        <w:t> </w:t>
      </w:r>
      <w:r w:rsidR="000A7585" w:rsidRPr="00AE6EDB">
        <w:t>714 detí, čo je o 12</w:t>
      </w:r>
      <w:r w:rsidR="00226CF0" w:rsidRPr="00AE6EDB">
        <w:t>2</w:t>
      </w:r>
      <w:r w:rsidR="000A7585" w:rsidRPr="00AE6EDB">
        <w:t xml:space="preserve"> detí menej ako v roku 2014. Z celkového počtu detí bolo 68,1</w:t>
      </w:r>
      <w:r w:rsidR="005676EF">
        <w:t> %</w:t>
      </w:r>
      <w:r w:rsidR="000A7585" w:rsidRPr="00AE6EDB">
        <w:t xml:space="preserve"> detí zverených do náhradnej osobnej starostlivosti, 18,2</w:t>
      </w:r>
      <w:r w:rsidR="005676EF">
        <w:t> %</w:t>
      </w:r>
      <w:r w:rsidR="000A7585" w:rsidRPr="00AE6EDB">
        <w:t xml:space="preserve"> detí do pestúnskej starostlivosti a 4,3</w:t>
      </w:r>
      <w:r w:rsidR="005676EF">
        <w:t> %</w:t>
      </w:r>
      <w:r w:rsidR="000A7585" w:rsidRPr="00AE6EDB">
        <w:t xml:space="preserve"> detí bolo zverených poručníkovi. Spolu bolo na tento príspevok vyplatených 357,5 tis.</w:t>
      </w:r>
      <w:r w:rsidR="0054295F">
        <w:t> eur</w:t>
      </w:r>
      <w:r w:rsidR="000A7585" w:rsidRPr="00AE6EDB">
        <w:t>, čo predstavuje medziročný pokles o 42,7 tis.</w:t>
      </w:r>
      <w:r w:rsidR="0054295F">
        <w:t> eur</w:t>
      </w:r>
      <w:r w:rsidR="000A7585" w:rsidRPr="00AE6EDB">
        <w:t>.</w:t>
      </w:r>
    </w:p>
    <w:p w:rsidR="000A7585" w:rsidRPr="00AE6EDB" w:rsidRDefault="000A7585" w:rsidP="000A7585">
      <w:pPr>
        <w:ind w:firstLine="431"/>
        <w:rPr>
          <w:highlight w:val="yellow"/>
        </w:rPr>
      </w:pPr>
      <w:r w:rsidRPr="00AE6EDB">
        <w:rPr>
          <w:b/>
          <w:bCs/>
        </w:rPr>
        <w:lastRenderedPageBreak/>
        <w:t>Jednorazový príspevok pri zániku náhradnej starostlivosti</w:t>
      </w:r>
      <w:r w:rsidRPr="00AE6EDB">
        <w:t xml:space="preserve"> sa poskytuje za účelom podpory osamostatnenia sa dieťaťa. V roku 2015 bol príspevok vyplatený na 494 detí, čo je o 31 detí viac ako v roku 2014. Z celkového počtu detí u 64,4</w:t>
      </w:r>
      <w:r w:rsidR="005676EF">
        <w:t> %</w:t>
      </w:r>
      <w:r w:rsidRPr="00AE6EDB">
        <w:t xml:space="preserve"> detí došlo k zániku náhradnej osobnej starostlivosti, u 30,2</w:t>
      </w:r>
      <w:r w:rsidR="005676EF">
        <w:t> %</w:t>
      </w:r>
      <w:r w:rsidRPr="00AE6EDB">
        <w:t xml:space="preserve"> k zániku pestúnskej starostlivosti a u 5,5</w:t>
      </w:r>
      <w:r w:rsidR="005676EF">
        <w:t> %</w:t>
      </w:r>
      <w:r w:rsidRPr="00AE6EDB">
        <w:t xml:space="preserve"> k zániku poručníctva. Spolu bolo na príspevok vyplatených 456,5 tis.</w:t>
      </w:r>
      <w:r w:rsidR="0054295F">
        <w:t> eur</w:t>
      </w:r>
      <w:r w:rsidRPr="00AE6EDB">
        <w:t>, čo predstavuje medziročný nárast o 31,4 tis.</w:t>
      </w:r>
      <w:r w:rsidR="0054295F">
        <w:t> eur</w:t>
      </w:r>
      <w:r w:rsidRPr="00AE6EDB">
        <w:t xml:space="preserve">. </w:t>
      </w:r>
    </w:p>
    <w:p w:rsidR="000A7585" w:rsidRPr="00AE6EDB" w:rsidRDefault="000A7585" w:rsidP="000A7585">
      <w:pPr>
        <w:ind w:firstLine="431"/>
        <w:rPr>
          <w:b/>
        </w:rPr>
      </w:pPr>
      <w:r w:rsidRPr="00AE6EDB">
        <w:rPr>
          <w:b/>
          <w:bCs/>
        </w:rPr>
        <w:t xml:space="preserve">Opakovaný príspevok dieťaťu </w:t>
      </w:r>
      <w:r w:rsidRPr="00AE6EDB">
        <w:t>sa poskytuje</w:t>
      </w:r>
      <w:r w:rsidRPr="00AE6EDB">
        <w:rPr>
          <w:b/>
          <w:bCs/>
        </w:rPr>
        <w:t xml:space="preserve"> </w:t>
      </w:r>
      <w:r w:rsidRPr="00AE6EDB">
        <w:t xml:space="preserve">za účelom podpory uspokojovania potrieb dieťaťa, najmä na úhradu nákladov na výživu, výchovu, vzdelávanie a bývanie dieťaťa. V sledovanom období bol príspevok vyplatený priemerne mesačne na </w:t>
      </w:r>
      <w:r w:rsidR="00AC44CB">
        <w:t>8 3</w:t>
      </w:r>
      <w:r w:rsidR="00226CF0" w:rsidRPr="00AE6EDB">
        <w:t>43</w:t>
      </w:r>
      <w:r w:rsidRPr="00AE6EDB">
        <w:t xml:space="preserve"> detí (nárast oproti roku 2014 o </w:t>
      </w:r>
      <w:r w:rsidR="00226CF0" w:rsidRPr="00AE6EDB">
        <w:t>50</w:t>
      </w:r>
      <w:r w:rsidRPr="00AE6EDB">
        <w:t xml:space="preserve"> detí) celkovo v sume </w:t>
      </w:r>
      <w:r w:rsidR="00AC44CB">
        <w:t>9 9</w:t>
      </w:r>
      <w:r w:rsidRPr="00AE6EDB">
        <w:t>15 tis.</w:t>
      </w:r>
      <w:r w:rsidR="0054295F">
        <w:t> eur</w:t>
      </w:r>
      <w:r w:rsidRPr="00AE6EDB">
        <w:t xml:space="preserve"> (pokles o 22 tis.</w:t>
      </w:r>
      <w:r w:rsidR="0054295F">
        <w:t> eur</w:t>
      </w:r>
      <w:r w:rsidRPr="00AE6EDB">
        <w:t>). Podľa jednotlivých foriem náhradnej starostlivosti bolo v priemere zastúpených 68,3</w:t>
      </w:r>
      <w:r w:rsidR="005676EF">
        <w:t> %</w:t>
      </w:r>
      <w:r w:rsidRPr="00AE6EDB">
        <w:t xml:space="preserve"> detí v náhradnej osobnej starostlivosti, 22,9</w:t>
      </w:r>
      <w:r w:rsidR="005676EF">
        <w:t> %</w:t>
      </w:r>
      <w:r w:rsidRPr="00AE6EDB">
        <w:t xml:space="preserve"> detí v pestúnskej starostlivosti, 2,3</w:t>
      </w:r>
      <w:r w:rsidR="005676EF">
        <w:t> %</w:t>
      </w:r>
      <w:r w:rsidRPr="00AE6EDB">
        <w:t> detí v poručníctve, 1,5</w:t>
      </w:r>
      <w:r w:rsidR="005676EF">
        <w:t> %</w:t>
      </w:r>
      <w:r w:rsidRPr="00AE6EDB">
        <w:t xml:space="preserve"> detí v dočasnom zverení a 4,9</w:t>
      </w:r>
      <w:r w:rsidR="005676EF">
        <w:t> %</w:t>
      </w:r>
      <w:r w:rsidRPr="00AE6EDB">
        <w:t xml:space="preserve"> detí zverených na základe predbežného opatrenia. </w:t>
      </w:r>
    </w:p>
    <w:p w:rsidR="000A7585" w:rsidRPr="00AE6EDB" w:rsidRDefault="000A7585" w:rsidP="000A7585">
      <w:pPr>
        <w:pStyle w:val="Nadpis7"/>
      </w:pPr>
      <w:r w:rsidRPr="00AE6EDB">
        <w:t>Graf 3.12 Počet detí, na ktoré bol poskytnutý opakovaný príspevok dieťaťu podľa veku</w:t>
      </w:r>
      <w:bookmarkEnd w:id="682"/>
    </w:p>
    <w:p w:rsidR="000A7585" w:rsidRPr="00AE6EDB" w:rsidRDefault="000A7585" w:rsidP="000A7585">
      <w:r w:rsidRPr="00AE6EDB">
        <w:rPr>
          <w:noProof/>
        </w:rPr>
        <w:drawing>
          <wp:inline distT="0" distB="0" distL="0" distR="0" wp14:anchorId="20480EAF" wp14:editId="076812A4">
            <wp:extent cx="5760720" cy="1713155"/>
            <wp:effectExtent l="0" t="0" r="0" b="190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7585" w:rsidRPr="00AE6EDB" w:rsidRDefault="000A7585" w:rsidP="000A7585">
      <w:pPr>
        <w:pStyle w:val="zdroj"/>
        <w:spacing w:after="0"/>
      </w:pPr>
      <w:r w:rsidRPr="00AE6EDB">
        <w:t>Zdroj: RSD MIS</w:t>
      </w:r>
    </w:p>
    <w:p w:rsidR="000A7585" w:rsidRPr="00AE6EDB" w:rsidRDefault="000A7585" w:rsidP="000A7585">
      <w:pPr>
        <w:ind w:firstLine="431"/>
      </w:pPr>
      <w:r w:rsidRPr="00AE6EDB">
        <w:rPr>
          <w:b/>
          <w:bCs/>
        </w:rPr>
        <w:t xml:space="preserve">Opakovaný príspevok náhradnému rodičovi </w:t>
      </w:r>
      <w:r w:rsidRPr="00AE6EDB">
        <w:t>sa poskytuje za účelom podpory</w:t>
      </w:r>
      <w:r w:rsidRPr="00AE6EDB">
        <w:rPr>
          <w:b/>
          <w:bCs/>
        </w:rPr>
        <w:t xml:space="preserve"> </w:t>
      </w:r>
      <w:r w:rsidRPr="00AE6EDB">
        <w:t xml:space="preserve">vykonávania osobnej starostlivosti o dieťa, ktoré má náhradný rodič zverené do náhradnej starostlivosti. Za sledované obdobie bol príspevok poskytnutý priemerne mesačne </w:t>
      </w:r>
      <w:r w:rsidR="0054295F">
        <w:t>1 2</w:t>
      </w:r>
      <w:r w:rsidR="00597D24" w:rsidRPr="00AE6EDB">
        <w:t>14</w:t>
      </w:r>
      <w:r w:rsidRPr="00AE6EDB">
        <w:t xml:space="preserve"> náhradným rodičom na 1560 detí (v roku 2014 to bolo </w:t>
      </w:r>
      <w:r w:rsidR="0054295F">
        <w:t>1 1</w:t>
      </w:r>
      <w:r w:rsidRPr="00AE6EDB">
        <w:t>9</w:t>
      </w:r>
      <w:r w:rsidR="00597D24" w:rsidRPr="00AE6EDB">
        <w:t>9</w:t>
      </w:r>
      <w:r w:rsidRPr="00AE6EDB">
        <w:t xml:space="preserve"> náhradných rodičov na </w:t>
      </w:r>
      <w:r w:rsidR="0054295F">
        <w:t>1 5</w:t>
      </w:r>
      <w:r w:rsidRPr="00AE6EDB">
        <w:t>55 detí). V prípade, ak sa náhradný rodič osobne staral o tri alebo viac detí, ktoré sú súrodencami, opakovaný príspevok náhradnému rodičovi sa zvýšil o 124,91</w:t>
      </w:r>
      <w:r w:rsidR="0054295F">
        <w:t> eur</w:t>
      </w:r>
      <w:r w:rsidRPr="00AE6EDB">
        <w:t xml:space="preserve">a mesačne. V sledovanom období bolo priemerne mesačne 64 takýchto prípadov. Celková vyplatená suma na príspevok predstavuje </w:t>
      </w:r>
      <w:r w:rsidR="0054295F">
        <w:t>2 6</w:t>
      </w:r>
      <w:r w:rsidRPr="00AE6EDB">
        <w:t>83,7 tis.</w:t>
      </w:r>
      <w:r w:rsidR="0054295F">
        <w:t> eur</w:t>
      </w:r>
      <w:r w:rsidRPr="00AE6EDB">
        <w:t xml:space="preserve"> (medziročný nárast o 20,5 tis.</w:t>
      </w:r>
      <w:r w:rsidR="0054295F">
        <w:t> eur</w:t>
      </w:r>
      <w:r w:rsidRPr="00AE6EDB">
        <w:t xml:space="preserve"> ). </w:t>
      </w:r>
    </w:p>
    <w:p w:rsidR="000A7585" w:rsidRPr="00AE6EDB" w:rsidRDefault="000A7585" w:rsidP="000A7585">
      <w:pPr>
        <w:ind w:firstLine="431"/>
      </w:pPr>
      <w:r w:rsidRPr="00AE6EDB">
        <w:rPr>
          <w:b/>
          <w:bCs/>
        </w:rPr>
        <w:t xml:space="preserve">Osobitný opakovaný príspevok náhradnému rodičovi </w:t>
      </w:r>
      <w:r w:rsidRPr="00AE6EDB">
        <w:t>sa poskytuje za účelom podpory</w:t>
      </w:r>
      <w:r w:rsidRPr="00AE6EDB">
        <w:rPr>
          <w:b/>
          <w:bCs/>
        </w:rPr>
        <w:t xml:space="preserve"> </w:t>
      </w:r>
      <w:r w:rsidRPr="00AE6EDB">
        <w:t xml:space="preserve">vykonávania osobnej starostlivosti o dieťa zverené do náhradnej starostlivosti, ktoré je občanom s ťažkým zdravotným postihnutím. Za sledované obdobie bol príspevok poskytnutý priemerne mesačne 50 náhradným rodičom, ktorí vykonávajú starostlivosť </w:t>
      </w:r>
      <w:r w:rsidR="008B41EC" w:rsidRPr="00AE6EDB">
        <w:t xml:space="preserve">spolu </w:t>
      </w:r>
      <w:r w:rsidRPr="00AE6EDB">
        <w:t>o</w:t>
      </w:r>
      <w:r w:rsidR="008B41EC" w:rsidRPr="00AE6EDB">
        <w:t> 53</w:t>
      </w:r>
      <w:r w:rsidRPr="00AE6EDB">
        <w:t> ťažko zdravotne postihnut</w:t>
      </w:r>
      <w:r w:rsidR="008B41EC" w:rsidRPr="00AE6EDB">
        <w:t>ých</w:t>
      </w:r>
      <w:r w:rsidRPr="00AE6EDB">
        <w:t xml:space="preserve"> det</w:t>
      </w:r>
      <w:r w:rsidR="008B41EC" w:rsidRPr="00AE6EDB">
        <w:t>í</w:t>
      </w:r>
      <w:r w:rsidRPr="00AE6EDB">
        <w:t xml:space="preserve"> (medziročný pokles o 4 náhradných rodičov</w:t>
      </w:r>
      <w:r w:rsidR="008B41EC" w:rsidRPr="00AE6EDB">
        <w:t xml:space="preserve"> a 3 ťažko zdravotne postihnuté deti</w:t>
      </w:r>
      <w:r w:rsidRPr="00AE6EDB">
        <w:t>). Spolu bolo na príspevok vyplatených 50,2 tis.</w:t>
      </w:r>
      <w:r w:rsidR="0054295F">
        <w:t> eur</w:t>
      </w:r>
      <w:r w:rsidRPr="00AE6EDB">
        <w:t xml:space="preserve"> (medziročný nárast o 0,4 tis.</w:t>
      </w:r>
      <w:r w:rsidR="0054295F">
        <w:t> eur</w:t>
      </w:r>
      <w:r w:rsidRPr="00AE6EDB">
        <w:t xml:space="preserve">). </w:t>
      </w:r>
    </w:p>
    <w:p w:rsidR="000A7585" w:rsidRPr="00AE6EDB" w:rsidRDefault="000A7585" w:rsidP="000A7585">
      <w:pPr>
        <w:ind w:firstLine="431"/>
      </w:pPr>
      <w:r w:rsidRPr="00AE6EDB">
        <w:rPr>
          <w:b/>
          <w:bCs/>
        </w:rPr>
        <w:t xml:space="preserve">Odmena pestúna </w:t>
      </w:r>
      <w:r w:rsidRPr="00AE6EDB">
        <w:rPr>
          <w:color w:val="000000"/>
        </w:rPr>
        <w:t>–</w:t>
      </w:r>
      <w:r w:rsidRPr="00AE6EDB">
        <w:rPr>
          <w:b/>
          <w:bCs/>
        </w:rPr>
        <w:t xml:space="preserve"> § 19 ods. 3. </w:t>
      </w:r>
      <w:r w:rsidRPr="00AE6EDB">
        <w:t>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146 poberateľov (medziročný pokles o 38 poberateľov)</w:t>
      </w:r>
      <w:r w:rsidR="008B41EC" w:rsidRPr="00AE6EDB">
        <w:t>, ktorým bolo zverených 160 detí (medziročný pokles o 47 detí)</w:t>
      </w:r>
      <w:r w:rsidRPr="00AE6EDB">
        <w:t>. Na odmenu pestúna bolo vyplatených spolu 92 tis.</w:t>
      </w:r>
      <w:r w:rsidR="0054295F">
        <w:t> eur</w:t>
      </w:r>
      <w:r w:rsidRPr="00AE6EDB">
        <w:t xml:space="preserve"> (medziročný pokles o 28,0 tis.</w:t>
      </w:r>
      <w:r w:rsidR="0054295F">
        <w:t> eur</w:t>
      </w:r>
      <w:r w:rsidRPr="00AE6EDB">
        <w:t xml:space="preserve">). </w:t>
      </w:r>
    </w:p>
    <w:p w:rsidR="000A7585" w:rsidRPr="00AE6EDB" w:rsidRDefault="000A7585" w:rsidP="000A7585">
      <w:pPr>
        <w:spacing w:after="120"/>
        <w:ind w:firstLine="431"/>
      </w:pPr>
      <w:r w:rsidRPr="00AE6EDB">
        <w:t>Celkové čerpanie finančných prostriedkov na príspevky na náhradn</w:t>
      </w:r>
      <w:r w:rsidR="00E91B69" w:rsidRPr="00AE6EDB">
        <w:t>ú</w:t>
      </w:r>
      <w:r w:rsidRPr="00AE6EDB">
        <w:t xml:space="preserve"> </w:t>
      </w:r>
      <w:r w:rsidR="00E91B69" w:rsidRPr="00AE6EDB">
        <w:t xml:space="preserve">rodinnú </w:t>
      </w:r>
      <w:r w:rsidRPr="00AE6EDB">
        <w:t>starostlivos</w:t>
      </w:r>
      <w:r w:rsidR="00E91B69" w:rsidRPr="00AE6EDB">
        <w:t>ť</w:t>
      </w:r>
      <w:r w:rsidRPr="00AE6EDB">
        <w:t xml:space="preserve"> bolo v roku 2015 v sume 1</w:t>
      </w:r>
      <w:r w:rsidR="0054295F">
        <w:t>3 5</w:t>
      </w:r>
      <w:r w:rsidRPr="00AE6EDB">
        <w:t>5</w:t>
      </w:r>
      <w:r w:rsidR="00AC44CB">
        <w:t>6 3</w:t>
      </w:r>
      <w:r w:rsidR="00E91B69" w:rsidRPr="00AE6EDB">
        <w:t>37</w:t>
      </w:r>
      <w:r w:rsidR="0054295F">
        <w:t> eur</w:t>
      </w:r>
      <w:r w:rsidRPr="00AE6EDB">
        <w:t>, čo predstavuje medziročný pokles o</w:t>
      </w:r>
      <w:r w:rsidR="00E91B69" w:rsidRPr="00AE6EDB">
        <w:t> 3</w:t>
      </w:r>
      <w:r w:rsidR="00AC44CB">
        <w:t>7 4</w:t>
      </w:r>
      <w:r w:rsidR="00E91B69" w:rsidRPr="00AE6EDB">
        <w:t>32</w:t>
      </w:r>
      <w:r w:rsidR="0054295F">
        <w:t> eur</w:t>
      </w:r>
      <w:r w:rsidR="00E91B69" w:rsidRPr="00AE6EDB">
        <w:rPr>
          <w:rStyle w:val="Odkaznapoznmkupodiarou"/>
        </w:rPr>
        <w:footnoteReference w:id="44"/>
      </w:r>
      <w:r w:rsidRPr="00AE6EDB">
        <w:t xml:space="preserve">. </w:t>
      </w:r>
    </w:p>
    <w:p w:rsidR="000A7585" w:rsidRPr="00AE6EDB" w:rsidRDefault="000A7585" w:rsidP="000A7585">
      <w:pPr>
        <w:jc w:val="left"/>
        <w:rPr>
          <w:highlight w:val="cyan"/>
        </w:rPr>
      </w:pPr>
      <w:r w:rsidRPr="00AE6EDB">
        <w:rPr>
          <w:highlight w:val="cyan"/>
        </w:rPr>
        <w:br w:type="page"/>
      </w:r>
    </w:p>
    <w:p w:rsidR="000A7585" w:rsidRPr="00AE6EDB" w:rsidRDefault="000A7585" w:rsidP="000A7585">
      <w:pPr>
        <w:pStyle w:val="Nadpis6"/>
      </w:pPr>
      <w:bookmarkStart w:id="683" w:name="_Toc452469894"/>
      <w:r w:rsidRPr="00AE6EDB">
        <w:t>Kompenzácia sociálnych dôsledkov ťažkého zdravotného postihnutia</w:t>
      </w:r>
      <w:bookmarkEnd w:id="681"/>
      <w:bookmarkEnd w:id="683"/>
      <w:r w:rsidRPr="00AE6EDB">
        <w:t xml:space="preserve"> </w:t>
      </w:r>
    </w:p>
    <w:p w:rsidR="000A7585" w:rsidRPr="00AE6EDB" w:rsidRDefault="000A7585" w:rsidP="000A7585">
      <w:pPr>
        <w:ind w:firstLine="431"/>
        <w:rPr>
          <w:szCs w:val="22"/>
        </w:rPr>
      </w:pPr>
      <w:bookmarkStart w:id="684" w:name="_Toc356482733"/>
      <w:r w:rsidRPr="00AE6EDB">
        <w:rPr>
          <w:szCs w:val="22"/>
        </w:rPr>
        <w:t>Právne vzťahy pri poskytovaní peňažných príspevkov na kompenzáciu sociálnych dôsledkov ťažkého zdravotného postihnu</w:t>
      </w:r>
      <w:r w:rsidR="00A2621D" w:rsidRPr="00AE6EDB">
        <w:rPr>
          <w:szCs w:val="22"/>
        </w:rPr>
        <w:t>tia, pri vyhotovení preukazu fyz</w:t>
      </w:r>
      <w:r w:rsidRPr="00AE6EDB">
        <w:rPr>
          <w:szCs w:val="22"/>
        </w:rPr>
        <w:t>ickej osoby s ťažkým zdravotným postihnutím, preukazu fyzickej osoby s ťažkým zdravotným postihnutím so sprievodcom a parkovacieho preukazu pre fyzickú osobu so zdravotným postihnutím upravuje zákon č. 447/2008 Z. z. o peňažných príspevkoch na kompenzáciu ťažkého zdravotného postihnutia a o zmene a doplnení niektorých zákonov v znení neskorších predpisov (ďalej len „zákon o peňažných príspevkoch“), ktorý nadobudol účinnosť 1. januára 2009. Cieľom tejto úpravy právnych vzťahov je podporiť sociálne začlenenie fyzickej osoby s ťažkým zdravotným postihnutím (ďalej len „fyzická osoba s ŤZP“) do spoločnosti za jej aktívnej účasti pri zach</w:t>
      </w:r>
      <w:r w:rsidR="00BC2A6A" w:rsidRPr="00AE6EDB">
        <w:rPr>
          <w:szCs w:val="22"/>
        </w:rPr>
        <w:t>ovaní jej ľudskej dôstojnosti v </w:t>
      </w:r>
      <w:r w:rsidRPr="00AE6EDB">
        <w:rPr>
          <w:szCs w:val="22"/>
        </w:rPr>
        <w:t xml:space="preserve">týchto štyroch oblastiach: </w:t>
      </w:r>
      <w:r w:rsidRPr="00AE6EDB">
        <w:rPr>
          <w:i/>
          <w:szCs w:val="22"/>
        </w:rPr>
        <w:t>oblasť mobility a orientácie, oblasť komunikácie, oblasť zvýšených výdavkov a oblasť sebaobsluhy</w:t>
      </w:r>
      <w:r w:rsidRPr="00AE6EDB">
        <w:rPr>
          <w:szCs w:val="22"/>
        </w:rPr>
        <w:t xml:space="preserve">. </w:t>
      </w:r>
    </w:p>
    <w:p w:rsidR="000A7585" w:rsidRPr="00AE6EDB" w:rsidRDefault="000A7585" w:rsidP="000A7585">
      <w:pPr>
        <w:ind w:firstLine="431"/>
        <w:rPr>
          <w:szCs w:val="22"/>
          <w:highlight w:val="cyan"/>
        </w:rPr>
      </w:pPr>
    </w:p>
    <w:p w:rsidR="000A7585" w:rsidRPr="00AE6EDB" w:rsidRDefault="000A7585" w:rsidP="000A7585">
      <w:pPr>
        <w:ind w:firstLine="431"/>
        <w:rPr>
          <w:szCs w:val="22"/>
        </w:rPr>
      </w:pPr>
      <w:r w:rsidRPr="00AE6EDB">
        <w:rPr>
          <w:szCs w:val="22"/>
        </w:rPr>
        <w:t xml:space="preserve">V roku 2015 boli prijaté dva zákony, ktorými sa menil a dopĺňal zákon o peňažných príspevkoch. Zákon č. 353/2015 Z. z. s účinnosťou od 31. decembra 2015 predĺžil lehotu (do 31. decembra 2018), do ktorej môže posudkový lekár vykonávať posudkovú činnosť bez získania odbornej spôsobilosti ustanovenej v § 63 ods. 1 zákona o peňažných príspevkoch. Zákon č. 378/2015 Z. z. s účinnosťou od 1. januára 2016 ustanovil, že za príjem na účely poskytovania </w:t>
      </w:r>
      <w:r w:rsidR="00A2621D" w:rsidRPr="00AE6EDB">
        <w:rPr>
          <w:szCs w:val="22"/>
        </w:rPr>
        <w:t xml:space="preserve">peňažných </w:t>
      </w:r>
      <w:r w:rsidRPr="00AE6EDB">
        <w:rPr>
          <w:szCs w:val="22"/>
        </w:rPr>
        <w:t>príspevkov na</w:t>
      </w:r>
      <w:r w:rsidR="00A2621D" w:rsidRPr="00AE6EDB">
        <w:rPr>
          <w:szCs w:val="22"/>
        </w:rPr>
        <w:t> </w:t>
      </w:r>
      <w:r w:rsidRPr="00AE6EDB">
        <w:rPr>
          <w:szCs w:val="22"/>
        </w:rPr>
        <w:t>kompenzáciu sa nepovažuje jednorazový príspevok za výkon mimoriadnej služby, motivačný príspevok, naturálne náležitosti, náhrada cestovného a jednorazové odškodnenie pozostalých poskytované v súvislosti so</w:t>
      </w:r>
      <w:r w:rsidR="00BC2A6A" w:rsidRPr="00AE6EDB">
        <w:rPr>
          <w:szCs w:val="22"/>
        </w:rPr>
        <w:t> </w:t>
      </w:r>
      <w:r w:rsidRPr="00AE6EDB">
        <w:rPr>
          <w:szCs w:val="22"/>
        </w:rPr>
        <w:t xml:space="preserve">zaradením do aktívnych záloh podľa zákona o dobrovoľnej vojenskej príprave. </w:t>
      </w:r>
    </w:p>
    <w:p w:rsidR="00AD2948" w:rsidRPr="00AE6EDB" w:rsidRDefault="00AD2948" w:rsidP="00AD2948">
      <w:pPr>
        <w:spacing w:before="90"/>
        <w:ind w:firstLine="431"/>
        <w:rPr>
          <w:szCs w:val="22"/>
        </w:rPr>
      </w:pPr>
      <w:r w:rsidRPr="00AE6EDB">
        <w:rPr>
          <w:szCs w:val="22"/>
        </w:rPr>
        <w:t>K 31. decembru 2015 bolo platných 15</w:t>
      </w:r>
      <w:r w:rsidR="0054295F">
        <w:rPr>
          <w:szCs w:val="22"/>
        </w:rPr>
        <w:t>3 9</w:t>
      </w:r>
      <w:r w:rsidRPr="00AE6EDB">
        <w:rPr>
          <w:szCs w:val="22"/>
        </w:rPr>
        <w:t>50 preukazov fyzickej osoby s ťažkým zdravotným postihnutím a 15</w:t>
      </w:r>
      <w:r w:rsidR="0054295F">
        <w:rPr>
          <w:szCs w:val="22"/>
        </w:rPr>
        <w:t>4 2</w:t>
      </w:r>
      <w:r w:rsidRPr="00AE6EDB">
        <w:rPr>
          <w:szCs w:val="22"/>
        </w:rPr>
        <w:t>75 preukazov fyzickej osoby s ťažkým zdravotným postihnutím so sprievodcom, čo je spolu 30</w:t>
      </w:r>
      <w:r w:rsidR="00AC44CB">
        <w:rPr>
          <w:szCs w:val="22"/>
        </w:rPr>
        <w:t>8 2</w:t>
      </w:r>
      <w:r w:rsidRPr="00AE6EDB">
        <w:rPr>
          <w:szCs w:val="22"/>
        </w:rPr>
        <w:t xml:space="preserve">25 platných preukazov. </w:t>
      </w:r>
      <w:r w:rsidR="00BA50C2">
        <w:rPr>
          <w:szCs w:val="22"/>
        </w:rPr>
        <w:t>K</w:t>
      </w:r>
      <w:r w:rsidR="00BA50C2" w:rsidRPr="00AE6EDB">
        <w:rPr>
          <w:szCs w:val="22"/>
        </w:rPr>
        <w:t> 31. decembru 2015 bolo 8</w:t>
      </w:r>
      <w:r w:rsidR="00BA50C2">
        <w:rPr>
          <w:szCs w:val="22"/>
        </w:rPr>
        <w:t>0 745 p</w:t>
      </w:r>
      <w:r w:rsidRPr="00AE6EDB">
        <w:rPr>
          <w:szCs w:val="22"/>
        </w:rPr>
        <w:t>latných parkovacích preukazov pre fyzickú osobu so zdravotným postihnutím</w:t>
      </w:r>
      <w:r w:rsidR="00BA50C2">
        <w:rPr>
          <w:szCs w:val="22"/>
        </w:rPr>
        <w:t>.</w:t>
      </w:r>
      <w:r w:rsidRPr="00AE6EDB">
        <w:rPr>
          <w:szCs w:val="22"/>
        </w:rPr>
        <w:t xml:space="preserve"> </w:t>
      </w:r>
    </w:p>
    <w:p w:rsidR="00AD2948" w:rsidRPr="00AE6EDB" w:rsidRDefault="00AD2948" w:rsidP="000A7585">
      <w:pPr>
        <w:ind w:firstLine="431"/>
        <w:rPr>
          <w:szCs w:val="22"/>
        </w:rPr>
      </w:pPr>
    </w:p>
    <w:p w:rsidR="000A7585" w:rsidRPr="00AE6EDB" w:rsidRDefault="000A7585" w:rsidP="000A7585">
      <w:pPr>
        <w:ind w:firstLine="431"/>
        <w:rPr>
          <w:szCs w:val="22"/>
        </w:rPr>
      </w:pPr>
      <w:r w:rsidRPr="00AE6EDB">
        <w:rPr>
          <w:szCs w:val="22"/>
        </w:rPr>
        <w:t xml:space="preserve">Sociálne dôsledky ťažkého zdravotného postihnutia je možné kompenzovať peňažnými príspevkami (ďalej aj „PP“) na kompenzáciu, ktoré sa delia na </w:t>
      </w:r>
      <w:r w:rsidRPr="00AE6EDB">
        <w:rPr>
          <w:b/>
          <w:szCs w:val="22"/>
        </w:rPr>
        <w:t>opakované a jednorazové</w:t>
      </w:r>
      <w:r w:rsidRPr="00AE6EDB">
        <w:rPr>
          <w:szCs w:val="22"/>
        </w:rPr>
        <w:t xml:space="preserve">. </w:t>
      </w:r>
    </w:p>
    <w:p w:rsidR="000A7585" w:rsidRPr="00AE6EDB" w:rsidRDefault="000A7585" w:rsidP="000A7585">
      <w:pPr>
        <w:spacing w:before="120"/>
        <w:ind w:firstLine="431"/>
        <w:rPr>
          <w:szCs w:val="22"/>
        </w:rPr>
      </w:pPr>
      <w:r w:rsidRPr="00AE6EDB">
        <w:rPr>
          <w:szCs w:val="22"/>
        </w:rPr>
        <w:t xml:space="preserve">Výšky </w:t>
      </w:r>
      <w:r w:rsidRPr="00AE6EDB">
        <w:rPr>
          <w:i/>
          <w:szCs w:val="22"/>
        </w:rPr>
        <w:t>opakovaných peňažných príspevkov na kompenzáciu</w:t>
      </w:r>
      <w:r w:rsidRPr="00AE6EDB">
        <w:rPr>
          <w:szCs w:val="22"/>
        </w:rPr>
        <w:t xml:space="preserve"> sú ustanovené </w:t>
      </w:r>
      <w:r w:rsidRPr="00AE6EDB">
        <w:rPr>
          <w:i/>
          <w:szCs w:val="22"/>
        </w:rPr>
        <w:t>percentom sumy životného minima pre jednu plnoletú fyzickú osobu</w:t>
      </w:r>
      <w:r w:rsidRPr="00AE6EDB">
        <w:rPr>
          <w:szCs w:val="22"/>
        </w:rPr>
        <w:t>, č</w:t>
      </w:r>
      <w:r w:rsidR="00BC2A6A" w:rsidRPr="00AE6EDB">
        <w:rPr>
          <w:szCs w:val="22"/>
        </w:rPr>
        <w:t>ím sa</w:t>
      </w:r>
      <w:r w:rsidRPr="00AE6EDB">
        <w:rPr>
          <w:szCs w:val="22"/>
        </w:rPr>
        <w:t xml:space="preserve"> opakované peňažné príspevky na</w:t>
      </w:r>
      <w:r w:rsidR="00BC2A6A" w:rsidRPr="00AE6EDB">
        <w:rPr>
          <w:szCs w:val="22"/>
        </w:rPr>
        <w:t> </w:t>
      </w:r>
      <w:r w:rsidRPr="00AE6EDB">
        <w:rPr>
          <w:szCs w:val="22"/>
        </w:rPr>
        <w:t>kompenzáciu valoriz</w:t>
      </w:r>
      <w:r w:rsidR="00BC2A6A" w:rsidRPr="00AE6EDB">
        <w:rPr>
          <w:szCs w:val="22"/>
        </w:rPr>
        <w:t xml:space="preserve">ujú </w:t>
      </w:r>
      <w:r w:rsidRPr="00AE6EDB">
        <w:rPr>
          <w:szCs w:val="22"/>
        </w:rPr>
        <w:t>v závislosti od úpravy výšky súm životného minima k 1. júlu bežného kalendárneho roka. Vzhľadom na skutočnosť, že sumy životného minima v roku 2015 (ani v roku 2014)</w:t>
      </w:r>
      <w:r w:rsidR="00BC2A6A" w:rsidRPr="00AE6EDB">
        <w:rPr>
          <w:szCs w:val="22"/>
        </w:rPr>
        <w:t xml:space="preserve"> </w:t>
      </w:r>
      <w:r w:rsidRPr="00AE6EDB">
        <w:rPr>
          <w:szCs w:val="22"/>
        </w:rPr>
        <w:t xml:space="preserve">neboli valorizované, zostali opakované peňažné príspevky na kompenzáciu v nezmenenej výške </w:t>
      </w:r>
      <w:r w:rsidRPr="00AE6EDB">
        <w:rPr>
          <w:szCs w:val="22"/>
        </w:rPr>
        <w:br/>
        <w:t>od 1. júla 2013. Prehľad výšok opakovaných peňažných príspevkov je uvedený v tabuľke 3.22.</w:t>
      </w:r>
    </w:p>
    <w:p w:rsidR="000A7585" w:rsidRPr="00AE6EDB" w:rsidRDefault="000A7585" w:rsidP="000A7585">
      <w:pPr>
        <w:spacing w:before="120"/>
        <w:ind w:firstLine="431"/>
        <w:rPr>
          <w:b/>
          <w:sz w:val="20"/>
          <w:lang w:eastAsia="cs-CZ"/>
        </w:rPr>
      </w:pPr>
      <w:r w:rsidRPr="00AE6EDB">
        <w:rPr>
          <w:szCs w:val="23"/>
        </w:rPr>
        <w:t xml:space="preserve">Maximálne výšky </w:t>
      </w:r>
      <w:r w:rsidRPr="00AE6EDB">
        <w:rPr>
          <w:i/>
          <w:szCs w:val="23"/>
        </w:rPr>
        <w:t>jednorazových peňažných príspevkov</w:t>
      </w:r>
      <w:r w:rsidRPr="00AE6EDB">
        <w:rPr>
          <w:szCs w:val="23"/>
        </w:rPr>
        <w:t xml:space="preserve"> na kompenzáciu ustanovuje zákon o peňažných príspevkoch </w:t>
      </w:r>
      <w:r w:rsidRPr="00AE6EDB">
        <w:rPr>
          <w:i/>
          <w:szCs w:val="23"/>
        </w:rPr>
        <w:t>pevnou sumou</w:t>
      </w:r>
      <w:r w:rsidRPr="00AE6EDB">
        <w:rPr>
          <w:szCs w:val="23"/>
        </w:rPr>
        <w:t>. Na stanovenie konkrétnej výšky jednorazového peňažného príspevku má vplyv príjem fyzickej osoby s ŤZP (ď</w:t>
      </w:r>
      <w:r w:rsidR="00BC2A6A" w:rsidRPr="00AE6EDB">
        <w:rPr>
          <w:szCs w:val="23"/>
        </w:rPr>
        <w:t>a</w:t>
      </w:r>
      <w:r w:rsidRPr="00AE6EDB">
        <w:rPr>
          <w:szCs w:val="23"/>
        </w:rPr>
        <w:t>lej aj „FO s ŤZP“) a cena, napr. pomôcky, osobného motorového vozidla, úpravy (podľa druhu peňažného príspevku). Pri zohľadňovaní príjmu fyzickej osoby s ŤZP je zachovaný princíp solidarity, t.j. čím nižší príjem má fyzická osoba s ŤZP, tým je možné poskytnúť vyšší jednorazový peňažný príspevok na kompenzáciu. Prehľad maximálnych výšok jednorazových peňažných príspevkov uvádzame</w:t>
      </w:r>
      <w:r w:rsidR="00BA50C2">
        <w:rPr>
          <w:szCs w:val="23"/>
        </w:rPr>
        <w:t xml:space="preserve"> v </w:t>
      </w:r>
      <w:r w:rsidRPr="00AE6EDB">
        <w:rPr>
          <w:szCs w:val="23"/>
        </w:rPr>
        <w:t xml:space="preserve"> tabuľke 3.23.</w:t>
      </w:r>
    </w:p>
    <w:p w:rsidR="000A7585" w:rsidRPr="00AE6EDB" w:rsidRDefault="000A7585" w:rsidP="000A7585">
      <w:pPr>
        <w:ind w:firstLine="431"/>
        <w:rPr>
          <w:szCs w:val="22"/>
          <w:highlight w:val="cyan"/>
        </w:rPr>
      </w:pPr>
    </w:p>
    <w:p w:rsidR="000A7585" w:rsidRPr="00AE6EDB" w:rsidRDefault="000A7585" w:rsidP="000A7585">
      <w:pPr>
        <w:jc w:val="left"/>
        <w:rPr>
          <w:highlight w:val="cyan"/>
        </w:rPr>
      </w:pPr>
    </w:p>
    <w:p w:rsidR="000A7585" w:rsidRPr="00AE6EDB" w:rsidRDefault="000A7585" w:rsidP="000A7585">
      <w:pPr>
        <w:jc w:val="left"/>
        <w:rPr>
          <w:b/>
          <w:highlight w:val="cyan"/>
        </w:rPr>
      </w:pPr>
      <w:r w:rsidRPr="00AE6EDB">
        <w:rPr>
          <w:highlight w:val="cyan"/>
        </w:rPr>
        <w:br w:type="page"/>
      </w:r>
    </w:p>
    <w:p w:rsidR="000A7585" w:rsidRPr="00AE6EDB" w:rsidRDefault="000A7585" w:rsidP="000A7585">
      <w:pPr>
        <w:pStyle w:val="Nadpis7"/>
      </w:pPr>
      <w:r w:rsidRPr="00AE6EDB">
        <w:t>Tabuľka 3.2</w:t>
      </w:r>
      <w:r w:rsidR="00F2550D" w:rsidRPr="00AE6EDB">
        <w:t>2</w:t>
      </w:r>
      <w:r w:rsidRPr="00AE6EDB">
        <w:t xml:space="preserve"> Prehľad opakovaných peňažných príspevkov na kompenzáciu</w:t>
      </w:r>
      <w:bookmarkEnd w:id="684"/>
    </w:p>
    <w:tbl>
      <w:tblPr>
        <w:tblW w:w="9289" w:type="dxa"/>
        <w:tblInd w:w="-60"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CellMar>
          <w:left w:w="15" w:type="dxa"/>
          <w:right w:w="15" w:type="dxa"/>
        </w:tblCellMar>
        <w:tblLook w:val="04A0" w:firstRow="1" w:lastRow="0" w:firstColumn="1" w:lastColumn="0" w:noHBand="0" w:noVBand="1"/>
      </w:tblPr>
      <w:tblGrid>
        <w:gridCol w:w="7160"/>
        <w:gridCol w:w="2129"/>
      </w:tblGrid>
      <w:tr w:rsidR="000A7585" w:rsidRPr="00AE6EDB" w:rsidTr="00AD2948">
        <w:trPr>
          <w:trHeight w:val="234"/>
        </w:trPr>
        <w:tc>
          <w:tcPr>
            <w:tcW w:w="7160" w:type="dxa"/>
            <w:shd w:val="clear" w:color="auto" w:fill="BF0000" w:themeFill="accent3" w:themeFillShade="BF"/>
            <w:vAlign w:val="center"/>
          </w:tcPr>
          <w:p w:rsidR="000A7585" w:rsidRPr="00AE6EDB" w:rsidRDefault="000A7585" w:rsidP="00DE0EEC">
            <w:pPr>
              <w:jc w:val="center"/>
              <w:rPr>
                <w:b/>
                <w:bCs/>
                <w:color w:val="FFFFFF" w:themeColor="background1"/>
                <w:szCs w:val="22"/>
              </w:rPr>
            </w:pPr>
            <w:r w:rsidRPr="00AE6EDB">
              <w:rPr>
                <w:b/>
                <w:color w:val="FFFFFF" w:themeColor="background1"/>
                <w:szCs w:val="22"/>
              </w:rPr>
              <w:t>Druhy opakovaných peňažných príspevkov</w:t>
            </w:r>
          </w:p>
        </w:tc>
        <w:tc>
          <w:tcPr>
            <w:tcW w:w="2129" w:type="dxa"/>
            <w:shd w:val="clear" w:color="auto" w:fill="BF0000" w:themeFill="accent3" w:themeFillShade="BF"/>
            <w:tcMar>
              <w:top w:w="0" w:type="dxa"/>
              <w:left w:w="75" w:type="dxa"/>
              <w:bottom w:w="0" w:type="dxa"/>
              <w:right w:w="75" w:type="dxa"/>
            </w:tcMar>
            <w:vAlign w:val="bottom"/>
          </w:tcPr>
          <w:p w:rsidR="000A7585" w:rsidRPr="00AE6EDB" w:rsidRDefault="000A7585" w:rsidP="005C0AC6">
            <w:pPr>
              <w:jc w:val="center"/>
              <w:rPr>
                <w:b/>
                <w:color w:val="FFFFFF" w:themeColor="background1"/>
                <w:szCs w:val="22"/>
              </w:rPr>
            </w:pPr>
            <w:r w:rsidRPr="00AE6EDB">
              <w:rPr>
                <w:b/>
                <w:color w:val="FFFFFF" w:themeColor="background1"/>
                <w:szCs w:val="22"/>
              </w:rPr>
              <w:t>Výšk</w:t>
            </w:r>
            <w:r w:rsidR="005C0AC6" w:rsidRPr="00AE6EDB">
              <w:rPr>
                <w:b/>
                <w:color w:val="FFFFFF" w:themeColor="background1"/>
                <w:szCs w:val="22"/>
              </w:rPr>
              <w:t>a</w:t>
            </w:r>
            <w:r w:rsidRPr="00AE6EDB">
              <w:rPr>
                <w:b/>
                <w:color w:val="FFFFFF" w:themeColor="background1"/>
                <w:szCs w:val="22"/>
              </w:rPr>
              <w:t xml:space="preserve"> PP v €</w:t>
            </w:r>
            <w:r w:rsidR="005D52FC" w:rsidRPr="00AE6EDB">
              <w:rPr>
                <w:rStyle w:val="Odkaznapoznmkupodiarou"/>
                <w:b/>
                <w:color w:val="FFFFFF" w:themeColor="background1"/>
                <w:szCs w:val="22"/>
              </w:rPr>
              <w:footnoteReference w:id="45"/>
            </w:r>
          </w:p>
        </w:tc>
      </w:tr>
      <w:tr w:rsidR="000A7585" w:rsidRPr="00AE6EDB" w:rsidTr="00AD2948">
        <w:trPr>
          <w:trHeight w:val="234"/>
        </w:trPr>
        <w:tc>
          <w:tcPr>
            <w:tcW w:w="7160" w:type="dxa"/>
          </w:tcPr>
          <w:p w:rsidR="000A7585" w:rsidRPr="00AE6EDB" w:rsidRDefault="000A7585" w:rsidP="00DE0EEC">
            <w:pPr>
              <w:spacing w:line="0" w:lineRule="atLeast"/>
            </w:pPr>
            <w:r w:rsidRPr="00AE6EDB">
              <w:rPr>
                <w:b/>
                <w:bCs/>
                <w:szCs w:val="22"/>
              </w:rPr>
              <w:t>PP na osobnú asistenciu</w:t>
            </w:r>
            <w:r w:rsidRPr="00AE6EDB">
              <w:rPr>
                <w:szCs w:val="22"/>
              </w:rPr>
              <w:t xml:space="preserve"> – sadzba na jednu hodinu </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2,76</w:t>
            </w:r>
          </w:p>
        </w:tc>
      </w:tr>
      <w:tr w:rsidR="000A7585" w:rsidRPr="00AE6EDB" w:rsidTr="00AD2948">
        <w:trPr>
          <w:trHeight w:val="234"/>
        </w:trPr>
        <w:tc>
          <w:tcPr>
            <w:tcW w:w="7160" w:type="dxa"/>
            <w:vAlign w:val="center"/>
          </w:tcPr>
          <w:p w:rsidR="000A7585" w:rsidRPr="00AE6EDB" w:rsidRDefault="000A7585" w:rsidP="00DE0EEC">
            <w:pPr>
              <w:spacing w:line="0" w:lineRule="atLeast"/>
            </w:pPr>
            <w:r w:rsidRPr="00AE6EDB">
              <w:rPr>
                <w:b/>
                <w:bCs/>
                <w:szCs w:val="22"/>
              </w:rPr>
              <w:t>PP na prepravu</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101,07</w:t>
            </w:r>
          </w:p>
        </w:tc>
      </w:tr>
      <w:tr w:rsidR="000A7585" w:rsidRPr="00AE6EDB" w:rsidTr="00AD2948">
        <w:trPr>
          <w:trHeight w:val="221"/>
        </w:trPr>
        <w:tc>
          <w:tcPr>
            <w:tcW w:w="7160" w:type="dxa"/>
            <w:vAlign w:val="center"/>
          </w:tcPr>
          <w:p w:rsidR="000A7585" w:rsidRPr="00AE6EDB" w:rsidRDefault="000A7585" w:rsidP="00DE0EEC">
            <w:pPr>
              <w:spacing w:line="0" w:lineRule="atLeast"/>
            </w:pPr>
            <w:r w:rsidRPr="00AE6EDB">
              <w:rPr>
                <w:b/>
                <w:bCs/>
                <w:szCs w:val="22"/>
              </w:rPr>
              <w:t>PP na kompenzáciu zvýšených výdavkov</w:t>
            </w:r>
            <w:r w:rsidRPr="00AE6EDB">
              <w:rPr>
                <w:szCs w:val="22"/>
              </w:rPr>
              <w:t>:</w:t>
            </w:r>
          </w:p>
        </w:tc>
        <w:tc>
          <w:tcPr>
            <w:tcW w:w="2129" w:type="dxa"/>
            <w:tcMar>
              <w:top w:w="0" w:type="dxa"/>
              <w:left w:w="75" w:type="dxa"/>
              <w:bottom w:w="0" w:type="dxa"/>
              <w:right w:w="75" w:type="dxa"/>
            </w:tcMar>
            <w:vAlign w:val="bottom"/>
          </w:tcPr>
          <w:p w:rsidR="000A7585" w:rsidRPr="00AE6EDB" w:rsidRDefault="000A7585" w:rsidP="00DE0EEC">
            <w:pPr>
              <w:ind w:right="634"/>
              <w:jc w:val="right"/>
            </w:pPr>
          </w:p>
        </w:tc>
      </w:tr>
      <w:tr w:rsidR="000A7585" w:rsidRPr="00AE6EDB" w:rsidTr="00AD2948">
        <w:trPr>
          <w:trHeight w:val="234"/>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na diétne stravovanie</w:t>
            </w:r>
          </w:p>
        </w:tc>
        <w:tc>
          <w:tcPr>
            <w:tcW w:w="2129" w:type="dxa"/>
            <w:tcMar>
              <w:top w:w="0" w:type="dxa"/>
              <w:left w:w="75" w:type="dxa"/>
              <w:bottom w:w="0" w:type="dxa"/>
              <w:right w:w="75" w:type="dxa"/>
            </w:tcMar>
            <w:vAlign w:val="bottom"/>
          </w:tcPr>
          <w:p w:rsidR="000A7585" w:rsidRPr="00AE6EDB" w:rsidRDefault="000A7585" w:rsidP="00DE0EEC">
            <w:pPr>
              <w:ind w:right="634"/>
              <w:jc w:val="right"/>
            </w:pPr>
          </w:p>
        </w:tc>
      </w:tr>
      <w:tr w:rsidR="000A7585" w:rsidRPr="00AE6EDB" w:rsidTr="00AD2948">
        <w:trPr>
          <w:trHeight w:val="262"/>
        </w:trPr>
        <w:tc>
          <w:tcPr>
            <w:tcW w:w="7160" w:type="dxa"/>
          </w:tcPr>
          <w:p w:rsidR="000A7585" w:rsidRPr="00AE6EDB" w:rsidRDefault="000A7585" w:rsidP="00DE0EEC">
            <w:pPr>
              <w:spacing w:line="0" w:lineRule="atLeast"/>
              <w:ind w:left="913"/>
            </w:pPr>
            <w:r w:rsidRPr="00AE6EDB">
              <w:rPr>
                <w:szCs w:val="22"/>
              </w:rPr>
              <w:t>a) choroby a poruchy uvedené v prvej skupine prílohy č.5 zákona</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36,77</w:t>
            </w:r>
          </w:p>
        </w:tc>
      </w:tr>
      <w:tr w:rsidR="000A7585" w:rsidRPr="00AE6EDB" w:rsidTr="00AD2948">
        <w:trPr>
          <w:trHeight w:val="221"/>
        </w:trPr>
        <w:tc>
          <w:tcPr>
            <w:tcW w:w="7160" w:type="dxa"/>
          </w:tcPr>
          <w:p w:rsidR="000A7585" w:rsidRPr="00AE6EDB" w:rsidRDefault="000A7585" w:rsidP="00DE0EEC">
            <w:pPr>
              <w:tabs>
                <w:tab w:val="left" w:pos="3167"/>
              </w:tabs>
              <w:spacing w:line="0" w:lineRule="atLeast"/>
              <w:ind w:left="913"/>
            </w:pPr>
            <w:r w:rsidRPr="00AE6EDB">
              <w:rPr>
                <w:szCs w:val="22"/>
              </w:rPr>
              <w:t>b) choroby a poruchy uvedené v druhej skupine prílohy č.5 zákona</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18,39</w:t>
            </w:r>
          </w:p>
        </w:tc>
      </w:tr>
      <w:tr w:rsidR="000A7585" w:rsidRPr="00AE6EDB" w:rsidTr="00AD2948">
        <w:trPr>
          <w:trHeight w:val="234"/>
        </w:trPr>
        <w:tc>
          <w:tcPr>
            <w:tcW w:w="7160" w:type="dxa"/>
          </w:tcPr>
          <w:p w:rsidR="000A7585" w:rsidRPr="00AE6EDB" w:rsidRDefault="000A7585" w:rsidP="00DE0EEC">
            <w:pPr>
              <w:tabs>
                <w:tab w:val="left" w:pos="3167"/>
              </w:tabs>
              <w:spacing w:line="0" w:lineRule="atLeast"/>
              <w:ind w:left="913"/>
            </w:pPr>
            <w:r w:rsidRPr="00AE6EDB">
              <w:rPr>
                <w:szCs w:val="22"/>
              </w:rPr>
              <w:t>c) choroby a poruchy uvedené v tretej skupine prílohy č.5 zákona</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11,04</w:t>
            </w:r>
          </w:p>
        </w:tc>
      </w:tr>
      <w:tr w:rsidR="000A7585" w:rsidRPr="00AE6EDB" w:rsidTr="00AD2948">
        <w:trPr>
          <w:trHeight w:val="456"/>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hygienu alebo opotrebovanie šatstva, bielizne, obuvi a bytového zariadenia</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18,39</w:t>
            </w:r>
          </w:p>
        </w:tc>
      </w:tr>
      <w:tr w:rsidR="000A7585" w:rsidRPr="00AE6EDB" w:rsidTr="00AD2948">
        <w:trPr>
          <w:trHeight w:val="234"/>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zabezpečenie prevádzky osobného motorového vozidla</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33,09</w:t>
            </w:r>
          </w:p>
        </w:tc>
      </w:tr>
      <w:tr w:rsidR="000A7585" w:rsidRPr="00AE6EDB" w:rsidTr="00AD2948">
        <w:trPr>
          <w:trHeight w:val="221"/>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starostlivosť o psa so špeciálnym výcvikom</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44,12</w:t>
            </w:r>
          </w:p>
        </w:tc>
      </w:tr>
      <w:tr w:rsidR="000A7585" w:rsidRPr="00AE6EDB" w:rsidTr="00AD2948">
        <w:trPr>
          <w:trHeight w:val="234"/>
        </w:trPr>
        <w:tc>
          <w:tcPr>
            <w:tcW w:w="7160" w:type="dxa"/>
          </w:tcPr>
          <w:p w:rsidR="000A7585" w:rsidRPr="00AE6EDB" w:rsidRDefault="000A7585" w:rsidP="00DE0EEC">
            <w:pPr>
              <w:spacing w:line="0" w:lineRule="atLeast"/>
            </w:pPr>
            <w:r w:rsidRPr="00AE6EDB">
              <w:rPr>
                <w:b/>
                <w:bCs/>
                <w:szCs w:val="22"/>
              </w:rPr>
              <w:t>PP na opatrovanie</w:t>
            </w:r>
            <w:r w:rsidRPr="00AE6EDB">
              <w:rPr>
                <w:szCs w:val="22"/>
              </w:rPr>
              <w:t>:</w:t>
            </w:r>
          </w:p>
        </w:tc>
        <w:tc>
          <w:tcPr>
            <w:tcW w:w="2129" w:type="dxa"/>
            <w:tcMar>
              <w:top w:w="0" w:type="dxa"/>
              <w:left w:w="75" w:type="dxa"/>
              <w:bottom w:w="0" w:type="dxa"/>
              <w:right w:w="75" w:type="dxa"/>
            </w:tcMar>
            <w:vAlign w:val="bottom"/>
          </w:tcPr>
          <w:p w:rsidR="000A7585" w:rsidRPr="00AE6EDB" w:rsidRDefault="000A7585" w:rsidP="00DE0EEC">
            <w:pPr>
              <w:ind w:right="634"/>
              <w:jc w:val="right"/>
            </w:pPr>
          </w:p>
        </w:tc>
      </w:tr>
      <w:tr w:rsidR="000A7585" w:rsidRPr="00AE6EDB" w:rsidTr="00AD2948">
        <w:trPr>
          <w:trHeight w:val="456"/>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FO</w:t>
            </w:r>
            <w:r w:rsidRPr="00AE6EDB">
              <w:rPr>
                <w:b/>
                <w:szCs w:val="22"/>
                <w:vertAlign w:val="superscript"/>
              </w:rPr>
              <w:t xml:space="preserve"> </w:t>
            </w:r>
            <w:r w:rsidRPr="00AE6EDB">
              <w:rPr>
                <w:b/>
                <w:szCs w:val="22"/>
              </w:rPr>
              <w:t>(opatrovateľ) nepoberá niektorú zo zákonom ustanovených dôchodkových dávok:</w:t>
            </w:r>
          </w:p>
        </w:tc>
        <w:tc>
          <w:tcPr>
            <w:tcW w:w="2129" w:type="dxa"/>
            <w:tcMar>
              <w:top w:w="0" w:type="dxa"/>
              <w:left w:w="75" w:type="dxa"/>
              <w:bottom w:w="0" w:type="dxa"/>
              <w:right w:w="75" w:type="dxa"/>
            </w:tcMar>
            <w:vAlign w:val="bottom"/>
          </w:tcPr>
          <w:p w:rsidR="000A7585" w:rsidRPr="00AE6EDB" w:rsidRDefault="000A7585" w:rsidP="00DE0EEC">
            <w:pPr>
              <w:ind w:right="634"/>
              <w:jc w:val="right"/>
            </w:pPr>
          </w:p>
        </w:tc>
      </w:tr>
      <w:tr w:rsidR="000A7585" w:rsidRPr="00AE6EDB" w:rsidTr="00AD2948">
        <w:trPr>
          <w:trHeight w:val="234"/>
        </w:trPr>
        <w:tc>
          <w:tcPr>
            <w:tcW w:w="7160" w:type="dxa"/>
          </w:tcPr>
          <w:p w:rsidR="000A7585" w:rsidRPr="00AE6EDB" w:rsidRDefault="000A7585" w:rsidP="00DE0EEC">
            <w:pPr>
              <w:spacing w:line="0" w:lineRule="atLeast"/>
              <w:ind w:left="913"/>
            </w:pPr>
            <w:r w:rsidRPr="00AE6EDB">
              <w:rPr>
                <w:szCs w:val="22"/>
              </w:rPr>
              <w:t>a) opatruje jednu FO s ŤZP</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220,52</w:t>
            </w:r>
          </w:p>
        </w:tc>
      </w:tr>
      <w:tr w:rsidR="000A7585" w:rsidRPr="00AE6EDB" w:rsidTr="00AD2948">
        <w:trPr>
          <w:trHeight w:val="221"/>
        </w:trPr>
        <w:tc>
          <w:tcPr>
            <w:tcW w:w="7160" w:type="dxa"/>
          </w:tcPr>
          <w:p w:rsidR="000A7585" w:rsidRPr="00AE6EDB" w:rsidRDefault="000A7585" w:rsidP="00DE0EEC">
            <w:pPr>
              <w:spacing w:line="0" w:lineRule="atLeast"/>
              <w:ind w:left="913"/>
            </w:pPr>
            <w:r w:rsidRPr="00AE6EDB">
              <w:rPr>
                <w:szCs w:val="22"/>
              </w:rPr>
              <w:t>b) opatruje dve alebo viaceré FO s ŤZP</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294,01</w:t>
            </w:r>
          </w:p>
        </w:tc>
      </w:tr>
      <w:tr w:rsidR="000A7585" w:rsidRPr="00AE6EDB" w:rsidTr="00AD2948">
        <w:trPr>
          <w:trHeight w:val="170"/>
        </w:trPr>
        <w:tc>
          <w:tcPr>
            <w:tcW w:w="7160" w:type="dxa"/>
          </w:tcPr>
          <w:p w:rsidR="000A7585" w:rsidRPr="00AE6EDB" w:rsidRDefault="000A7585" w:rsidP="00DE0EEC">
            <w:pPr>
              <w:spacing w:line="0" w:lineRule="atLeast"/>
              <w:ind w:left="913"/>
            </w:pPr>
            <w:r w:rsidRPr="00AE6EDB">
              <w:rPr>
                <w:szCs w:val="22"/>
              </w:rPr>
              <w:t>c) opatruje jednu FO s ŤZP, ktorá je viac ako 20 hodín týždenne v zariadení</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194,79</w:t>
            </w:r>
          </w:p>
        </w:tc>
      </w:tr>
      <w:tr w:rsidR="000A7585" w:rsidRPr="00AE6EDB" w:rsidTr="00AD2948">
        <w:trPr>
          <w:trHeight w:val="340"/>
        </w:trPr>
        <w:tc>
          <w:tcPr>
            <w:tcW w:w="7160" w:type="dxa"/>
          </w:tcPr>
          <w:p w:rsidR="000A7585" w:rsidRPr="00AE6EDB" w:rsidRDefault="000A7585" w:rsidP="00DE0EEC">
            <w:pPr>
              <w:spacing w:line="0" w:lineRule="atLeast"/>
              <w:ind w:left="913"/>
            </w:pPr>
            <w:r w:rsidRPr="00AE6EDB">
              <w:rPr>
                <w:szCs w:val="22"/>
              </w:rPr>
              <w:t>d) opatruje dve alebo viaceré FO s ŤZP, ktoré sú viac ako 20 hodín týždenne v zariadení</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275,65</w:t>
            </w:r>
          </w:p>
        </w:tc>
      </w:tr>
      <w:tr w:rsidR="000A7585" w:rsidRPr="00AE6EDB" w:rsidTr="00AD2948">
        <w:trPr>
          <w:trHeight w:val="690"/>
        </w:trPr>
        <w:tc>
          <w:tcPr>
            <w:tcW w:w="7160" w:type="dxa"/>
          </w:tcPr>
          <w:p w:rsidR="000A7585" w:rsidRPr="00AE6EDB" w:rsidRDefault="000A7585" w:rsidP="00DE0EEC">
            <w:pPr>
              <w:spacing w:line="0" w:lineRule="atLeast"/>
              <w:ind w:left="913"/>
            </w:pPr>
            <w:r w:rsidRPr="00AE6EDB">
              <w:rPr>
                <w:szCs w:val="22"/>
              </w:rPr>
              <w:t>e) opatruje FO s ŤZP, ktorá je v zariadení viac ako 20 hodín týždenne a súčasne opatruje aj druhú FO s ŤZP, ktorá nie je v zariadení alebo je v zariadení najviac 20 hodín týždenne</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286,66</w:t>
            </w:r>
          </w:p>
        </w:tc>
      </w:tr>
      <w:tr w:rsidR="000A7585" w:rsidRPr="00AE6EDB" w:rsidTr="00AD2948">
        <w:trPr>
          <w:trHeight w:val="456"/>
        </w:trPr>
        <w:tc>
          <w:tcPr>
            <w:tcW w:w="7160" w:type="dxa"/>
          </w:tcPr>
          <w:p w:rsidR="000A7585" w:rsidRPr="00AE6EDB" w:rsidRDefault="000A7585" w:rsidP="00DE0EEC">
            <w:pPr>
              <w:pStyle w:val="Odsekzoznamu"/>
              <w:numPr>
                <w:ilvl w:val="0"/>
                <w:numId w:val="14"/>
              </w:numPr>
              <w:spacing w:line="0" w:lineRule="atLeast"/>
              <w:rPr>
                <w:b/>
              </w:rPr>
            </w:pPr>
            <w:r w:rsidRPr="00AE6EDB">
              <w:rPr>
                <w:b/>
                <w:szCs w:val="22"/>
              </w:rPr>
              <w:t>FO (opatrovateľ) poberá niektorú zo zákonom ustanovených dôchodkových dávok</w:t>
            </w:r>
          </w:p>
        </w:tc>
        <w:tc>
          <w:tcPr>
            <w:tcW w:w="2129" w:type="dxa"/>
            <w:tcMar>
              <w:top w:w="0" w:type="dxa"/>
              <w:left w:w="75" w:type="dxa"/>
              <w:bottom w:w="0" w:type="dxa"/>
              <w:right w:w="75" w:type="dxa"/>
            </w:tcMar>
            <w:vAlign w:val="bottom"/>
          </w:tcPr>
          <w:p w:rsidR="000A7585" w:rsidRPr="00AE6EDB" w:rsidRDefault="000A7585" w:rsidP="00DE0EEC">
            <w:pPr>
              <w:ind w:right="634"/>
              <w:jc w:val="right"/>
            </w:pPr>
          </w:p>
        </w:tc>
      </w:tr>
      <w:tr w:rsidR="000A7585" w:rsidRPr="00AE6EDB" w:rsidTr="00AD2948">
        <w:trPr>
          <w:trHeight w:val="234"/>
        </w:trPr>
        <w:tc>
          <w:tcPr>
            <w:tcW w:w="7160" w:type="dxa"/>
          </w:tcPr>
          <w:p w:rsidR="000A7585" w:rsidRPr="00AE6EDB" w:rsidRDefault="000A7585" w:rsidP="00DE0EEC">
            <w:pPr>
              <w:spacing w:line="0" w:lineRule="atLeast"/>
              <w:ind w:left="913"/>
            </w:pPr>
            <w:r w:rsidRPr="00AE6EDB">
              <w:rPr>
                <w:szCs w:val="22"/>
              </w:rPr>
              <w:t>a) opatruje jednu FO s ŤZP</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91,88</w:t>
            </w:r>
          </w:p>
        </w:tc>
      </w:tr>
      <w:tr w:rsidR="000A7585" w:rsidRPr="00AE6EDB" w:rsidTr="00AD2948">
        <w:trPr>
          <w:trHeight w:val="234"/>
        </w:trPr>
        <w:tc>
          <w:tcPr>
            <w:tcW w:w="7160" w:type="dxa"/>
          </w:tcPr>
          <w:p w:rsidR="000A7585" w:rsidRPr="00AE6EDB" w:rsidRDefault="000A7585" w:rsidP="00DE0EEC">
            <w:pPr>
              <w:spacing w:line="0" w:lineRule="atLeast"/>
              <w:ind w:left="913"/>
            </w:pPr>
            <w:r w:rsidRPr="00AE6EDB">
              <w:rPr>
                <w:szCs w:val="22"/>
              </w:rPr>
              <w:t>b) opatruje dve alebo viaceré FO s ŤZP</w:t>
            </w:r>
          </w:p>
        </w:tc>
        <w:tc>
          <w:tcPr>
            <w:tcW w:w="2129" w:type="dxa"/>
            <w:tcMar>
              <w:top w:w="0" w:type="dxa"/>
              <w:left w:w="75" w:type="dxa"/>
              <w:bottom w:w="0" w:type="dxa"/>
              <w:right w:w="75" w:type="dxa"/>
            </w:tcMar>
            <w:vAlign w:val="bottom"/>
          </w:tcPr>
          <w:p w:rsidR="000A7585" w:rsidRPr="00AE6EDB" w:rsidRDefault="000A7585" w:rsidP="00DE0EEC">
            <w:pPr>
              <w:ind w:right="634"/>
              <w:jc w:val="right"/>
            </w:pPr>
            <w:r w:rsidRPr="00AE6EDB">
              <w:rPr>
                <w:szCs w:val="22"/>
              </w:rPr>
              <w:t>121,28</w:t>
            </w:r>
          </w:p>
        </w:tc>
      </w:tr>
    </w:tbl>
    <w:p w:rsidR="000A7585" w:rsidRPr="00AE6EDB" w:rsidRDefault="000A7585" w:rsidP="000A7585">
      <w:pPr>
        <w:pStyle w:val="zdroj"/>
        <w:rPr>
          <w:bCs/>
          <w:szCs w:val="22"/>
        </w:rPr>
      </w:pPr>
      <w:r w:rsidRPr="00AE6EDB">
        <w:t xml:space="preserve">Zdroj: MPSVR SR </w:t>
      </w:r>
    </w:p>
    <w:p w:rsidR="000A7585" w:rsidRPr="00AE6EDB" w:rsidRDefault="000A7585" w:rsidP="00AD2948">
      <w:pPr>
        <w:pStyle w:val="Nadpis7"/>
      </w:pPr>
      <w:bookmarkStart w:id="685" w:name="_Toc356482734"/>
      <w:r w:rsidRPr="00AE6EDB">
        <w:t>Tabuľka 3.2</w:t>
      </w:r>
      <w:r w:rsidR="00F2550D" w:rsidRPr="00AE6EDB">
        <w:t>3</w:t>
      </w:r>
      <w:r w:rsidRPr="00AE6EDB">
        <w:t xml:space="preserve"> Maximálne výšky jednorazových peňažných príspevkov na kompenzáciu </w:t>
      </w:r>
      <w:bookmarkEnd w:id="685"/>
    </w:p>
    <w:tbl>
      <w:tblPr>
        <w:tblStyle w:val="LightList-Accent11"/>
        <w:tblW w:w="912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7380"/>
        <w:gridCol w:w="1746"/>
      </w:tblGrid>
      <w:tr w:rsidR="000A7585" w:rsidRPr="00AE6EDB" w:rsidTr="00DE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8" w:space="0" w:color="BF0000" w:themeColor="accent3" w:themeShade="BF"/>
              <w:bottom w:val="single" w:sz="6" w:space="0" w:color="BF0000" w:themeColor="accent3" w:themeShade="BF"/>
            </w:tcBorders>
            <w:shd w:val="clear" w:color="auto" w:fill="BF0000" w:themeFill="accent3" w:themeFillShade="BF"/>
            <w:vAlign w:val="center"/>
          </w:tcPr>
          <w:p w:rsidR="000A7585" w:rsidRPr="00AE6EDB" w:rsidRDefault="000A7585" w:rsidP="00DE0EEC">
            <w:pPr>
              <w:rPr>
                <w:bCs w:val="0"/>
              </w:rPr>
            </w:pPr>
            <w:r w:rsidRPr="00AE6EDB">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tcBorders>
              <w:top w:val="single" w:sz="8"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AE6EDB" w:rsidRDefault="000A7585" w:rsidP="00DE0EEC">
            <w:pPr>
              <w:jc w:val="center"/>
              <w:rPr>
                <w:bCs w:val="0"/>
              </w:rPr>
            </w:pPr>
            <w:r w:rsidRPr="00AE6EDB">
              <w:t>Maximálna výška v €</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BF0000" w:themeColor="accent3" w:themeShade="BF"/>
              <w:left w:val="none" w:sz="0" w:space="0" w:color="auto"/>
              <w:bottom w:val="none" w:sz="0" w:space="0" w:color="auto"/>
            </w:tcBorders>
            <w:hideMark/>
          </w:tcPr>
          <w:p w:rsidR="000A7585" w:rsidRPr="00AE6EDB" w:rsidRDefault="000A7585" w:rsidP="00DE0EEC">
            <w:pPr>
              <w:rPr>
                <w:b w:val="0"/>
              </w:rPr>
            </w:pPr>
            <w:r w:rsidRPr="00AE6EDB">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6" w:space="0" w:color="BF0000" w:themeColor="accent3" w:themeShade="BF"/>
              <w:bottom w:val="none" w:sz="0" w:space="0" w:color="auto"/>
              <w:right w:val="none" w:sz="0" w:space="0" w:color="auto"/>
            </w:tcBorders>
            <w:vAlign w:val="bottom"/>
            <w:hideMark/>
          </w:tcPr>
          <w:p w:rsidR="000A7585" w:rsidRPr="00AE6EDB" w:rsidRDefault="00AC44CB" w:rsidP="00DE0EEC">
            <w:pPr>
              <w:ind w:right="263"/>
              <w:jc w:val="right"/>
              <w:rPr>
                <w:b w:val="0"/>
                <w:szCs w:val="22"/>
              </w:rPr>
            </w:pPr>
            <w:r>
              <w:rPr>
                <w:b w:val="0"/>
                <w:szCs w:val="22"/>
              </w:rPr>
              <w:t>8 6</w:t>
            </w:r>
            <w:r w:rsidR="000A7585" w:rsidRPr="00AE6EDB">
              <w:rPr>
                <w:b w:val="0"/>
                <w:szCs w:val="22"/>
              </w:rPr>
              <w:t>30,42</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7380" w:type="dxa"/>
            <w:hideMark/>
          </w:tcPr>
          <w:p w:rsidR="000A7585" w:rsidRPr="00AE6EDB" w:rsidRDefault="000A7585" w:rsidP="00DE0EEC">
            <w:pPr>
              <w:rPr>
                <w:b w:val="0"/>
              </w:rPr>
            </w:pPr>
            <w:r w:rsidRPr="00AE6EDB">
              <w:rPr>
                <w:color w:val="000000" w:themeColor="text1"/>
              </w:rPr>
              <w:t>–</w:t>
            </w:r>
            <w:r w:rsidRPr="00AE6EDB">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0A7585" w:rsidRPr="00AE6EDB" w:rsidRDefault="0054295F" w:rsidP="00DE0EEC">
            <w:pPr>
              <w:ind w:right="263"/>
              <w:jc w:val="right"/>
              <w:rPr>
                <w:b w:val="0"/>
                <w:szCs w:val="22"/>
              </w:rPr>
            </w:pPr>
            <w:r>
              <w:rPr>
                <w:b w:val="0"/>
                <w:szCs w:val="22"/>
              </w:rPr>
              <w:t>1 6</w:t>
            </w:r>
            <w:r w:rsidR="000A7585" w:rsidRPr="00AE6EDB">
              <w:rPr>
                <w:b w:val="0"/>
                <w:szCs w:val="22"/>
              </w:rPr>
              <w:t>59,70</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color w:val="000000" w:themeColor="text1"/>
              </w:rPr>
              <w:t>–</w:t>
            </w:r>
            <w:r w:rsidRPr="00AE6EDB">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AC44CB" w:rsidP="00DE0EEC">
            <w:pPr>
              <w:ind w:right="263"/>
              <w:jc w:val="right"/>
              <w:rPr>
                <w:b w:val="0"/>
                <w:szCs w:val="22"/>
              </w:rPr>
            </w:pPr>
            <w:r>
              <w:rPr>
                <w:b w:val="0"/>
                <w:szCs w:val="22"/>
              </w:rPr>
              <w:t>4 9</w:t>
            </w:r>
            <w:r w:rsidR="000A7585" w:rsidRPr="00AE6EDB">
              <w:rPr>
                <w:b w:val="0"/>
                <w:szCs w:val="22"/>
              </w:rPr>
              <w:t>79,09</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7380" w:type="dxa"/>
            <w:hideMark/>
          </w:tcPr>
          <w:p w:rsidR="000A7585" w:rsidRPr="00AE6EDB" w:rsidRDefault="000A7585" w:rsidP="00DE0EEC">
            <w:pPr>
              <w:rPr>
                <w:b w:val="0"/>
              </w:rPr>
            </w:pPr>
            <w:r w:rsidRPr="00AE6EDB">
              <w:rPr>
                <w:color w:val="000000" w:themeColor="text1"/>
              </w:rPr>
              <w:t>–</w:t>
            </w:r>
            <w:r w:rsidRPr="00AE6EDB">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0A7585" w:rsidRPr="00AE6EDB" w:rsidRDefault="000A7585" w:rsidP="00DE0EEC">
            <w:pPr>
              <w:ind w:right="263"/>
              <w:jc w:val="right"/>
              <w:rPr>
                <w:b w:val="0"/>
                <w:szCs w:val="22"/>
              </w:rPr>
            </w:pPr>
            <w:r w:rsidRPr="00AE6EDB">
              <w:rPr>
                <w:b w:val="0"/>
                <w:szCs w:val="22"/>
              </w:rPr>
              <w:t>331,94</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AC44CB" w:rsidP="00DE0EEC">
            <w:pPr>
              <w:ind w:right="263"/>
              <w:jc w:val="right"/>
              <w:rPr>
                <w:b w:val="0"/>
                <w:szCs w:val="22"/>
              </w:rPr>
            </w:pPr>
            <w:r>
              <w:rPr>
                <w:b w:val="0"/>
                <w:szCs w:val="22"/>
              </w:rPr>
              <w:t>8 6</w:t>
            </w:r>
            <w:r w:rsidR="000A7585" w:rsidRPr="00AE6EDB">
              <w:rPr>
                <w:b w:val="0"/>
                <w:szCs w:val="22"/>
              </w:rPr>
              <w:t>30,42</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7380" w:type="dxa"/>
            <w:hideMark/>
          </w:tcPr>
          <w:p w:rsidR="000A7585" w:rsidRPr="00AE6EDB" w:rsidRDefault="000A7585" w:rsidP="00DE0EEC">
            <w:pPr>
              <w:rPr>
                <w:b w:val="0"/>
              </w:rPr>
            </w:pPr>
            <w:r w:rsidRPr="00AE6EDB">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0A7585" w:rsidRPr="00AE6EDB" w:rsidRDefault="00AC44CB" w:rsidP="00DE0EEC">
            <w:pPr>
              <w:ind w:right="263"/>
              <w:jc w:val="right"/>
              <w:rPr>
                <w:b w:val="0"/>
                <w:szCs w:val="22"/>
              </w:rPr>
            </w:pPr>
            <w:r>
              <w:rPr>
                <w:b w:val="0"/>
                <w:szCs w:val="22"/>
              </w:rPr>
              <w:t>8 6</w:t>
            </w:r>
            <w:r w:rsidR="000A7585" w:rsidRPr="00AE6EDB">
              <w:rPr>
                <w:b w:val="0"/>
                <w:szCs w:val="22"/>
              </w:rPr>
              <w:t>30,42</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0A7585" w:rsidP="00DE0EEC">
            <w:pPr>
              <w:ind w:right="263"/>
              <w:jc w:val="right"/>
              <w:rPr>
                <w:b w:val="0"/>
                <w:szCs w:val="22"/>
              </w:rPr>
            </w:pPr>
            <w:r w:rsidRPr="00AE6EDB">
              <w:rPr>
                <w:b w:val="0"/>
                <w:szCs w:val="22"/>
              </w:rPr>
              <w:t>1</w:t>
            </w:r>
            <w:r w:rsidR="0054295F">
              <w:rPr>
                <w:b w:val="0"/>
                <w:szCs w:val="22"/>
              </w:rPr>
              <w:t>1 6</w:t>
            </w:r>
            <w:r w:rsidRPr="00AE6EDB">
              <w:rPr>
                <w:b w:val="0"/>
                <w:szCs w:val="22"/>
              </w:rPr>
              <w:t>17,88</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7380" w:type="dxa"/>
            <w:hideMark/>
          </w:tcPr>
          <w:p w:rsidR="000A7585" w:rsidRPr="00AE6EDB" w:rsidRDefault="000A7585" w:rsidP="00DE0EEC">
            <w:pPr>
              <w:rPr>
                <w:b w:val="0"/>
              </w:rPr>
            </w:pPr>
            <w:r w:rsidRPr="00AE6EDB">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0A7585" w:rsidRPr="00AE6EDB" w:rsidRDefault="00AC44CB" w:rsidP="00DE0EEC">
            <w:pPr>
              <w:ind w:right="263"/>
              <w:jc w:val="right"/>
              <w:rPr>
                <w:b w:val="0"/>
                <w:szCs w:val="22"/>
              </w:rPr>
            </w:pPr>
            <w:r>
              <w:rPr>
                <w:b w:val="0"/>
                <w:szCs w:val="22"/>
              </w:rPr>
              <w:t>6 6</w:t>
            </w:r>
            <w:r w:rsidR="000A7585" w:rsidRPr="00AE6EDB">
              <w:rPr>
                <w:b w:val="0"/>
                <w:szCs w:val="22"/>
              </w:rPr>
              <w:t>38,79</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color w:val="000000" w:themeColor="text1"/>
              </w:rPr>
              <w:t>–</w:t>
            </w:r>
            <w:r w:rsidRPr="00AE6EDB">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AC44CB" w:rsidP="00DE0EEC">
            <w:pPr>
              <w:ind w:right="263"/>
              <w:jc w:val="right"/>
              <w:rPr>
                <w:b w:val="0"/>
                <w:szCs w:val="22"/>
              </w:rPr>
            </w:pPr>
            <w:r>
              <w:rPr>
                <w:b w:val="0"/>
                <w:szCs w:val="22"/>
              </w:rPr>
              <w:t>8 2</w:t>
            </w:r>
            <w:r w:rsidR="000A7585" w:rsidRPr="00AE6EDB">
              <w:rPr>
                <w:b w:val="0"/>
                <w:szCs w:val="22"/>
              </w:rPr>
              <w:t>98,48</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7380" w:type="dxa"/>
            <w:hideMark/>
          </w:tcPr>
          <w:p w:rsidR="000A7585" w:rsidRPr="00AE6EDB" w:rsidRDefault="000A7585" w:rsidP="00DE0EEC">
            <w:pPr>
              <w:rPr>
                <w:b w:val="0"/>
              </w:rPr>
            </w:pPr>
            <w:r w:rsidRPr="00AE6EDB">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0A7585" w:rsidRPr="00AE6EDB" w:rsidRDefault="00AC44CB" w:rsidP="00DE0EEC">
            <w:pPr>
              <w:ind w:right="263"/>
              <w:jc w:val="right"/>
              <w:rPr>
                <w:b w:val="0"/>
                <w:szCs w:val="22"/>
              </w:rPr>
            </w:pPr>
            <w:r>
              <w:rPr>
                <w:b w:val="0"/>
                <w:szCs w:val="22"/>
              </w:rPr>
              <w:t>6 6</w:t>
            </w:r>
            <w:r w:rsidR="000A7585" w:rsidRPr="00AE6EDB">
              <w:rPr>
                <w:b w:val="0"/>
                <w:szCs w:val="22"/>
              </w:rPr>
              <w:t>38,79</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Úhrn peňažných príspevkov na úpravu bytu a peňažných</w:t>
            </w:r>
          </w:p>
          <w:p w:rsidR="000A7585" w:rsidRPr="00AE6EDB" w:rsidRDefault="000A7585" w:rsidP="00DE0EEC">
            <w:pPr>
              <w:rPr>
                <w:b w:val="0"/>
              </w:rPr>
            </w:pPr>
            <w:r w:rsidRPr="00AE6EDB">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AC44CB" w:rsidP="00DE0EEC">
            <w:pPr>
              <w:ind w:right="263"/>
              <w:jc w:val="right"/>
              <w:rPr>
                <w:b w:val="0"/>
                <w:szCs w:val="22"/>
              </w:rPr>
            </w:pPr>
            <w:r>
              <w:rPr>
                <w:b w:val="0"/>
                <w:szCs w:val="22"/>
              </w:rPr>
              <w:t>6 6</w:t>
            </w:r>
            <w:r w:rsidR="000A7585" w:rsidRPr="00AE6EDB">
              <w:rPr>
                <w:b w:val="0"/>
                <w:szCs w:val="22"/>
              </w:rPr>
              <w:t>38,79</w:t>
            </w:r>
          </w:p>
        </w:tc>
      </w:tr>
      <w:tr w:rsidR="000A7585" w:rsidRPr="00AE6EDB" w:rsidTr="00DE0E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0A7585" w:rsidRPr="00AE6EDB" w:rsidRDefault="0054295F" w:rsidP="00DE0EEC">
            <w:pPr>
              <w:ind w:right="263"/>
              <w:jc w:val="right"/>
              <w:rPr>
                <w:b w:val="0"/>
                <w:szCs w:val="22"/>
              </w:rPr>
            </w:pPr>
            <w:r>
              <w:rPr>
                <w:b w:val="0"/>
                <w:szCs w:val="22"/>
              </w:rPr>
              <w:t>1 6</w:t>
            </w:r>
            <w:r w:rsidR="000A7585" w:rsidRPr="00AE6EDB">
              <w:rPr>
                <w:b w:val="0"/>
                <w:szCs w:val="22"/>
              </w:rPr>
              <w:t>59,70</w:t>
            </w:r>
          </w:p>
        </w:tc>
      </w:tr>
    </w:tbl>
    <w:p w:rsidR="000A7585" w:rsidRPr="00AE6EDB" w:rsidRDefault="000A7585" w:rsidP="00AD2948">
      <w:pPr>
        <w:pStyle w:val="zdroj"/>
        <w:rPr>
          <w:bCs/>
          <w:szCs w:val="22"/>
        </w:rPr>
      </w:pPr>
      <w:r w:rsidRPr="00AE6EDB">
        <w:t xml:space="preserve">Zdroj: MPSVR SR </w:t>
      </w:r>
    </w:p>
    <w:p w:rsidR="000A7585" w:rsidRPr="00AE6EDB" w:rsidRDefault="000A7585" w:rsidP="000A7585">
      <w:pPr>
        <w:spacing w:before="90"/>
        <w:ind w:firstLine="431"/>
        <w:rPr>
          <w:szCs w:val="22"/>
        </w:rPr>
      </w:pPr>
      <w:r w:rsidRPr="00AE6EDB">
        <w:rPr>
          <w:szCs w:val="22"/>
        </w:rPr>
        <w:t>V roku 2015 boli na peňažné príspevky na kompenzáciu vynaložené finančné prostriedky v celkovej sume 23</w:t>
      </w:r>
      <w:r w:rsidR="0054295F">
        <w:rPr>
          <w:szCs w:val="22"/>
        </w:rPr>
        <w:t>1 4</w:t>
      </w:r>
      <w:r w:rsidRPr="00AE6EDB">
        <w:rPr>
          <w:szCs w:val="22"/>
        </w:rPr>
        <w:t>9</w:t>
      </w:r>
      <w:r w:rsidR="00AC44CB">
        <w:rPr>
          <w:szCs w:val="22"/>
        </w:rPr>
        <w:t>6 9</w:t>
      </w:r>
      <w:r w:rsidRPr="00AE6EDB">
        <w:rPr>
          <w:szCs w:val="22"/>
        </w:rPr>
        <w:t>60</w:t>
      </w:r>
      <w:r w:rsidR="0054295F">
        <w:rPr>
          <w:szCs w:val="22"/>
        </w:rPr>
        <w:t> eur</w:t>
      </w:r>
      <w:r w:rsidRPr="00AE6EDB">
        <w:rPr>
          <w:szCs w:val="22"/>
        </w:rPr>
        <w:t>. Z toho finančné prostri</w:t>
      </w:r>
      <w:r w:rsidR="00AD2948" w:rsidRPr="00AE6EDB">
        <w:rPr>
          <w:szCs w:val="22"/>
        </w:rPr>
        <w:t>e</w:t>
      </w:r>
      <w:r w:rsidRPr="00AE6EDB">
        <w:rPr>
          <w:szCs w:val="22"/>
        </w:rPr>
        <w:t>dky vynaložené na peňažné príspevky poskytované fyzickým osobám s ŤZP predstavovali sumu 13</w:t>
      </w:r>
      <w:r w:rsidR="0054295F">
        <w:rPr>
          <w:szCs w:val="22"/>
        </w:rPr>
        <w:t>4 1</w:t>
      </w:r>
      <w:r w:rsidRPr="00AE6EDB">
        <w:rPr>
          <w:szCs w:val="22"/>
        </w:rPr>
        <w:t>6</w:t>
      </w:r>
      <w:r w:rsidR="0054295F">
        <w:rPr>
          <w:szCs w:val="22"/>
        </w:rPr>
        <w:t>1 1</w:t>
      </w:r>
      <w:r w:rsidRPr="00AE6EDB">
        <w:rPr>
          <w:szCs w:val="22"/>
        </w:rPr>
        <w:t>59</w:t>
      </w:r>
      <w:r w:rsidR="0054295F">
        <w:rPr>
          <w:szCs w:val="22"/>
        </w:rPr>
        <w:t> eur</w:t>
      </w:r>
      <w:r w:rsidRPr="00AE6EDB">
        <w:rPr>
          <w:szCs w:val="22"/>
        </w:rPr>
        <w:t>. Priemerný mesačný počet poberateľov – fyzických osôb s ŤZP bol 16</w:t>
      </w:r>
      <w:r w:rsidR="00AC44CB">
        <w:rPr>
          <w:szCs w:val="22"/>
        </w:rPr>
        <w:t>9 5</w:t>
      </w:r>
      <w:r w:rsidRPr="00AE6EDB">
        <w:rPr>
          <w:szCs w:val="22"/>
        </w:rPr>
        <w:t>96. Priemerný mesačný počet poberateľov peňažného príspevku na opatrovanie, ktorý je poskytovaný fyzickým osobám opatrujúcim fyzické osoby s ŤZP (opatrovateľom) bol 5</w:t>
      </w:r>
      <w:r w:rsidR="00AC44CB">
        <w:rPr>
          <w:szCs w:val="22"/>
        </w:rPr>
        <w:t>6 5</w:t>
      </w:r>
      <w:r w:rsidRPr="00AE6EDB">
        <w:rPr>
          <w:szCs w:val="22"/>
        </w:rPr>
        <w:t xml:space="preserve">72 a finančné prostriedky vyplatené na tento účel predstavovali sumu </w:t>
      </w:r>
      <w:r w:rsidR="000229C3" w:rsidRPr="00AE6EDB">
        <w:rPr>
          <w:szCs w:val="22"/>
        </w:rPr>
        <w:br/>
      </w:r>
      <w:r w:rsidRPr="00AE6EDB">
        <w:rPr>
          <w:szCs w:val="22"/>
        </w:rPr>
        <w:t>9</w:t>
      </w:r>
      <w:r w:rsidR="00AC44CB">
        <w:rPr>
          <w:szCs w:val="22"/>
        </w:rPr>
        <w:t>7 3</w:t>
      </w:r>
      <w:r w:rsidRPr="00AE6EDB">
        <w:rPr>
          <w:szCs w:val="22"/>
        </w:rPr>
        <w:t>3</w:t>
      </w:r>
      <w:r w:rsidR="00AC44CB">
        <w:rPr>
          <w:szCs w:val="22"/>
        </w:rPr>
        <w:t>5 8</w:t>
      </w:r>
      <w:r w:rsidRPr="00AE6EDB">
        <w:rPr>
          <w:szCs w:val="22"/>
        </w:rPr>
        <w:t>01</w:t>
      </w:r>
      <w:r w:rsidR="0054295F">
        <w:rPr>
          <w:szCs w:val="22"/>
        </w:rPr>
        <w:t> eur</w:t>
      </w:r>
      <w:r w:rsidRPr="00AE6EDB">
        <w:rPr>
          <w:szCs w:val="22"/>
        </w:rPr>
        <w:t xml:space="preserve">. </w:t>
      </w:r>
    </w:p>
    <w:p w:rsidR="000A7585" w:rsidRPr="00AE6EDB" w:rsidRDefault="000A7585" w:rsidP="00CE15D0">
      <w:pPr>
        <w:pStyle w:val="Nadpis7"/>
        <w:spacing w:before="160"/>
      </w:pPr>
      <w:bookmarkStart w:id="686" w:name="_Toc356482735"/>
      <w:r w:rsidRPr="00AE6EDB">
        <w:t>Tabuľka 3.2</w:t>
      </w:r>
      <w:r w:rsidR="00F2550D" w:rsidRPr="00AE6EDB">
        <w:t>4</w:t>
      </w:r>
      <w:r w:rsidRPr="00AE6EDB">
        <w:t xml:space="preserve"> Prehľad čerpania finančných prostriedkov v roku 201</w:t>
      </w:r>
      <w:bookmarkEnd w:id="686"/>
      <w:r w:rsidRPr="00AE6EDB">
        <w:t>5</w:t>
      </w:r>
    </w:p>
    <w:tbl>
      <w:tblPr>
        <w:tblStyle w:val="LightList-Accent11"/>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Look w:val="01E0" w:firstRow="1" w:lastRow="1" w:firstColumn="1" w:lastColumn="1" w:noHBand="0" w:noVBand="0"/>
      </w:tblPr>
      <w:tblGrid>
        <w:gridCol w:w="3070"/>
        <w:gridCol w:w="2283"/>
        <w:gridCol w:w="2410"/>
      </w:tblGrid>
      <w:tr w:rsidR="000A7585" w:rsidRPr="00AE6EDB" w:rsidTr="00DE0E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BF0000" w:themeFill="accent3" w:themeFillShade="BF"/>
            <w:vAlign w:val="center"/>
            <w:hideMark/>
          </w:tcPr>
          <w:p w:rsidR="000A7585" w:rsidRPr="00AE6EDB" w:rsidRDefault="000A7585" w:rsidP="00DE0EEC">
            <w:pPr>
              <w:jc w:val="center"/>
            </w:pPr>
            <w:r w:rsidRPr="00AE6EDB">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right w:val="none" w:sz="0" w:space="0" w:color="auto"/>
            </w:tcBorders>
            <w:shd w:val="clear" w:color="auto" w:fill="BF0000" w:themeFill="accent3" w:themeFillShade="BF"/>
            <w:vAlign w:val="center"/>
            <w:hideMark/>
          </w:tcPr>
          <w:p w:rsidR="000A7585" w:rsidRPr="00AE6EDB" w:rsidRDefault="000A7585" w:rsidP="00DE0EEC">
            <w:pPr>
              <w:jc w:val="center"/>
            </w:pPr>
            <w:r w:rsidRPr="00AE6EDB">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BF0000" w:themeFill="accent3" w:themeFillShade="BF"/>
            <w:vAlign w:val="center"/>
            <w:hideMark/>
          </w:tcPr>
          <w:p w:rsidR="000A7585" w:rsidRPr="00AE6EDB" w:rsidRDefault="000A7585" w:rsidP="00DE0EEC">
            <w:pPr>
              <w:jc w:val="center"/>
            </w:pPr>
            <w:r w:rsidRPr="00AE6EDB">
              <w:t>Vynaložené finančné prostriedky v €</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PP</w:t>
            </w:r>
            <w:r w:rsidRPr="00AE6EDB">
              <w:rPr>
                <w:b w:val="0"/>
                <w:bCs w:val="0"/>
              </w:rPr>
              <w:t xml:space="preserve"> </w:t>
            </w:r>
            <w:r w:rsidRPr="00AE6EDB">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hideMark/>
          </w:tcPr>
          <w:p w:rsidR="000A7585" w:rsidRPr="00AE6EDB" w:rsidRDefault="000A7585" w:rsidP="00DE0EEC">
            <w:pPr>
              <w:ind w:right="512"/>
              <w:jc w:val="right"/>
            </w:pPr>
            <w:r w:rsidRPr="00AE6EDB">
              <w:t>16</w:t>
            </w:r>
            <w:r w:rsidR="00AC44CB">
              <w:t>9 5</w:t>
            </w:r>
            <w:r w:rsidRPr="00AE6EDB">
              <w:t>96</w:t>
            </w: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0A7585" w:rsidRPr="00AE6EDB" w:rsidRDefault="000A7585" w:rsidP="00DE0EEC">
            <w:pPr>
              <w:ind w:right="512"/>
              <w:jc w:val="right"/>
            </w:pPr>
            <w:r w:rsidRPr="00AE6EDB">
              <w:t>13</w:t>
            </w:r>
            <w:r w:rsidR="0054295F">
              <w:t>4 1</w:t>
            </w:r>
            <w:r w:rsidRPr="00AE6EDB">
              <w:t>6</w:t>
            </w:r>
            <w:r w:rsidR="0054295F">
              <w:t>1 1</w:t>
            </w:r>
            <w:r w:rsidRPr="00AE6EDB">
              <w:t>59</w:t>
            </w:r>
          </w:p>
        </w:tc>
      </w:tr>
      <w:tr w:rsidR="000A7585" w:rsidRPr="00AE6EDB" w:rsidTr="00DE0EEC">
        <w:trPr>
          <w:jc w:val="center"/>
        </w:trPr>
        <w:tc>
          <w:tcPr>
            <w:cnfStyle w:val="001000000000" w:firstRow="0" w:lastRow="0" w:firstColumn="1" w:lastColumn="0" w:oddVBand="0" w:evenVBand="0" w:oddHBand="0" w:evenHBand="0" w:firstRowFirstColumn="0" w:firstRowLastColumn="0" w:lastRowFirstColumn="0" w:lastRowLastColumn="0"/>
            <w:tcW w:w="3070" w:type="dxa"/>
            <w:hideMark/>
          </w:tcPr>
          <w:p w:rsidR="000A7585" w:rsidRPr="00AE6EDB" w:rsidRDefault="000A7585" w:rsidP="00DE0EEC">
            <w:pPr>
              <w:rPr>
                <w:b w:val="0"/>
              </w:rPr>
            </w:pPr>
            <w:r w:rsidRPr="00AE6EDB">
              <w:rPr>
                <w:b w:val="0"/>
              </w:rPr>
              <w:t>PP na opatrovanie</w:t>
            </w:r>
            <w:r w:rsidR="003B3F7A" w:rsidRPr="00AE6EDB">
              <w:rPr>
                <w:b w:val="0"/>
              </w:rPr>
              <w:t>*</w:t>
            </w:r>
          </w:p>
        </w:tc>
        <w:tc>
          <w:tcPr>
            <w:cnfStyle w:val="000010000000" w:firstRow="0" w:lastRow="0" w:firstColumn="0" w:lastColumn="0" w:oddVBand="1" w:evenVBand="0" w:oddHBand="0" w:evenHBand="0" w:firstRowFirstColumn="0" w:firstRowLastColumn="0" w:lastRowFirstColumn="0" w:lastRowLastColumn="0"/>
            <w:tcW w:w="2283" w:type="dxa"/>
            <w:tcBorders>
              <w:left w:val="none" w:sz="0" w:space="0" w:color="auto"/>
              <w:right w:val="none" w:sz="0" w:space="0" w:color="auto"/>
            </w:tcBorders>
            <w:hideMark/>
          </w:tcPr>
          <w:p w:rsidR="000A7585" w:rsidRPr="00AE6EDB" w:rsidRDefault="000A7585" w:rsidP="00DE0EEC">
            <w:pPr>
              <w:ind w:right="512"/>
              <w:jc w:val="right"/>
            </w:pPr>
            <w:r w:rsidRPr="00AE6EDB">
              <w:t>5</w:t>
            </w:r>
            <w:r w:rsidR="00AC44CB">
              <w:t>6 5</w:t>
            </w:r>
            <w:r w:rsidRPr="00AE6EDB">
              <w:t>72</w:t>
            </w:r>
          </w:p>
        </w:tc>
        <w:tc>
          <w:tcPr>
            <w:cnfStyle w:val="000100000000" w:firstRow="0" w:lastRow="0" w:firstColumn="0" w:lastColumn="1" w:oddVBand="0" w:evenVBand="0" w:oddHBand="0" w:evenHBand="0" w:firstRowFirstColumn="0" w:firstRowLastColumn="0" w:lastRowFirstColumn="0" w:lastRowLastColumn="0"/>
            <w:tcW w:w="2410" w:type="dxa"/>
            <w:hideMark/>
          </w:tcPr>
          <w:p w:rsidR="000A7585" w:rsidRPr="00AE6EDB" w:rsidRDefault="000A7585" w:rsidP="00DE0EEC">
            <w:pPr>
              <w:ind w:right="512"/>
              <w:jc w:val="right"/>
            </w:pPr>
            <w:r w:rsidRPr="00AE6EDB">
              <w:t>9</w:t>
            </w:r>
            <w:r w:rsidR="00AC44CB">
              <w:t>7 3</w:t>
            </w:r>
            <w:r w:rsidRPr="00AE6EDB">
              <w:t>3</w:t>
            </w:r>
            <w:r w:rsidR="00AC44CB">
              <w:t>5 8</w:t>
            </w:r>
            <w:r w:rsidRPr="00AE6EDB">
              <w:t>01</w:t>
            </w:r>
          </w:p>
        </w:tc>
      </w:tr>
      <w:tr w:rsidR="000A7585" w:rsidRPr="00AE6EDB" w:rsidTr="00DE0EE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0A7585" w:rsidRPr="00AE6EDB" w:rsidRDefault="000A7585" w:rsidP="00DE0EEC">
            <w:pPr>
              <w:rPr>
                <w:b w:val="0"/>
              </w:rPr>
            </w:pPr>
            <w:r w:rsidRPr="00AE6EDB">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tcPr>
          <w:p w:rsidR="000A7585" w:rsidRPr="00AE6EDB" w:rsidRDefault="000A7585" w:rsidP="00DE0EEC">
            <w:pPr>
              <w:ind w:right="512"/>
              <w:jc w:val="right"/>
            </w:pP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0A7585" w:rsidRPr="00AE6EDB" w:rsidRDefault="000A7585" w:rsidP="00DE0EEC">
            <w:pPr>
              <w:ind w:right="512"/>
              <w:jc w:val="right"/>
            </w:pPr>
            <w:r w:rsidRPr="00AE6EDB">
              <w:t>23</w:t>
            </w:r>
            <w:r w:rsidR="0054295F">
              <w:t>1 4</w:t>
            </w:r>
            <w:r w:rsidRPr="00AE6EDB">
              <w:t>9</w:t>
            </w:r>
            <w:r w:rsidR="00AC44CB">
              <w:t>6 9</w:t>
            </w:r>
            <w:r w:rsidRPr="00AE6EDB">
              <w:t>60</w:t>
            </w:r>
          </w:p>
        </w:tc>
      </w:tr>
    </w:tbl>
    <w:p w:rsidR="000A7585" w:rsidRPr="00AE6EDB" w:rsidRDefault="000A7585" w:rsidP="000A7585">
      <w:pPr>
        <w:pStyle w:val="zdroj"/>
        <w:spacing w:after="0"/>
        <w:ind w:left="284"/>
      </w:pPr>
      <w:r w:rsidRPr="00AE6EDB">
        <w:t>Zdroj: RSD MIS</w:t>
      </w:r>
    </w:p>
    <w:p w:rsidR="000A7585" w:rsidRPr="00AE6EDB" w:rsidRDefault="003B3F7A" w:rsidP="000A7585">
      <w:pPr>
        <w:pStyle w:val="zdroj"/>
        <w:spacing w:before="0"/>
        <w:ind w:left="284"/>
      </w:pPr>
      <w:r w:rsidRPr="00AE6EDB">
        <w:rPr>
          <w:vertAlign w:val="superscript"/>
        </w:rPr>
        <w:t>*</w:t>
      </w:r>
      <w:r w:rsidR="000A7585" w:rsidRPr="00AE6EDB">
        <w:t>PP na opatrovanie je poskytovaný fyzickej osobe, ktorá opatruje FO s ŤZP</w:t>
      </w:r>
    </w:p>
    <w:p w:rsidR="000A7585" w:rsidRPr="00AE6EDB" w:rsidRDefault="000A7585" w:rsidP="000A7585">
      <w:pPr>
        <w:pStyle w:val="Normlnysozarkami1"/>
        <w:ind w:firstLine="431"/>
        <w:rPr>
          <w:szCs w:val="22"/>
        </w:rPr>
      </w:pPr>
      <w:r w:rsidRPr="00AE6EDB">
        <w:t xml:space="preserve">Pri porovnávaní údajov o peňažných príspevkoch na kompenzáciu za rok 2015 s rokom 2014 sa </w:t>
      </w:r>
      <w:r w:rsidRPr="00AE6EDB">
        <w:rPr>
          <w:szCs w:val="22"/>
        </w:rPr>
        <w:t xml:space="preserve">v roku 2014 </w:t>
      </w:r>
      <w:r w:rsidRPr="00AE6EDB">
        <w:t>prejavil pokles</w:t>
      </w:r>
      <w:r w:rsidRPr="00AE6EDB">
        <w:rPr>
          <w:szCs w:val="22"/>
        </w:rPr>
        <w:t xml:space="preserve"> čerpania</w:t>
      </w:r>
      <w:r w:rsidRPr="00AE6EDB">
        <w:t xml:space="preserve"> celkových finančných prostriedkov </w:t>
      </w:r>
      <w:r w:rsidRPr="00AE6EDB">
        <w:rPr>
          <w:szCs w:val="22"/>
        </w:rPr>
        <w:t>o</w:t>
      </w:r>
      <w:r w:rsidR="002139D6" w:rsidRPr="00AE6EDB">
        <w:rPr>
          <w:szCs w:val="22"/>
        </w:rPr>
        <w:t xml:space="preserve"> cca </w:t>
      </w:r>
      <w:r w:rsidRPr="00AE6EDB">
        <w:rPr>
          <w:szCs w:val="22"/>
        </w:rPr>
        <w:t>4</w:t>
      </w:r>
      <w:r w:rsidR="002139D6" w:rsidRPr="00AE6EDB">
        <w:rPr>
          <w:szCs w:val="22"/>
        </w:rPr>
        <w:t>,</w:t>
      </w:r>
      <w:r w:rsidRPr="00AE6EDB">
        <w:rPr>
          <w:szCs w:val="22"/>
        </w:rPr>
        <w:t>41</w:t>
      </w:r>
      <w:r w:rsidR="002139D6" w:rsidRPr="00AE6EDB">
        <w:rPr>
          <w:szCs w:val="22"/>
        </w:rPr>
        <w:t xml:space="preserve"> mil.</w:t>
      </w:r>
      <w:r w:rsidRPr="00AE6EDB">
        <w:rPr>
          <w:szCs w:val="22"/>
        </w:rPr>
        <w:t xml:space="preserve"> eur. </w:t>
      </w:r>
      <w:r w:rsidR="002139D6" w:rsidRPr="00AE6EDB">
        <w:rPr>
          <w:szCs w:val="22"/>
        </w:rPr>
        <w:t>Celkový pokles v roku 2015 bol spôsobený</w:t>
      </w:r>
      <w:r w:rsidRPr="00AE6EDB">
        <w:rPr>
          <w:szCs w:val="22"/>
        </w:rPr>
        <w:t xml:space="preserve"> pokles</w:t>
      </w:r>
      <w:r w:rsidR="002139D6" w:rsidRPr="00AE6EDB">
        <w:rPr>
          <w:szCs w:val="22"/>
        </w:rPr>
        <w:t>om</w:t>
      </w:r>
      <w:r w:rsidRPr="00AE6EDB">
        <w:rPr>
          <w:szCs w:val="22"/>
        </w:rPr>
        <w:t xml:space="preserve"> čerpania finančných prostriedkov pri peňažnom príspevku na opatrovanie o </w:t>
      </w:r>
      <w:r w:rsidR="00AC44CB">
        <w:rPr>
          <w:szCs w:val="22"/>
        </w:rPr>
        <w:t>6 9</w:t>
      </w:r>
      <w:r w:rsidRPr="00AE6EDB">
        <w:rPr>
          <w:szCs w:val="22"/>
        </w:rPr>
        <w:t>7</w:t>
      </w:r>
      <w:r w:rsidR="0054295F">
        <w:rPr>
          <w:szCs w:val="22"/>
        </w:rPr>
        <w:t>3 6</w:t>
      </w:r>
      <w:r w:rsidRPr="00AE6EDB">
        <w:rPr>
          <w:szCs w:val="22"/>
        </w:rPr>
        <w:t>10</w:t>
      </w:r>
      <w:r w:rsidR="0054295F">
        <w:rPr>
          <w:szCs w:val="22"/>
        </w:rPr>
        <w:t> eur</w:t>
      </w:r>
      <w:r w:rsidRPr="00AE6EDB">
        <w:rPr>
          <w:szCs w:val="22"/>
        </w:rPr>
        <w:t>, ktorý súvisel najmä s poklesom priemerného mesačného počtu poberateľov tohto peňažného príspevku (opatrovateľov) o </w:t>
      </w:r>
      <w:r w:rsidR="0054295F">
        <w:rPr>
          <w:szCs w:val="22"/>
        </w:rPr>
        <w:t>2 4</w:t>
      </w:r>
      <w:r w:rsidRPr="00AE6EDB">
        <w:rPr>
          <w:szCs w:val="22"/>
        </w:rPr>
        <w:t>20.</w:t>
      </w:r>
    </w:p>
    <w:p w:rsidR="000A7585" w:rsidRPr="00AE6EDB" w:rsidRDefault="000A7585" w:rsidP="000C4055">
      <w:pPr>
        <w:pStyle w:val="Normlnysozarkami1"/>
        <w:ind w:firstLine="431"/>
      </w:pPr>
      <w:r w:rsidRPr="00AE6EDB">
        <w:rPr>
          <w:szCs w:val="22"/>
        </w:rPr>
        <w:tab/>
      </w:r>
      <w:r w:rsidRPr="00AE6EDB">
        <w:t>Napriek tomu, že v roku 2015 priemerný mesačný počet poberateľov peňažných príspevkov na</w:t>
      </w:r>
      <w:r w:rsidR="000229C3" w:rsidRPr="00AE6EDB">
        <w:t> </w:t>
      </w:r>
      <w:r w:rsidRPr="00AE6EDB">
        <w:t>kompenzáciu, ktorými sú fyzické osoby s ŤZP klesol o </w:t>
      </w:r>
      <w:r w:rsidR="0054295F">
        <w:t>1 2</w:t>
      </w:r>
      <w:r w:rsidRPr="00AE6EDB">
        <w:t>10, stúpol objem finančných prostriedkov čerpaný týmito poberateľmi o </w:t>
      </w:r>
      <w:r w:rsidR="0054295F">
        <w:t>2 5</w:t>
      </w:r>
      <w:r w:rsidRPr="00AE6EDB">
        <w:t>6</w:t>
      </w:r>
      <w:r w:rsidR="0054295F">
        <w:t>0 5</w:t>
      </w:r>
      <w:r w:rsidRPr="00AE6EDB">
        <w:t>33</w:t>
      </w:r>
      <w:r w:rsidR="0054295F">
        <w:t> eur</w:t>
      </w:r>
      <w:r w:rsidRPr="00AE6EDB">
        <w:t xml:space="preserve">. </w:t>
      </w:r>
      <w:r w:rsidR="00A2621D" w:rsidRPr="00AE6EDB">
        <w:t>Uvedená skutočnosť bola dôsledkom výrazného poklesu počtu poberateľov peňažných príspevkov s nižšou výškou (peňažné príspevky na kompenzáciu zvýšených výdavkov – pokles o </w:t>
      </w:r>
      <w:r w:rsidR="0054295F">
        <w:t>1 3</w:t>
      </w:r>
      <w:r w:rsidR="00A2621D" w:rsidRPr="00AE6EDB">
        <w:t>93 poberateľov, zníženie čerpania o 0,25 mil</w:t>
      </w:r>
      <w:r w:rsidR="00F45681">
        <w:t>.</w:t>
      </w:r>
      <w:r w:rsidR="0054295F">
        <w:t> eur</w:t>
      </w:r>
      <w:r w:rsidR="00A2621D" w:rsidRPr="00AE6EDB">
        <w:t>) a súčasne nárastom počtu poberateľov u niektorých peňažných príspevkov s vyššou výškou (napr. peňažný príspevok na osobnú asistenciu – nárast poberateľov o</w:t>
      </w:r>
      <w:r w:rsidR="00F611F0" w:rsidRPr="00AE6EDB">
        <w:t xml:space="preserve"> 309, zvýšenie čerpania </w:t>
      </w:r>
      <w:r w:rsidR="00F611F0" w:rsidRPr="00AE6EDB">
        <w:br/>
        <w:t>o 1,516 mil.</w:t>
      </w:r>
      <w:r w:rsidR="0054295F">
        <w:t> eur</w:t>
      </w:r>
      <w:r w:rsidR="00F611F0" w:rsidRPr="00AE6EDB">
        <w:t>).</w:t>
      </w:r>
      <w:r w:rsidRPr="00AE6EDB">
        <w:t xml:space="preserve"> </w:t>
      </w:r>
    </w:p>
    <w:p w:rsidR="000A7585" w:rsidRPr="00AE6EDB" w:rsidRDefault="000A7585" w:rsidP="001110A1">
      <w:pPr>
        <w:pStyle w:val="Nadpis7"/>
        <w:spacing w:before="160" w:after="0"/>
      </w:pPr>
      <w:r w:rsidRPr="00AE6EDB">
        <w:rPr>
          <w:color w:val="000000" w:themeColor="text1"/>
        </w:rPr>
        <w:t>Graf 3.13 V</w:t>
      </w:r>
      <w:r w:rsidR="009E755D" w:rsidRPr="00AE6EDB">
        <w:t>ývoj počtu FO s ŤZP, ktorým boli poskytované</w:t>
      </w:r>
      <w:r w:rsidRPr="00AE6EDB">
        <w:t xml:space="preserve"> peňažn</w:t>
      </w:r>
      <w:r w:rsidR="009E755D" w:rsidRPr="00AE6EDB">
        <w:t>é</w:t>
      </w:r>
      <w:r w:rsidRPr="00AE6EDB">
        <w:t xml:space="preserve"> príspevk</w:t>
      </w:r>
      <w:r w:rsidR="009E755D" w:rsidRPr="00AE6EDB">
        <w:t>y</w:t>
      </w:r>
      <w:r w:rsidRPr="00AE6EDB">
        <w:t xml:space="preserve"> </w:t>
      </w:r>
      <w:r w:rsidR="009E755D" w:rsidRPr="00AE6EDB">
        <w:br/>
      </w:r>
      <w:r w:rsidRPr="00AE6EDB">
        <w:t>na kompenzáciu za rok 2014 a 2015</w:t>
      </w:r>
    </w:p>
    <w:p w:rsidR="000A7585" w:rsidRPr="00AE6EDB" w:rsidRDefault="000A7585" w:rsidP="000A7585">
      <w:pPr>
        <w:jc w:val="center"/>
        <w:rPr>
          <w:szCs w:val="32"/>
        </w:rPr>
      </w:pPr>
      <w:r w:rsidRPr="00AE6EDB">
        <w:rPr>
          <w:noProof/>
        </w:rPr>
        <w:t xml:space="preserve"> </w:t>
      </w:r>
      <w:r w:rsidRPr="00AE6EDB">
        <w:rPr>
          <w:noProof/>
        </w:rPr>
        <w:drawing>
          <wp:inline distT="0" distB="0" distL="0" distR="0" wp14:anchorId="7A65CB78" wp14:editId="2E3BAA2A">
            <wp:extent cx="4572000" cy="22860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7585" w:rsidRPr="00AE6EDB" w:rsidRDefault="000A7585" w:rsidP="000A7585">
      <w:pPr>
        <w:pStyle w:val="zdroj"/>
        <w:spacing w:before="0"/>
        <w:ind w:left="573" w:firstLine="0"/>
        <w:rPr>
          <w:b/>
          <w:bCs/>
          <w:iCs/>
          <w:lang w:eastAsia="cs-CZ"/>
        </w:rPr>
      </w:pPr>
      <w:r w:rsidRPr="00AE6EDB">
        <w:t xml:space="preserve">* V uvedených počtoch figuruje každý poberateľ PP len raz aj keď mu je poskytnutých viac príspevkov Zdroj: RSD MIS </w:t>
      </w:r>
    </w:p>
    <w:p w:rsidR="000A7585" w:rsidRPr="00AE6EDB" w:rsidRDefault="000A7585" w:rsidP="000A7585">
      <w:pPr>
        <w:ind w:firstLine="708"/>
        <w:rPr>
          <w:szCs w:val="22"/>
        </w:rPr>
      </w:pPr>
      <w:bookmarkStart w:id="687" w:name="_Toc356482736"/>
      <w:r w:rsidRPr="00AE6EDB">
        <w:rPr>
          <w:szCs w:val="23"/>
        </w:rPr>
        <w:t xml:space="preserve">Z hľadiska počtu poberateľov bol v roku 2015 pri </w:t>
      </w:r>
      <w:r w:rsidRPr="00AE6EDB">
        <w:rPr>
          <w:b/>
          <w:szCs w:val="23"/>
        </w:rPr>
        <w:t>opakovaných</w:t>
      </w:r>
      <w:r w:rsidRPr="00AE6EDB">
        <w:rPr>
          <w:szCs w:val="23"/>
        </w:rPr>
        <w:t xml:space="preserve"> peňažných príspevkoch na kompenzáciu zaznamenaný najvyšší priemerný mesačný počet poberateľov pri peňažnom príspevku na kompenzáciu zvýšených výdavkov (celkovo všetky druhy zvýšených výdavkov). </w:t>
      </w:r>
      <w:r w:rsidRPr="00AE6EDB">
        <w:rPr>
          <w:szCs w:val="22"/>
        </w:rPr>
        <w:t>Priemerný mesačný počet poberateľov tohto peňažného príspevku (celkovo všetky druhy zvýšených výdavkov) tvorilo 16</w:t>
      </w:r>
      <w:r w:rsidR="00AC44CB">
        <w:rPr>
          <w:szCs w:val="22"/>
        </w:rPr>
        <w:t>5 6</w:t>
      </w:r>
      <w:r w:rsidRPr="00AE6EDB">
        <w:rPr>
          <w:szCs w:val="22"/>
        </w:rPr>
        <w:t>92 poberateľov. 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(9</w:t>
      </w:r>
      <w:r w:rsidR="0054295F">
        <w:rPr>
          <w:szCs w:val="22"/>
        </w:rPr>
        <w:t>2 1</w:t>
      </w:r>
      <w:r w:rsidRPr="00AE6EDB">
        <w:rPr>
          <w:szCs w:val="22"/>
        </w:rPr>
        <w:t>83), nasledujú kompenzácie zvýšených výdavkov súvisiacich so zabezpečením prevádzky osobného motorového vozidla (6</w:t>
      </w:r>
      <w:r w:rsidR="00AC44CB">
        <w:rPr>
          <w:szCs w:val="22"/>
        </w:rPr>
        <w:t>9 9</w:t>
      </w:r>
      <w:r w:rsidRPr="00AE6EDB">
        <w:rPr>
          <w:szCs w:val="22"/>
        </w:rPr>
        <w:t>98), kompenzácie zvýšených výdavkov na diétne stravovanie (5</w:t>
      </w:r>
      <w:r w:rsidR="0054295F">
        <w:rPr>
          <w:szCs w:val="22"/>
        </w:rPr>
        <w:t>4 8</w:t>
      </w:r>
      <w:r w:rsidRPr="00AE6EDB">
        <w:rPr>
          <w:szCs w:val="22"/>
        </w:rPr>
        <w:t>7</w:t>
      </w:r>
      <w:r w:rsidR="006547E8" w:rsidRPr="00AE6EDB">
        <w:rPr>
          <w:szCs w:val="22"/>
        </w:rPr>
        <w:t>4</w:t>
      </w:r>
      <w:r w:rsidRPr="00AE6EDB">
        <w:rPr>
          <w:szCs w:val="22"/>
        </w:rPr>
        <w:t>) a kompenzácie zvýšených výdavkov súvisiacich so starostlivosťou o psa so špeciálnym výcvikom (73). Druhú najpočetnejšiu skupinu tvoria poberatelia peňažného príspevku na opatrovanie a to v priemernom mesačnom počte 5</w:t>
      </w:r>
      <w:r w:rsidR="00AC44CB">
        <w:rPr>
          <w:szCs w:val="22"/>
        </w:rPr>
        <w:t>6 5</w:t>
      </w:r>
      <w:r w:rsidRPr="00AE6EDB">
        <w:rPr>
          <w:szCs w:val="22"/>
        </w:rPr>
        <w:t xml:space="preserve">72. Pri </w:t>
      </w:r>
      <w:r w:rsidRPr="00AE6EDB">
        <w:rPr>
          <w:b/>
          <w:szCs w:val="22"/>
        </w:rPr>
        <w:t>jednorazových</w:t>
      </w:r>
      <w:r w:rsidRPr="00AE6EDB">
        <w:rPr>
          <w:szCs w:val="22"/>
        </w:rPr>
        <w:t xml:space="preserve"> peňažných príspevkoch na kompenzáciu bol v roku 2015 najvyšší počet poskytnutých peňažných príspevkov na kúpu pomôcky (</w:t>
      </w:r>
      <w:r w:rsidR="0054295F">
        <w:rPr>
          <w:szCs w:val="22"/>
        </w:rPr>
        <w:t>3 0</w:t>
      </w:r>
      <w:r w:rsidR="00872027" w:rsidRPr="00AE6EDB">
        <w:rPr>
          <w:szCs w:val="22"/>
        </w:rPr>
        <w:t>82</w:t>
      </w:r>
      <w:r w:rsidRPr="00AE6EDB">
        <w:rPr>
          <w:szCs w:val="22"/>
        </w:rPr>
        <w:t>, čo predstavuje cca 3</w:t>
      </w:r>
      <w:r w:rsidR="00872027" w:rsidRPr="00AE6EDB">
        <w:rPr>
          <w:szCs w:val="22"/>
        </w:rPr>
        <w:t>9</w:t>
      </w:r>
      <w:r w:rsidRPr="00AE6EDB">
        <w:rPr>
          <w:szCs w:val="22"/>
        </w:rPr>
        <w:t>,</w:t>
      </w:r>
      <w:r w:rsidR="00872027" w:rsidRPr="00AE6EDB">
        <w:rPr>
          <w:szCs w:val="22"/>
        </w:rPr>
        <w:t>83</w:t>
      </w:r>
      <w:r w:rsidR="005676EF">
        <w:rPr>
          <w:szCs w:val="22"/>
        </w:rPr>
        <w:t> %</w:t>
      </w:r>
      <w:r w:rsidRPr="00AE6EDB">
        <w:rPr>
          <w:szCs w:val="22"/>
        </w:rPr>
        <w:t xml:space="preserve"> z celkového počtu poskytnutých jednorazových peňažných príspevkov), nasledovali peňažný príspevok na kúpu osobného motorového vozidla (</w:t>
      </w:r>
      <w:r w:rsidR="0054295F">
        <w:rPr>
          <w:szCs w:val="22"/>
        </w:rPr>
        <w:t>1 5</w:t>
      </w:r>
      <w:r w:rsidRPr="00AE6EDB">
        <w:rPr>
          <w:szCs w:val="22"/>
        </w:rPr>
        <w:t xml:space="preserve">37, cca </w:t>
      </w:r>
      <w:r w:rsidR="00872027" w:rsidRPr="00AE6EDB">
        <w:rPr>
          <w:szCs w:val="22"/>
        </w:rPr>
        <w:t>19,87</w:t>
      </w:r>
      <w:r w:rsidR="005676EF">
        <w:rPr>
          <w:szCs w:val="22"/>
        </w:rPr>
        <w:t> %</w:t>
      </w:r>
      <w:r w:rsidRPr="00AE6EDB">
        <w:rPr>
          <w:szCs w:val="22"/>
        </w:rPr>
        <w:t>) a peňažný príspevok na úpravu rodinného domu (</w:t>
      </w:r>
      <w:r w:rsidR="00872027" w:rsidRPr="00AE6EDB">
        <w:rPr>
          <w:szCs w:val="22"/>
        </w:rPr>
        <w:t>914</w:t>
      </w:r>
      <w:r w:rsidRPr="00AE6EDB">
        <w:rPr>
          <w:szCs w:val="22"/>
        </w:rPr>
        <w:t>, cca 1</w:t>
      </w:r>
      <w:r w:rsidR="00521EAA" w:rsidRPr="00AE6EDB">
        <w:rPr>
          <w:szCs w:val="22"/>
        </w:rPr>
        <w:t>1,81</w:t>
      </w:r>
      <w:r w:rsidR="005676EF">
        <w:rPr>
          <w:szCs w:val="22"/>
        </w:rPr>
        <w:t> %</w:t>
      </w:r>
      <w:r w:rsidRPr="00AE6EDB">
        <w:rPr>
          <w:szCs w:val="22"/>
        </w:rPr>
        <w:t>). Prehľad čerpania jednotlivých peňažných príspevkov na kompenzáciu v roku 2015 poskytuje nasledujúca tabuľka.</w:t>
      </w:r>
    </w:p>
    <w:p w:rsidR="00872027" w:rsidRPr="00AE6EDB" w:rsidRDefault="000A7585" w:rsidP="000A7585">
      <w:pPr>
        <w:pStyle w:val="Nadpis7"/>
      </w:pPr>
      <w:r w:rsidRPr="00AE6EDB">
        <w:rPr>
          <w:bCs/>
          <w:iCs/>
          <w:lang w:eastAsia="cs-CZ"/>
        </w:rPr>
        <w:t>Tabuľka 3.2</w:t>
      </w:r>
      <w:r w:rsidR="00F2550D" w:rsidRPr="00AE6EDB">
        <w:rPr>
          <w:bCs/>
          <w:iCs/>
          <w:lang w:eastAsia="cs-CZ"/>
        </w:rPr>
        <w:t>5</w:t>
      </w:r>
      <w:r w:rsidRPr="00AE6EDB">
        <w:rPr>
          <w:bCs/>
          <w:iCs/>
          <w:lang w:eastAsia="cs-CZ"/>
        </w:rPr>
        <w:t xml:space="preserve"> </w:t>
      </w:r>
      <w:r w:rsidRPr="00AE6EDB">
        <w:t>Prehľad vývoja počtu poberateľov a čerpania finančných prostriedkov na peňažné príspevky na kompenzáciu ŤZP</w:t>
      </w:r>
    </w:p>
    <w:tbl>
      <w:tblPr>
        <w:tblStyle w:val="LightList-Accent11"/>
        <w:tblW w:w="93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CellMar>
          <w:left w:w="0" w:type="dxa"/>
          <w:right w:w="0" w:type="dxa"/>
        </w:tblCellMar>
        <w:tblLook w:val="04A0" w:firstRow="1" w:lastRow="0" w:firstColumn="1" w:lastColumn="0" w:noHBand="0" w:noVBand="1"/>
      </w:tblPr>
      <w:tblGrid>
        <w:gridCol w:w="2433"/>
        <w:gridCol w:w="1153"/>
        <w:gridCol w:w="1134"/>
        <w:gridCol w:w="19"/>
        <w:gridCol w:w="1102"/>
        <w:gridCol w:w="12"/>
        <w:gridCol w:w="19"/>
        <w:gridCol w:w="1114"/>
        <w:gridCol w:w="19"/>
        <w:gridCol w:w="1114"/>
        <w:gridCol w:w="19"/>
        <w:gridCol w:w="1176"/>
      </w:tblGrid>
      <w:tr w:rsidR="00872027" w:rsidRPr="00AE6EDB" w:rsidTr="00521E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vMerge w:val="restart"/>
            <w:tcBorders>
              <w:bottom w:val="single" w:sz="4" w:space="0" w:color="BF0000" w:themeColor="accent3" w:themeShade="BF"/>
            </w:tcBorders>
            <w:shd w:val="clear" w:color="auto" w:fill="BF0000" w:themeFill="accent3" w:themeFillShade="BF"/>
            <w:vAlign w:val="center"/>
            <w:hideMark/>
          </w:tcPr>
          <w:p w:rsidR="00872027" w:rsidRPr="00AE6EDB" w:rsidRDefault="00872027" w:rsidP="00440D13">
            <w:pPr>
              <w:jc w:val="center"/>
              <w:rPr>
                <w:sz w:val="18"/>
                <w:szCs w:val="18"/>
              </w:rPr>
            </w:pPr>
            <w:r w:rsidRPr="00AE6EDB">
              <w:rPr>
                <w:sz w:val="18"/>
                <w:szCs w:val="18"/>
              </w:rPr>
              <w:t>Opakované peňažné príspevky na kompenzáciu</w:t>
            </w:r>
          </w:p>
        </w:tc>
        <w:tc>
          <w:tcPr>
            <w:tcW w:w="3408" w:type="dxa"/>
            <w:gridSpan w:val="4"/>
            <w:tcBorders>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E6EDB">
              <w:rPr>
                <w:sz w:val="18"/>
                <w:szCs w:val="18"/>
              </w:rPr>
              <w:t>2014</w:t>
            </w:r>
          </w:p>
        </w:tc>
        <w:tc>
          <w:tcPr>
            <w:tcW w:w="3473" w:type="dxa"/>
            <w:gridSpan w:val="7"/>
            <w:tcBorders>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E6EDB">
              <w:rPr>
                <w:sz w:val="18"/>
                <w:szCs w:val="18"/>
              </w:rPr>
              <w:t>2015</w:t>
            </w:r>
          </w:p>
        </w:tc>
      </w:tr>
      <w:tr w:rsidR="00872027" w:rsidRPr="00AE6EDB" w:rsidTr="00521EAA">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hideMark/>
          </w:tcPr>
          <w:p w:rsidR="00872027" w:rsidRPr="00AE6EDB" w:rsidRDefault="00872027" w:rsidP="00440D13">
            <w:pPr>
              <w:jc w:val="center"/>
              <w:rPr>
                <w:sz w:val="18"/>
                <w:szCs w:val="18"/>
              </w:rPr>
            </w:pPr>
          </w:p>
        </w:tc>
        <w:tc>
          <w:tcPr>
            <w:tcW w:w="1153" w:type="dxa"/>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Priemerný mesačný počet poberateľov</w:t>
            </w:r>
          </w:p>
        </w:tc>
        <w:tc>
          <w:tcPr>
            <w:tcW w:w="115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mesačná výška PP v €</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Priemerný mesačný počet poberateľov</w:t>
            </w:r>
          </w:p>
        </w:tc>
        <w:tc>
          <w:tcPr>
            <w:tcW w:w="113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mesačná výška PP v €</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r>
      <w:tr w:rsidR="00872027" w:rsidRPr="00AE6EDB" w:rsidTr="00440D13">
        <w:trPr>
          <w:trHeight w:val="283"/>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872027" w:rsidRPr="00AE6EDB" w:rsidRDefault="00872027" w:rsidP="00440D13">
            <w:pPr>
              <w:spacing w:line="276" w:lineRule="auto"/>
              <w:jc w:val="left"/>
              <w:rPr>
                <w:b w:val="0"/>
                <w:sz w:val="18"/>
                <w:szCs w:val="18"/>
              </w:rPr>
            </w:pPr>
            <w:r w:rsidRPr="00AE6EDB">
              <w:rPr>
                <w:b w:val="0"/>
                <w:color w:val="000000"/>
                <w:sz w:val="18"/>
                <w:szCs w:val="18"/>
              </w:rPr>
              <w:t>PP na osobnú asistenciu</w:t>
            </w:r>
          </w:p>
        </w:tc>
        <w:tc>
          <w:tcPr>
            <w:tcW w:w="1153" w:type="dxa"/>
            <w:vAlign w:val="center"/>
          </w:tcPr>
          <w:p w:rsidR="00872027" w:rsidRPr="00AE6EDB" w:rsidRDefault="00AC44CB" w:rsidP="00440D13">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8 9</w:t>
            </w:r>
            <w:r w:rsidR="00872027" w:rsidRPr="00AE6EDB">
              <w:rPr>
                <w:sz w:val="18"/>
                <w:szCs w:val="18"/>
              </w:rPr>
              <w:t>56</w:t>
            </w:r>
          </w:p>
        </w:tc>
        <w:tc>
          <w:tcPr>
            <w:tcW w:w="1153" w:type="dxa"/>
            <w:gridSpan w:val="2"/>
            <w:vAlign w:val="center"/>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380,44</w:t>
            </w:r>
          </w:p>
        </w:tc>
        <w:tc>
          <w:tcPr>
            <w:tcW w:w="1133" w:type="dxa"/>
            <w:gridSpan w:val="3"/>
            <w:tcBorders>
              <w:right w:val="single" w:sz="4" w:space="0" w:color="BF0000" w:themeColor="accent3" w:themeShade="BF"/>
            </w:tcBorders>
            <w:vAlign w:val="center"/>
          </w:tcPr>
          <w:p w:rsidR="00872027" w:rsidRPr="00AE6EDB" w:rsidRDefault="00872027" w:rsidP="00440D13">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w:t>
            </w:r>
            <w:r w:rsidR="0054295F">
              <w:rPr>
                <w:sz w:val="18"/>
                <w:szCs w:val="18"/>
              </w:rPr>
              <w:t>1 5</w:t>
            </w:r>
            <w:r w:rsidRPr="00AE6EDB">
              <w:rPr>
                <w:sz w:val="18"/>
                <w:szCs w:val="18"/>
              </w:rPr>
              <w:t>3</w:t>
            </w:r>
            <w:r w:rsidR="0054295F">
              <w:rPr>
                <w:sz w:val="18"/>
                <w:szCs w:val="18"/>
              </w:rPr>
              <w:t>3 6</w:t>
            </w:r>
            <w:r w:rsidRPr="00AE6EDB">
              <w:rPr>
                <w:sz w:val="18"/>
                <w:szCs w:val="18"/>
              </w:rPr>
              <w:t>94</w:t>
            </w:r>
          </w:p>
        </w:tc>
        <w:tc>
          <w:tcPr>
            <w:tcW w:w="1133" w:type="dxa"/>
            <w:gridSpan w:val="2"/>
            <w:tcBorders>
              <w:left w:val="single" w:sz="4" w:space="0" w:color="BF0000" w:themeColor="accent3" w:themeShade="BF"/>
            </w:tcBorders>
            <w:vAlign w:val="center"/>
          </w:tcPr>
          <w:p w:rsidR="00872027" w:rsidRPr="00AE6EDB" w:rsidRDefault="00AC44CB" w:rsidP="00440D13">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9 2</w:t>
            </w:r>
            <w:r w:rsidR="00872027" w:rsidRPr="00AE6EDB">
              <w:rPr>
                <w:sz w:val="18"/>
                <w:szCs w:val="18"/>
              </w:rPr>
              <w:t>65</w:t>
            </w:r>
          </w:p>
        </w:tc>
        <w:tc>
          <w:tcPr>
            <w:tcW w:w="1133" w:type="dxa"/>
            <w:gridSpan w:val="2"/>
            <w:vAlign w:val="center"/>
          </w:tcPr>
          <w:p w:rsidR="00872027" w:rsidRPr="00AE6EDB" w:rsidRDefault="00872027" w:rsidP="00440D13">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381,44</w:t>
            </w:r>
          </w:p>
        </w:tc>
        <w:tc>
          <w:tcPr>
            <w:tcW w:w="1176" w:type="dxa"/>
            <w:vAlign w:val="center"/>
          </w:tcPr>
          <w:p w:rsidR="00872027" w:rsidRPr="00AE6EDB" w:rsidRDefault="00872027" w:rsidP="00440D13">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w:t>
            </w:r>
            <w:r w:rsidR="0054295F">
              <w:rPr>
                <w:sz w:val="18"/>
                <w:szCs w:val="18"/>
              </w:rPr>
              <w:t>3 0</w:t>
            </w:r>
            <w:r w:rsidRPr="00AE6EDB">
              <w:rPr>
                <w:sz w:val="18"/>
                <w:szCs w:val="18"/>
              </w:rPr>
              <w:t>4</w:t>
            </w:r>
            <w:r w:rsidR="00AC44CB">
              <w:rPr>
                <w:sz w:val="18"/>
                <w:szCs w:val="18"/>
              </w:rPr>
              <w:t>9 7</w:t>
            </w:r>
            <w:r w:rsidRPr="00AE6EDB">
              <w:rPr>
                <w:sz w:val="18"/>
                <w:szCs w:val="18"/>
              </w:rPr>
              <w:t>04</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872027" w:rsidRPr="00AE6EDB" w:rsidRDefault="00872027" w:rsidP="00440D13">
            <w:pPr>
              <w:spacing w:line="276" w:lineRule="auto"/>
              <w:jc w:val="left"/>
              <w:rPr>
                <w:b w:val="0"/>
                <w:sz w:val="18"/>
                <w:szCs w:val="18"/>
              </w:rPr>
            </w:pPr>
            <w:r w:rsidRPr="00AE6EDB">
              <w:rPr>
                <w:b w:val="0"/>
                <w:color w:val="000000"/>
                <w:sz w:val="18"/>
                <w:szCs w:val="18"/>
              </w:rPr>
              <w:t>PP na prepravu</w:t>
            </w:r>
          </w:p>
        </w:tc>
        <w:tc>
          <w:tcPr>
            <w:tcW w:w="1153" w:type="dxa"/>
            <w:tcBorders>
              <w:top w:val="none" w:sz="0" w:space="0" w:color="auto"/>
              <w:bottom w:val="none" w:sz="0" w:space="0" w:color="auto"/>
            </w:tcBorders>
            <w:vAlign w:val="center"/>
          </w:tcPr>
          <w:p w:rsidR="00872027" w:rsidRPr="00AE6EDB" w:rsidRDefault="0054295F" w:rsidP="00440D13">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2 8</w:t>
            </w:r>
            <w:r w:rsidR="00872027" w:rsidRPr="00AE6EDB">
              <w:rPr>
                <w:sz w:val="18"/>
                <w:szCs w:val="18"/>
              </w:rPr>
              <w:t>41</w:t>
            </w:r>
          </w:p>
        </w:tc>
        <w:tc>
          <w:tcPr>
            <w:tcW w:w="1153" w:type="dxa"/>
            <w:gridSpan w:val="2"/>
            <w:tcBorders>
              <w:top w:val="none" w:sz="0" w:space="0" w:color="auto"/>
              <w:bottom w:val="none" w:sz="0" w:space="0" w:color="auto"/>
            </w:tcBorders>
            <w:vAlign w:val="center"/>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85,69</w:t>
            </w:r>
          </w:p>
        </w:tc>
        <w:tc>
          <w:tcPr>
            <w:tcW w:w="1133" w:type="dxa"/>
            <w:gridSpan w:val="3"/>
            <w:tcBorders>
              <w:top w:val="none" w:sz="0" w:space="0" w:color="auto"/>
              <w:bottom w:val="none" w:sz="0" w:space="0" w:color="auto"/>
              <w:right w:val="single" w:sz="4" w:space="0" w:color="BF0000" w:themeColor="accent3" w:themeShade="BF"/>
            </w:tcBorders>
            <w:vAlign w:val="center"/>
          </w:tcPr>
          <w:p w:rsidR="00872027" w:rsidRPr="00AE6EDB" w:rsidRDefault="0054295F" w:rsidP="00440D13">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w:t>
            </w:r>
            <w:r w:rsidR="00872027" w:rsidRPr="00AE6EDB">
              <w:rPr>
                <w:sz w:val="18"/>
                <w:szCs w:val="18"/>
              </w:rPr>
              <w:t>8</w:t>
            </w:r>
            <w:r w:rsidR="00AC44CB">
              <w:rPr>
                <w:sz w:val="18"/>
                <w:szCs w:val="18"/>
              </w:rPr>
              <w:t>7 2</w:t>
            </w:r>
            <w:r w:rsidR="00872027" w:rsidRPr="00AE6EDB">
              <w:rPr>
                <w:sz w:val="18"/>
                <w:szCs w:val="18"/>
              </w:rPr>
              <w:t>69</w:t>
            </w:r>
          </w:p>
        </w:tc>
        <w:tc>
          <w:tcPr>
            <w:tcW w:w="1133" w:type="dxa"/>
            <w:gridSpan w:val="2"/>
            <w:tcBorders>
              <w:top w:val="none" w:sz="0" w:space="0" w:color="auto"/>
              <w:left w:val="single" w:sz="4" w:space="0" w:color="BF0000" w:themeColor="accent3" w:themeShade="BF"/>
              <w:bottom w:val="none" w:sz="0" w:space="0" w:color="auto"/>
            </w:tcBorders>
            <w:vAlign w:val="center"/>
          </w:tcPr>
          <w:p w:rsidR="00872027" w:rsidRPr="00AE6EDB" w:rsidRDefault="0054295F" w:rsidP="00440D13">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w:t>
            </w:r>
            <w:r w:rsidR="00872027" w:rsidRPr="00AE6EDB">
              <w:rPr>
                <w:sz w:val="18"/>
                <w:szCs w:val="18"/>
              </w:rPr>
              <w:t>08</w:t>
            </w:r>
          </w:p>
        </w:tc>
        <w:tc>
          <w:tcPr>
            <w:tcW w:w="1133" w:type="dxa"/>
            <w:gridSpan w:val="2"/>
            <w:tcBorders>
              <w:top w:val="none" w:sz="0" w:space="0" w:color="auto"/>
              <w:bottom w:val="none" w:sz="0" w:space="0" w:color="auto"/>
            </w:tcBorders>
            <w:vAlign w:val="center"/>
          </w:tcPr>
          <w:p w:rsidR="00872027" w:rsidRPr="00AE6EDB" w:rsidRDefault="00872027" w:rsidP="00440D13">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84,69</w:t>
            </w:r>
          </w:p>
        </w:tc>
        <w:tc>
          <w:tcPr>
            <w:tcW w:w="1176" w:type="dxa"/>
            <w:tcBorders>
              <w:top w:val="none" w:sz="0" w:space="0" w:color="auto"/>
              <w:bottom w:val="none" w:sz="0" w:space="0" w:color="auto"/>
              <w:right w:val="none" w:sz="0" w:space="0" w:color="auto"/>
            </w:tcBorders>
            <w:vAlign w:val="center"/>
          </w:tcPr>
          <w:p w:rsidR="00872027" w:rsidRPr="00AE6EDB" w:rsidRDefault="0054295F" w:rsidP="00440D13">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w:t>
            </w:r>
            <w:r w:rsidR="00872027" w:rsidRPr="00AE6EDB">
              <w:rPr>
                <w:sz w:val="18"/>
                <w:szCs w:val="18"/>
              </w:rPr>
              <w:t>1</w:t>
            </w:r>
            <w:r>
              <w:rPr>
                <w:sz w:val="18"/>
                <w:szCs w:val="18"/>
              </w:rPr>
              <w:t>4 4</w:t>
            </w:r>
            <w:r w:rsidR="00872027" w:rsidRPr="00AE6EDB">
              <w:rPr>
                <w:sz w:val="18"/>
                <w:szCs w:val="18"/>
              </w:rPr>
              <w:t>28</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872027" w:rsidRPr="00AE6EDB" w:rsidRDefault="00872027" w:rsidP="00440D13">
            <w:pPr>
              <w:spacing w:line="276" w:lineRule="auto"/>
              <w:jc w:val="left"/>
              <w:rPr>
                <w:b w:val="0"/>
                <w:sz w:val="18"/>
                <w:szCs w:val="18"/>
              </w:rPr>
            </w:pPr>
            <w:r w:rsidRPr="00AE6EDB">
              <w:rPr>
                <w:b w:val="0"/>
                <w:color w:val="000000"/>
                <w:sz w:val="18"/>
                <w:szCs w:val="18"/>
              </w:rPr>
              <w:t>PP na kompenzáciu zvýšených výdavkov:</w:t>
            </w:r>
          </w:p>
        </w:tc>
        <w:tc>
          <w:tcPr>
            <w:tcW w:w="1153" w:type="dxa"/>
            <w:vAlign w:val="center"/>
          </w:tcPr>
          <w:p w:rsidR="00872027" w:rsidRPr="00AE6EDB" w:rsidDel="000F5B12" w:rsidRDefault="00872027" w:rsidP="00440D13">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16</w:t>
            </w:r>
            <w:r w:rsidR="00AC44CB">
              <w:rPr>
                <w:sz w:val="18"/>
                <w:szCs w:val="18"/>
              </w:rPr>
              <w:t>7 0</w:t>
            </w:r>
            <w:r w:rsidRPr="00AE6EDB">
              <w:rPr>
                <w:sz w:val="18"/>
                <w:szCs w:val="18"/>
              </w:rPr>
              <w:t>85</w:t>
            </w:r>
          </w:p>
        </w:tc>
        <w:tc>
          <w:tcPr>
            <w:tcW w:w="1153" w:type="dxa"/>
            <w:gridSpan w:val="2"/>
            <w:vAlign w:val="center"/>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31,40</w:t>
            </w:r>
          </w:p>
        </w:tc>
        <w:tc>
          <w:tcPr>
            <w:tcW w:w="1133" w:type="dxa"/>
            <w:gridSpan w:val="3"/>
            <w:tcBorders>
              <w:right w:val="single" w:sz="4" w:space="0" w:color="BF0000" w:themeColor="accent3" w:themeShade="BF"/>
            </w:tcBorders>
            <w:vAlign w:val="center"/>
          </w:tcPr>
          <w:p w:rsidR="00872027" w:rsidRPr="00AE6EDB" w:rsidRDefault="00872027" w:rsidP="00440D13">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6</w:t>
            </w:r>
            <w:r w:rsidR="0054295F">
              <w:rPr>
                <w:sz w:val="18"/>
                <w:szCs w:val="18"/>
              </w:rPr>
              <w:t>4 1</w:t>
            </w:r>
            <w:r w:rsidRPr="00AE6EDB">
              <w:rPr>
                <w:sz w:val="18"/>
                <w:szCs w:val="18"/>
              </w:rPr>
              <w:t>3</w:t>
            </w:r>
            <w:r w:rsidR="0054295F">
              <w:rPr>
                <w:sz w:val="18"/>
                <w:szCs w:val="18"/>
              </w:rPr>
              <w:t>3 6</w:t>
            </w:r>
            <w:r w:rsidRPr="00AE6EDB">
              <w:rPr>
                <w:sz w:val="18"/>
                <w:szCs w:val="18"/>
              </w:rPr>
              <w:t>28</w:t>
            </w:r>
          </w:p>
        </w:tc>
        <w:tc>
          <w:tcPr>
            <w:tcW w:w="1133" w:type="dxa"/>
            <w:gridSpan w:val="2"/>
            <w:tcBorders>
              <w:left w:val="single" w:sz="4" w:space="0" w:color="BF0000" w:themeColor="accent3" w:themeShade="BF"/>
            </w:tcBorders>
            <w:vAlign w:val="center"/>
          </w:tcPr>
          <w:p w:rsidR="00872027" w:rsidRPr="00AE6EDB" w:rsidRDefault="00872027" w:rsidP="00440D13">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16</w:t>
            </w:r>
            <w:r w:rsidR="00AC44CB">
              <w:rPr>
                <w:sz w:val="18"/>
                <w:szCs w:val="18"/>
              </w:rPr>
              <w:t>5 6</w:t>
            </w:r>
            <w:r w:rsidRPr="00AE6EDB">
              <w:rPr>
                <w:sz w:val="18"/>
                <w:szCs w:val="18"/>
              </w:rPr>
              <w:t>92</w:t>
            </w:r>
          </w:p>
        </w:tc>
        <w:tc>
          <w:tcPr>
            <w:tcW w:w="1133" w:type="dxa"/>
            <w:gridSpan w:val="2"/>
            <w:vAlign w:val="center"/>
          </w:tcPr>
          <w:p w:rsidR="00872027" w:rsidRPr="00AE6EDB" w:rsidRDefault="00872027" w:rsidP="00440D13">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31,59</w:t>
            </w:r>
          </w:p>
        </w:tc>
        <w:tc>
          <w:tcPr>
            <w:tcW w:w="1176" w:type="dxa"/>
            <w:vAlign w:val="center"/>
          </w:tcPr>
          <w:p w:rsidR="00872027" w:rsidRPr="00AE6EDB" w:rsidRDefault="00872027" w:rsidP="00440D13">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6</w:t>
            </w:r>
            <w:r w:rsidR="0054295F">
              <w:rPr>
                <w:sz w:val="18"/>
                <w:szCs w:val="18"/>
              </w:rPr>
              <w:t>3 8</w:t>
            </w:r>
            <w:r w:rsidRPr="00AE6EDB">
              <w:rPr>
                <w:sz w:val="18"/>
                <w:szCs w:val="18"/>
              </w:rPr>
              <w:t>8</w:t>
            </w:r>
            <w:r w:rsidR="0054295F">
              <w:rPr>
                <w:sz w:val="18"/>
                <w:szCs w:val="18"/>
              </w:rPr>
              <w:t>3 5</w:t>
            </w:r>
            <w:r w:rsidRPr="00AE6EDB">
              <w:rPr>
                <w:sz w:val="18"/>
                <w:szCs w:val="18"/>
              </w:rPr>
              <w:t>38</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872027" w:rsidRPr="00AE6EDB" w:rsidRDefault="00872027" w:rsidP="00872027">
            <w:pPr>
              <w:tabs>
                <w:tab w:val="right" w:pos="2428"/>
              </w:tabs>
              <w:spacing w:line="276" w:lineRule="auto"/>
              <w:jc w:val="left"/>
              <w:rPr>
                <w:b w:val="0"/>
                <w:sz w:val="18"/>
                <w:szCs w:val="18"/>
              </w:rPr>
            </w:pPr>
            <w:r w:rsidRPr="00AE6EDB">
              <w:rPr>
                <w:color w:val="000000" w:themeColor="text1"/>
                <w:sz w:val="18"/>
                <w:szCs w:val="18"/>
              </w:rPr>
              <w:t xml:space="preserve">– </w:t>
            </w:r>
            <w:r w:rsidRPr="00AE6EDB">
              <w:rPr>
                <w:b w:val="0"/>
                <w:color w:val="000000"/>
                <w:sz w:val="18"/>
                <w:szCs w:val="18"/>
              </w:rPr>
              <w:t>na diétne stravovanie</w:t>
            </w:r>
            <w:r w:rsidRPr="00AE6EDB">
              <w:rPr>
                <w:b w:val="0"/>
                <w:color w:val="000000"/>
                <w:sz w:val="18"/>
                <w:szCs w:val="18"/>
              </w:rPr>
              <w:tab/>
            </w:r>
          </w:p>
        </w:tc>
        <w:tc>
          <w:tcPr>
            <w:tcW w:w="1153" w:type="dxa"/>
            <w:tcBorders>
              <w:top w:val="none" w:sz="0" w:space="0" w:color="auto"/>
              <w:bottom w:val="none" w:sz="0" w:space="0" w:color="auto"/>
            </w:tcBorders>
            <w:vAlign w:val="center"/>
          </w:tcPr>
          <w:p w:rsidR="00872027" w:rsidRPr="00AE6EDB" w:rsidRDefault="00872027" w:rsidP="00440D13">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5</w:t>
            </w:r>
            <w:r w:rsidR="00AC44CB">
              <w:rPr>
                <w:sz w:val="18"/>
                <w:szCs w:val="18"/>
              </w:rPr>
              <w:t>5 1</w:t>
            </w:r>
            <w:r w:rsidRPr="00AE6EDB">
              <w:rPr>
                <w:sz w:val="18"/>
                <w:szCs w:val="18"/>
              </w:rPr>
              <w:t>47</w:t>
            </w:r>
          </w:p>
        </w:tc>
        <w:tc>
          <w:tcPr>
            <w:tcW w:w="1153" w:type="dxa"/>
            <w:gridSpan w:val="2"/>
            <w:tcBorders>
              <w:top w:val="none" w:sz="0" w:space="0" w:color="auto"/>
              <w:bottom w:val="none" w:sz="0" w:space="0" w:color="auto"/>
            </w:tcBorders>
            <w:vAlign w:val="center"/>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22,02</w:t>
            </w:r>
          </w:p>
        </w:tc>
        <w:tc>
          <w:tcPr>
            <w:tcW w:w="1133" w:type="dxa"/>
            <w:gridSpan w:val="3"/>
            <w:tcBorders>
              <w:top w:val="none" w:sz="0" w:space="0" w:color="auto"/>
              <w:bottom w:val="none" w:sz="0" w:space="0" w:color="auto"/>
              <w:right w:val="single" w:sz="4" w:space="0" w:color="BF0000" w:themeColor="accent3" w:themeShade="BF"/>
            </w:tcBorders>
            <w:vAlign w:val="center"/>
          </w:tcPr>
          <w:p w:rsidR="00872027" w:rsidRPr="00AE6EDB" w:rsidRDefault="00872027" w:rsidP="00440D13">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w:t>
            </w:r>
            <w:r w:rsidR="0054295F">
              <w:rPr>
                <w:sz w:val="18"/>
                <w:szCs w:val="18"/>
              </w:rPr>
              <w:t>4 8</w:t>
            </w:r>
            <w:r w:rsidRPr="00AE6EDB">
              <w:rPr>
                <w:sz w:val="18"/>
                <w:szCs w:val="18"/>
              </w:rPr>
              <w:t>5</w:t>
            </w:r>
            <w:r w:rsidR="0054295F">
              <w:rPr>
                <w:sz w:val="18"/>
                <w:szCs w:val="18"/>
              </w:rPr>
              <w:t>4 4</w:t>
            </w:r>
            <w:r w:rsidRPr="00AE6EDB">
              <w:rPr>
                <w:sz w:val="18"/>
                <w:szCs w:val="18"/>
              </w:rPr>
              <w:t>24</w:t>
            </w:r>
          </w:p>
        </w:tc>
        <w:tc>
          <w:tcPr>
            <w:tcW w:w="1133" w:type="dxa"/>
            <w:gridSpan w:val="2"/>
            <w:tcBorders>
              <w:top w:val="none" w:sz="0" w:space="0" w:color="auto"/>
              <w:left w:val="single" w:sz="4" w:space="0" w:color="BF0000" w:themeColor="accent3" w:themeShade="BF"/>
              <w:bottom w:val="none" w:sz="0" w:space="0" w:color="auto"/>
            </w:tcBorders>
            <w:vAlign w:val="center"/>
          </w:tcPr>
          <w:p w:rsidR="00872027" w:rsidRPr="00AE6EDB" w:rsidRDefault="00872027" w:rsidP="00440D13">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5</w:t>
            </w:r>
            <w:r w:rsidR="0054295F">
              <w:rPr>
                <w:sz w:val="18"/>
                <w:szCs w:val="18"/>
              </w:rPr>
              <w:t>4 8</w:t>
            </w:r>
            <w:r w:rsidRPr="00AE6EDB">
              <w:rPr>
                <w:sz w:val="18"/>
                <w:szCs w:val="18"/>
              </w:rPr>
              <w:t>74</w:t>
            </w:r>
          </w:p>
        </w:tc>
        <w:tc>
          <w:tcPr>
            <w:tcW w:w="1133" w:type="dxa"/>
            <w:gridSpan w:val="2"/>
            <w:tcBorders>
              <w:top w:val="none" w:sz="0" w:space="0" w:color="auto"/>
              <w:bottom w:val="none" w:sz="0" w:space="0" w:color="auto"/>
            </w:tcBorders>
            <w:vAlign w:val="center"/>
          </w:tcPr>
          <w:p w:rsidR="00872027" w:rsidRPr="00AE6EDB" w:rsidRDefault="00872027" w:rsidP="00440D13">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22,21</w:t>
            </w:r>
          </w:p>
        </w:tc>
        <w:tc>
          <w:tcPr>
            <w:tcW w:w="1176" w:type="dxa"/>
            <w:tcBorders>
              <w:top w:val="none" w:sz="0" w:space="0" w:color="auto"/>
              <w:bottom w:val="none" w:sz="0" w:space="0" w:color="auto"/>
              <w:right w:val="none" w:sz="0" w:space="0" w:color="auto"/>
            </w:tcBorders>
            <w:vAlign w:val="center"/>
          </w:tcPr>
          <w:p w:rsidR="00872027" w:rsidRPr="00AE6EDB" w:rsidRDefault="00872027" w:rsidP="00440D13">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w:t>
            </w:r>
            <w:r w:rsidR="0054295F">
              <w:rPr>
                <w:sz w:val="18"/>
                <w:szCs w:val="18"/>
              </w:rPr>
              <w:t>4 8</w:t>
            </w:r>
            <w:r w:rsidRPr="00AE6EDB">
              <w:rPr>
                <w:sz w:val="18"/>
                <w:szCs w:val="18"/>
              </w:rPr>
              <w:t>8</w:t>
            </w:r>
            <w:r w:rsidR="00AC44CB">
              <w:rPr>
                <w:sz w:val="18"/>
                <w:szCs w:val="18"/>
              </w:rPr>
              <w:t>9 3</w:t>
            </w:r>
            <w:r w:rsidRPr="00AE6EDB">
              <w:rPr>
                <w:sz w:val="18"/>
                <w:szCs w:val="18"/>
              </w:rPr>
              <w:t>39</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872027" w:rsidRPr="00AE6EDB" w:rsidRDefault="00872027" w:rsidP="00440D13">
            <w:pPr>
              <w:spacing w:line="276" w:lineRule="auto"/>
              <w:jc w:val="left"/>
              <w:rPr>
                <w:b w:val="0"/>
                <w:color w:val="000000"/>
                <w:sz w:val="18"/>
                <w:szCs w:val="18"/>
              </w:rPr>
            </w:pPr>
            <w:r w:rsidRPr="00AE6EDB">
              <w:rPr>
                <w:b w:val="0"/>
                <w:bCs w:val="0"/>
                <w:color w:val="000000" w:themeColor="text1"/>
                <w:sz w:val="18"/>
                <w:szCs w:val="18"/>
              </w:rPr>
              <w:t>–</w:t>
            </w:r>
            <w:r w:rsidRPr="00AE6EDB">
              <w:rPr>
                <w:b w:val="0"/>
                <w:color w:val="000000"/>
                <w:sz w:val="18"/>
                <w:szCs w:val="18"/>
              </w:rPr>
              <w:t xml:space="preserve"> hygienu alebo opotrebovanie šatstva, bielizne, obuvi a bytového zariadenia</w:t>
            </w:r>
          </w:p>
        </w:tc>
        <w:tc>
          <w:tcPr>
            <w:tcW w:w="1153" w:type="dxa"/>
            <w:vAlign w:val="center"/>
          </w:tcPr>
          <w:p w:rsidR="00872027" w:rsidRPr="00AE6EDB" w:rsidDel="000F5B12" w:rsidRDefault="00872027" w:rsidP="00440D13">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9</w:t>
            </w:r>
            <w:r w:rsidR="0054295F">
              <w:rPr>
                <w:sz w:val="18"/>
                <w:szCs w:val="18"/>
              </w:rPr>
              <w:t>3 5</w:t>
            </w:r>
            <w:r w:rsidRPr="00AE6EDB">
              <w:rPr>
                <w:sz w:val="18"/>
                <w:szCs w:val="18"/>
              </w:rPr>
              <w:t>21</w:t>
            </w:r>
          </w:p>
        </w:tc>
        <w:tc>
          <w:tcPr>
            <w:tcW w:w="1153" w:type="dxa"/>
            <w:gridSpan w:val="2"/>
            <w:vAlign w:val="center"/>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18,39</w:t>
            </w:r>
          </w:p>
        </w:tc>
        <w:tc>
          <w:tcPr>
            <w:tcW w:w="1133" w:type="dxa"/>
            <w:gridSpan w:val="3"/>
            <w:tcBorders>
              <w:right w:val="single" w:sz="4" w:space="0" w:color="BF0000" w:themeColor="accent3" w:themeShade="BF"/>
            </w:tcBorders>
            <w:vAlign w:val="center"/>
          </w:tcPr>
          <w:p w:rsidR="00872027" w:rsidRPr="00AE6EDB" w:rsidRDefault="00872027" w:rsidP="00440D13">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2</w:t>
            </w:r>
            <w:r w:rsidR="0054295F">
              <w:rPr>
                <w:sz w:val="18"/>
                <w:szCs w:val="18"/>
              </w:rPr>
              <w:t>1 0</w:t>
            </w:r>
            <w:r w:rsidRPr="00AE6EDB">
              <w:rPr>
                <w:sz w:val="18"/>
                <w:szCs w:val="18"/>
              </w:rPr>
              <w:t>0</w:t>
            </w:r>
            <w:r w:rsidR="0054295F">
              <w:rPr>
                <w:sz w:val="18"/>
                <w:szCs w:val="18"/>
              </w:rPr>
              <w:t>2 6</w:t>
            </w:r>
            <w:r w:rsidRPr="00AE6EDB">
              <w:rPr>
                <w:sz w:val="18"/>
                <w:szCs w:val="18"/>
              </w:rPr>
              <w:t>50</w:t>
            </w:r>
          </w:p>
        </w:tc>
        <w:tc>
          <w:tcPr>
            <w:tcW w:w="1133" w:type="dxa"/>
            <w:gridSpan w:val="2"/>
            <w:tcBorders>
              <w:left w:val="single" w:sz="4" w:space="0" w:color="BF0000" w:themeColor="accent3" w:themeShade="BF"/>
            </w:tcBorders>
            <w:vAlign w:val="center"/>
          </w:tcPr>
          <w:p w:rsidR="00872027" w:rsidRPr="00AE6EDB" w:rsidRDefault="00872027" w:rsidP="00440D13">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9</w:t>
            </w:r>
            <w:r w:rsidR="0054295F">
              <w:rPr>
                <w:sz w:val="18"/>
                <w:szCs w:val="18"/>
              </w:rPr>
              <w:t>2 1</w:t>
            </w:r>
            <w:r w:rsidRPr="00AE6EDB">
              <w:rPr>
                <w:sz w:val="18"/>
                <w:szCs w:val="18"/>
              </w:rPr>
              <w:t>83</w:t>
            </w:r>
          </w:p>
        </w:tc>
        <w:tc>
          <w:tcPr>
            <w:tcW w:w="1133" w:type="dxa"/>
            <w:gridSpan w:val="2"/>
            <w:vAlign w:val="center"/>
          </w:tcPr>
          <w:p w:rsidR="00872027" w:rsidRPr="00AE6EDB" w:rsidRDefault="00872027" w:rsidP="00440D13">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18,39</w:t>
            </w:r>
          </w:p>
        </w:tc>
        <w:tc>
          <w:tcPr>
            <w:tcW w:w="1176" w:type="dxa"/>
            <w:vAlign w:val="center"/>
          </w:tcPr>
          <w:p w:rsidR="00872027" w:rsidRPr="00AE6EDB" w:rsidRDefault="00872027" w:rsidP="00440D13">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2</w:t>
            </w:r>
            <w:r w:rsidR="0054295F">
              <w:rPr>
                <w:sz w:val="18"/>
                <w:szCs w:val="18"/>
              </w:rPr>
              <w:t>0 6</w:t>
            </w:r>
            <w:r w:rsidRPr="00AE6EDB">
              <w:rPr>
                <w:sz w:val="18"/>
                <w:szCs w:val="18"/>
              </w:rPr>
              <w:t>6</w:t>
            </w:r>
            <w:r w:rsidR="00AC44CB">
              <w:rPr>
                <w:sz w:val="18"/>
                <w:szCs w:val="18"/>
              </w:rPr>
              <w:t>5 3</w:t>
            </w:r>
            <w:r w:rsidRPr="00AE6EDB">
              <w:rPr>
                <w:sz w:val="18"/>
                <w:szCs w:val="18"/>
              </w:rPr>
              <w:t>05</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872027" w:rsidRPr="00AE6EDB" w:rsidRDefault="00872027" w:rsidP="00440D13">
            <w:pPr>
              <w:spacing w:line="276" w:lineRule="auto"/>
              <w:jc w:val="left"/>
              <w:rPr>
                <w:b w:val="0"/>
                <w:sz w:val="18"/>
                <w:szCs w:val="18"/>
              </w:rPr>
            </w:pPr>
            <w:r w:rsidRPr="00AE6EDB">
              <w:rPr>
                <w:color w:val="000000" w:themeColor="text1"/>
                <w:sz w:val="18"/>
                <w:szCs w:val="18"/>
              </w:rPr>
              <w:t xml:space="preserve">– </w:t>
            </w:r>
            <w:r w:rsidRPr="00AE6EDB">
              <w:rPr>
                <w:b w:val="0"/>
                <w:color w:val="000000"/>
                <w:sz w:val="18"/>
                <w:szCs w:val="18"/>
              </w:rPr>
              <w:t>prevádzku osobného motorového vozidla</w:t>
            </w:r>
          </w:p>
        </w:tc>
        <w:tc>
          <w:tcPr>
            <w:tcW w:w="1153" w:type="dxa"/>
            <w:tcBorders>
              <w:top w:val="none" w:sz="0" w:space="0" w:color="auto"/>
              <w:bottom w:val="none" w:sz="0" w:space="0" w:color="auto"/>
            </w:tcBorders>
            <w:vAlign w:val="center"/>
          </w:tcPr>
          <w:p w:rsidR="00872027" w:rsidRPr="00AE6EDB" w:rsidDel="000F5B12" w:rsidRDefault="00872027" w:rsidP="00440D13">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6</w:t>
            </w:r>
            <w:r w:rsidR="00AC44CB">
              <w:rPr>
                <w:sz w:val="18"/>
                <w:szCs w:val="18"/>
              </w:rPr>
              <w:t>9 8</w:t>
            </w:r>
            <w:r w:rsidRPr="00AE6EDB">
              <w:rPr>
                <w:sz w:val="18"/>
                <w:szCs w:val="18"/>
              </w:rPr>
              <w:t>13</w:t>
            </w:r>
          </w:p>
        </w:tc>
        <w:tc>
          <w:tcPr>
            <w:tcW w:w="1153" w:type="dxa"/>
            <w:gridSpan w:val="2"/>
            <w:tcBorders>
              <w:top w:val="none" w:sz="0" w:space="0" w:color="auto"/>
              <w:bottom w:val="none" w:sz="0" w:space="0" w:color="auto"/>
            </w:tcBorders>
            <w:vAlign w:val="center"/>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33,09</w:t>
            </w:r>
          </w:p>
        </w:tc>
        <w:tc>
          <w:tcPr>
            <w:tcW w:w="1133" w:type="dxa"/>
            <w:gridSpan w:val="3"/>
            <w:tcBorders>
              <w:top w:val="none" w:sz="0" w:space="0" w:color="auto"/>
              <w:bottom w:val="none" w:sz="0" w:space="0" w:color="auto"/>
              <w:right w:val="single" w:sz="4" w:space="0" w:color="BF0000" w:themeColor="accent3" w:themeShade="BF"/>
            </w:tcBorders>
            <w:vAlign w:val="center"/>
          </w:tcPr>
          <w:p w:rsidR="00872027" w:rsidRPr="00AE6EDB" w:rsidRDefault="00872027" w:rsidP="00440D13">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2</w:t>
            </w:r>
            <w:r w:rsidR="00AC44CB">
              <w:rPr>
                <w:sz w:val="18"/>
                <w:szCs w:val="18"/>
              </w:rPr>
              <w:t>8 2</w:t>
            </w:r>
            <w:r w:rsidRPr="00AE6EDB">
              <w:rPr>
                <w:sz w:val="18"/>
                <w:szCs w:val="18"/>
              </w:rPr>
              <w:t>3</w:t>
            </w:r>
            <w:r w:rsidR="00AC44CB">
              <w:rPr>
                <w:sz w:val="18"/>
                <w:szCs w:val="18"/>
              </w:rPr>
              <w:t>7 7</w:t>
            </w:r>
            <w:r w:rsidRPr="00AE6EDB">
              <w:rPr>
                <w:sz w:val="18"/>
                <w:szCs w:val="18"/>
              </w:rPr>
              <w:t>28</w:t>
            </w:r>
          </w:p>
        </w:tc>
        <w:tc>
          <w:tcPr>
            <w:tcW w:w="1133" w:type="dxa"/>
            <w:gridSpan w:val="2"/>
            <w:tcBorders>
              <w:top w:val="none" w:sz="0" w:space="0" w:color="auto"/>
              <w:left w:val="single" w:sz="4" w:space="0" w:color="BF0000" w:themeColor="accent3" w:themeShade="BF"/>
              <w:bottom w:val="none" w:sz="0" w:space="0" w:color="auto"/>
            </w:tcBorders>
            <w:vAlign w:val="center"/>
          </w:tcPr>
          <w:p w:rsidR="00872027" w:rsidRPr="00AE6EDB" w:rsidRDefault="00872027" w:rsidP="00440D13">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6</w:t>
            </w:r>
            <w:r w:rsidR="00AC44CB">
              <w:rPr>
                <w:sz w:val="18"/>
                <w:szCs w:val="18"/>
              </w:rPr>
              <w:t>9 9</w:t>
            </w:r>
            <w:r w:rsidRPr="00AE6EDB">
              <w:rPr>
                <w:sz w:val="18"/>
                <w:szCs w:val="18"/>
              </w:rPr>
              <w:t>98</w:t>
            </w:r>
          </w:p>
        </w:tc>
        <w:tc>
          <w:tcPr>
            <w:tcW w:w="1133" w:type="dxa"/>
            <w:gridSpan w:val="2"/>
            <w:tcBorders>
              <w:top w:val="none" w:sz="0" w:space="0" w:color="auto"/>
              <w:bottom w:val="none" w:sz="0" w:space="0" w:color="auto"/>
            </w:tcBorders>
            <w:vAlign w:val="center"/>
          </w:tcPr>
          <w:p w:rsidR="00872027" w:rsidRPr="00AE6EDB" w:rsidRDefault="00872027" w:rsidP="00440D13">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33,09</w:t>
            </w:r>
          </w:p>
        </w:tc>
        <w:tc>
          <w:tcPr>
            <w:tcW w:w="1176" w:type="dxa"/>
            <w:tcBorders>
              <w:top w:val="none" w:sz="0" w:space="0" w:color="auto"/>
              <w:bottom w:val="none" w:sz="0" w:space="0" w:color="auto"/>
              <w:right w:val="none" w:sz="0" w:space="0" w:color="auto"/>
            </w:tcBorders>
            <w:vAlign w:val="center"/>
          </w:tcPr>
          <w:p w:rsidR="00872027" w:rsidRPr="00AE6EDB" w:rsidRDefault="00872027" w:rsidP="00440D13">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2</w:t>
            </w:r>
            <w:r w:rsidR="00AC44CB">
              <w:rPr>
                <w:sz w:val="18"/>
                <w:szCs w:val="18"/>
              </w:rPr>
              <w:t>8 2</w:t>
            </w:r>
            <w:r w:rsidRPr="00AE6EDB">
              <w:rPr>
                <w:sz w:val="18"/>
                <w:szCs w:val="18"/>
              </w:rPr>
              <w:t>8</w:t>
            </w:r>
            <w:r w:rsidR="00AC44CB">
              <w:rPr>
                <w:sz w:val="18"/>
                <w:szCs w:val="18"/>
              </w:rPr>
              <w:t>8 7</w:t>
            </w:r>
            <w:r w:rsidRPr="00AE6EDB">
              <w:rPr>
                <w:sz w:val="18"/>
                <w:szCs w:val="18"/>
              </w:rPr>
              <w:t>44</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872027" w:rsidRPr="00AE6EDB" w:rsidRDefault="00872027" w:rsidP="00440D13">
            <w:pPr>
              <w:spacing w:line="276" w:lineRule="auto"/>
              <w:jc w:val="left"/>
              <w:rPr>
                <w:b w:val="0"/>
                <w:sz w:val="18"/>
                <w:szCs w:val="18"/>
              </w:rPr>
            </w:pPr>
            <w:r w:rsidRPr="00AE6EDB">
              <w:rPr>
                <w:color w:val="000000" w:themeColor="text1"/>
                <w:sz w:val="18"/>
                <w:szCs w:val="18"/>
              </w:rPr>
              <w:t>–</w:t>
            </w:r>
            <w:r w:rsidRPr="00AE6EDB">
              <w:rPr>
                <w:b w:val="0"/>
                <w:color w:val="000000"/>
                <w:sz w:val="18"/>
                <w:szCs w:val="18"/>
              </w:rPr>
              <w:t xml:space="preserve"> starostlivosť o psa so špeciálnym výcvikom</w:t>
            </w:r>
          </w:p>
        </w:tc>
        <w:tc>
          <w:tcPr>
            <w:tcW w:w="1153" w:type="dxa"/>
            <w:vAlign w:val="center"/>
          </w:tcPr>
          <w:p w:rsidR="00872027" w:rsidRPr="00AE6EDB" w:rsidDel="000F5B12" w:rsidRDefault="00872027" w:rsidP="00440D13">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73</w:t>
            </w:r>
          </w:p>
        </w:tc>
        <w:tc>
          <w:tcPr>
            <w:tcW w:w="1153" w:type="dxa"/>
            <w:gridSpan w:val="2"/>
            <w:vAlign w:val="center"/>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44,12</w:t>
            </w:r>
          </w:p>
        </w:tc>
        <w:tc>
          <w:tcPr>
            <w:tcW w:w="1133" w:type="dxa"/>
            <w:gridSpan w:val="3"/>
            <w:tcBorders>
              <w:right w:val="single" w:sz="4" w:space="0" w:color="BF0000" w:themeColor="accent3" w:themeShade="BF"/>
            </w:tcBorders>
            <w:vAlign w:val="center"/>
          </w:tcPr>
          <w:p w:rsidR="00872027" w:rsidRPr="00AE6EDB" w:rsidRDefault="00872027" w:rsidP="00440D13">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w:t>
            </w:r>
            <w:r w:rsidR="00AC44CB">
              <w:rPr>
                <w:sz w:val="18"/>
                <w:szCs w:val="18"/>
              </w:rPr>
              <w:t>8 8</w:t>
            </w:r>
            <w:r w:rsidRPr="00AE6EDB">
              <w:rPr>
                <w:sz w:val="18"/>
                <w:szCs w:val="18"/>
              </w:rPr>
              <w:t>26</w:t>
            </w:r>
          </w:p>
        </w:tc>
        <w:tc>
          <w:tcPr>
            <w:tcW w:w="1133" w:type="dxa"/>
            <w:gridSpan w:val="2"/>
            <w:tcBorders>
              <w:left w:val="single" w:sz="4" w:space="0" w:color="BF0000" w:themeColor="accent3" w:themeShade="BF"/>
            </w:tcBorders>
            <w:vAlign w:val="center"/>
          </w:tcPr>
          <w:p w:rsidR="00872027" w:rsidRPr="00AE6EDB" w:rsidRDefault="00872027" w:rsidP="00440D13">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73</w:t>
            </w:r>
          </w:p>
        </w:tc>
        <w:tc>
          <w:tcPr>
            <w:tcW w:w="1133" w:type="dxa"/>
            <w:gridSpan w:val="2"/>
            <w:vAlign w:val="center"/>
          </w:tcPr>
          <w:p w:rsidR="00872027" w:rsidRPr="00AE6EDB" w:rsidRDefault="00872027" w:rsidP="00440D13">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44,12</w:t>
            </w:r>
          </w:p>
        </w:tc>
        <w:tc>
          <w:tcPr>
            <w:tcW w:w="1176" w:type="dxa"/>
            <w:vAlign w:val="center"/>
          </w:tcPr>
          <w:p w:rsidR="00872027" w:rsidRPr="00AE6EDB" w:rsidRDefault="00872027" w:rsidP="00440D13">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w:t>
            </w:r>
            <w:r w:rsidR="0054295F">
              <w:rPr>
                <w:sz w:val="18"/>
                <w:szCs w:val="18"/>
              </w:rPr>
              <w:t>0 1</w:t>
            </w:r>
            <w:r w:rsidRPr="00AE6EDB">
              <w:rPr>
                <w:sz w:val="18"/>
                <w:szCs w:val="18"/>
              </w:rPr>
              <w:t>49</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872027" w:rsidRPr="00AE6EDB" w:rsidRDefault="00872027" w:rsidP="00440D13">
            <w:pPr>
              <w:spacing w:line="276" w:lineRule="auto"/>
              <w:jc w:val="left"/>
              <w:rPr>
                <w:b w:val="0"/>
                <w:sz w:val="18"/>
                <w:szCs w:val="18"/>
              </w:rPr>
            </w:pPr>
            <w:r w:rsidRPr="00AE6EDB">
              <w:rPr>
                <w:b w:val="0"/>
                <w:color w:val="000000"/>
                <w:sz w:val="18"/>
                <w:szCs w:val="18"/>
              </w:rPr>
              <w:t>PP na opatrovanie</w:t>
            </w:r>
          </w:p>
        </w:tc>
        <w:tc>
          <w:tcPr>
            <w:tcW w:w="1153" w:type="dxa"/>
            <w:tcBorders>
              <w:top w:val="none" w:sz="0" w:space="0" w:color="auto"/>
              <w:bottom w:val="none" w:sz="0" w:space="0" w:color="auto"/>
            </w:tcBorders>
            <w:vAlign w:val="center"/>
          </w:tcPr>
          <w:p w:rsidR="00872027" w:rsidRPr="00AE6EDB" w:rsidRDefault="00872027" w:rsidP="00440D13">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5</w:t>
            </w:r>
            <w:r w:rsidR="00AC44CB">
              <w:rPr>
                <w:sz w:val="18"/>
                <w:szCs w:val="18"/>
              </w:rPr>
              <w:t>8 9</w:t>
            </w:r>
            <w:r w:rsidRPr="00AE6EDB">
              <w:rPr>
                <w:sz w:val="18"/>
                <w:szCs w:val="18"/>
              </w:rPr>
              <w:t>92</w:t>
            </w:r>
          </w:p>
        </w:tc>
        <w:tc>
          <w:tcPr>
            <w:tcW w:w="1153" w:type="dxa"/>
            <w:gridSpan w:val="2"/>
            <w:tcBorders>
              <w:top w:val="none" w:sz="0" w:space="0" w:color="auto"/>
              <w:bottom w:val="none" w:sz="0" w:space="0" w:color="auto"/>
            </w:tcBorders>
            <w:vAlign w:val="center"/>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142,55</w:t>
            </w:r>
          </w:p>
        </w:tc>
        <w:tc>
          <w:tcPr>
            <w:tcW w:w="1133" w:type="dxa"/>
            <w:gridSpan w:val="3"/>
            <w:tcBorders>
              <w:top w:val="none" w:sz="0" w:space="0" w:color="auto"/>
              <w:bottom w:val="none" w:sz="0" w:space="0" w:color="auto"/>
              <w:right w:val="single" w:sz="4" w:space="0" w:color="BF0000" w:themeColor="accent3" w:themeShade="BF"/>
            </w:tcBorders>
            <w:vAlign w:val="center"/>
          </w:tcPr>
          <w:p w:rsidR="00872027" w:rsidRPr="00AE6EDB" w:rsidRDefault="00872027" w:rsidP="00440D13">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10</w:t>
            </w:r>
            <w:r w:rsidR="0054295F">
              <w:rPr>
                <w:sz w:val="18"/>
                <w:szCs w:val="18"/>
              </w:rPr>
              <w:t>4 3</w:t>
            </w:r>
            <w:r w:rsidRPr="00AE6EDB">
              <w:rPr>
                <w:sz w:val="18"/>
                <w:szCs w:val="18"/>
              </w:rPr>
              <w:t>0</w:t>
            </w:r>
            <w:r w:rsidR="00AC44CB">
              <w:rPr>
                <w:sz w:val="18"/>
                <w:szCs w:val="18"/>
              </w:rPr>
              <w:t>9 4</w:t>
            </w:r>
            <w:r w:rsidRPr="00AE6EDB">
              <w:rPr>
                <w:sz w:val="18"/>
                <w:szCs w:val="18"/>
              </w:rPr>
              <w:t>11</w:t>
            </w:r>
          </w:p>
        </w:tc>
        <w:tc>
          <w:tcPr>
            <w:tcW w:w="1133" w:type="dxa"/>
            <w:gridSpan w:val="2"/>
            <w:tcBorders>
              <w:top w:val="none" w:sz="0" w:space="0" w:color="auto"/>
              <w:left w:val="single" w:sz="4" w:space="0" w:color="BF0000" w:themeColor="accent3" w:themeShade="BF"/>
              <w:bottom w:val="none" w:sz="0" w:space="0" w:color="auto"/>
            </w:tcBorders>
            <w:vAlign w:val="center"/>
          </w:tcPr>
          <w:p w:rsidR="00872027" w:rsidRPr="00AE6EDB" w:rsidRDefault="00872027" w:rsidP="00440D13">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5</w:t>
            </w:r>
            <w:r w:rsidR="00AC44CB">
              <w:rPr>
                <w:sz w:val="18"/>
                <w:szCs w:val="18"/>
              </w:rPr>
              <w:t>6 5</w:t>
            </w:r>
            <w:r w:rsidRPr="00AE6EDB">
              <w:rPr>
                <w:sz w:val="18"/>
                <w:szCs w:val="18"/>
              </w:rPr>
              <w:t>72</w:t>
            </w:r>
          </w:p>
        </w:tc>
        <w:tc>
          <w:tcPr>
            <w:tcW w:w="1133" w:type="dxa"/>
            <w:gridSpan w:val="2"/>
            <w:tcBorders>
              <w:top w:val="none" w:sz="0" w:space="0" w:color="auto"/>
              <w:bottom w:val="none" w:sz="0" w:space="0" w:color="auto"/>
            </w:tcBorders>
            <w:vAlign w:val="center"/>
          </w:tcPr>
          <w:p w:rsidR="00872027" w:rsidRPr="00AE6EDB" w:rsidRDefault="00872027" w:rsidP="00440D13">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139,13</w:t>
            </w:r>
          </w:p>
        </w:tc>
        <w:tc>
          <w:tcPr>
            <w:tcW w:w="1176" w:type="dxa"/>
            <w:tcBorders>
              <w:top w:val="none" w:sz="0" w:space="0" w:color="auto"/>
              <w:bottom w:val="none" w:sz="0" w:space="0" w:color="auto"/>
              <w:right w:val="none" w:sz="0" w:space="0" w:color="auto"/>
            </w:tcBorders>
            <w:vAlign w:val="center"/>
          </w:tcPr>
          <w:p w:rsidR="00872027" w:rsidRPr="00AE6EDB" w:rsidRDefault="00872027" w:rsidP="00440D13">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9</w:t>
            </w:r>
            <w:r w:rsidR="00AC44CB">
              <w:rPr>
                <w:sz w:val="18"/>
                <w:szCs w:val="18"/>
              </w:rPr>
              <w:t>7 3</w:t>
            </w:r>
            <w:r w:rsidRPr="00AE6EDB">
              <w:rPr>
                <w:sz w:val="18"/>
                <w:szCs w:val="18"/>
              </w:rPr>
              <w:t>3</w:t>
            </w:r>
            <w:r w:rsidR="00AC44CB">
              <w:rPr>
                <w:sz w:val="18"/>
                <w:szCs w:val="18"/>
              </w:rPr>
              <w:t>5 8</w:t>
            </w:r>
            <w:r w:rsidRPr="00AE6EDB">
              <w:rPr>
                <w:sz w:val="18"/>
                <w:szCs w:val="18"/>
              </w:rPr>
              <w:t>01</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shd w:val="clear" w:color="auto" w:fill="BF0000" w:themeFill="accent3" w:themeFillShade="BF"/>
            <w:vAlign w:val="center"/>
            <w:hideMark/>
          </w:tcPr>
          <w:p w:rsidR="00872027" w:rsidRPr="00AE6EDB" w:rsidRDefault="00872027" w:rsidP="00440D13">
            <w:pPr>
              <w:jc w:val="center"/>
              <w:rPr>
                <w:color w:val="FFFFFF" w:themeColor="background1"/>
                <w:sz w:val="18"/>
                <w:szCs w:val="18"/>
              </w:rPr>
            </w:pPr>
            <w:r w:rsidRPr="00AE6EDB">
              <w:rPr>
                <w:color w:val="FFFFFF" w:themeColor="background1"/>
                <w:sz w:val="18"/>
                <w:szCs w:val="18"/>
              </w:rPr>
              <w:t>Jednorazové peňažné príspevky na kompenzáciu</w:t>
            </w:r>
          </w:p>
        </w:tc>
        <w:tc>
          <w:tcPr>
            <w:tcW w:w="1153" w:type="dxa"/>
            <w:shd w:val="clear" w:color="auto" w:fill="BF0000" w:themeFill="accent3" w:themeFillShade="BF"/>
            <w:vAlign w:val="center"/>
            <w:hideMark/>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Počet poskytnutých PP*</w:t>
            </w:r>
          </w:p>
        </w:tc>
        <w:tc>
          <w:tcPr>
            <w:tcW w:w="1134" w:type="dxa"/>
            <w:shd w:val="clear" w:color="auto" w:fill="BF0000" w:themeFill="accent3" w:themeFillShade="BF"/>
            <w:vAlign w:val="center"/>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E6EDB">
              <w:rPr>
                <w:b/>
                <w:color w:val="FFFFFF" w:themeColor="background1"/>
                <w:sz w:val="18"/>
                <w:szCs w:val="18"/>
              </w:rPr>
              <w:t>Priemerná výška PP v €</w:t>
            </w:r>
          </w:p>
        </w:tc>
        <w:tc>
          <w:tcPr>
            <w:tcW w:w="1133" w:type="dxa"/>
            <w:gridSpan w:val="3"/>
            <w:tcBorders>
              <w:bottom w:val="single" w:sz="4" w:space="0" w:color="BF0000" w:themeColor="accent3" w:themeShade="BF"/>
              <w:right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c>
          <w:tcPr>
            <w:tcW w:w="1133" w:type="dxa"/>
            <w:gridSpan w:val="2"/>
            <w:tcBorders>
              <w:left w:val="single" w:sz="4" w:space="0" w:color="BF0000" w:themeColor="accent3" w:themeShade="BF"/>
            </w:tcBorders>
            <w:shd w:val="clear" w:color="auto" w:fill="BF0000" w:themeFill="accent3" w:themeFillShade="BF"/>
            <w:vAlign w:val="center"/>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Počet poskytnutých PP*</w:t>
            </w:r>
          </w:p>
        </w:tc>
        <w:tc>
          <w:tcPr>
            <w:tcW w:w="1133" w:type="dxa"/>
            <w:gridSpan w:val="2"/>
            <w:shd w:val="clear" w:color="auto" w:fill="BF0000" w:themeFill="accent3" w:themeFillShade="BF"/>
            <w:vAlign w:val="center"/>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Priemerná výška PP v €</w:t>
            </w:r>
          </w:p>
        </w:tc>
        <w:tc>
          <w:tcPr>
            <w:tcW w:w="1195" w:type="dxa"/>
            <w:gridSpan w:val="2"/>
            <w:shd w:val="clear" w:color="auto" w:fill="BF0000" w:themeFill="accent3" w:themeFillShade="BF"/>
            <w:vAlign w:val="center"/>
          </w:tcPr>
          <w:p w:rsidR="00872027" w:rsidRPr="00AE6EDB" w:rsidRDefault="00872027" w:rsidP="00440D1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E6EDB">
              <w:rPr>
                <w:b/>
                <w:color w:val="FFFFFF" w:themeColor="background1"/>
                <w:sz w:val="18"/>
                <w:szCs w:val="18"/>
              </w:rPr>
              <w:t>Vynaložené finančné prostriedky v €</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kúpu pomôcky</w:t>
            </w:r>
          </w:p>
        </w:tc>
        <w:tc>
          <w:tcPr>
            <w:tcW w:w="1153" w:type="dxa"/>
            <w:tcBorders>
              <w:top w:val="none" w:sz="0" w:space="0" w:color="auto"/>
              <w:bottom w:val="none" w:sz="0" w:space="0" w:color="auto"/>
            </w:tcBorders>
            <w:vAlign w:val="bottom"/>
          </w:tcPr>
          <w:p w:rsidR="00872027" w:rsidRPr="00AE6EDB" w:rsidRDefault="0054295F"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3 2</w:t>
            </w:r>
            <w:r w:rsidR="00872027" w:rsidRPr="00AE6EDB">
              <w:rPr>
                <w:sz w:val="18"/>
                <w:szCs w:val="18"/>
              </w:rPr>
              <w:t>67</w:t>
            </w:r>
          </w:p>
        </w:tc>
        <w:tc>
          <w:tcPr>
            <w:tcW w:w="1134" w:type="dxa"/>
            <w:tcBorders>
              <w:top w:val="none" w:sz="0" w:space="0" w:color="auto"/>
              <w:bottom w:val="none" w:sz="0" w:space="0" w:color="auto"/>
            </w:tcBorders>
            <w:vAlign w:val="bottom"/>
          </w:tcPr>
          <w:p w:rsidR="00872027" w:rsidRPr="00AE6EDB" w:rsidRDefault="00872027" w:rsidP="00440D13">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734,75</w:t>
            </w:r>
          </w:p>
        </w:tc>
        <w:tc>
          <w:tcPr>
            <w:tcW w:w="1133" w:type="dxa"/>
            <w:gridSpan w:val="3"/>
            <w:tcBorders>
              <w:top w:val="none" w:sz="0" w:space="0" w:color="auto"/>
              <w:bottom w:val="none" w:sz="0" w:space="0" w:color="auto"/>
              <w:right w:val="single" w:sz="4" w:space="0" w:color="BF0000" w:themeColor="accent3" w:themeShade="BF"/>
            </w:tcBorders>
            <w:vAlign w:val="bottom"/>
          </w:tcPr>
          <w:p w:rsidR="00872027" w:rsidRPr="00AE6EDB" w:rsidRDefault="0054295F" w:rsidP="00440D13">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2 4</w:t>
            </w:r>
            <w:r w:rsidR="00872027" w:rsidRPr="00AE6EDB">
              <w:rPr>
                <w:sz w:val="18"/>
                <w:szCs w:val="18"/>
              </w:rPr>
              <w:t>0</w:t>
            </w:r>
            <w:r>
              <w:rPr>
                <w:sz w:val="18"/>
                <w:szCs w:val="18"/>
              </w:rPr>
              <w:t>0 4</w:t>
            </w:r>
            <w:r w:rsidR="00872027" w:rsidRPr="00AE6EDB">
              <w:rPr>
                <w:sz w:val="18"/>
                <w:szCs w:val="18"/>
              </w:rPr>
              <w:t>36</w:t>
            </w:r>
          </w:p>
        </w:tc>
        <w:tc>
          <w:tcPr>
            <w:tcW w:w="1133" w:type="dxa"/>
            <w:gridSpan w:val="2"/>
            <w:tcBorders>
              <w:top w:val="none" w:sz="0" w:space="0" w:color="auto"/>
              <w:left w:val="single" w:sz="4" w:space="0" w:color="BF0000" w:themeColor="accent3" w:themeShade="BF"/>
              <w:bottom w:val="none" w:sz="0" w:space="0" w:color="auto"/>
            </w:tcBorders>
            <w:vAlign w:val="bottom"/>
          </w:tcPr>
          <w:p w:rsidR="00872027" w:rsidRPr="00AE6EDB" w:rsidRDefault="0054295F" w:rsidP="00440D13">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w:t>
            </w:r>
            <w:r w:rsidR="00872027" w:rsidRPr="00AE6EDB">
              <w:rPr>
                <w:sz w:val="18"/>
                <w:szCs w:val="18"/>
              </w:rPr>
              <w:t>82</w:t>
            </w:r>
          </w:p>
        </w:tc>
        <w:tc>
          <w:tcPr>
            <w:tcW w:w="1133" w:type="dxa"/>
            <w:gridSpan w:val="2"/>
            <w:tcBorders>
              <w:top w:val="none" w:sz="0" w:space="0" w:color="auto"/>
              <w:bottom w:val="none" w:sz="0" w:space="0" w:color="auto"/>
            </w:tcBorders>
            <w:vAlign w:val="bottom"/>
          </w:tcPr>
          <w:p w:rsidR="00872027" w:rsidRPr="00AE6EDB" w:rsidRDefault="00872027" w:rsidP="00440D13">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765,38</w:t>
            </w:r>
          </w:p>
        </w:tc>
        <w:tc>
          <w:tcPr>
            <w:tcW w:w="1195" w:type="dxa"/>
            <w:gridSpan w:val="2"/>
            <w:tcBorders>
              <w:top w:val="none" w:sz="0" w:space="0" w:color="auto"/>
              <w:bottom w:val="none" w:sz="0" w:space="0" w:color="auto"/>
              <w:right w:val="none" w:sz="0" w:space="0" w:color="auto"/>
            </w:tcBorders>
            <w:vAlign w:val="bottom"/>
          </w:tcPr>
          <w:p w:rsidR="00872027" w:rsidRPr="00AE6EDB" w:rsidRDefault="0054295F" w:rsidP="00440D13">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2 3</w:t>
            </w:r>
            <w:r w:rsidR="00872027" w:rsidRPr="00AE6EDB">
              <w:rPr>
                <w:sz w:val="18"/>
                <w:szCs w:val="18"/>
              </w:rPr>
              <w:t>5</w:t>
            </w:r>
            <w:r w:rsidR="00AC44CB">
              <w:rPr>
                <w:sz w:val="18"/>
                <w:szCs w:val="18"/>
              </w:rPr>
              <w:t>8 8</w:t>
            </w:r>
            <w:r w:rsidR="00872027" w:rsidRPr="00AE6EDB">
              <w:rPr>
                <w:sz w:val="18"/>
                <w:szCs w:val="18"/>
              </w:rPr>
              <w:t>86</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výcvik používania pomôcky</w:t>
            </w:r>
          </w:p>
        </w:tc>
        <w:tc>
          <w:tcPr>
            <w:tcW w:w="1153" w:type="dxa"/>
            <w:vAlign w:val="bottom"/>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48</w:t>
            </w:r>
          </w:p>
        </w:tc>
        <w:tc>
          <w:tcPr>
            <w:tcW w:w="1134" w:type="dxa"/>
            <w:vAlign w:val="bottom"/>
          </w:tcPr>
          <w:p w:rsidR="00872027" w:rsidRPr="00AE6EDB" w:rsidRDefault="00872027" w:rsidP="00440D13">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719,44</w:t>
            </w:r>
          </w:p>
        </w:tc>
        <w:tc>
          <w:tcPr>
            <w:tcW w:w="1133" w:type="dxa"/>
            <w:gridSpan w:val="3"/>
            <w:tcBorders>
              <w:right w:val="single" w:sz="4" w:space="0" w:color="BF0000" w:themeColor="accent3" w:themeShade="BF"/>
            </w:tcBorders>
            <w:vAlign w:val="bottom"/>
          </w:tcPr>
          <w:p w:rsidR="00872027" w:rsidRPr="00AE6EDB" w:rsidRDefault="00872027" w:rsidP="00440D13">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w:t>
            </w:r>
            <w:r w:rsidR="0054295F">
              <w:rPr>
                <w:sz w:val="18"/>
                <w:szCs w:val="18"/>
              </w:rPr>
              <w:t>4 5</w:t>
            </w:r>
            <w:r w:rsidRPr="00AE6EDB">
              <w:rPr>
                <w:sz w:val="18"/>
                <w:szCs w:val="18"/>
              </w:rPr>
              <w:t>33</w:t>
            </w:r>
          </w:p>
        </w:tc>
        <w:tc>
          <w:tcPr>
            <w:tcW w:w="1133" w:type="dxa"/>
            <w:gridSpan w:val="2"/>
            <w:tcBorders>
              <w:left w:val="single" w:sz="4" w:space="0" w:color="BF0000" w:themeColor="accent3" w:themeShade="BF"/>
            </w:tcBorders>
            <w:vAlign w:val="bottom"/>
          </w:tcPr>
          <w:p w:rsidR="00872027" w:rsidRPr="00AE6EDB" w:rsidRDefault="00872027" w:rsidP="00440D13">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49</w:t>
            </w:r>
          </w:p>
        </w:tc>
        <w:tc>
          <w:tcPr>
            <w:tcW w:w="1133" w:type="dxa"/>
            <w:gridSpan w:val="2"/>
            <w:vAlign w:val="bottom"/>
          </w:tcPr>
          <w:p w:rsidR="00872027" w:rsidRPr="00AE6EDB" w:rsidRDefault="00872027" w:rsidP="00440D13">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726,90</w:t>
            </w:r>
          </w:p>
        </w:tc>
        <w:tc>
          <w:tcPr>
            <w:tcW w:w="1195" w:type="dxa"/>
            <w:gridSpan w:val="2"/>
            <w:vAlign w:val="bottom"/>
          </w:tcPr>
          <w:p w:rsidR="00872027" w:rsidRPr="00AE6EDB" w:rsidRDefault="00872027" w:rsidP="00440D13">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w:t>
            </w:r>
            <w:r w:rsidR="00AC44CB">
              <w:rPr>
                <w:sz w:val="18"/>
                <w:szCs w:val="18"/>
              </w:rPr>
              <w:t>5 6</w:t>
            </w:r>
            <w:r w:rsidRPr="00AE6EDB">
              <w:rPr>
                <w:sz w:val="18"/>
                <w:szCs w:val="18"/>
              </w:rPr>
              <w:t>18</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úpravu pomôcky</w:t>
            </w:r>
          </w:p>
        </w:tc>
        <w:tc>
          <w:tcPr>
            <w:tcW w:w="1153" w:type="dxa"/>
            <w:tcBorders>
              <w:top w:val="none" w:sz="0" w:space="0" w:color="auto"/>
              <w:bottom w:val="none" w:sz="0" w:space="0" w:color="auto"/>
            </w:tcBorders>
            <w:vAlign w:val="bottom"/>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46</w:t>
            </w:r>
          </w:p>
        </w:tc>
        <w:tc>
          <w:tcPr>
            <w:tcW w:w="1134" w:type="dxa"/>
            <w:tcBorders>
              <w:top w:val="none" w:sz="0" w:space="0" w:color="auto"/>
              <w:bottom w:val="none" w:sz="0" w:space="0" w:color="auto"/>
            </w:tcBorders>
            <w:vAlign w:val="bottom"/>
          </w:tcPr>
          <w:p w:rsidR="00872027" w:rsidRPr="00AE6EDB" w:rsidRDefault="00872027" w:rsidP="00440D13">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973,33</w:t>
            </w:r>
          </w:p>
        </w:tc>
        <w:tc>
          <w:tcPr>
            <w:tcW w:w="1133" w:type="dxa"/>
            <w:gridSpan w:val="3"/>
            <w:tcBorders>
              <w:top w:val="none" w:sz="0" w:space="0" w:color="auto"/>
              <w:bottom w:val="none" w:sz="0" w:space="0" w:color="auto"/>
              <w:right w:val="single" w:sz="4" w:space="0" w:color="BF0000" w:themeColor="accent3" w:themeShade="BF"/>
            </w:tcBorders>
            <w:vAlign w:val="bottom"/>
          </w:tcPr>
          <w:p w:rsidR="00872027" w:rsidRPr="00AE6EDB" w:rsidRDefault="00872027" w:rsidP="00440D13">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4</w:t>
            </w:r>
            <w:r w:rsidR="0054295F">
              <w:rPr>
                <w:sz w:val="18"/>
                <w:szCs w:val="18"/>
              </w:rPr>
              <w:t>4 7</w:t>
            </w:r>
            <w:r w:rsidRPr="00AE6EDB">
              <w:rPr>
                <w:sz w:val="18"/>
                <w:szCs w:val="18"/>
              </w:rPr>
              <w:t>73</w:t>
            </w:r>
          </w:p>
        </w:tc>
        <w:tc>
          <w:tcPr>
            <w:tcW w:w="1133" w:type="dxa"/>
            <w:gridSpan w:val="2"/>
            <w:tcBorders>
              <w:top w:val="none" w:sz="0" w:space="0" w:color="auto"/>
              <w:left w:val="single" w:sz="4" w:space="0" w:color="BF0000" w:themeColor="accent3" w:themeShade="BF"/>
              <w:bottom w:val="none" w:sz="0" w:space="0" w:color="auto"/>
            </w:tcBorders>
            <w:vAlign w:val="bottom"/>
          </w:tcPr>
          <w:p w:rsidR="00872027" w:rsidRPr="00AE6EDB" w:rsidRDefault="00872027" w:rsidP="00440D13">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25</w:t>
            </w:r>
          </w:p>
        </w:tc>
        <w:tc>
          <w:tcPr>
            <w:tcW w:w="1133" w:type="dxa"/>
            <w:gridSpan w:val="2"/>
            <w:tcBorders>
              <w:top w:val="none" w:sz="0" w:space="0" w:color="auto"/>
              <w:bottom w:val="none" w:sz="0" w:space="0" w:color="auto"/>
            </w:tcBorders>
            <w:vAlign w:val="bottom"/>
          </w:tcPr>
          <w:p w:rsidR="00872027" w:rsidRPr="00AE6EDB" w:rsidRDefault="0054295F" w:rsidP="00440D13">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1 3</w:t>
            </w:r>
            <w:r w:rsidR="00872027" w:rsidRPr="00AE6EDB">
              <w:rPr>
                <w:sz w:val="18"/>
                <w:szCs w:val="18"/>
              </w:rPr>
              <w:t>10,92</w:t>
            </w:r>
          </w:p>
        </w:tc>
        <w:tc>
          <w:tcPr>
            <w:tcW w:w="1195" w:type="dxa"/>
            <w:gridSpan w:val="2"/>
            <w:tcBorders>
              <w:top w:val="none" w:sz="0" w:space="0" w:color="auto"/>
              <w:bottom w:val="none" w:sz="0" w:space="0" w:color="auto"/>
              <w:right w:val="none" w:sz="0" w:space="0" w:color="auto"/>
            </w:tcBorders>
            <w:vAlign w:val="bottom"/>
          </w:tcPr>
          <w:p w:rsidR="00872027" w:rsidRPr="00AE6EDB" w:rsidRDefault="00872027" w:rsidP="00440D13">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3</w:t>
            </w:r>
            <w:r w:rsidR="0054295F">
              <w:rPr>
                <w:sz w:val="18"/>
                <w:szCs w:val="18"/>
              </w:rPr>
              <w:t>2 7</w:t>
            </w:r>
            <w:r w:rsidRPr="00AE6EDB">
              <w:rPr>
                <w:sz w:val="18"/>
                <w:szCs w:val="18"/>
              </w:rPr>
              <w:t>73</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opravu pomôcky</w:t>
            </w:r>
          </w:p>
        </w:tc>
        <w:tc>
          <w:tcPr>
            <w:tcW w:w="1153" w:type="dxa"/>
            <w:vAlign w:val="bottom"/>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626</w:t>
            </w:r>
          </w:p>
        </w:tc>
        <w:tc>
          <w:tcPr>
            <w:tcW w:w="1134" w:type="dxa"/>
            <w:vAlign w:val="bottom"/>
          </w:tcPr>
          <w:p w:rsidR="00872027" w:rsidRPr="00AE6EDB" w:rsidRDefault="00872027" w:rsidP="00440D13">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338,83</w:t>
            </w:r>
          </w:p>
        </w:tc>
        <w:tc>
          <w:tcPr>
            <w:tcW w:w="1133" w:type="dxa"/>
            <w:gridSpan w:val="3"/>
            <w:tcBorders>
              <w:right w:val="single" w:sz="4" w:space="0" w:color="BF0000" w:themeColor="accent3" w:themeShade="BF"/>
            </w:tcBorders>
            <w:vAlign w:val="bottom"/>
          </w:tcPr>
          <w:p w:rsidR="00872027" w:rsidRPr="00AE6EDB" w:rsidRDefault="00872027" w:rsidP="00440D13">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21</w:t>
            </w:r>
            <w:r w:rsidR="0054295F">
              <w:rPr>
                <w:sz w:val="18"/>
                <w:szCs w:val="18"/>
              </w:rPr>
              <w:t>2 1</w:t>
            </w:r>
            <w:r w:rsidRPr="00AE6EDB">
              <w:rPr>
                <w:sz w:val="18"/>
                <w:szCs w:val="18"/>
              </w:rPr>
              <w:t>07</w:t>
            </w:r>
          </w:p>
        </w:tc>
        <w:tc>
          <w:tcPr>
            <w:tcW w:w="1133" w:type="dxa"/>
            <w:gridSpan w:val="2"/>
            <w:tcBorders>
              <w:left w:val="single" w:sz="4" w:space="0" w:color="BF0000" w:themeColor="accent3" w:themeShade="BF"/>
            </w:tcBorders>
            <w:vAlign w:val="bottom"/>
          </w:tcPr>
          <w:p w:rsidR="00872027" w:rsidRPr="00AE6EDB" w:rsidRDefault="00872027" w:rsidP="00440D13">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704</w:t>
            </w:r>
          </w:p>
        </w:tc>
        <w:tc>
          <w:tcPr>
            <w:tcW w:w="1133" w:type="dxa"/>
            <w:gridSpan w:val="2"/>
            <w:vAlign w:val="bottom"/>
          </w:tcPr>
          <w:p w:rsidR="00872027" w:rsidRPr="00AE6EDB" w:rsidRDefault="00872027" w:rsidP="00440D13">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347,79</w:t>
            </w:r>
          </w:p>
        </w:tc>
        <w:tc>
          <w:tcPr>
            <w:tcW w:w="1195" w:type="dxa"/>
            <w:gridSpan w:val="2"/>
            <w:vAlign w:val="bottom"/>
          </w:tcPr>
          <w:p w:rsidR="00872027" w:rsidRPr="00AE6EDB" w:rsidRDefault="00872027" w:rsidP="00440D13">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24</w:t>
            </w:r>
            <w:r w:rsidR="0054295F">
              <w:rPr>
                <w:sz w:val="18"/>
                <w:szCs w:val="18"/>
              </w:rPr>
              <w:t>4 8</w:t>
            </w:r>
            <w:r w:rsidRPr="00AE6EDB">
              <w:rPr>
                <w:sz w:val="18"/>
                <w:szCs w:val="18"/>
              </w:rPr>
              <w:t>46</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kúpu zdvíhacieho zariadenia</w:t>
            </w:r>
          </w:p>
        </w:tc>
        <w:tc>
          <w:tcPr>
            <w:tcW w:w="1153" w:type="dxa"/>
            <w:tcBorders>
              <w:top w:val="none" w:sz="0" w:space="0" w:color="auto"/>
              <w:bottom w:val="none" w:sz="0" w:space="0" w:color="auto"/>
            </w:tcBorders>
            <w:vAlign w:val="bottom"/>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688</w:t>
            </w:r>
          </w:p>
        </w:tc>
        <w:tc>
          <w:tcPr>
            <w:tcW w:w="1134" w:type="dxa"/>
            <w:tcBorders>
              <w:top w:val="none" w:sz="0" w:space="0" w:color="auto"/>
              <w:bottom w:val="none" w:sz="0" w:space="0" w:color="auto"/>
            </w:tcBorders>
            <w:vAlign w:val="bottom"/>
          </w:tcPr>
          <w:p w:rsidR="00872027" w:rsidRPr="00AE6EDB" w:rsidRDefault="00AC44CB" w:rsidP="00440D13">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8 9</w:t>
            </w:r>
            <w:r w:rsidR="00872027" w:rsidRPr="00AE6EDB">
              <w:rPr>
                <w:sz w:val="18"/>
                <w:szCs w:val="18"/>
              </w:rPr>
              <w:t>40,56</w:t>
            </w:r>
          </w:p>
        </w:tc>
        <w:tc>
          <w:tcPr>
            <w:tcW w:w="1133" w:type="dxa"/>
            <w:gridSpan w:val="3"/>
            <w:tcBorders>
              <w:top w:val="none" w:sz="0" w:space="0" w:color="auto"/>
              <w:bottom w:val="none" w:sz="0" w:space="0" w:color="auto"/>
              <w:right w:val="single" w:sz="4" w:space="0" w:color="BF0000" w:themeColor="accent3" w:themeShade="BF"/>
            </w:tcBorders>
            <w:vAlign w:val="bottom"/>
          </w:tcPr>
          <w:p w:rsidR="00872027" w:rsidRPr="00AE6EDB" w:rsidRDefault="00AC44CB" w:rsidP="00440D13">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6 1</w:t>
            </w:r>
            <w:r w:rsidR="00872027" w:rsidRPr="00AE6EDB">
              <w:rPr>
                <w:sz w:val="18"/>
                <w:szCs w:val="18"/>
              </w:rPr>
              <w:t>5</w:t>
            </w:r>
            <w:r w:rsidR="0054295F">
              <w:rPr>
                <w:sz w:val="18"/>
                <w:szCs w:val="18"/>
              </w:rPr>
              <w:t>1 1</w:t>
            </w:r>
            <w:r w:rsidR="00872027" w:rsidRPr="00AE6EDB">
              <w:rPr>
                <w:sz w:val="18"/>
                <w:szCs w:val="18"/>
              </w:rPr>
              <w:t>07</w:t>
            </w:r>
          </w:p>
        </w:tc>
        <w:tc>
          <w:tcPr>
            <w:tcW w:w="1133" w:type="dxa"/>
            <w:gridSpan w:val="2"/>
            <w:tcBorders>
              <w:top w:val="none" w:sz="0" w:space="0" w:color="auto"/>
              <w:left w:val="single" w:sz="4" w:space="0" w:color="BF0000" w:themeColor="accent3" w:themeShade="BF"/>
              <w:bottom w:val="none" w:sz="0" w:space="0" w:color="auto"/>
            </w:tcBorders>
            <w:vAlign w:val="bottom"/>
          </w:tcPr>
          <w:p w:rsidR="00872027" w:rsidRPr="00AE6EDB" w:rsidRDefault="00872027" w:rsidP="00440D13">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797</w:t>
            </w:r>
          </w:p>
        </w:tc>
        <w:tc>
          <w:tcPr>
            <w:tcW w:w="1133" w:type="dxa"/>
            <w:gridSpan w:val="2"/>
            <w:tcBorders>
              <w:top w:val="none" w:sz="0" w:space="0" w:color="auto"/>
              <w:bottom w:val="none" w:sz="0" w:space="0" w:color="auto"/>
            </w:tcBorders>
            <w:vAlign w:val="bottom"/>
          </w:tcPr>
          <w:p w:rsidR="00872027" w:rsidRPr="00AE6EDB" w:rsidRDefault="00AC44CB" w:rsidP="00440D13">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9 0</w:t>
            </w:r>
            <w:r w:rsidR="00872027" w:rsidRPr="00AE6EDB">
              <w:rPr>
                <w:sz w:val="18"/>
                <w:szCs w:val="18"/>
              </w:rPr>
              <w:t>22,83</w:t>
            </w:r>
          </w:p>
        </w:tc>
        <w:tc>
          <w:tcPr>
            <w:tcW w:w="1195" w:type="dxa"/>
            <w:gridSpan w:val="2"/>
            <w:tcBorders>
              <w:top w:val="none" w:sz="0" w:space="0" w:color="auto"/>
              <w:bottom w:val="none" w:sz="0" w:space="0" w:color="auto"/>
              <w:right w:val="none" w:sz="0" w:space="0" w:color="auto"/>
            </w:tcBorders>
            <w:vAlign w:val="bottom"/>
          </w:tcPr>
          <w:p w:rsidR="00872027" w:rsidRPr="00AE6EDB" w:rsidRDefault="00AC44CB" w:rsidP="00440D13">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7 1</w:t>
            </w:r>
            <w:r w:rsidR="00872027" w:rsidRPr="00AE6EDB">
              <w:rPr>
                <w:sz w:val="18"/>
                <w:szCs w:val="18"/>
              </w:rPr>
              <w:t>9</w:t>
            </w:r>
            <w:r w:rsidR="0054295F">
              <w:rPr>
                <w:sz w:val="18"/>
                <w:szCs w:val="18"/>
              </w:rPr>
              <w:t>1 1</w:t>
            </w:r>
            <w:r w:rsidR="00872027" w:rsidRPr="00AE6EDB">
              <w:rPr>
                <w:sz w:val="18"/>
                <w:szCs w:val="18"/>
              </w:rPr>
              <w:t>97</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kúpu osobného motorového vozidla</w:t>
            </w:r>
          </w:p>
        </w:tc>
        <w:tc>
          <w:tcPr>
            <w:tcW w:w="1153" w:type="dxa"/>
            <w:vAlign w:val="bottom"/>
          </w:tcPr>
          <w:p w:rsidR="00872027" w:rsidRPr="00AE6EDB" w:rsidRDefault="0054295F"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1 4</w:t>
            </w:r>
            <w:r w:rsidR="00872027" w:rsidRPr="00AE6EDB">
              <w:rPr>
                <w:sz w:val="18"/>
                <w:szCs w:val="18"/>
              </w:rPr>
              <w:t>70</w:t>
            </w:r>
          </w:p>
        </w:tc>
        <w:tc>
          <w:tcPr>
            <w:tcW w:w="1134" w:type="dxa"/>
            <w:vAlign w:val="bottom"/>
          </w:tcPr>
          <w:p w:rsidR="00872027" w:rsidRPr="00AE6EDB" w:rsidRDefault="00AC44CB" w:rsidP="00440D13">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w:t>
            </w:r>
            <w:r w:rsidR="00872027" w:rsidRPr="00AE6EDB">
              <w:rPr>
                <w:sz w:val="18"/>
                <w:szCs w:val="18"/>
              </w:rPr>
              <w:t>15,26</w:t>
            </w:r>
          </w:p>
        </w:tc>
        <w:tc>
          <w:tcPr>
            <w:tcW w:w="1133" w:type="dxa"/>
            <w:gridSpan w:val="3"/>
            <w:tcBorders>
              <w:right w:val="single" w:sz="4" w:space="0" w:color="BF0000" w:themeColor="accent3" w:themeShade="BF"/>
            </w:tcBorders>
            <w:vAlign w:val="bottom"/>
          </w:tcPr>
          <w:p w:rsidR="00872027" w:rsidRPr="00AE6EDB" w:rsidRDefault="00AC44CB" w:rsidP="00440D13">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9 8</w:t>
            </w:r>
            <w:r w:rsidR="00872027" w:rsidRPr="00AE6EDB">
              <w:rPr>
                <w:sz w:val="18"/>
                <w:szCs w:val="18"/>
              </w:rPr>
              <w:t>7</w:t>
            </w:r>
            <w:r w:rsidR="0054295F">
              <w:rPr>
                <w:sz w:val="18"/>
                <w:szCs w:val="18"/>
              </w:rPr>
              <w:t>1 4</w:t>
            </w:r>
            <w:r w:rsidR="00872027" w:rsidRPr="00AE6EDB">
              <w:rPr>
                <w:sz w:val="18"/>
                <w:szCs w:val="18"/>
              </w:rPr>
              <w:t>32</w:t>
            </w:r>
          </w:p>
        </w:tc>
        <w:tc>
          <w:tcPr>
            <w:tcW w:w="1133" w:type="dxa"/>
            <w:gridSpan w:val="2"/>
            <w:tcBorders>
              <w:left w:val="single" w:sz="4" w:space="0" w:color="BF0000" w:themeColor="accent3" w:themeShade="BF"/>
            </w:tcBorders>
            <w:vAlign w:val="bottom"/>
          </w:tcPr>
          <w:p w:rsidR="00872027" w:rsidRPr="00AE6EDB" w:rsidRDefault="0054295F" w:rsidP="00440D13">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1 5</w:t>
            </w:r>
            <w:r w:rsidR="00872027" w:rsidRPr="00AE6EDB">
              <w:rPr>
                <w:sz w:val="18"/>
                <w:szCs w:val="18"/>
              </w:rPr>
              <w:t>37</w:t>
            </w:r>
          </w:p>
        </w:tc>
        <w:tc>
          <w:tcPr>
            <w:tcW w:w="1133" w:type="dxa"/>
            <w:gridSpan w:val="2"/>
            <w:vAlign w:val="bottom"/>
          </w:tcPr>
          <w:p w:rsidR="00872027" w:rsidRPr="00AE6EDB" w:rsidRDefault="00AC44CB" w:rsidP="00440D13">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w:t>
            </w:r>
            <w:r w:rsidR="00872027" w:rsidRPr="00AE6EDB">
              <w:rPr>
                <w:sz w:val="18"/>
                <w:szCs w:val="18"/>
              </w:rPr>
              <w:t>87,96</w:t>
            </w:r>
          </w:p>
        </w:tc>
        <w:tc>
          <w:tcPr>
            <w:tcW w:w="1195" w:type="dxa"/>
            <w:gridSpan w:val="2"/>
            <w:vAlign w:val="bottom"/>
          </w:tcPr>
          <w:p w:rsidR="00872027" w:rsidRPr="00AE6EDB" w:rsidRDefault="00872027" w:rsidP="00440D13">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w:t>
            </w:r>
            <w:r w:rsidR="0054295F">
              <w:rPr>
                <w:sz w:val="18"/>
                <w:szCs w:val="18"/>
              </w:rPr>
              <w:t>0 4</w:t>
            </w:r>
            <w:r w:rsidRPr="00AE6EDB">
              <w:rPr>
                <w:sz w:val="18"/>
                <w:szCs w:val="18"/>
              </w:rPr>
              <w:t>3</w:t>
            </w:r>
            <w:r w:rsidR="0054295F">
              <w:rPr>
                <w:sz w:val="18"/>
                <w:szCs w:val="18"/>
              </w:rPr>
              <w:t>3 0</w:t>
            </w:r>
            <w:r w:rsidRPr="00AE6EDB">
              <w:rPr>
                <w:sz w:val="18"/>
                <w:szCs w:val="18"/>
              </w:rPr>
              <w:t>95</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úpravu osobného motorového vozidla</w:t>
            </w:r>
          </w:p>
        </w:tc>
        <w:tc>
          <w:tcPr>
            <w:tcW w:w="1153" w:type="dxa"/>
            <w:tcBorders>
              <w:top w:val="none" w:sz="0" w:space="0" w:color="auto"/>
              <w:bottom w:val="none" w:sz="0" w:space="0" w:color="auto"/>
            </w:tcBorders>
            <w:vAlign w:val="bottom"/>
          </w:tcPr>
          <w:p w:rsidR="00872027" w:rsidRPr="00AE6EDB" w:rsidRDefault="00872027"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125</w:t>
            </w:r>
          </w:p>
        </w:tc>
        <w:tc>
          <w:tcPr>
            <w:tcW w:w="1134" w:type="dxa"/>
            <w:tcBorders>
              <w:top w:val="none" w:sz="0" w:space="0" w:color="auto"/>
              <w:bottom w:val="none" w:sz="0" w:space="0" w:color="auto"/>
            </w:tcBorders>
            <w:vAlign w:val="bottom"/>
          </w:tcPr>
          <w:p w:rsidR="00872027" w:rsidRPr="00AE6EDB" w:rsidRDefault="0054295F" w:rsidP="00440D13">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w:t>
            </w:r>
            <w:r w:rsidR="00872027" w:rsidRPr="00AE6EDB">
              <w:rPr>
                <w:sz w:val="18"/>
                <w:szCs w:val="18"/>
              </w:rPr>
              <w:t>39,18</w:t>
            </w:r>
          </w:p>
        </w:tc>
        <w:tc>
          <w:tcPr>
            <w:tcW w:w="1133" w:type="dxa"/>
            <w:gridSpan w:val="3"/>
            <w:tcBorders>
              <w:top w:val="none" w:sz="0" w:space="0" w:color="auto"/>
              <w:bottom w:val="none" w:sz="0" w:space="0" w:color="auto"/>
              <w:right w:val="single" w:sz="4" w:space="0" w:color="BF0000" w:themeColor="accent3" w:themeShade="BF"/>
            </w:tcBorders>
            <w:vAlign w:val="bottom"/>
          </w:tcPr>
          <w:p w:rsidR="00872027" w:rsidRPr="00AE6EDB" w:rsidRDefault="00872027" w:rsidP="00440D13">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36</w:t>
            </w:r>
            <w:r w:rsidR="00AC44CB">
              <w:rPr>
                <w:sz w:val="18"/>
                <w:szCs w:val="18"/>
              </w:rPr>
              <w:t>7 3</w:t>
            </w:r>
            <w:r w:rsidRPr="00AE6EDB">
              <w:rPr>
                <w:sz w:val="18"/>
                <w:szCs w:val="18"/>
              </w:rPr>
              <w:t>98</w:t>
            </w:r>
          </w:p>
        </w:tc>
        <w:tc>
          <w:tcPr>
            <w:tcW w:w="1133" w:type="dxa"/>
            <w:gridSpan w:val="2"/>
            <w:tcBorders>
              <w:top w:val="none" w:sz="0" w:space="0" w:color="auto"/>
              <w:left w:val="single" w:sz="4" w:space="0" w:color="BF0000" w:themeColor="accent3" w:themeShade="BF"/>
              <w:bottom w:val="none" w:sz="0" w:space="0" w:color="auto"/>
            </w:tcBorders>
            <w:vAlign w:val="bottom"/>
          </w:tcPr>
          <w:p w:rsidR="00872027" w:rsidRPr="00AE6EDB" w:rsidRDefault="00872027" w:rsidP="00440D13">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140</w:t>
            </w:r>
          </w:p>
        </w:tc>
        <w:tc>
          <w:tcPr>
            <w:tcW w:w="1133" w:type="dxa"/>
            <w:gridSpan w:val="2"/>
            <w:tcBorders>
              <w:top w:val="none" w:sz="0" w:space="0" w:color="auto"/>
              <w:bottom w:val="none" w:sz="0" w:space="0" w:color="auto"/>
            </w:tcBorders>
            <w:vAlign w:val="bottom"/>
          </w:tcPr>
          <w:p w:rsidR="00872027" w:rsidRPr="00AE6EDB" w:rsidRDefault="0054295F" w:rsidP="00440D13">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3 2</w:t>
            </w:r>
            <w:r w:rsidR="00872027" w:rsidRPr="00AE6EDB">
              <w:rPr>
                <w:sz w:val="18"/>
                <w:szCs w:val="18"/>
              </w:rPr>
              <w:t>94,45</w:t>
            </w:r>
          </w:p>
        </w:tc>
        <w:tc>
          <w:tcPr>
            <w:tcW w:w="1195" w:type="dxa"/>
            <w:gridSpan w:val="2"/>
            <w:tcBorders>
              <w:top w:val="none" w:sz="0" w:space="0" w:color="auto"/>
              <w:bottom w:val="none" w:sz="0" w:space="0" w:color="auto"/>
              <w:right w:val="none" w:sz="0" w:space="0" w:color="auto"/>
            </w:tcBorders>
            <w:vAlign w:val="bottom"/>
          </w:tcPr>
          <w:p w:rsidR="00872027" w:rsidRPr="00AE6EDB" w:rsidRDefault="00872027" w:rsidP="00440D13">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46</w:t>
            </w:r>
            <w:r w:rsidR="0054295F">
              <w:rPr>
                <w:sz w:val="18"/>
                <w:szCs w:val="18"/>
              </w:rPr>
              <w:t>1 2</w:t>
            </w:r>
            <w:r w:rsidRPr="00AE6EDB">
              <w:rPr>
                <w:sz w:val="18"/>
                <w:szCs w:val="18"/>
              </w:rPr>
              <w:t>23</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úpravu bytu</w:t>
            </w:r>
          </w:p>
        </w:tc>
        <w:tc>
          <w:tcPr>
            <w:tcW w:w="1153" w:type="dxa"/>
            <w:vAlign w:val="bottom"/>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497</w:t>
            </w:r>
          </w:p>
        </w:tc>
        <w:tc>
          <w:tcPr>
            <w:tcW w:w="1134" w:type="dxa"/>
            <w:vAlign w:val="bottom"/>
          </w:tcPr>
          <w:p w:rsidR="00872027" w:rsidRPr="00AE6EDB" w:rsidRDefault="0054295F" w:rsidP="00440D13">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2 5</w:t>
            </w:r>
            <w:r w:rsidR="00872027" w:rsidRPr="00AE6EDB">
              <w:rPr>
                <w:sz w:val="18"/>
                <w:szCs w:val="18"/>
              </w:rPr>
              <w:t>11,84</w:t>
            </w:r>
          </w:p>
        </w:tc>
        <w:tc>
          <w:tcPr>
            <w:tcW w:w="1133" w:type="dxa"/>
            <w:gridSpan w:val="3"/>
            <w:tcBorders>
              <w:right w:val="single" w:sz="4" w:space="0" w:color="BF0000" w:themeColor="accent3" w:themeShade="BF"/>
            </w:tcBorders>
            <w:vAlign w:val="bottom"/>
          </w:tcPr>
          <w:p w:rsidR="00872027" w:rsidRPr="00AE6EDB" w:rsidRDefault="0054295F" w:rsidP="00440D13">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1 2</w:t>
            </w:r>
            <w:r w:rsidR="00872027" w:rsidRPr="00AE6EDB">
              <w:rPr>
                <w:sz w:val="18"/>
                <w:szCs w:val="18"/>
              </w:rPr>
              <w:t>4</w:t>
            </w:r>
            <w:r w:rsidR="00AC44CB">
              <w:rPr>
                <w:sz w:val="18"/>
                <w:szCs w:val="18"/>
              </w:rPr>
              <w:t>8 3</w:t>
            </w:r>
            <w:r w:rsidR="00872027" w:rsidRPr="00AE6EDB">
              <w:rPr>
                <w:sz w:val="18"/>
                <w:szCs w:val="18"/>
              </w:rPr>
              <w:t>83</w:t>
            </w:r>
          </w:p>
        </w:tc>
        <w:tc>
          <w:tcPr>
            <w:tcW w:w="1133" w:type="dxa"/>
            <w:gridSpan w:val="2"/>
            <w:tcBorders>
              <w:left w:val="single" w:sz="4" w:space="0" w:color="BF0000" w:themeColor="accent3" w:themeShade="BF"/>
            </w:tcBorders>
            <w:vAlign w:val="bottom"/>
          </w:tcPr>
          <w:p w:rsidR="00872027" w:rsidRPr="00AE6EDB" w:rsidRDefault="00872027" w:rsidP="00440D13">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483</w:t>
            </w:r>
          </w:p>
        </w:tc>
        <w:tc>
          <w:tcPr>
            <w:tcW w:w="1133" w:type="dxa"/>
            <w:gridSpan w:val="2"/>
            <w:vAlign w:val="bottom"/>
          </w:tcPr>
          <w:p w:rsidR="00872027" w:rsidRPr="00AE6EDB" w:rsidRDefault="0054295F" w:rsidP="00440D13">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2 5</w:t>
            </w:r>
            <w:r w:rsidR="00872027" w:rsidRPr="00AE6EDB">
              <w:rPr>
                <w:sz w:val="18"/>
                <w:szCs w:val="18"/>
              </w:rPr>
              <w:t>89,12</w:t>
            </w:r>
          </w:p>
        </w:tc>
        <w:tc>
          <w:tcPr>
            <w:tcW w:w="1195" w:type="dxa"/>
            <w:gridSpan w:val="2"/>
            <w:vAlign w:val="bottom"/>
          </w:tcPr>
          <w:p w:rsidR="00872027" w:rsidRPr="00AE6EDB" w:rsidRDefault="0054295F" w:rsidP="00440D13">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1 2</w:t>
            </w:r>
            <w:r w:rsidR="00872027" w:rsidRPr="00AE6EDB">
              <w:rPr>
                <w:sz w:val="18"/>
                <w:szCs w:val="18"/>
              </w:rPr>
              <w:t>5</w:t>
            </w:r>
            <w:r>
              <w:rPr>
                <w:sz w:val="18"/>
                <w:szCs w:val="18"/>
              </w:rPr>
              <w:t>0 5</w:t>
            </w:r>
            <w:r w:rsidR="00872027" w:rsidRPr="00AE6EDB">
              <w:rPr>
                <w:sz w:val="18"/>
                <w:szCs w:val="18"/>
              </w:rPr>
              <w:t>47</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úpravu rodinného domu</w:t>
            </w:r>
          </w:p>
        </w:tc>
        <w:tc>
          <w:tcPr>
            <w:tcW w:w="1153" w:type="dxa"/>
            <w:tcBorders>
              <w:top w:val="none" w:sz="0" w:space="0" w:color="auto"/>
              <w:bottom w:val="none" w:sz="0" w:space="0" w:color="auto"/>
            </w:tcBorders>
            <w:vAlign w:val="bottom"/>
          </w:tcPr>
          <w:p w:rsidR="00872027" w:rsidRPr="00AE6EDB" w:rsidRDefault="0054295F" w:rsidP="00440D13">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1 0</w:t>
            </w:r>
            <w:r w:rsidR="00872027" w:rsidRPr="00AE6EDB">
              <w:rPr>
                <w:sz w:val="18"/>
                <w:szCs w:val="18"/>
              </w:rPr>
              <w:t>76</w:t>
            </w:r>
          </w:p>
        </w:tc>
        <w:tc>
          <w:tcPr>
            <w:tcW w:w="1134" w:type="dxa"/>
            <w:tcBorders>
              <w:top w:val="none" w:sz="0" w:space="0" w:color="auto"/>
              <w:bottom w:val="none" w:sz="0" w:space="0" w:color="auto"/>
            </w:tcBorders>
            <w:vAlign w:val="bottom"/>
          </w:tcPr>
          <w:p w:rsidR="00872027" w:rsidRPr="00AE6EDB" w:rsidRDefault="0054295F" w:rsidP="00440D13">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2 4</w:t>
            </w:r>
            <w:r w:rsidR="00872027" w:rsidRPr="00AE6EDB">
              <w:rPr>
                <w:sz w:val="18"/>
                <w:szCs w:val="18"/>
              </w:rPr>
              <w:t>12,61</w:t>
            </w:r>
          </w:p>
        </w:tc>
        <w:tc>
          <w:tcPr>
            <w:tcW w:w="1133" w:type="dxa"/>
            <w:gridSpan w:val="3"/>
            <w:tcBorders>
              <w:top w:val="none" w:sz="0" w:space="0" w:color="auto"/>
              <w:bottom w:val="none" w:sz="0" w:space="0" w:color="auto"/>
              <w:right w:val="single" w:sz="4" w:space="0" w:color="BF0000" w:themeColor="accent3" w:themeShade="BF"/>
            </w:tcBorders>
            <w:vAlign w:val="bottom"/>
          </w:tcPr>
          <w:p w:rsidR="00872027" w:rsidRPr="00AE6EDB" w:rsidRDefault="0054295F" w:rsidP="00440D13">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2 5</w:t>
            </w:r>
            <w:r w:rsidR="00872027" w:rsidRPr="00AE6EDB">
              <w:rPr>
                <w:sz w:val="18"/>
                <w:szCs w:val="18"/>
              </w:rPr>
              <w:t>9</w:t>
            </w:r>
            <w:r w:rsidR="00AC44CB">
              <w:rPr>
                <w:sz w:val="18"/>
                <w:szCs w:val="18"/>
              </w:rPr>
              <w:t>5 9</w:t>
            </w:r>
            <w:r w:rsidR="00872027" w:rsidRPr="00AE6EDB">
              <w:rPr>
                <w:sz w:val="18"/>
                <w:szCs w:val="18"/>
              </w:rPr>
              <w:t>68</w:t>
            </w:r>
          </w:p>
        </w:tc>
        <w:tc>
          <w:tcPr>
            <w:tcW w:w="1133" w:type="dxa"/>
            <w:gridSpan w:val="2"/>
            <w:tcBorders>
              <w:top w:val="none" w:sz="0" w:space="0" w:color="auto"/>
              <w:left w:val="single" w:sz="4" w:space="0" w:color="BF0000" w:themeColor="accent3" w:themeShade="BF"/>
              <w:bottom w:val="none" w:sz="0" w:space="0" w:color="auto"/>
            </w:tcBorders>
            <w:vAlign w:val="bottom"/>
          </w:tcPr>
          <w:p w:rsidR="00872027" w:rsidRPr="00AE6EDB" w:rsidRDefault="00872027" w:rsidP="00440D13">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AE6EDB">
              <w:rPr>
                <w:sz w:val="18"/>
                <w:szCs w:val="18"/>
              </w:rPr>
              <w:t>914</w:t>
            </w:r>
          </w:p>
        </w:tc>
        <w:tc>
          <w:tcPr>
            <w:tcW w:w="1133" w:type="dxa"/>
            <w:gridSpan w:val="2"/>
            <w:tcBorders>
              <w:top w:val="none" w:sz="0" w:space="0" w:color="auto"/>
              <w:bottom w:val="none" w:sz="0" w:space="0" w:color="auto"/>
            </w:tcBorders>
            <w:vAlign w:val="bottom"/>
          </w:tcPr>
          <w:p w:rsidR="00872027" w:rsidRPr="00AE6EDB" w:rsidRDefault="0054295F" w:rsidP="00440D13">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2 4</w:t>
            </w:r>
            <w:r w:rsidR="00872027" w:rsidRPr="00AE6EDB">
              <w:rPr>
                <w:sz w:val="18"/>
                <w:szCs w:val="18"/>
              </w:rPr>
              <w:t>05,89</w:t>
            </w:r>
          </w:p>
        </w:tc>
        <w:tc>
          <w:tcPr>
            <w:tcW w:w="1195" w:type="dxa"/>
            <w:gridSpan w:val="2"/>
            <w:tcBorders>
              <w:top w:val="none" w:sz="0" w:space="0" w:color="auto"/>
              <w:bottom w:val="none" w:sz="0" w:space="0" w:color="auto"/>
              <w:right w:val="none" w:sz="0" w:space="0" w:color="auto"/>
            </w:tcBorders>
            <w:vAlign w:val="bottom"/>
          </w:tcPr>
          <w:p w:rsidR="00872027" w:rsidRPr="00AE6EDB" w:rsidRDefault="0054295F" w:rsidP="00440D13">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2 1</w:t>
            </w:r>
            <w:r w:rsidR="00872027" w:rsidRPr="00AE6EDB">
              <w:rPr>
                <w:sz w:val="18"/>
                <w:szCs w:val="18"/>
              </w:rPr>
              <w:t>9</w:t>
            </w:r>
            <w:r w:rsidR="00AC44CB">
              <w:rPr>
                <w:sz w:val="18"/>
                <w:szCs w:val="18"/>
              </w:rPr>
              <w:t>8 9</w:t>
            </w:r>
            <w:r w:rsidR="00872027" w:rsidRPr="00AE6EDB">
              <w:rPr>
                <w:sz w:val="18"/>
                <w:szCs w:val="18"/>
              </w:rPr>
              <w:t>82</w:t>
            </w:r>
          </w:p>
        </w:tc>
      </w:tr>
      <w:tr w:rsidR="00872027" w:rsidRPr="00AE6EDB" w:rsidTr="00440D13">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872027" w:rsidRPr="00AE6EDB" w:rsidRDefault="00872027" w:rsidP="00440D13">
            <w:pPr>
              <w:spacing w:line="276" w:lineRule="auto"/>
              <w:jc w:val="left"/>
              <w:rPr>
                <w:b w:val="0"/>
                <w:sz w:val="18"/>
                <w:szCs w:val="18"/>
              </w:rPr>
            </w:pPr>
            <w:r w:rsidRPr="00AE6EDB">
              <w:rPr>
                <w:b w:val="0"/>
                <w:color w:val="000000"/>
                <w:sz w:val="18"/>
                <w:szCs w:val="18"/>
              </w:rPr>
              <w:t>PP na úpravu garáže</w:t>
            </w:r>
          </w:p>
        </w:tc>
        <w:tc>
          <w:tcPr>
            <w:tcW w:w="1153" w:type="dxa"/>
            <w:vAlign w:val="bottom"/>
          </w:tcPr>
          <w:p w:rsidR="00872027" w:rsidRPr="00AE6EDB" w:rsidRDefault="00872027" w:rsidP="00440D13">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8</w:t>
            </w:r>
          </w:p>
        </w:tc>
        <w:tc>
          <w:tcPr>
            <w:tcW w:w="1134" w:type="dxa"/>
            <w:vAlign w:val="bottom"/>
          </w:tcPr>
          <w:p w:rsidR="00872027" w:rsidRPr="00AE6EDB" w:rsidRDefault="0054295F" w:rsidP="00440D13">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1 5</w:t>
            </w:r>
            <w:r w:rsidR="00872027" w:rsidRPr="00AE6EDB">
              <w:rPr>
                <w:sz w:val="18"/>
                <w:szCs w:val="18"/>
              </w:rPr>
              <w:t>48,75</w:t>
            </w:r>
          </w:p>
        </w:tc>
        <w:tc>
          <w:tcPr>
            <w:tcW w:w="1133" w:type="dxa"/>
            <w:gridSpan w:val="3"/>
            <w:tcBorders>
              <w:right w:val="single" w:sz="4" w:space="0" w:color="BF0000" w:themeColor="accent3" w:themeShade="BF"/>
            </w:tcBorders>
            <w:vAlign w:val="bottom"/>
          </w:tcPr>
          <w:p w:rsidR="00872027" w:rsidRPr="00AE6EDB" w:rsidRDefault="00872027" w:rsidP="00440D13">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1</w:t>
            </w:r>
            <w:r w:rsidR="0054295F">
              <w:rPr>
                <w:sz w:val="18"/>
                <w:szCs w:val="18"/>
              </w:rPr>
              <w:t>2 3</w:t>
            </w:r>
            <w:r w:rsidRPr="00AE6EDB">
              <w:rPr>
                <w:sz w:val="18"/>
                <w:szCs w:val="18"/>
              </w:rPr>
              <w:t>90</w:t>
            </w:r>
          </w:p>
        </w:tc>
        <w:tc>
          <w:tcPr>
            <w:tcW w:w="1133" w:type="dxa"/>
            <w:gridSpan w:val="2"/>
            <w:tcBorders>
              <w:left w:val="single" w:sz="4" w:space="0" w:color="BF0000" w:themeColor="accent3" w:themeShade="BF"/>
            </w:tcBorders>
            <w:vAlign w:val="bottom"/>
          </w:tcPr>
          <w:p w:rsidR="00872027" w:rsidRPr="00AE6EDB" w:rsidRDefault="00872027" w:rsidP="00440D13">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AE6EDB">
              <w:rPr>
                <w:sz w:val="18"/>
                <w:szCs w:val="18"/>
              </w:rPr>
              <w:t>6</w:t>
            </w:r>
          </w:p>
        </w:tc>
        <w:tc>
          <w:tcPr>
            <w:tcW w:w="1133" w:type="dxa"/>
            <w:gridSpan w:val="2"/>
            <w:vAlign w:val="bottom"/>
          </w:tcPr>
          <w:p w:rsidR="00872027" w:rsidRPr="00AE6EDB" w:rsidRDefault="0054295F" w:rsidP="00440D13">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w:t>
            </w:r>
            <w:r w:rsidR="00872027" w:rsidRPr="00AE6EDB">
              <w:rPr>
                <w:sz w:val="18"/>
                <w:szCs w:val="18"/>
              </w:rPr>
              <w:t>53,50</w:t>
            </w:r>
          </w:p>
        </w:tc>
        <w:tc>
          <w:tcPr>
            <w:tcW w:w="1195" w:type="dxa"/>
            <w:gridSpan w:val="2"/>
            <w:vAlign w:val="bottom"/>
          </w:tcPr>
          <w:p w:rsidR="00872027" w:rsidRPr="00AE6EDB" w:rsidRDefault="00AC44CB" w:rsidP="00440D13">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6 3</w:t>
            </w:r>
            <w:r w:rsidR="00872027" w:rsidRPr="00AE6EDB">
              <w:rPr>
                <w:sz w:val="18"/>
                <w:szCs w:val="18"/>
              </w:rPr>
              <w:t>21</w:t>
            </w:r>
          </w:p>
        </w:tc>
      </w:tr>
      <w:tr w:rsidR="00872027" w:rsidRPr="00AE6EDB" w:rsidTr="00440D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shd w:val="clear" w:color="auto" w:fill="BF0000" w:themeFill="accent3" w:themeFillShade="BF"/>
            <w:vAlign w:val="center"/>
            <w:hideMark/>
          </w:tcPr>
          <w:p w:rsidR="00872027" w:rsidRPr="00AE6EDB" w:rsidRDefault="00872027" w:rsidP="00440D13">
            <w:pPr>
              <w:jc w:val="left"/>
              <w:rPr>
                <w:color w:val="FFFFFF" w:themeColor="background1"/>
                <w:sz w:val="18"/>
                <w:szCs w:val="18"/>
              </w:rPr>
            </w:pPr>
            <w:r w:rsidRPr="00AE6EDB">
              <w:rPr>
                <w:color w:val="FFFFFF" w:themeColor="background1"/>
                <w:sz w:val="18"/>
                <w:szCs w:val="18"/>
              </w:rPr>
              <w:t>Vynaložené finančné prostriedky na PP SPOLU v €</w:t>
            </w:r>
          </w:p>
        </w:tc>
        <w:tc>
          <w:tcPr>
            <w:tcW w:w="3420" w:type="dxa"/>
            <w:gridSpan w:val="5"/>
            <w:tcBorders>
              <w:top w:val="none" w:sz="0" w:space="0" w:color="auto"/>
              <w:bottom w:val="none" w:sz="0" w:space="0" w:color="auto"/>
            </w:tcBorders>
            <w:shd w:val="clear" w:color="auto" w:fill="BF0000" w:themeFill="accent3" w:themeFillShade="BF"/>
            <w:vAlign w:val="center"/>
          </w:tcPr>
          <w:p w:rsidR="00872027" w:rsidRPr="00AE6EDB" w:rsidRDefault="00872027" w:rsidP="00440D13">
            <w:pPr>
              <w:spacing w:line="0" w:lineRule="atLeast"/>
              <w:jc w:val="center"/>
              <w:cnfStyle w:val="000000100000" w:firstRow="0" w:lastRow="0" w:firstColumn="0" w:lastColumn="0" w:oddVBand="0" w:evenVBand="0" w:oddHBand="1" w:evenHBand="0" w:firstRowFirstColumn="0" w:firstRowLastColumn="0" w:lastRowFirstColumn="0" w:lastRowLastColumn="0"/>
              <w:rPr>
                <w:b/>
                <w:sz w:val="18"/>
                <w:szCs w:val="18"/>
              </w:rPr>
            </w:pPr>
            <w:r w:rsidRPr="00AE6EDB">
              <w:rPr>
                <w:b/>
                <w:sz w:val="18"/>
                <w:szCs w:val="18"/>
              </w:rPr>
              <w:t>23</w:t>
            </w:r>
            <w:r w:rsidR="00AC44CB">
              <w:rPr>
                <w:b/>
                <w:sz w:val="18"/>
                <w:szCs w:val="18"/>
              </w:rPr>
              <w:t>5 9</w:t>
            </w:r>
            <w:r w:rsidRPr="00AE6EDB">
              <w:rPr>
                <w:b/>
                <w:sz w:val="18"/>
                <w:szCs w:val="18"/>
              </w:rPr>
              <w:t>0</w:t>
            </w:r>
            <w:r w:rsidR="0054295F">
              <w:rPr>
                <w:b/>
                <w:sz w:val="18"/>
                <w:szCs w:val="18"/>
              </w:rPr>
              <w:t>2 5</w:t>
            </w:r>
            <w:r w:rsidRPr="00AE6EDB">
              <w:rPr>
                <w:b/>
                <w:sz w:val="18"/>
                <w:szCs w:val="18"/>
              </w:rPr>
              <w:t>30</w:t>
            </w:r>
          </w:p>
        </w:tc>
        <w:tc>
          <w:tcPr>
            <w:tcW w:w="3461" w:type="dxa"/>
            <w:gridSpan w:val="6"/>
            <w:tcBorders>
              <w:top w:val="none" w:sz="0" w:space="0" w:color="auto"/>
              <w:bottom w:val="none" w:sz="0" w:space="0" w:color="auto"/>
              <w:right w:val="none" w:sz="0" w:space="0" w:color="auto"/>
            </w:tcBorders>
            <w:shd w:val="clear" w:color="auto" w:fill="BF0000" w:themeFill="accent3" w:themeFillShade="BF"/>
            <w:vAlign w:val="center"/>
          </w:tcPr>
          <w:p w:rsidR="00872027" w:rsidRPr="00AE6EDB" w:rsidRDefault="00872027" w:rsidP="00440D13">
            <w:pPr>
              <w:spacing w:line="0" w:lineRule="atLeast"/>
              <w:ind w:right="167"/>
              <w:jc w:val="center"/>
              <w:cnfStyle w:val="000000100000" w:firstRow="0" w:lastRow="0" w:firstColumn="0" w:lastColumn="0" w:oddVBand="0" w:evenVBand="0" w:oddHBand="1" w:evenHBand="0" w:firstRowFirstColumn="0" w:firstRowLastColumn="0" w:lastRowFirstColumn="0" w:lastRowLastColumn="0"/>
              <w:rPr>
                <w:b/>
                <w:sz w:val="18"/>
                <w:szCs w:val="18"/>
              </w:rPr>
            </w:pPr>
            <w:r w:rsidRPr="00AE6EDB">
              <w:rPr>
                <w:b/>
                <w:sz w:val="18"/>
                <w:szCs w:val="18"/>
              </w:rPr>
              <w:t>23</w:t>
            </w:r>
            <w:r w:rsidR="0054295F">
              <w:rPr>
                <w:b/>
                <w:sz w:val="18"/>
                <w:szCs w:val="18"/>
              </w:rPr>
              <w:t>1 4</w:t>
            </w:r>
            <w:r w:rsidRPr="00AE6EDB">
              <w:rPr>
                <w:b/>
                <w:sz w:val="18"/>
                <w:szCs w:val="18"/>
              </w:rPr>
              <w:t>9</w:t>
            </w:r>
            <w:r w:rsidR="00AC44CB">
              <w:rPr>
                <w:b/>
                <w:sz w:val="18"/>
                <w:szCs w:val="18"/>
              </w:rPr>
              <w:t>6 9</w:t>
            </w:r>
            <w:r w:rsidRPr="00AE6EDB">
              <w:rPr>
                <w:b/>
                <w:sz w:val="18"/>
                <w:szCs w:val="18"/>
              </w:rPr>
              <w:t>60</w:t>
            </w:r>
          </w:p>
        </w:tc>
      </w:tr>
    </w:tbl>
    <w:p w:rsidR="000A7585" w:rsidRPr="00AE6EDB" w:rsidRDefault="000A7585" w:rsidP="00A940D7">
      <w:pPr>
        <w:pStyle w:val="zdroj"/>
        <w:spacing w:after="0"/>
        <w:ind w:left="567" w:firstLine="0"/>
      </w:pPr>
      <w:r w:rsidRPr="00AE6EDB">
        <w:t>Zdroj: RSD MIS</w:t>
      </w:r>
      <w:r w:rsidR="00A940D7" w:rsidRPr="00AE6EDB">
        <w:t xml:space="preserve">, pri opakovaných príspevkoch je priemerná </w:t>
      </w:r>
      <w:r w:rsidR="00F45681" w:rsidRPr="00AE6EDB">
        <w:t>mesačná</w:t>
      </w:r>
      <w:r w:rsidR="00A940D7" w:rsidRPr="00AE6EDB">
        <w:t xml:space="preserve"> výška PP vypočítaná z vynaložených finančných prostriedkov bez doplatkov za oneskorený nárok</w:t>
      </w:r>
      <w:r w:rsidRPr="00AE6EDB">
        <w:t xml:space="preserve"> </w:t>
      </w:r>
      <w:r w:rsidR="00CE15D0">
        <w:t>,</w:t>
      </w:r>
    </w:p>
    <w:p w:rsidR="004F0BD7" w:rsidRPr="00AE6EDB" w:rsidRDefault="000A7585" w:rsidP="00A940D7">
      <w:pPr>
        <w:pStyle w:val="zdroj"/>
        <w:spacing w:before="0" w:after="0"/>
      </w:pPr>
      <w:r w:rsidRPr="00AE6EDB">
        <w:rPr>
          <w:i w:val="0"/>
        </w:rPr>
        <w:t>*</w:t>
      </w:r>
      <w:r w:rsidRPr="00AE6EDB">
        <w:t xml:space="preserve"> sumárne údaje za 12 mesiacov</w:t>
      </w:r>
    </w:p>
    <w:bookmarkEnd w:id="687"/>
    <w:p w:rsidR="000A7585" w:rsidRPr="00AE6EDB" w:rsidRDefault="000A7585" w:rsidP="000A7585">
      <w:pPr>
        <w:ind w:firstLine="431"/>
        <w:rPr>
          <w:szCs w:val="22"/>
        </w:rPr>
      </w:pPr>
      <w:r w:rsidRPr="00AE6EDB">
        <w:rPr>
          <w:szCs w:val="22"/>
        </w:rPr>
        <w:t xml:space="preserve">Pri </w:t>
      </w:r>
      <w:r w:rsidRPr="00AE6EDB">
        <w:rPr>
          <w:b/>
          <w:szCs w:val="22"/>
        </w:rPr>
        <w:t xml:space="preserve">jednorazových </w:t>
      </w:r>
      <w:r w:rsidRPr="00AE6EDB">
        <w:rPr>
          <w:szCs w:val="22"/>
        </w:rPr>
        <w:t>peňažných príspevkoch na kompenzáciu sa v roku 2015 v porovnaní s rokom 2014 prejavil nárast počtu poskytnutých peňažných príspevkov pri piatich druhoch a rovnako pri piatich druhoch sme zaznamenali pokles počtu poskytnutých peňažných príspevkov, a to nasledovne:</w:t>
      </w:r>
    </w:p>
    <w:p w:rsidR="000A7585" w:rsidRPr="00AE6EDB" w:rsidRDefault="000A7585" w:rsidP="000A7585">
      <w:pPr>
        <w:tabs>
          <w:tab w:val="left" w:pos="284"/>
        </w:tabs>
        <w:spacing w:before="120" w:after="60"/>
        <w:rPr>
          <w:szCs w:val="22"/>
          <w:u w:val="single"/>
        </w:rPr>
      </w:pPr>
      <w:r w:rsidRPr="00737497">
        <w:rPr>
          <w:szCs w:val="22"/>
        </w:rPr>
        <w:t>a)</w:t>
      </w:r>
      <w:r w:rsidRPr="00737497">
        <w:rPr>
          <w:szCs w:val="22"/>
        </w:rPr>
        <w:tab/>
      </w:r>
      <w:r w:rsidRPr="00AE6EDB">
        <w:rPr>
          <w:szCs w:val="22"/>
          <w:u w:val="single"/>
        </w:rPr>
        <w:t>nárast počtu jednorazových PP poskytnutých za celý kalendárny rok 201</w:t>
      </w:r>
      <w:r w:rsidR="00571785" w:rsidRPr="00AE6EDB">
        <w:rPr>
          <w:szCs w:val="22"/>
          <w:u w:val="single"/>
        </w:rPr>
        <w:t>5</w:t>
      </w:r>
      <w:r w:rsidRPr="00AE6EDB">
        <w:rPr>
          <w:szCs w:val="22"/>
          <w:u w:val="single"/>
        </w:rPr>
        <w:t xml:space="preserve"> o:</w:t>
      </w:r>
    </w:p>
    <w:p w:rsidR="00571785" w:rsidRPr="00AE6EDB" w:rsidRDefault="00571785" w:rsidP="00571785">
      <w:pPr>
        <w:pStyle w:val="Odsekzoznamu"/>
        <w:numPr>
          <w:ilvl w:val="0"/>
          <w:numId w:val="39"/>
        </w:numPr>
        <w:tabs>
          <w:tab w:val="left" w:pos="284"/>
        </w:tabs>
        <w:rPr>
          <w:szCs w:val="22"/>
        </w:rPr>
      </w:pPr>
      <w:r w:rsidRPr="00AE6EDB">
        <w:rPr>
          <w:szCs w:val="22"/>
        </w:rPr>
        <w:t>109 PP na kúpu zdvíhacieho zariadenia ( priemerná výška PP vzrástla o 82,27</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78 PP na opravu pomôcky (priemerná výška PP vzrástla o 8,96</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67 PP na kúpu osobného motorového vozidla (priemerná výška PP vzrástla o 72,70</w:t>
      </w:r>
      <w:r w:rsidR="0054295F">
        <w:rPr>
          <w:szCs w:val="22"/>
        </w:rPr>
        <w:t> eur</w:t>
      </w:r>
      <w:r w:rsidRPr="00AE6EDB">
        <w:rPr>
          <w:szCs w:val="22"/>
        </w:rPr>
        <w:t xml:space="preserve">a) </w:t>
      </w:r>
    </w:p>
    <w:p w:rsidR="00571785" w:rsidRPr="00AE6EDB" w:rsidRDefault="00571785" w:rsidP="00571785">
      <w:pPr>
        <w:pStyle w:val="Odsekzoznamu"/>
        <w:numPr>
          <w:ilvl w:val="0"/>
          <w:numId w:val="39"/>
        </w:numPr>
        <w:tabs>
          <w:tab w:val="left" w:pos="284"/>
        </w:tabs>
        <w:rPr>
          <w:szCs w:val="22"/>
        </w:rPr>
      </w:pPr>
      <w:r w:rsidRPr="00AE6EDB">
        <w:rPr>
          <w:szCs w:val="22"/>
        </w:rPr>
        <w:t>15 PP na úpravu osobného motorového vozidla (priemerná výška PP vzrástla o 355,27</w:t>
      </w:r>
      <w:r w:rsidR="0054295F">
        <w:rPr>
          <w:szCs w:val="22"/>
        </w:rPr>
        <w:t> eur</w:t>
      </w:r>
      <w:r w:rsidRPr="00AE6EDB">
        <w:rPr>
          <w:szCs w:val="22"/>
        </w:rPr>
        <w:t xml:space="preserve">a) </w:t>
      </w:r>
    </w:p>
    <w:p w:rsidR="00571785" w:rsidRPr="00AE6EDB" w:rsidRDefault="00571785" w:rsidP="00571785">
      <w:pPr>
        <w:pStyle w:val="Odsekzoznamu"/>
        <w:numPr>
          <w:ilvl w:val="0"/>
          <w:numId w:val="39"/>
        </w:numPr>
        <w:tabs>
          <w:tab w:val="left" w:pos="284"/>
        </w:tabs>
        <w:rPr>
          <w:szCs w:val="22"/>
        </w:rPr>
      </w:pPr>
      <w:r w:rsidRPr="00AE6EDB">
        <w:rPr>
          <w:szCs w:val="22"/>
        </w:rPr>
        <w:t>1 PP na výcvik používania pomôcky (priemerná výška PP vzrástla o 7,46</w:t>
      </w:r>
      <w:r w:rsidR="0054295F">
        <w:rPr>
          <w:szCs w:val="22"/>
        </w:rPr>
        <w:t> eur</w:t>
      </w:r>
      <w:r w:rsidRPr="00AE6EDB">
        <w:rPr>
          <w:szCs w:val="22"/>
        </w:rPr>
        <w:t>a)</w:t>
      </w:r>
    </w:p>
    <w:p w:rsidR="000A7585" w:rsidRPr="00AE6EDB" w:rsidRDefault="000A7585" w:rsidP="000A7585">
      <w:pPr>
        <w:pStyle w:val="Odsekzoznamu"/>
        <w:numPr>
          <w:ilvl w:val="0"/>
          <w:numId w:val="0"/>
        </w:numPr>
        <w:tabs>
          <w:tab w:val="left" w:pos="284"/>
        </w:tabs>
        <w:ind w:left="720"/>
        <w:rPr>
          <w:szCs w:val="22"/>
        </w:rPr>
      </w:pPr>
    </w:p>
    <w:p w:rsidR="000A7585" w:rsidRPr="00AE6EDB" w:rsidRDefault="000A7585" w:rsidP="000A7585">
      <w:pPr>
        <w:tabs>
          <w:tab w:val="left" w:pos="284"/>
        </w:tabs>
        <w:spacing w:before="120" w:after="60"/>
        <w:rPr>
          <w:szCs w:val="22"/>
        </w:rPr>
      </w:pPr>
      <w:r w:rsidRPr="00AE6EDB">
        <w:rPr>
          <w:szCs w:val="22"/>
        </w:rPr>
        <w:t>b)</w:t>
      </w:r>
      <w:r w:rsidRPr="00AE6EDB">
        <w:rPr>
          <w:szCs w:val="22"/>
        </w:rPr>
        <w:tab/>
      </w:r>
      <w:r w:rsidRPr="00AE6EDB">
        <w:rPr>
          <w:szCs w:val="22"/>
          <w:u w:val="single"/>
        </w:rPr>
        <w:t>pokles počtu jednorazových PP poskytnu</w:t>
      </w:r>
      <w:r w:rsidR="00571785" w:rsidRPr="00AE6EDB">
        <w:rPr>
          <w:szCs w:val="22"/>
          <w:u w:val="single"/>
        </w:rPr>
        <w:t>tých za celý kalendárny rok 2015</w:t>
      </w:r>
      <w:r w:rsidRPr="00AE6EDB">
        <w:rPr>
          <w:szCs w:val="22"/>
          <w:u w:val="single"/>
        </w:rPr>
        <w:t xml:space="preserve"> o</w:t>
      </w:r>
      <w:r w:rsidRPr="00AE6EDB">
        <w:rPr>
          <w:szCs w:val="22"/>
        </w:rPr>
        <w:t>:</w:t>
      </w:r>
    </w:p>
    <w:p w:rsidR="00571785" w:rsidRPr="00AE6EDB" w:rsidRDefault="00571785" w:rsidP="00571785">
      <w:pPr>
        <w:pStyle w:val="Odsekzoznamu"/>
        <w:numPr>
          <w:ilvl w:val="0"/>
          <w:numId w:val="39"/>
        </w:numPr>
        <w:tabs>
          <w:tab w:val="left" w:pos="284"/>
        </w:tabs>
        <w:rPr>
          <w:szCs w:val="22"/>
        </w:rPr>
      </w:pPr>
      <w:r w:rsidRPr="00AE6EDB">
        <w:rPr>
          <w:szCs w:val="22"/>
        </w:rPr>
        <w:t>185 PP na kúpu pomôcky (priemerná výška PP vzrástla o 30,62</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162 PP na úpravu rodinného domu (priemerná výška PP klesla o 6,72</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21 PP na úpravu pomôcky (priemerná výška PP vzrástla o 337,59</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14 PP na úpravu bytu (priemerná výška PP vzrástla o 77,29</w:t>
      </w:r>
      <w:r w:rsidR="0054295F">
        <w:rPr>
          <w:szCs w:val="22"/>
        </w:rPr>
        <w:t> eur</w:t>
      </w:r>
      <w:r w:rsidRPr="00AE6EDB">
        <w:rPr>
          <w:szCs w:val="22"/>
        </w:rPr>
        <w:t>a)</w:t>
      </w:r>
    </w:p>
    <w:p w:rsidR="00571785" w:rsidRPr="00AE6EDB" w:rsidRDefault="00571785" w:rsidP="00571785">
      <w:pPr>
        <w:pStyle w:val="Odsekzoznamu"/>
        <w:numPr>
          <w:ilvl w:val="0"/>
          <w:numId w:val="39"/>
        </w:numPr>
        <w:tabs>
          <w:tab w:val="left" w:pos="284"/>
        </w:tabs>
        <w:rPr>
          <w:szCs w:val="22"/>
        </w:rPr>
      </w:pPr>
      <w:r w:rsidRPr="00AE6EDB">
        <w:rPr>
          <w:szCs w:val="22"/>
        </w:rPr>
        <w:t>2</w:t>
      </w:r>
      <w:r w:rsidR="000A7585" w:rsidRPr="00AE6EDB">
        <w:rPr>
          <w:szCs w:val="22"/>
        </w:rPr>
        <w:t xml:space="preserve"> PP na úpravu garáže (priemerná výška PP </w:t>
      </w:r>
      <w:r w:rsidRPr="00AE6EDB">
        <w:rPr>
          <w:szCs w:val="22"/>
        </w:rPr>
        <w:t>klesla</w:t>
      </w:r>
      <w:r w:rsidR="000A7585" w:rsidRPr="00AE6EDB">
        <w:rPr>
          <w:szCs w:val="22"/>
        </w:rPr>
        <w:t xml:space="preserve"> o</w:t>
      </w:r>
      <w:r w:rsidRPr="00AE6EDB">
        <w:rPr>
          <w:szCs w:val="22"/>
        </w:rPr>
        <w:t> 495,25</w:t>
      </w:r>
      <w:r w:rsidR="0054295F">
        <w:rPr>
          <w:szCs w:val="22"/>
        </w:rPr>
        <w:t> eur</w:t>
      </w:r>
      <w:r w:rsidR="000A7585" w:rsidRPr="00AE6EDB">
        <w:rPr>
          <w:szCs w:val="22"/>
        </w:rPr>
        <w:t xml:space="preserve">a) </w:t>
      </w:r>
    </w:p>
    <w:p w:rsidR="000A7585" w:rsidRPr="00AE6EDB" w:rsidRDefault="000A7585" w:rsidP="000A7585">
      <w:pPr>
        <w:pStyle w:val="Odsekzoznamu"/>
        <w:numPr>
          <w:ilvl w:val="0"/>
          <w:numId w:val="0"/>
        </w:numPr>
        <w:tabs>
          <w:tab w:val="left" w:pos="284"/>
        </w:tabs>
        <w:ind w:left="720"/>
        <w:rPr>
          <w:szCs w:val="22"/>
          <w:highlight w:val="cyan"/>
        </w:rPr>
      </w:pPr>
    </w:p>
    <w:p w:rsidR="00B645FA" w:rsidRPr="00AE6EDB" w:rsidRDefault="000B16D0" w:rsidP="000A7585">
      <w:pPr>
        <w:ind w:firstLine="431"/>
        <w:rPr>
          <w:szCs w:val="22"/>
        </w:rPr>
      </w:pPr>
      <w:r w:rsidRPr="00AE6EDB">
        <w:rPr>
          <w:szCs w:val="22"/>
        </w:rPr>
        <w:t xml:space="preserve">Pri </w:t>
      </w:r>
      <w:r w:rsidRPr="00AE6EDB">
        <w:rPr>
          <w:b/>
          <w:szCs w:val="22"/>
        </w:rPr>
        <w:t>opakovaných</w:t>
      </w:r>
      <w:r w:rsidRPr="00AE6EDB">
        <w:rPr>
          <w:szCs w:val="22"/>
        </w:rPr>
        <w:t xml:space="preserve"> peňažných príspevkoch sme v roku 2015 v porovnaní s rokom 2014 zaznamenali nárast priemerného mesačného počtu poberateľov niektorých peňažných príspevkov. Najvýraznejšie pri peňažnom príspevku na osobnú asistenciu</w:t>
      </w:r>
      <w:r w:rsidR="00B645FA" w:rsidRPr="00AE6EDB">
        <w:rPr>
          <w:szCs w:val="22"/>
        </w:rPr>
        <w:t>, pričom pri tomto príspevku nárast pretrváva dlhodobo</w:t>
      </w:r>
      <w:r w:rsidRPr="00AE6EDB">
        <w:rPr>
          <w:szCs w:val="22"/>
        </w:rPr>
        <w:t xml:space="preserve">. V roku 2015 je to </w:t>
      </w:r>
      <w:r w:rsidR="00EC7C6E" w:rsidRPr="00AE6EDB">
        <w:rPr>
          <w:szCs w:val="22"/>
        </w:rPr>
        <w:t xml:space="preserve">v porovnaní s rokom 2014 </w:t>
      </w:r>
      <w:r w:rsidRPr="00AE6EDB">
        <w:rPr>
          <w:szCs w:val="22"/>
        </w:rPr>
        <w:t>nárast o 309 poberateľov</w:t>
      </w:r>
      <w:r w:rsidR="00EC7C6E" w:rsidRPr="00AE6EDB">
        <w:rPr>
          <w:szCs w:val="22"/>
        </w:rPr>
        <w:t>, čo prinieslo nárast vynaložených finančných prostriedkov o takmer 1,52 mil.</w:t>
      </w:r>
      <w:r w:rsidR="0054295F">
        <w:rPr>
          <w:szCs w:val="22"/>
        </w:rPr>
        <w:t> eur</w:t>
      </w:r>
      <w:r w:rsidRPr="00AE6EDB">
        <w:rPr>
          <w:szCs w:val="22"/>
        </w:rPr>
        <w:t>.</w:t>
      </w:r>
      <w:r w:rsidR="00F77C87" w:rsidRPr="00AE6EDB">
        <w:rPr>
          <w:szCs w:val="22"/>
        </w:rPr>
        <w:t xml:space="preserve"> Priemerná mesačná výška tohto peňažného príspevku v roku 2015 zostala bez podstatnej zmeny (nárast o 0,99</w:t>
      </w:r>
      <w:r w:rsidR="0054295F">
        <w:rPr>
          <w:szCs w:val="22"/>
        </w:rPr>
        <w:t> eur</w:t>
      </w:r>
      <w:r w:rsidR="00F77C87" w:rsidRPr="00AE6EDB">
        <w:rPr>
          <w:szCs w:val="22"/>
        </w:rPr>
        <w:t xml:space="preserve">a) a predstavuje cca 138 hodín osobnej asistencie mesačne, na ktoré bol poskytnutý príspevok. </w:t>
      </w:r>
    </w:p>
    <w:p w:rsidR="00EC7C6E" w:rsidRPr="00AE6EDB" w:rsidRDefault="00EC7C6E" w:rsidP="00EC7C6E">
      <w:pPr>
        <w:ind w:firstLine="431"/>
        <w:rPr>
          <w:szCs w:val="22"/>
        </w:rPr>
      </w:pPr>
      <w:r w:rsidRPr="00AE6EDB">
        <w:rPr>
          <w:szCs w:val="22"/>
        </w:rPr>
        <w:t>Nárast priemerného mesačného počtu poberateľov sa v roku 2015 prejavil aj pri peňažnom príspevku na prepravu</w:t>
      </w:r>
      <w:r w:rsidR="00BA50C2">
        <w:rPr>
          <w:szCs w:val="22"/>
        </w:rPr>
        <w:t>,</w:t>
      </w:r>
      <w:r w:rsidRPr="00AE6EDB">
        <w:rPr>
          <w:szCs w:val="22"/>
        </w:rPr>
        <w:t xml:space="preserve"> a to o 66 poberateľov, pričom priemerná mesačná výška peňažného príspevku taktiež zostala bez výraznejšej zmeny (pokles o 1,00</w:t>
      </w:r>
      <w:r w:rsidR="0054295F">
        <w:rPr>
          <w:szCs w:val="22"/>
        </w:rPr>
        <w:t> euro</w:t>
      </w:r>
      <w:r w:rsidRPr="00AE6EDB">
        <w:rPr>
          <w:szCs w:val="22"/>
        </w:rPr>
        <w:t>).</w:t>
      </w:r>
    </w:p>
    <w:p w:rsidR="00B645FA" w:rsidRPr="00AE6EDB" w:rsidRDefault="00B645FA" w:rsidP="00B645FA">
      <w:pPr>
        <w:pStyle w:val="Nadpis7"/>
      </w:pPr>
      <w:r w:rsidRPr="00AE6EDB">
        <w:rPr>
          <w:bCs/>
          <w:color w:val="000000" w:themeColor="text1"/>
        </w:rPr>
        <w:t>Graf 3.1</w:t>
      </w:r>
      <w:r w:rsidR="007857A4" w:rsidRPr="00AE6EDB">
        <w:rPr>
          <w:bCs/>
          <w:color w:val="000000" w:themeColor="text1"/>
        </w:rPr>
        <w:t>4</w:t>
      </w:r>
      <w:r w:rsidRPr="00AE6EDB">
        <w:t xml:space="preserve"> Vývoj počtu poberateľov peňažného príspevku na osobnú asistenciu </w:t>
      </w:r>
      <w:r w:rsidRPr="00AE6EDB">
        <w:br/>
        <w:t>v roku 2014 a 2015</w:t>
      </w:r>
    </w:p>
    <w:p w:rsidR="00B645FA" w:rsidRPr="00AE6EDB" w:rsidRDefault="00B645FA" w:rsidP="00B645FA">
      <w:pPr>
        <w:jc w:val="center"/>
        <w:rPr>
          <w:sz w:val="20"/>
          <w:szCs w:val="32"/>
        </w:rPr>
      </w:pPr>
      <w:r w:rsidRPr="00AE6EDB">
        <w:rPr>
          <w:noProof/>
        </w:rPr>
        <w:drawing>
          <wp:inline distT="0" distB="0" distL="0" distR="0" wp14:anchorId="1999F043" wp14:editId="41A2EA4B">
            <wp:extent cx="4572000"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645FA" w:rsidRPr="00AE6EDB" w:rsidRDefault="00B645FA" w:rsidP="00B645FA">
      <w:pPr>
        <w:pStyle w:val="zdroj"/>
      </w:pPr>
      <w:r w:rsidRPr="00AE6EDB">
        <w:rPr>
          <w:szCs w:val="22"/>
        </w:rPr>
        <w:tab/>
      </w:r>
      <w:r w:rsidRPr="00AE6EDB">
        <w:t xml:space="preserve">Zdroj: RSD MIS </w:t>
      </w:r>
    </w:p>
    <w:p w:rsidR="00EC7C6E" w:rsidRPr="00AE6EDB" w:rsidRDefault="00EC7C6E">
      <w:pPr>
        <w:jc w:val="left"/>
        <w:rPr>
          <w:szCs w:val="22"/>
        </w:rPr>
      </w:pPr>
    </w:p>
    <w:p w:rsidR="00F77C87" w:rsidRPr="00AE6EDB" w:rsidRDefault="00F77C87" w:rsidP="000A7585">
      <w:pPr>
        <w:ind w:firstLine="431"/>
        <w:rPr>
          <w:szCs w:val="22"/>
        </w:rPr>
      </w:pPr>
      <w:r w:rsidRPr="00AE6EDB">
        <w:rPr>
          <w:szCs w:val="22"/>
        </w:rPr>
        <w:t xml:space="preserve">Pokles priemerného mesačného </w:t>
      </w:r>
      <w:r w:rsidR="00EC7C6E" w:rsidRPr="00AE6EDB">
        <w:rPr>
          <w:szCs w:val="22"/>
        </w:rPr>
        <w:t>p</w:t>
      </w:r>
      <w:r w:rsidRPr="00AE6EDB">
        <w:rPr>
          <w:szCs w:val="22"/>
        </w:rPr>
        <w:t xml:space="preserve">očtu poberateľov v roku 2015 v porovnaní s rokom 2014 nastal pri </w:t>
      </w:r>
      <w:r w:rsidR="00E66C8B" w:rsidRPr="00AE6EDB">
        <w:rPr>
          <w:szCs w:val="22"/>
        </w:rPr>
        <w:t>peňažnom príspevku na kompenzáciu zvýšených výdavkov</w:t>
      </w:r>
      <w:r w:rsidR="00BA50C2">
        <w:rPr>
          <w:szCs w:val="22"/>
        </w:rPr>
        <w:t>,</w:t>
      </w:r>
      <w:r w:rsidR="00E66C8B" w:rsidRPr="00AE6EDB">
        <w:rPr>
          <w:szCs w:val="22"/>
        </w:rPr>
        <w:t xml:space="preserve"> a to o </w:t>
      </w:r>
      <w:r w:rsidR="0054295F">
        <w:rPr>
          <w:szCs w:val="22"/>
        </w:rPr>
        <w:t>1 3</w:t>
      </w:r>
      <w:r w:rsidR="00E66C8B" w:rsidRPr="00AE6EDB">
        <w:rPr>
          <w:szCs w:val="22"/>
        </w:rPr>
        <w:t xml:space="preserve">93 poberateľov (celkovo všetky druhy zvýšených výdavkov). Pri kompenzácii zvýšených výdavkov súvisiacich s hygienou alebo opotrebovaním šatstva, bielizne, obuvi a bytového zariadenia </w:t>
      </w:r>
      <w:r w:rsidR="00EC7C6E" w:rsidRPr="00AE6EDB">
        <w:rPr>
          <w:szCs w:val="22"/>
        </w:rPr>
        <w:t xml:space="preserve">to bol </w:t>
      </w:r>
      <w:r w:rsidR="00E66C8B" w:rsidRPr="00AE6EDB">
        <w:rPr>
          <w:szCs w:val="22"/>
        </w:rPr>
        <w:t>pokles o </w:t>
      </w:r>
      <w:r w:rsidR="0054295F">
        <w:rPr>
          <w:szCs w:val="22"/>
        </w:rPr>
        <w:t>1 3</w:t>
      </w:r>
      <w:r w:rsidR="00E66C8B" w:rsidRPr="00AE6EDB">
        <w:rPr>
          <w:szCs w:val="22"/>
        </w:rPr>
        <w:t>38 poberateľov</w:t>
      </w:r>
      <w:r w:rsidR="00EC7C6E" w:rsidRPr="00AE6EDB">
        <w:rPr>
          <w:szCs w:val="22"/>
        </w:rPr>
        <w:t xml:space="preserve"> a</w:t>
      </w:r>
      <w:r w:rsidR="00E66C8B" w:rsidRPr="00AE6EDB">
        <w:rPr>
          <w:szCs w:val="22"/>
        </w:rPr>
        <w:t xml:space="preserve"> pri kompenzácii zvýšených výdavkov na diétne stravovanie pokles o 273 poberateľov. Pri</w:t>
      </w:r>
      <w:r w:rsidR="00EC7C6E" w:rsidRPr="00AE6EDB">
        <w:rPr>
          <w:szCs w:val="22"/>
        </w:rPr>
        <w:t> </w:t>
      </w:r>
      <w:r w:rsidR="00E66C8B" w:rsidRPr="00AE6EDB">
        <w:rPr>
          <w:szCs w:val="22"/>
        </w:rPr>
        <w:t xml:space="preserve">kompenzácii zvýšených výdavkov súvisiacich so starostlivosťou o psa so špeciálnym výcvikom sa priemerný mesačný počet </w:t>
      </w:r>
      <w:r w:rsidR="00EC7C6E" w:rsidRPr="00AE6EDB">
        <w:rPr>
          <w:szCs w:val="22"/>
        </w:rPr>
        <w:t xml:space="preserve">poberateľov </w:t>
      </w:r>
      <w:r w:rsidR="00E66C8B" w:rsidRPr="00AE6EDB">
        <w:rPr>
          <w:szCs w:val="22"/>
        </w:rPr>
        <w:t>(po</w:t>
      </w:r>
      <w:r w:rsidR="00EC7C6E" w:rsidRPr="00AE6EDB">
        <w:rPr>
          <w:szCs w:val="22"/>
        </w:rPr>
        <w:t> </w:t>
      </w:r>
      <w:r w:rsidR="00E66C8B" w:rsidRPr="00AE6EDB">
        <w:rPr>
          <w:szCs w:val="22"/>
        </w:rPr>
        <w:t xml:space="preserve">zaokrúhlení) zvýšil o 1 a pri kompenzácii zvýšených výdavkov súvisiacich so zabezpečením prevádzky osobného motorového vozidla </w:t>
      </w:r>
      <w:r w:rsidR="00EC7C6E" w:rsidRPr="00AE6EDB">
        <w:rPr>
          <w:szCs w:val="22"/>
        </w:rPr>
        <w:t>došlo k nárastu</w:t>
      </w:r>
      <w:r w:rsidR="00E66C8B" w:rsidRPr="00AE6EDB">
        <w:rPr>
          <w:szCs w:val="22"/>
        </w:rPr>
        <w:t xml:space="preserve"> o 184 poberateľov. </w:t>
      </w:r>
    </w:p>
    <w:p w:rsidR="000A7585" w:rsidRPr="00AE6EDB" w:rsidRDefault="000A7585" w:rsidP="000A7585">
      <w:pPr>
        <w:pStyle w:val="Nadpis7"/>
      </w:pPr>
      <w:r w:rsidRPr="00AE6EDB">
        <w:t>Graf 3.1</w:t>
      </w:r>
      <w:r w:rsidR="007857A4" w:rsidRPr="00AE6EDB">
        <w:t>5</w:t>
      </w:r>
      <w:r w:rsidRPr="00AE6EDB">
        <w:rPr>
          <w:color w:val="000000"/>
          <w:kern w:val="24"/>
          <w:sz w:val="24"/>
        </w:rPr>
        <w:t xml:space="preserve"> </w:t>
      </w:r>
      <w:r w:rsidRPr="00AE6EDB">
        <w:t>Vývoj počtu poberateľov PP na kompenzáciu zvýšených výdavkov v roku 2014 a 2015</w:t>
      </w:r>
    </w:p>
    <w:p w:rsidR="000A7585" w:rsidRPr="00AE6EDB" w:rsidRDefault="000A7585" w:rsidP="000A7585">
      <w:pPr>
        <w:jc w:val="center"/>
        <w:rPr>
          <w:color w:val="000000" w:themeColor="text1"/>
          <w:sz w:val="20"/>
          <w:szCs w:val="20"/>
        </w:rPr>
      </w:pPr>
      <w:r w:rsidRPr="00AE6EDB">
        <w:rPr>
          <w:noProof/>
        </w:rPr>
        <w:drawing>
          <wp:inline distT="0" distB="0" distL="0" distR="0" wp14:anchorId="6FA0A17F" wp14:editId="00607AC7">
            <wp:extent cx="4572000" cy="240093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A7585" w:rsidRPr="00AE6EDB" w:rsidRDefault="000A7585" w:rsidP="000A7585">
      <w:pPr>
        <w:pStyle w:val="zdroj"/>
      </w:pPr>
      <w:r w:rsidRPr="00AE6EDB">
        <w:t xml:space="preserve">Zdroj: RSD MIS </w:t>
      </w:r>
    </w:p>
    <w:p w:rsidR="000A7585" w:rsidRPr="00AE6EDB" w:rsidRDefault="000A7585" w:rsidP="000A7585">
      <w:pPr>
        <w:ind w:firstLine="431"/>
        <w:rPr>
          <w:szCs w:val="22"/>
        </w:rPr>
      </w:pPr>
      <w:bookmarkStart w:id="688" w:name="_Toc356482737"/>
      <w:r w:rsidRPr="00AE6EDB">
        <w:rPr>
          <w:szCs w:val="22"/>
        </w:rPr>
        <w:t>Peňažný príspevok na opatrovanie, ako jediný peňažný príspevok na kompenzáciu, sa neposkytuje fyzickej osobe s ŤZP, ale priamo fyzickej osobe (opatrovateľovi), ktorá opatruje fyzickú osobu s ŤZP. Jeho výška je stanovená v závislosti od viacerých skutočností. Ak opatrovateľ poberá niektorú zo zákonom ustanovených dôchodkových dávok, peňažný príspevok na opatrovanie je ustanovený v paušálnej výške</w:t>
      </w:r>
      <w:r w:rsidR="001831E4" w:rsidRPr="00AE6EDB">
        <w:rPr>
          <w:rStyle w:val="Odkaznapoznmkupodiarou"/>
          <w:szCs w:val="22"/>
        </w:rPr>
        <w:footnoteReference w:id="46"/>
      </w:r>
      <w:r w:rsidRPr="00AE6EDB">
        <w:rPr>
          <w:szCs w:val="22"/>
        </w:rPr>
        <w:t>. Ak opatrovateľ nepoberá takúto dôchodkovú dávku, na výšku peňažného príspevku má vplyv príjem opatrovanej fyzickej osoby s ŤZP, ktorý je chránený do výšky 1,4 násobku sumy životného minima pre jednu plnoletú fyzickú osobu, resp. ak je fyzickou osobou s ŤZP nezaopatrené dieťa, jeho príjem je chránený do 3</w:t>
      </w:r>
      <w:r w:rsidR="002154B2" w:rsidRPr="00AE6EDB">
        <w:rPr>
          <w:szCs w:val="22"/>
        </w:rPr>
        <w:t>-</w:t>
      </w:r>
      <w:r w:rsidRPr="00AE6EDB">
        <w:rPr>
          <w:szCs w:val="22"/>
        </w:rPr>
        <w:t xml:space="preserve"> násobku sumy životného minima pre jednu plnoletú fyzickú osobu. Vzhľadom na skutočnosť, že v roku 2015 sumy životného minima zostali nezmenené, hranica ochrany príjmu fyzických osôb s ŤZP zostali bez zmeny od júla 2013, a to v sume cca 277,33</w:t>
      </w:r>
      <w:r w:rsidR="0054295F">
        <w:rPr>
          <w:szCs w:val="22"/>
        </w:rPr>
        <w:t> eur</w:t>
      </w:r>
      <w:r w:rsidRPr="00AE6EDB">
        <w:rPr>
          <w:szCs w:val="22"/>
        </w:rPr>
        <w:t>a mesačne (1,4 násobok sumy životného minima ) a cca 594,27</w:t>
      </w:r>
      <w:r w:rsidR="0054295F">
        <w:rPr>
          <w:szCs w:val="22"/>
        </w:rPr>
        <w:t> eur</w:t>
      </w:r>
      <w:r w:rsidR="00134C31">
        <w:rPr>
          <w:szCs w:val="22"/>
        </w:rPr>
        <w:t>a</w:t>
      </w:r>
      <w:r w:rsidRPr="00AE6EDB">
        <w:rPr>
          <w:szCs w:val="22"/>
        </w:rPr>
        <w:t xml:space="preserve"> mesačne </w:t>
      </w:r>
      <w:r w:rsidR="00134C31">
        <w:rPr>
          <w:szCs w:val="22"/>
        </w:rPr>
        <w:br/>
      </w:r>
      <w:r w:rsidRPr="00AE6EDB">
        <w:rPr>
          <w:szCs w:val="22"/>
        </w:rPr>
        <w:t xml:space="preserve">(3-násobok sumy životného minima). </w:t>
      </w:r>
    </w:p>
    <w:p w:rsidR="00A940D7" w:rsidRPr="00AE6EDB" w:rsidRDefault="00A940D7">
      <w:pPr>
        <w:jc w:val="left"/>
        <w:rPr>
          <w:b/>
        </w:rPr>
      </w:pPr>
      <w:r w:rsidRPr="00AE6EDB">
        <w:br w:type="page"/>
      </w:r>
    </w:p>
    <w:p w:rsidR="00A12073" w:rsidRPr="00AE6EDB" w:rsidRDefault="00A12073" w:rsidP="00A12073">
      <w:pPr>
        <w:pStyle w:val="Nadpis7"/>
      </w:pPr>
      <w:r w:rsidRPr="00AE6EDB">
        <w:t>Graf 3.1</w:t>
      </w:r>
      <w:r w:rsidR="007857A4" w:rsidRPr="00AE6EDB">
        <w:t>6</w:t>
      </w:r>
      <w:r w:rsidRPr="00AE6EDB">
        <w:t xml:space="preserve"> Vývoj počtu poberateľov PP na opatrovanie v rokoch 2014 a 2015</w:t>
      </w:r>
    </w:p>
    <w:p w:rsidR="00A12073" w:rsidRPr="00AE6EDB" w:rsidRDefault="00A12073" w:rsidP="000A7585">
      <w:pPr>
        <w:ind w:firstLine="708"/>
        <w:rPr>
          <w:szCs w:val="22"/>
        </w:rPr>
      </w:pPr>
      <w:r w:rsidRPr="00AE6EDB">
        <w:rPr>
          <w:noProof/>
        </w:rPr>
        <w:drawing>
          <wp:inline distT="0" distB="0" distL="0" distR="0" wp14:anchorId="1052DE84" wp14:editId="562F2699">
            <wp:extent cx="4572000" cy="27432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2073" w:rsidRPr="00AE6EDB" w:rsidRDefault="00A12073" w:rsidP="00A12073">
      <w:pPr>
        <w:pStyle w:val="zdroj"/>
      </w:pPr>
      <w:r w:rsidRPr="00AE6EDB">
        <w:t>Zdroj: RSD MIS</w:t>
      </w:r>
    </w:p>
    <w:p w:rsidR="000A7585" w:rsidRPr="00AE6EDB" w:rsidRDefault="000A7585" w:rsidP="000A7585">
      <w:pPr>
        <w:ind w:firstLine="708"/>
        <w:rPr>
          <w:szCs w:val="22"/>
        </w:rPr>
      </w:pPr>
      <w:r w:rsidRPr="00AE6EDB">
        <w:rPr>
          <w:szCs w:val="22"/>
        </w:rPr>
        <w:t xml:space="preserve">Pri peňažnom príspevku na opatrovanie sme v roku 2015 zaznamenali výrazný </w:t>
      </w:r>
      <w:r w:rsidR="00A12073" w:rsidRPr="00AE6EDB">
        <w:rPr>
          <w:szCs w:val="22"/>
        </w:rPr>
        <w:t xml:space="preserve">medziročný </w:t>
      </w:r>
      <w:r w:rsidRPr="00AE6EDB">
        <w:rPr>
          <w:szCs w:val="22"/>
        </w:rPr>
        <w:t xml:space="preserve">pokles priemerného mesačného počtu poberateľov </w:t>
      </w:r>
      <w:r w:rsidR="00A12073" w:rsidRPr="00AE6EDB">
        <w:rPr>
          <w:szCs w:val="22"/>
        </w:rPr>
        <w:t>(</w:t>
      </w:r>
      <w:r w:rsidRPr="00AE6EDB">
        <w:rPr>
          <w:szCs w:val="22"/>
        </w:rPr>
        <w:t>o </w:t>
      </w:r>
      <w:r w:rsidR="0054295F">
        <w:rPr>
          <w:szCs w:val="22"/>
        </w:rPr>
        <w:t>2 4</w:t>
      </w:r>
      <w:r w:rsidRPr="00AE6EDB">
        <w:rPr>
          <w:szCs w:val="22"/>
        </w:rPr>
        <w:t>20</w:t>
      </w:r>
      <w:r w:rsidR="00A12073" w:rsidRPr="00AE6EDB">
        <w:rPr>
          <w:szCs w:val="22"/>
        </w:rPr>
        <w:t>), ako aj počtu opatrovaných</w:t>
      </w:r>
      <w:r w:rsidR="002641CA">
        <w:rPr>
          <w:szCs w:val="22"/>
        </w:rPr>
        <w:t xml:space="preserve"> FO s ŤZP </w:t>
      </w:r>
      <w:r w:rsidR="00A12073" w:rsidRPr="00AE6EDB">
        <w:rPr>
          <w:szCs w:val="22"/>
        </w:rPr>
        <w:t>(</w:t>
      </w:r>
      <w:r w:rsidRPr="00AE6EDB">
        <w:rPr>
          <w:szCs w:val="22"/>
        </w:rPr>
        <w:t>o</w:t>
      </w:r>
      <w:r w:rsidR="00C12C45" w:rsidRPr="00AE6EDB">
        <w:rPr>
          <w:szCs w:val="22"/>
        </w:rPr>
        <w:t> </w:t>
      </w:r>
      <w:r w:rsidR="0054295F">
        <w:rPr>
          <w:szCs w:val="22"/>
        </w:rPr>
        <w:t>2 5</w:t>
      </w:r>
      <w:r w:rsidR="00C12C45" w:rsidRPr="00AE6EDB">
        <w:rPr>
          <w:szCs w:val="22"/>
        </w:rPr>
        <w:t>58</w:t>
      </w:r>
      <w:r w:rsidR="00A12073" w:rsidRPr="00AE6EDB">
        <w:rPr>
          <w:szCs w:val="22"/>
        </w:rPr>
        <w:t>)</w:t>
      </w:r>
      <w:r w:rsidRPr="00AE6EDB">
        <w:rPr>
          <w:szCs w:val="22"/>
        </w:rPr>
        <w:t>. Pri rozčlenení tohto peňažného príspevku podľa druhu poberateľov (opatrovateľov)</w:t>
      </w:r>
      <w:r w:rsidR="00BF4AC2" w:rsidRPr="00AE6EDB">
        <w:rPr>
          <w:szCs w:val="22"/>
        </w:rPr>
        <w:t>,</w:t>
      </w:r>
      <w:r w:rsidRPr="00AE6EDB">
        <w:rPr>
          <w:szCs w:val="22"/>
        </w:rPr>
        <w:t xml:space="preserve"> pokles nastal </w:t>
      </w:r>
      <w:r w:rsidR="00BF4AC2" w:rsidRPr="00AE6EDB">
        <w:rPr>
          <w:szCs w:val="22"/>
        </w:rPr>
        <w:t>vo všetkých skupinách</w:t>
      </w:r>
      <w:r w:rsidRPr="00AE6EDB">
        <w:rPr>
          <w:szCs w:val="22"/>
        </w:rPr>
        <w:t xml:space="preserve">. Pri poberateľoch, ktorým nie je vyplácaná žiadna zo zákonom ustanovených dôchodkových dávok (v tzv. produktívnom veku) </w:t>
      </w:r>
      <w:r w:rsidR="00A12073" w:rsidRPr="00AE6EDB">
        <w:rPr>
          <w:szCs w:val="22"/>
        </w:rPr>
        <w:t>došlo k</w:t>
      </w:r>
      <w:r w:rsidRPr="00AE6EDB">
        <w:rPr>
          <w:szCs w:val="22"/>
        </w:rPr>
        <w:t xml:space="preserve"> pokles</w:t>
      </w:r>
      <w:r w:rsidR="00A12073" w:rsidRPr="00AE6EDB">
        <w:rPr>
          <w:szCs w:val="22"/>
        </w:rPr>
        <w:t>u</w:t>
      </w:r>
      <w:r w:rsidRPr="00AE6EDB">
        <w:rPr>
          <w:szCs w:val="22"/>
        </w:rPr>
        <w:t xml:space="preserve"> o </w:t>
      </w:r>
      <w:r w:rsidR="0054295F">
        <w:rPr>
          <w:szCs w:val="22"/>
        </w:rPr>
        <w:t>1 8</w:t>
      </w:r>
      <w:r w:rsidRPr="00AE6EDB">
        <w:rPr>
          <w:szCs w:val="22"/>
        </w:rPr>
        <w:t xml:space="preserve">73 poberateľov, pri poberateľoch, ktorým je vyplácaná dôchodková dávka </w:t>
      </w:r>
      <w:r w:rsidR="00A12073" w:rsidRPr="00AE6EDB">
        <w:rPr>
          <w:szCs w:val="22"/>
        </w:rPr>
        <w:t>bol</w:t>
      </w:r>
      <w:r w:rsidRPr="00AE6EDB">
        <w:rPr>
          <w:szCs w:val="22"/>
        </w:rPr>
        <w:t> pokles</w:t>
      </w:r>
      <w:r w:rsidR="00BA50C2">
        <w:rPr>
          <w:szCs w:val="22"/>
        </w:rPr>
        <w:t xml:space="preserve"> o</w:t>
      </w:r>
      <w:r w:rsidRPr="00AE6EDB">
        <w:rPr>
          <w:szCs w:val="22"/>
        </w:rPr>
        <w:t xml:space="preserve"> 298 poberateľov. </w:t>
      </w:r>
      <w:r w:rsidR="00BF4AC2" w:rsidRPr="00AE6EDB">
        <w:rPr>
          <w:szCs w:val="22"/>
        </w:rPr>
        <w:t xml:space="preserve">U </w:t>
      </w:r>
      <w:r w:rsidRPr="00AE6EDB">
        <w:rPr>
          <w:szCs w:val="22"/>
        </w:rPr>
        <w:t>poberateľov, ktorým sa poskytoval peňažný príspevok na opatrovanie na základe prechodného ustanovenia (t.j.</w:t>
      </w:r>
      <w:r w:rsidR="00BF4AC2" w:rsidRPr="00AE6EDB">
        <w:rPr>
          <w:szCs w:val="22"/>
        </w:rPr>
        <w:t> </w:t>
      </w:r>
      <w:r w:rsidRPr="00AE6EDB">
        <w:rPr>
          <w:szCs w:val="22"/>
        </w:rPr>
        <w:t xml:space="preserve">podľa zákona účinného do 31.12.2008) </w:t>
      </w:r>
      <w:r w:rsidR="00BF4AC2" w:rsidRPr="00AE6EDB">
        <w:rPr>
          <w:szCs w:val="22"/>
        </w:rPr>
        <w:t>došlo k poklesu o</w:t>
      </w:r>
      <w:r w:rsidR="00A12073" w:rsidRPr="00AE6EDB">
        <w:rPr>
          <w:szCs w:val="22"/>
        </w:rPr>
        <w:t xml:space="preserve"> </w:t>
      </w:r>
      <w:r w:rsidRPr="00AE6EDB">
        <w:rPr>
          <w:szCs w:val="22"/>
        </w:rPr>
        <w:t>249</w:t>
      </w:r>
      <w:r w:rsidR="00A12073" w:rsidRPr="00AE6EDB">
        <w:rPr>
          <w:szCs w:val="22"/>
        </w:rPr>
        <w:t xml:space="preserve"> poberateľov</w:t>
      </w:r>
      <w:r w:rsidRPr="00AE6EDB">
        <w:rPr>
          <w:szCs w:val="22"/>
        </w:rPr>
        <w:t>. Prehľad údajov o poskytnutých peňažných príspevkoch na opatrovanie je uvedený v nasledujúcej tabuľke.</w:t>
      </w:r>
    </w:p>
    <w:p w:rsidR="000A7585" w:rsidRPr="00AE6EDB" w:rsidRDefault="000A7585" w:rsidP="000A7585">
      <w:pPr>
        <w:pStyle w:val="Nadpis7"/>
      </w:pPr>
      <w:r w:rsidRPr="00AE6EDB">
        <w:t>Tabuľka 3.2</w:t>
      </w:r>
      <w:r w:rsidR="00F2550D" w:rsidRPr="00AE6EDB">
        <w:t>6</w:t>
      </w:r>
      <w:r w:rsidRPr="00AE6EDB">
        <w:t xml:space="preserve"> Čerpanie peňažného príspevku na opatrovanie v rokoch 2014 a 2015</w:t>
      </w:r>
      <w:r w:rsidRPr="00AE6EDB">
        <w:br/>
        <w:t xml:space="preserve"> v hlbšej štruktúre</w:t>
      </w:r>
    </w:p>
    <w:tbl>
      <w:tblPr>
        <w:tblStyle w:val="LightList-Accent11"/>
        <w:tblW w:w="5000" w:type="pct"/>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2174"/>
        <w:gridCol w:w="1171"/>
        <w:gridCol w:w="1277"/>
        <w:gridCol w:w="1176"/>
        <w:gridCol w:w="1176"/>
        <w:gridCol w:w="1277"/>
        <w:gridCol w:w="1037"/>
      </w:tblGrid>
      <w:tr w:rsidR="000A7585" w:rsidRPr="00AE6EDB" w:rsidTr="004F0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Merge w:val="restart"/>
            <w:tcBorders>
              <w:top w:val="single" w:sz="8" w:space="0" w:color="BF0000" w:themeColor="accent3" w:themeShade="BF"/>
              <w:right w:val="single" w:sz="4" w:space="0" w:color="BF0000" w:themeColor="accent3" w:themeShade="BF"/>
            </w:tcBorders>
            <w:shd w:val="clear" w:color="auto" w:fill="BF0000" w:themeFill="accent3" w:themeFillShade="BF"/>
            <w:vAlign w:val="center"/>
          </w:tcPr>
          <w:p w:rsidR="000A7585" w:rsidRPr="00AE6EDB" w:rsidRDefault="000A7585" w:rsidP="00DE0EEC">
            <w:pPr>
              <w:jc w:val="center"/>
              <w:rPr>
                <w:sz w:val="18"/>
              </w:rPr>
            </w:pPr>
            <w:r w:rsidRPr="00AE6EDB">
              <w:rPr>
                <w:sz w:val="18"/>
              </w:rPr>
              <w:t>Peňažný príspevok na opatrovanie</w:t>
            </w:r>
          </w:p>
        </w:tc>
        <w:tc>
          <w:tcPr>
            <w:cnfStyle w:val="000010000000" w:firstRow="0" w:lastRow="0" w:firstColumn="0" w:lastColumn="0" w:oddVBand="1" w:evenVBand="0" w:oddHBand="0" w:evenHBand="0" w:firstRowFirstColumn="0" w:firstRowLastColumn="0" w:lastRowFirstColumn="0" w:lastRowLastColumn="0"/>
            <w:tcW w:w="1951" w:type="pct"/>
            <w:gridSpan w:val="3"/>
            <w:tcBorders>
              <w:top w:val="single" w:sz="8" w:space="0" w:color="BF0000" w:themeColor="accent3" w:themeShade="BF"/>
              <w:left w:val="single" w:sz="4" w:space="0" w:color="BF0000" w:themeColor="accent3" w:themeShade="BF"/>
              <w:bottom w:val="single" w:sz="8" w:space="0" w:color="BF0000" w:themeColor="accent3" w:themeShade="BF"/>
              <w:right w:val="none" w:sz="0" w:space="0" w:color="auto"/>
            </w:tcBorders>
            <w:shd w:val="clear" w:color="auto" w:fill="BF0000" w:themeFill="accent3" w:themeFillShade="BF"/>
            <w:vAlign w:val="center"/>
          </w:tcPr>
          <w:p w:rsidR="000A7585" w:rsidRPr="00AE6EDB" w:rsidRDefault="000A7585" w:rsidP="00DE0EEC">
            <w:pPr>
              <w:jc w:val="center"/>
              <w:rPr>
                <w:sz w:val="18"/>
              </w:rPr>
            </w:pPr>
            <w:r w:rsidRPr="00AE6EDB">
              <w:rPr>
                <w:sz w:val="18"/>
              </w:rPr>
              <w:t>2014</w:t>
            </w:r>
          </w:p>
        </w:tc>
        <w:tc>
          <w:tcPr>
            <w:cnfStyle w:val="000100000000" w:firstRow="0" w:lastRow="0" w:firstColumn="0" w:lastColumn="1" w:oddVBand="0" w:evenVBand="0" w:oddHBand="0" w:evenHBand="0" w:firstRowFirstColumn="0" w:firstRowLastColumn="0" w:lastRowFirstColumn="0" w:lastRowLastColumn="0"/>
            <w:tcW w:w="1878" w:type="pct"/>
            <w:gridSpan w:val="3"/>
            <w:tcBorders>
              <w:top w:val="single" w:sz="8" w:space="0" w:color="BF0000" w:themeColor="accent3" w:themeShade="BF"/>
              <w:bottom w:val="single" w:sz="8" w:space="0" w:color="BF0000" w:themeColor="accent3" w:themeShade="BF"/>
            </w:tcBorders>
            <w:shd w:val="clear" w:color="auto" w:fill="BF0000" w:themeFill="accent3" w:themeFillShade="BF"/>
            <w:vAlign w:val="center"/>
          </w:tcPr>
          <w:p w:rsidR="000A7585" w:rsidRPr="00AE6EDB" w:rsidRDefault="000A7585" w:rsidP="00DE0EEC">
            <w:pPr>
              <w:jc w:val="center"/>
              <w:rPr>
                <w:sz w:val="18"/>
              </w:rPr>
            </w:pPr>
            <w:r w:rsidRPr="00AE6EDB">
              <w:rPr>
                <w:sz w:val="18"/>
              </w:rPr>
              <w:t>2015</w:t>
            </w:r>
          </w:p>
        </w:tc>
      </w:tr>
      <w:tr w:rsidR="000A7585" w:rsidRPr="00AE6EDB" w:rsidTr="004F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Merge/>
            <w:tcBorders>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hideMark/>
          </w:tcPr>
          <w:p w:rsidR="000A7585" w:rsidRPr="00AE6EDB" w:rsidRDefault="000A7585" w:rsidP="00DE0EEC">
            <w:pPr>
              <w:jc w:val="center"/>
              <w:rPr>
                <w:sz w:val="18"/>
              </w:rPr>
            </w:pPr>
          </w:p>
        </w:tc>
        <w:tc>
          <w:tcPr>
            <w:cnfStyle w:val="000010000000" w:firstRow="0" w:lastRow="0" w:firstColumn="0" w:lastColumn="0" w:oddVBand="1" w:evenVBand="0" w:oddHBand="0" w:evenHBand="0" w:firstRowFirstColumn="0" w:firstRowLastColumn="0" w:lastRowFirstColumn="0" w:lastRowLastColumn="0"/>
            <w:tcW w:w="631" w:type="pct"/>
            <w:tcBorders>
              <w:top w:val="single" w:sz="8"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0A7585" w:rsidRPr="00AE6EDB" w:rsidRDefault="000A7585" w:rsidP="00DE0EEC">
            <w:pPr>
              <w:jc w:val="center"/>
              <w:rPr>
                <w:b/>
                <w:sz w:val="18"/>
              </w:rPr>
            </w:pPr>
            <w:r w:rsidRPr="00AE6EDB">
              <w:rPr>
                <w:b/>
                <w:sz w:val="18"/>
              </w:rPr>
              <w:t>Priemerný mesačný počet poberateľov</w:t>
            </w:r>
          </w:p>
        </w:tc>
        <w:tc>
          <w:tcPr>
            <w:tcW w:w="687"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0A7585" w:rsidRPr="00AE6EDB" w:rsidRDefault="000A7585" w:rsidP="00DE0EEC">
            <w:pPr>
              <w:jc w:val="center"/>
              <w:cnfStyle w:val="000000100000" w:firstRow="0" w:lastRow="0" w:firstColumn="0" w:lastColumn="0" w:oddVBand="0" w:evenVBand="0" w:oddHBand="1" w:evenHBand="0" w:firstRowFirstColumn="0" w:firstRowLastColumn="0" w:lastRowFirstColumn="0" w:lastRowLastColumn="0"/>
              <w:rPr>
                <w:b/>
                <w:sz w:val="18"/>
              </w:rPr>
            </w:pPr>
            <w:r w:rsidRPr="00AE6EDB">
              <w:rPr>
                <w:b/>
                <w:sz w:val="18"/>
              </w:rPr>
              <w:t>Priemerný mesačný počet opatrovaných</w:t>
            </w:r>
          </w:p>
        </w:tc>
        <w:tc>
          <w:tcPr>
            <w:cnfStyle w:val="000010000000" w:firstRow="0" w:lastRow="0" w:firstColumn="0" w:lastColumn="0" w:oddVBand="1" w:evenVBand="0" w:oddHBand="0" w:evenHBand="0" w:firstRowFirstColumn="0" w:firstRowLastColumn="0" w:lastRowFirstColumn="0" w:lastRowLastColumn="0"/>
            <w:tcW w:w="632"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0A7585" w:rsidRPr="00AE6EDB" w:rsidRDefault="000A7585" w:rsidP="00DE0EEC">
            <w:pPr>
              <w:jc w:val="center"/>
              <w:rPr>
                <w:b/>
                <w:sz w:val="18"/>
              </w:rPr>
            </w:pPr>
            <w:r w:rsidRPr="00AE6EDB">
              <w:rPr>
                <w:b/>
                <w:sz w:val="18"/>
              </w:rPr>
              <w:t>Priemerná mesačná výška v €</w:t>
            </w:r>
          </w:p>
        </w:tc>
        <w:tc>
          <w:tcPr>
            <w:tcW w:w="633"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0A7585" w:rsidRPr="00AE6EDB" w:rsidRDefault="000A7585" w:rsidP="00DE0EEC">
            <w:pPr>
              <w:jc w:val="center"/>
              <w:cnfStyle w:val="000000100000" w:firstRow="0" w:lastRow="0" w:firstColumn="0" w:lastColumn="0" w:oddVBand="0" w:evenVBand="0" w:oddHBand="1" w:evenHBand="0" w:firstRowFirstColumn="0" w:firstRowLastColumn="0" w:lastRowFirstColumn="0" w:lastRowLastColumn="0"/>
              <w:rPr>
                <w:b/>
                <w:sz w:val="18"/>
              </w:rPr>
            </w:pPr>
            <w:r w:rsidRPr="00AE6EDB">
              <w:rPr>
                <w:b/>
                <w:sz w:val="18"/>
              </w:rPr>
              <w:t>Priemerný mesačný počet poberateľov</w:t>
            </w:r>
          </w:p>
        </w:tc>
        <w:tc>
          <w:tcPr>
            <w:cnfStyle w:val="000010000000" w:firstRow="0" w:lastRow="0" w:firstColumn="0" w:lastColumn="0" w:oddVBand="1" w:evenVBand="0" w:oddHBand="0" w:evenHBand="0" w:firstRowFirstColumn="0" w:firstRowLastColumn="0" w:lastRowFirstColumn="0" w:lastRowLastColumn="0"/>
            <w:tcW w:w="687"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0A7585" w:rsidRPr="00AE6EDB" w:rsidRDefault="000A7585" w:rsidP="00DE0EEC">
            <w:pPr>
              <w:jc w:val="center"/>
              <w:rPr>
                <w:b/>
                <w:sz w:val="18"/>
              </w:rPr>
            </w:pPr>
            <w:r w:rsidRPr="00AE6EDB">
              <w:rPr>
                <w:b/>
                <w:sz w:val="18"/>
              </w:rPr>
              <w:t>Priemerný mesačný počet opatrovaných</w:t>
            </w:r>
          </w:p>
        </w:tc>
        <w:tc>
          <w:tcPr>
            <w:cnfStyle w:val="000100000000" w:firstRow="0" w:lastRow="0" w:firstColumn="0" w:lastColumn="1" w:oddVBand="0" w:evenVBand="0" w:oddHBand="0" w:evenHBand="0" w:firstRowFirstColumn="0" w:firstRowLastColumn="0" w:lastRowFirstColumn="0" w:lastRowLastColumn="0"/>
            <w:tcW w:w="558"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0A7585" w:rsidRPr="00AE6EDB" w:rsidRDefault="000A7585" w:rsidP="00DE0EEC">
            <w:pPr>
              <w:jc w:val="center"/>
              <w:rPr>
                <w:sz w:val="18"/>
              </w:rPr>
            </w:pPr>
            <w:r w:rsidRPr="00AE6EDB">
              <w:rPr>
                <w:sz w:val="18"/>
              </w:rPr>
              <w:t>Priemerná mesačná výška v €</w:t>
            </w:r>
          </w:p>
        </w:tc>
      </w:tr>
      <w:tr w:rsidR="000A7585" w:rsidRPr="00AE6EDB" w:rsidTr="004F0BD7">
        <w:trPr>
          <w:trHeight w:val="340"/>
        </w:trPr>
        <w:tc>
          <w:tcPr>
            <w:cnfStyle w:val="001000000000" w:firstRow="0" w:lastRow="0" w:firstColumn="1" w:lastColumn="0" w:oddVBand="0" w:evenVBand="0" w:oddHBand="0" w:evenHBand="0" w:firstRowFirstColumn="0" w:firstRowLastColumn="0" w:lastRowFirstColumn="0" w:lastRowLastColumn="0"/>
            <w:tcW w:w="1171" w:type="pct"/>
            <w:tcBorders>
              <w:top w:val="single" w:sz="4" w:space="0" w:color="BF0000" w:themeColor="accent3" w:themeShade="BF"/>
            </w:tcBorders>
            <w:vAlign w:val="center"/>
          </w:tcPr>
          <w:p w:rsidR="000A7585" w:rsidRPr="00AE6EDB" w:rsidRDefault="000A7585" w:rsidP="00DE0EEC">
            <w:pPr>
              <w:spacing w:line="0" w:lineRule="atLeast"/>
              <w:jc w:val="left"/>
              <w:rPr>
                <w:b w:val="0"/>
                <w:sz w:val="18"/>
                <w:szCs w:val="22"/>
              </w:rPr>
            </w:pPr>
            <w:r w:rsidRPr="00AE6EDB">
              <w:rPr>
                <w:b w:val="0"/>
                <w:sz w:val="18"/>
                <w:szCs w:val="22"/>
              </w:rPr>
              <w:t>1. FO</w:t>
            </w:r>
            <w:r w:rsidRPr="00AE6EDB">
              <w:rPr>
                <w:b w:val="0"/>
                <w:sz w:val="18"/>
                <w:szCs w:val="22"/>
                <w:vertAlign w:val="superscript"/>
              </w:rPr>
              <w:t>1)</w:t>
            </w:r>
            <w:r w:rsidRPr="00AE6EDB">
              <w:rPr>
                <w:b w:val="0"/>
                <w:sz w:val="18"/>
                <w:szCs w:val="22"/>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631" w:type="pct"/>
            <w:tcBorders>
              <w:top w:val="single" w:sz="4" w:space="0" w:color="BF0000" w:themeColor="accent3" w:themeShade="BF"/>
              <w:left w:val="none" w:sz="0" w:space="0" w:color="auto"/>
              <w:bottom w:val="single" w:sz="6" w:space="0" w:color="BF0000" w:themeColor="accent3" w:themeShade="BF"/>
              <w:right w:val="none" w:sz="0" w:space="0" w:color="auto"/>
            </w:tcBorders>
            <w:vAlign w:val="bottom"/>
          </w:tcPr>
          <w:p w:rsidR="000A7585" w:rsidRPr="00AE6EDB" w:rsidRDefault="000A7585" w:rsidP="00DE0EEC">
            <w:pPr>
              <w:spacing w:line="0" w:lineRule="atLeast"/>
              <w:jc w:val="right"/>
              <w:rPr>
                <w:sz w:val="18"/>
                <w:szCs w:val="22"/>
              </w:rPr>
            </w:pPr>
            <w:r w:rsidRPr="00AE6EDB">
              <w:rPr>
                <w:sz w:val="18"/>
                <w:szCs w:val="22"/>
              </w:rPr>
              <w:t>2</w:t>
            </w:r>
            <w:r w:rsidR="0054295F">
              <w:rPr>
                <w:sz w:val="18"/>
                <w:szCs w:val="22"/>
              </w:rPr>
              <w:t>2 2</w:t>
            </w:r>
            <w:r w:rsidRPr="00AE6EDB">
              <w:rPr>
                <w:sz w:val="18"/>
                <w:szCs w:val="22"/>
              </w:rPr>
              <w:t>39</w:t>
            </w:r>
          </w:p>
        </w:tc>
        <w:tc>
          <w:tcPr>
            <w:tcW w:w="687" w:type="pct"/>
            <w:tcBorders>
              <w:top w:val="single" w:sz="4" w:space="0" w:color="BF0000" w:themeColor="accent3" w:themeShade="BF"/>
              <w:bottom w:val="single" w:sz="6" w:space="0" w:color="BF0000" w:themeColor="accent3" w:themeShade="BF"/>
            </w:tcBorders>
            <w:vAlign w:val="bottom"/>
          </w:tcPr>
          <w:p w:rsidR="000A7585" w:rsidRPr="00AE6EDB" w:rsidRDefault="000A7585" w:rsidP="00DE0EEC">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sidRPr="00AE6EDB">
              <w:rPr>
                <w:sz w:val="18"/>
                <w:szCs w:val="22"/>
              </w:rPr>
              <w:t>2</w:t>
            </w:r>
            <w:r w:rsidR="0054295F">
              <w:rPr>
                <w:sz w:val="18"/>
                <w:szCs w:val="22"/>
              </w:rPr>
              <w:t>2 6</w:t>
            </w:r>
            <w:r w:rsidRPr="00AE6EDB">
              <w:rPr>
                <w:sz w:val="18"/>
                <w:szCs w:val="22"/>
              </w:rPr>
              <w:t>50</w:t>
            </w:r>
          </w:p>
        </w:tc>
        <w:tc>
          <w:tcPr>
            <w:cnfStyle w:val="000010000000" w:firstRow="0" w:lastRow="0" w:firstColumn="0" w:lastColumn="0" w:oddVBand="1" w:evenVBand="0" w:oddHBand="0" w:evenHBand="0" w:firstRowFirstColumn="0" w:firstRowLastColumn="0" w:lastRowFirstColumn="0" w:lastRowLastColumn="0"/>
            <w:tcW w:w="632" w:type="pct"/>
            <w:tcBorders>
              <w:top w:val="single" w:sz="4"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0A7585" w:rsidRPr="00AE6EDB" w:rsidRDefault="000A7585" w:rsidP="00DE0EEC">
            <w:pPr>
              <w:spacing w:line="0" w:lineRule="atLeast"/>
              <w:jc w:val="right"/>
              <w:rPr>
                <w:sz w:val="18"/>
                <w:szCs w:val="22"/>
              </w:rPr>
            </w:pPr>
            <w:r w:rsidRPr="00AE6EDB">
              <w:rPr>
                <w:sz w:val="18"/>
                <w:szCs w:val="22"/>
              </w:rPr>
              <w:t>89,21</w:t>
            </w:r>
          </w:p>
        </w:tc>
        <w:tc>
          <w:tcPr>
            <w:tcW w:w="633" w:type="pct"/>
            <w:tcBorders>
              <w:top w:val="single" w:sz="4" w:space="0" w:color="BF0000" w:themeColor="accent3" w:themeShade="BF"/>
              <w:left w:val="single" w:sz="6" w:space="0" w:color="BF0000" w:themeColor="accent3" w:themeShade="BF"/>
            </w:tcBorders>
            <w:vAlign w:val="bottom"/>
            <w:hideMark/>
          </w:tcPr>
          <w:p w:rsidR="000A7585" w:rsidRPr="00AE6EDB" w:rsidRDefault="000A7585" w:rsidP="00DE0EEC">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AE6EDB">
              <w:rPr>
                <w:sz w:val="18"/>
                <w:szCs w:val="22"/>
              </w:rPr>
              <w:t>2</w:t>
            </w:r>
            <w:r w:rsidR="0054295F">
              <w:rPr>
                <w:sz w:val="18"/>
                <w:szCs w:val="22"/>
              </w:rPr>
              <w:t>1 9</w:t>
            </w:r>
            <w:r w:rsidRPr="00AE6EDB">
              <w:rPr>
                <w:sz w:val="18"/>
                <w:szCs w:val="22"/>
              </w:rPr>
              <w:t>41</w:t>
            </w:r>
          </w:p>
        </w:tc>
        <w:tc>
          <w:tcPr>
            <w:cnfStyle w:val="000010000000" w:firstRow="0" w:lastRow="0" w:firstColumn="0" w:lastColumn="0" w:oddVBand="1" w:evenVBand="0" w:oddHBand="0" w:evenHBand="0" w:firstRowFirstColumn="0" w:firstRowLastColumn="0" w:lastRowFirstColumn="0" w:lastRowLastColumn="0"/>
            <w:tcW w:w="687" w:type="pct"/>
            <w:tcBorders>
              <w:top w:val="single" w:sz="4" w:space="0" w:color="BF0000" w:themeColor="accent3" w:themeShade="BF"/>
              <w:left w:val="none" w:sz="0" w:space="0" w:color="auto"/>
              <w:right w:val="none" w:sz="0" w:space="0" w:color="auto"/>
            </w:tcBorders>
            <w:vAlign w:val="bottom"/>
          </w:tcPr>
          <w:p w:rsidR="000A7585" w:rsidRPr="00AE6EDB" w:rsidRDefault="000A7585" w:rsidP="00DE0EEC">
            <w:pPr>
              <w:jc w:val="right"/>
              <w:rPr>
                <w:rFonts w:eastAsiaTheme="minorHAnsi"/>
                <w:sz w:val="18"/>
                <w:szCs w:val="22"/>
                <w:lang w:eastAsia="en-US"/>
              </w:rPr>
            </w:pPr>
            <w:r w:rsidRPr="00AE6EDB">
              <w:rPr>
                <w:sz w:val="18"/>
              </w:rPr>
              <w:t>2</w:t>
            </w:r>
            <w:r w:rsidR="0054295F">
              <w:rPr>
                <w:sz w:val="18"/>
              </w:rPr>
              <w:t>2 3</w:t>
            </w:r>
            <w:r w:rsidRPr="00AE6EDB">
              <w:rPr>
                <w:sz w:val="18"/>
              </w:rPr>
              <w:t>34</w:t>
            </w:r>
          </w:p>
        </w:tc>
        <w:tc>
          <w:tcPr>
            <w:cnfStyle w:val="000100000000" w:firstRow="0" w:lastRow="0" w:firstColumn="0" w:lastColumn="1" w:oddVBand="0" w:evenVBand="0" w:oddHBand="0" w:evenHBand="0" w:firstRowFirstColumn="0" w:firstRowLastColumn="0" w:lastRowFirstColumn="0" w:lastRowLastColumn="0"/>
            <w:tcW w:w="558" w:type="pct"/>
            <w:tcBorders>
              <w:top w:val="single" w:sz="4" w:space="0" w:color="BF0000" w:themeColor="accent3" w:themeShade="BF"/>
            </w:tcBorders>
            <w:vAlign w:val="bottom"/>
            <w:hideMark/>
          </w:tcPr>
          <w:p w:rsidR="000A7585" w:rsidRPr="00AE6EDB" w:rsidRDefault="000A7585" w:rsidP="00DE0EEC">
            <w:pPr>
              <w:spacing w:line="0" w:lineRule="atLeast"/>
              <w:jc w:val="center"/>
              <w:rPr>
                <w:b w:val="0"/>
                <w:sz w:val="18"/>
                <w:szCs w:val="22"/>
              </w:rPr>
            </w:pPr>
            <w:r w:rsidRPr="00AE6EDB">
              <w:rPr>
                <w:b w:val="0"/>
                <w:sz w:val="18"/>
                <w:szCs w:val="22"/>
              </w:rPr>
              <w:t>89,34</w:t>
            </w:r>
          </w:p>
        </w:tc>
      </w:tr>
      <w:tr w:rsidR="000A7585" w:rsidRPr="00AE6EDB" w:rsidTr="00DE0E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Borders>
              <w:top w:val="none" w:sz="0" w:space="0" w:color="auto"/>
              <w:left w:val="none" w:sz="0" w:space="0" w:color="auto"/>
              <w:bottom w:val="none" w:sz="0" w:space="0" w:color="auto"/>
            </w:tcBorders>
            <w:vAlign w:val="center"/>
          </w:tcPr>
          <w:p w:rsidR="000A7585" w:rsidRPr="00AE6EDB" w:rsidRDefault="000A7585" w:rsidP="00DE0EEC">
            <w:pPr>
              <w:spacing w:line="0" w:lineRule="atLeast"/>
              <w:jc w:val="left"/>
              <w:rPr>
                <w:b w:val="0"/>
                <w:sz w:val="18"/>
                <w:szCs w:val="22"/>
              </w:rPr>
            </w:pPr>
            <w:r w:rsidRPr="00AE6EDB">
              <w:rPr>
                <w:b w:val="0"/>
                <w:sz w:val="18"/>
                <w:szCs w:val="22"/>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631"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0A7585" w:rsidRPr="00AE6EDB" w:rsidRDefault="000A7585" w:rsidP="00DE0EEC">
            <w:pPr>
              <w:spacing w:line="0" w:lineRule="atLeast"/>
              <w:jc w:val="right"/>
              <w:rPr>
                <w:sz w:val="18"/>
                <w:szCs w:val="22"/>
              </w:rPr>
            </w:pPr>
            <w:r w:rsidRPr="00AE6EDB">
              <w:rPr>
                <w:sz w:val="18"/>
                <w:szCs w:val="22"/>
              </w:rPr>
              <w:t>3</w:t>
            </w:r>
            <w:r w:rsidR="00AC44CB">
              <w:rPr>
                <w:sz w:val="18"/>
                <w:szCs w:val="22"/>
              </w:rPr>
              <w:t>5 7</w:t>
            </w:r>
            <w:r w:rsidRPr="00AE6EDB">
              <w:rPr>
                <w:sz w:val="18"/>
                <w:szCs w:val="22"/>
              </w:rPr>
              <w:t>05</w:t>
            </w:r>
          </w:p>
        </w:tc>
        <w:tc>
          <w:tcPr>
            <w:tcW w:w="687" w:type="pct"/>
            <w:tcBorders>
              <w:top w:val="single" w:sz="6" w:space="0" w:color="BF0000" w:themeColor="accent3" w:themeShade="BF"/>
              <w:bottom w:val="single" w:sz="6" w:space="0" w:color="BF0000" w:themeColor="accent3" w:themeShade="BF"/>
            </w:tcBorders>
            <w:vAlign w:val="bottom"/>
          </w:tcPr>
          <w:p w:rsidR="000A7585" w:rsidRPr="00AE6EDB" w:rsidRDefault="000A7585" w:rsidP="00DE0EEC">
            <w:pPr>
              <w:spacing w:line="0" w:lineRule="atLeast"/>
              <w:jc w:val="right"/>
              <w:cnfStyle w:val="000000100000" w:firstRow="0" w:lastRow="0" w:firstColumn="0" w:lastColumn="0" w:oddVBand="0" w:evenVBand="0" w:oddHBand="1" w:evenHBand="0" w:firstRowFirstColumn="0" w:firstRowLastColumn="0" w:lastRowFirstColumn="0" w:lastRowLastColumn="0"/>
              <w:rPr>
                <w:sz w:val="18"/>
                <w:szCs w:val="22"/>
              </w:rPr>
            </w:pPr>
            <w:r w:rsidRPr="00AE6EDB">
              <w:rPr>
                <w:sz w:val="18"/>
                <w:szCs w:val="22"/>
              </w:rPr>
              <w:t>3</w:t>
            </w:r>
            <w:r w:rsidR="00AC44CB">
              <w:rPr>
                <w:sz w:val="18"/>
                <w:szCs w:val="22"/>
              </w:rPr>
              <w:t>6 9</w:t>
            </w:r>
            <w:r w:rsidRPr="00AE6EDB">
              <w:rPr>
                <w:sz w:val="18"/>
                <w:szCs w:val="22"/>
              </w:rPr>
              <w:t>67</w:t>
            </w:r>
          </w:p>
        </w:tc>
        <w:tc>
          <w:tcPr>
            <w:cnfStyle w:val="000010000000" w:firstRow="0" w:lastRow="0" w:firstColumn="0" w:lastColumn="0" w:oddVBand="1" w:evenVBand="0" w:oddHBand="0" w:evenHBand="0" w:firstRowFirstColumn="0" w:firstRowLastColumn="0" w:lastRowFirstColumn="0" w:lastRowLastColumn="0"/>
            <w:tcW w:w="632"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0A7585" w:rsidRPr="00AE6EDB" w:rsidRDefault="000A7585" w:rsidP="00DE0EEC">
            <w:pPr>
              <w:spacing w:line="0" w:lineRule="atLeast"/>
              <w:jc w:val="right"/>
              <w:rPr>
                <w:sz w:val="18"/>
                <w:szCs w:val="22"/>
              </w:rPr>
            </w:pPr>
            <w:r w:rsidRPr="00AE6EDB">
              <w:rPr>
                <w:sz w:val="18"/>
                <w:szCs w:val="22"/>
              </w:rPr>
              <w:t>177,22</w:t>
            </w:r>
          </w:p>
        </w:tc>
        <w:tc>
          <w:tcPr>
            <w:tcW w:w="633" w:type="pct"/>
            <w:tcBorders>
              <w:top w:val="none" w:sz="0" w:space="0" w:color="auto"/>
              <w:left w:val="single" w:sz="6" w:space="0" w:color="BF0000" w:themeColor="accent3" w:themeShade="BF"/>
              <w:bottom w:val="none" w:sz="0" w:space="0" w:color="auto"/>
            </w:tcBorders>
            <w:vAlign w:val="bottom"/>
            <w:hideMark/>
          </w:tcPr>
          <w:p w:rsidR="000A7585" w:rsidRPr="00AE6EDB" w:rsidRDefault="000A7585" w:rsidP="00DE0EEC">
            <w:pPr>
              <w:spacing w:line="0" w:lineRule="atLeast"/>
              <w:jc w:val="center"/>
              <w:cnfStyle w:val="000000100000" w:firstRow="0" w:lastRow="0" w:firstColumn="0" w:lastColumn="0" w:oddVBand="0" w:evenVBand="0" w:oddHBand="1" w:evenHBand="0" w:firstRowFirstColumn="0" w:firstRowLastColumn="0" w:lastRowFirstColumn="0" w:lastRowLastColumn="0"/>
              <w:rPr>
                <w:sz w:val="18"/>
                <w:szCs w:val="22"/>
              </w:rPr>
            </w:pPr>
            <w:r w:rsidRPr="00AE6EDB">
              <w:rPr>
                <w:sz w:val="18"/>
                <w:szCs w:val="22"/>
              </w:rPr>
              <w:t>3</w:t>
            </w:r>
            <w:r w:rsidR="0054295F">
              <w:rPr>
                <w:sz w:val="18"/>
                <w:szCs w:val="22"/>
              </w:rPr>
              <w:t>3 8</w:t>
            </w:r>
            <w:r w:rsidRPr="00AE6EDB">
              <w:rPr>
                <w:sz w:val="18"/>
                <w:szCs w:val="22"/>
              </w:rPr>
              <w:t>32</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0A7585" w:rsidRPr="00AE6EDB" w:rsidRDefault="000A7585" w:rsidP="00DE0EEC">
            <w:pPr>
              <w:jc w:val="right"/>
              <w:rPr>
                <w:rFonts w:eastAsiaTheme="minorHAnsi"/>
                <w:sz w:val="18"/>
                <w:szCs w:val="22"/>
                <w:lang w:eastAsia="en-US"/>
              </w:rPr>
            </w:pPr>
            <w:r w:rsidRPr="00AE6EDB">
              <w:rPr>
                <w:sz w:val="18"/>
              </w:rPr>
              <w:t>3</w:t>
            </w:r>
            <w:r w:rsidR="00AC44CB">
              <w:rPr>
                <w:sz w:val="18"/>
              </w:rPr>
              <w:t>4 9</w:t>
            </w:r>
            <w:r w:rsidRPr="00AE6EDB">
              <w:rPr>
                <w:sz w:val="18"/>
              </w:rPr>
              <w:t>82</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hideMark/>
          </w:tcPr>
          <w:p w:rsidR="000A7585" w:rsidRPr="00AE6EDB" w:rsidRDefault="000A7585" w:rsidP="00DE0EEC">
            <w:pPr>
              <w:spacing w:line="0" w:lineRule="atLeast"/>
              <w:jc w:val="center"/>
              <w:rPr>
                <w:b w:val="0"/>
                <w:sz w:val="18"/>
                <w:szCs w:val="22"/>
              </w:rPr>
            </w:pPr>
            <w:r w:rsidRPr="00AE6EDB">
              <w:rPr>
                <w:b w:val="0"/>
                <w:sz w:val="18"/>
                <w:szCs w:val="22"/>
              </w:rPr>
              <w:t>172,52</w:t>
            </w:r>
          </w:p>
        </w:tc>
      </w:tr>
      <w:tr w:rsidR="000A7585" w:rsidRPr="00AE6EDB" w:rsidTr="00DE0EEC">
        <w:tc>
          <w:tcPr>
            <w:cnfStyle w:val="001000000000" w:firstRow="0" w:lastRow="0" w:firstColumn="1" w:lastColumn="0" w:oddVBand="0" w:evenVBand="0" w:oddHBand="0" w:evenHBand="0" w:firstRowFirstColumn="0" w:firstRowLastColumn="0" w:lastRowFirstColumn="0" w:lastRowLastColumn="0"/>
            <w:tcW w:w="1171" w:type="pct"/>
            <w:vAlign w:val="center"/>
            <w:hideMark/>
          </w:tcPr>
          <w:p w:rsidR="000A7585" w:rsidRPr="00AE6EDB" w:rsidRDefault="000A7585" w:rsidP="00DE0EEC">
            <w:pPr>
              <w:spacing w:line="0" w:lineRule="atLeast"/>
              <w:jc w:val="left"/>
              <w:rPr>
                <w:b w:val="0"/>
                <w:sz w:val="18"/>
                <w:szCs w:val="22"/>
              </w:rPr>
            </w:pPr>
            <w:r w:rsidRPr="00AE6EDB">
              <w:rPr>
                <w:b w:val="0"/>
                <w:sz w:val="18"/>
                <w:szCs w:val="22"/>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631"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0A7585" w:rsidRPr="00AE6EDB" w:rsidRDefault="0054295F" w:rsidP="00DE0EEC">
            <w:pPr>
              <w:spacing w:line="0" w:lineRule="atLeast"/>
              <w:jc w:val="right"/>
              <w:rPr>
                <w:sz w:val="18"/>
                <w:szCs w:val="22"/>
              </w:rPr>
            </w:pPr>
            <w:r>
              <w:rPr>
                <w:sz w:val="18"/>
                <w:szCs w:val="22"/>
              </w:rPr>
              <w:t>1 0</w:t>
            </w:r>
            <w:r w:rsidR="000A7585" w:rsidRPr="00AE6EDB">
              <w:rPr>
                <w:sz w:val="18"/>
                <w:szCs w:val="22"/>
              </w:rPr>
              <w:t>48</w:t>
            </w:r>
          </w:p>
        </w:tc>
        <w:tc>
          <w:tcPr>
            <w:tcW w:w="687" w:type="pct"/>
            <w:tcBorders>
              <w:top w:val="single" w:sz="6" w:space="0" w:color="BF0000" w:themeColor="accent3" w:themeShade="BF"/>
              <w:bottom w:val="single" w:sz="6" w:space="0" w:color="BF0000" w:themeColor="accent3" w:themeShade="BF"/>
            </w:tcBorders>
            <w:vAlign w:val="bottom"/>
          </w:tcPr>
          <w:p w:rsidR="000A7585" w:rsidRPr="00AE6EDB" w:rsidRDefault="0054295F" w:rsidP="00DE0EEC">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1 0</w:t>
            </w:r>
            <w:r w:rsidR="000A7585" w:rsidRPr="00AE6EDB">
              <w:rPr>
                <w:sz w:val="18"/>
                <w:szCs w:val="22"/>
              </w:rPr>
              <w:t>80</w:t>
            </w:r>
          </w:p>
        </w:tc>
        <w:tc>
          <w:tcPr>
            <w:cnfStyle w:val="000010000000" w:firstRow="0" w:lastRow="0" w:firstColumn="0" w:lastColumn="0" w:oddVBand="1" w:evenVBand="0" w:oddHBand="0" w:evenHBand="0" w:firstRowFirstColumn="0" w:firstRowLastColumn="0" w:lastRowFirstColumn="0" w:lastRowLastColumn="0"/>
            <w:tcW w:w="632"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0A7585" w:rsidRPr="00AE6EDB" w:rsidRDefault="000A7585" w:rsidP="00DE0EEC">
            <w:pPr>
              <w:spacing w:line="0" w:lineRule="atLeast"/>
              <w:jc w:val="right"/>
              <w:rPr>
                <w:sz w:val="18"/>
                <w:szCs w:val="22"/>
              </w:rPr>
            </w:pPr>
            <w:r w:rsidRPr="00AE6EDB">
              <w:rPr>
                <w:sz w:val="18"/>
                <w:szCs w:val="22"/>
              </w:rPr>
              <w:t>93,13</w:t>
            </w:r>
          </w:p>
        </w:tc>
        <w:tc>
          <w:tcPr>
            <w:tcW w:w="633" w:type="pct"/>
            <w:tcBorders>
              <w:left w:val="single" w:sz="6" w:space="0" w:color="BF0000" w:themeColor="accent3" w:themeShade="BF"/>
            </w:tcBorders>
            <w:vAlign w:val="bottom"/>
            <w:hideMark/>
          </w:tcPr>
          <w:p w:rsidR="000A7585" w:rsidRPr="00AE6EDB" w:rsidRDefault="000A7585" w:rsidP="00DE0EEC">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AE6EDB">
              <w:rPr>
                <w:sz w:val="18"/>
                <w:szCs w:val="22"/>
              </w:rPr>
              <w:t>799</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bottom"/>
          </w:tcPr>
          <w:p w:rsidR="000A7585" w:rsidRPr="00AE6EDB" w:rsidRDefault="000A7585" w:rsidP="00DE0EEC">
            <w:pPr>
              <w:jc w:val="right"/>
              <w:rPr>
                <w:rFonts w:eastAsiaTheme="minorHAnsi"/>
                <w:sz w:val="18"/>
                <w:szCs w:val="22"/>
                <w:lang w:eastAsia="en-US"/>
              </w:rPr>
            </w:pPr>
            <w:r w:rsidRPr="00AE6EDB">
              <w:rPr>
                <w:sz w:val="18"/>
              </w:rPr>
              <w:t xml:space="preserve">823 </w:t>
            </w:r>
          </w:p>
        </w:tc>
        <w:tc>
          <w:tcPr>
            <w:cnfStyle w:val="000100000000" w:firstRow="0" w:lastRow="0" w:firstColumn="0" w:lastColumn="1" w:oddVBand="0" w:evenVBand="0" w:oddHBand="0" w:evenHBand="0" w:firstRowFirstColumn="0" w:firstRowLastColumn="0" w:lastRowFirstColumn="0" w:lastRowLastColumn="0"/>
            <w:tcW w:w="558" w:type="pct"/>
            <w:vAlign w:val="bottom"/>
            <w:hideMark/>
          </w:tcPr>
          <w:p w:rsidR="000A7585" w:rsidRPr="00AE6EDB" w:rsidRDefault="000A7585" w:rsidP="00DE0EEC">
            <w:pPr>
              <w:spacing w:line="0" w:lineRule="atLeast"/>
              <w:jc w:val="center"/>
              <w:rPr>
                <w:b w:val="0"/>
                <w:sz w:val="18"/>
                <w:szCs w:val="22"/>
              </w:rPr>
            </w:pPr>
            <w:r w:rsidRPr="00AE6EDB">
              <w:rPr>
                <w:b w:val="0"/>
                <w:sz w:val="18"/>
                <w:szCs w:val="22"/>
              </w:rPr>
              <w:t>92,94</w:t>
            </w:r>
          </w:p>
        </w:tc>
      </w:tr>
      <w:tr w:rsidR="000A7585" w:rsidRPr="00AE6EDB" w:rsidTr="004F0B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Borders>
              <w:top w:val="none" w:sz="0" w:space="0" w:color="auto"/>
              <w:left w:val="none" w:sz="0" w:space="0" w:color="auto"/>
              <w:bottom w:val="single" w:sz="8" w:space="0" w:color="BF0000" w:themeColor="accent3" w:themeShade="BF"/>
            </w:tcBorders>
            <w:vAlign w:val="center"/>
            <w:hideMark/>
          </w:tcPr>
          <w:p w:rsidR="000A7585" w:rsidRPr="00AE6EDB" w:rsidRDefault="000A7585" w:rsidP="00DE0EEC">
            <w:pPr>
              <w:spacing w:line="0" w:lineRule="atLeast"/>
              <w:jc w:val="left"/>
              <w:rPr>
                <w:sz w:val="18"/>
                <w:szCs w:val="22"/>
              </w:rPr>
            </w:pPr>
            <w:r w:rsidRPr="00AE6EDB">
              <w:rPr>
                <w:bCs w:val="0"/>
                <w:sz w:val="18"/>
                <w:szCs w:val="22"/>
              </w:rPr>
              <w:t>Peňažný príspevok na opatrovanie SPOLU</w:t>
            </w:r>
          </w:p>
        </w:tc>
        <w:tc>
          <w:tcPr>
            <w:cnfStyle w:val="000010000000" w:firstRow="0" w:lastRow="0" w:firstColumn="0" w:lastColumn="0" w:oddVBand="1" w:evenVBand="0" w:oddHBand="0" w:evenHBand="0" w:firstRowFirstColumn="0" w:firstRowLastColumn="0" w:lastRowFirstColumn="0" w:lastRowLastColumn="0"/>
            <w:tcW w:w="631" w:type="pct"/>
            <w:tcBorders>
              <w:top w:val="single" w:sz="6" w:space="0" w:color="BF0000" w:themeColor="accent3" w:themeShade="BF"/>
              <w:left w:val="none" w:sz="0" w:space="0" w:color="auto"/>
              <w:bottom w:val="single" w:sz="8" w:space="0" w:color="BF0000" w:themeColor="accent3" w:themeShade="BF"/>
              <w:right w:val="none" w:sz="0" w:space="0" w:color="auto"/>
            </w:tcBorders>
            <w:vAlign w:val="bottom"/>
          </w:tcPr>
          <w:p w:rsidR="000A7585" w:rsidRPr="00AE6EDB" w:rsidRDefault="000A7585" w:rsidP="00DE0EEC">
            <w:pPr>
              <w:spacing w:line="0" w:lineRule="atLeast"/>
              <w:jc w:val="right"/>
              <w:rPr>
                <w:sz w:val="18"/>
                <w:szCs w:val="22"/>
              </w:rPr>
            </w:pPr>
            <w:r w:rsidRPr="00AE6EDB">
              <w:rPr>
                <w:sz w:val="18"/>
                <w:szCs w:val="22"/>
              </w:rPr>
              <w:t>5</w:t>
            </w:r>
            <w:r w:rsidR="00AC44CB">
              <w:rPr>
                <w:sz w:val="18"/>
                <w:szCs w:val="22"/>
              </w:rPr>
              <w:t>8 9</w:t>
            </w:r>
            <w:r w:rsidRPr="00AE6EDB">
              <w:rPr>
                <w:sz w:val="18"/>
                <w:szCs w:val="22"/>
              </w:rPr>
              <w:t>92</w:t>
            </w:r>
          </w:p>
        </w:tc>
        <w:tc>
          <w:tcPr>
            <w:tcW w:w="687" w:type="pct"/>
            <w:tcBorders>
              <w:top w:val="single" w:sz="6" w:space="0" w:color="BF0000" w:themeColor="accent3" w:themeShade="BF"/>
              <w:bottom w:val="single" w:sz="8" w:space="0" w:color="BF0000" w:themeColor="accent3" w:themeShade="BF"/>
            </w:tcBorders>
            <w:vAlign w:val="bottom"/>
          </w:tcPr>
          <w:p w:rsidR="000A7585" w:rsidRPr="00AE6EDB" w:rsidRDefault="000A7585" w:rsidP="00DE0EEC">
            <w:pPr>
              <w:spacing w:line="0" w:lineRule="atLeast"/>
              <w:jc w:val="right"/>
              <w:cnfStyle w:val="010000000000" w:firstRow="0" w:lastRow="1" w:firstColumn="0" w:lastColumn="0" w:oddVBand="0" w:evenVBand="0" w:oddHBand="0" w:evenHBand="0" w:firstRowFirstColumn="0" w:firstRowLastColumn="0" w:lastRowFirstColumn="0" w:lastRowLastColumn="0"/>
              <w:rPr>
                <w:sz w:val="18"/>
                <w:szCs w:val="22"/>
              </w:rPr>
            </w:pPr>
            <w:r w:rsidRPr="00AE6EDB">
              <w:rPr>
                <w:sz w:val="18"/>
                <w:szCs w:val="22"/>
              </w:rPr>
              <w:t>6</w:t>
            </w:r>
            <w:r w:rsidR="0054295F">
              <w:rPr>
                <w:sz w:val="18"/>
                <w:szCs w:val="22"/>
              </w:rPr>
              <w:t>0 6</w:t>
            </w:r>
            <w:r w:rsidRPr="00AE6EDB">
              <w:rPr>
                <w:sz w:val="18"/>
                <w:szCs w:val="22"/>
              </w:rPr>
              <w:t>97</w:t>
            </w:r>
          </w:p>
        </w:tc>
        <w:tc>
          <w:tcPr>
            <w:cnfStyle w:val="000010000000" w:firstRow="0" w:lastRow="0" w:firstColumn="0" w:lastColumn="0" w:oddVBand="1" w:evenVBand="0" w:oddHBand="0" w:evenHBand="0" w:firstRowFirstColumn="0" w:firstRowLastColumn="0" w:lastRowFirstColumn="0" w:lastRowLastColumn="0"/>
            <w:tcW w:w="632" w:type="pct"/>
            <w:tcBorders>
              <w:top w:val="single" w:sz="6" w:space="0" w:color="BF0000" w:themeColor="accent3" w:themeShade="BF"/>
              <w:left w:val="none" w:sz="0" w:space="0" w:color="auto"/>
              <w:bottom w:val="single" w:sz="8" w:space="0" w:color="BF0000" w:themeColor="accent3" w:themeShade="BF"/>
              <w:right w:val="single" w:sz="6" w:space="0" w:color="BF0000" w:themeColor="accent3" w:themeShade="BF"/>
            </w:tcBorders>
            <w:vAlign w:val="bottom"/>
          </w:tcPr>
          <w:p w:rsidR="000A7585" w:rsidRPr="00AE6EDB" w:rsidRDefault="000A7585" w:rsidP="00DE0EEC">
            <w:pPr>
              <w:spacing w:line="0" w:lineRule="atLeast"/>
              <w:jc w:val="right"/>
              <w:rPr>
                <w:sz w:val="18"/>
                <w:szCs w:val="22"/>
              </w:rPr>
            </w:pPr>
            <w:r w:rsidRPr="00AE6EDB">
              <w:rPr>
                <w:sz w:val="18"/>
                <w:szCs w:val="22"/>
              </w:rPr>
              <w:t>142,55</w:t>
            </w:r>
          </w:p>
        </w:tc>
        <w:tc>
          <w:tcPr>
            <w:tcW w:w="633" w:type="pct"/>
            <w:tcBorders>
              <w:top w:val="none" w:sz="0" w:space="0" w:color="auto"/>
              <w:left w:val="single" w:sz="6" w:space="0" w:color="BF0000" w:themeColor="accent3" w:themeShade="BF"/>
              <w:bottom w:val="single" w:sz="8" w:space="0" w:color="BF0000" w:themeColor="accent3" w:themeShade="BF"/>
            </w:tcBorders>
            <w:vAlign w:val="bottom"/>
            <w:hideMark/>
          </w:tcPr>
          <w:p w:rsidR="000A7585" w:rsidRPr="00AE6EDB" w:rsidRDefault="000A7585" w:rsidP="00DE0EEC">
            <w:pPr>
              <w:spacing w:line="0" w:lineRule="atLeast"/>
              <w:jc w:val="center"/>
              <w:cnfStyle w:val="010000000000" w:firstRow="0" w:lastRow="1" w:firstColumn="0" w:lastColumn="0" w:oddVBand="0" w:evenVBand="0" w:oddHBand="0" w:evenHBand="0" w:firstRowFirstColumn="0" w:firstRowLastColumn="0" w:lastRowFirstColumn="0" w:lastRowLastColumn="0"/>
              <w:rPr>
                <w:sz w:val="18"/>
                <w:szCs w:val="22"/>
              </w:rPr>
            </w:pPr>
            <w:r w:rsidRPr="00AE6EDB">
              <w:rPr>
                <w:sz w:val="18"/>
                <w:szCs w:val="22"/>
              </w:rPr>
              <w:t>5</w:t>
            </w:r>
            <w:r w:rsidR="00AC44CB">
              <w:rPr>
                <w:sz w:val="18"/>
                <w:szCs w:val="22"/>
              </w:rPr>
              <w:t>6 5</w:t>
            </w:r>
            <w:r w:rsidRPr="00AE6EDB">
              <w:rPr>
                <w:sz w:val="18"/>
                <w:szCs w:val="22"/>
              </w:rPr>
              <w:t>72</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single" w:sz="8" w:space="0" w:color="BF0000" w:themeColor="accent3" w:themeShade="BF"/>
              <w:right w:val="none" w:sz="0" w:space="0" w:color="auto"/>
            </w:tcBorders>
            <w:vAlign w:val="bottom"/>
          </w:tcPr>
          <w:p w:rsidR="000A7585" w:rsidRPr="00AE6EDB" w:rsidRDefault="000A7585" w:rsidP="00DE0EEC">
            <w:pPr>
              <w:jc w:val="right"/>
              <w:rPr>
                <w:rFonts w:eastAsiaTheme="minorHAnsi"/>
                <w:bCs w:val="0"/>
                <w:sz w:val="18"/>
                <w:szCs w:val="22"/>
                <w:lang w:eastAsia="en-US"/>
              </w:rPr>
            </w:pPr>
            <w:r w:rsidRPr="00AE6EDB">
              <w:rPr>
                <w:bCs w:val="0"/>
                <w:sz w:val="18"/>
              </w:rPr>
              <w:t>5</w:t>
            </w:r>
            <w:r w:rsidR="00AC44CB">
              <w:rPr>
                <w:bCs w:val="0"/>
                <w:sz w:val="18"/>
              </w:rPr>
              <w:t>8 1</w:t>
            </w:r>
            <w:r w:rsidRPr="00AE6EDB">
              <w:rPr>
                <w:bCs w:val="0"/>
                <w:sz w:val="18"/>
              </w:rPr>
              <w:t>39</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single" w:sz="8" w:space="0" w:color="BF0000" w:themeColor="accent3" w:themeShade="BF"/>
              <w:right w:val="none" w:sz="0" w:space="0" w:color="auto"/>
            </w:tcBorders>
            <w:vAlign w:val="bottom"/>
          </w:tcPr>
          <w:p w:rsidR="000A7585" w:rsidRPr="00AE6EDB" w:rsidRDefault="000A7585" w:rsidP="00DE0EEC">
            <w:pPr>
              <w:spacing w:line="0" w:lineRule="atLeast"/>
              <w:jc w:val="center"/>
              <w:rPr>
                <w:sz w:val="18"/>
                <w:szCs w:val="22"/>
              </w:rPr>
            </w:pPr>
            <w:r w:rsidRPr="00AE6EDB">
              <w:rPr>
                <w:sz w:val="18"/>
                <w:szCs w:val="22"/>
              </w:rPr>
              <w:t>139,13</w:t>
            </w:r>
          </w:p>
        </w:tc>
      </w:tr>
    </w:tbl>
    <w:p w:rsidR="000A7585" w:rsidRPr="00AE6EDB" w:rsidRDefault="000A7585" w:rsidP="000A7585">
      <w:pPr>
        <w:pStyle w:val="zdroj"/>
        <w:spacing w:after="0"/>
        <w:ind w:firstLine="570"/>
      </w:pPr>
      <w:r w:rsidRPr="00AE6EDB">
        <w:t>Zdroj: RSD MIS</w:t>
      </w:r>
    </w:p>
    <w:p w:rsidR="000A7585" w:rsidRPr="00AE6EDB" w:rsidRDefault="000A7585" w:rsidP="000A7585">
      <w:pPr>
        <w:pStyle w:val="zdroj"/>
        <w:spacing w:before="0"/>
        <w:ind w:firstLine="570"/>
      </w:pPr>
      <w:r w:rsidRPr="00AE6EDB">
        <w:rPr>
          <w:vertAlign w:val="superscript"/>
        </w:rPr>
        <w:t>1)</w:t>
      </w:r>
      <w:r w:rsidRPr="00AE6EDB">
        <w:t xml:space="preserve"> FO </w:t>
      </w:r>
      <w:r w:rsidRPr="00AE6EDB">
        <w:rPr>
          <w:color w:val="000000" w:themeColor="text1"/>
        </w:rPr>
        <w:t>–</w:t>
      </w:r>
      <w:r w:rsidRPr="00AE6EDB">
        <w:t xml:space="preserve"> fyzická osoba, poberajúca peňažný príspevok na opatrovanie (poberateľ)</w:t>
      </w:r>
    </w:p>
    <w:p w:rsidR="000A7585" w:rsidRPr="00AE6EDB" w:rsidRDefault="000A7585" w:rsidP="000A7585">
      <w:pPr>
        <w:ind w:firstLine="431"/>
        <w:rPr>
          <w:szCs w:val="22"/>
          <w:highlight w:val="cyan"/>
        </w:rPr>
      </w:pPr>
    </w:p>
    <w:p w:rsidR="000A7585" w:rsidRPr="00AE6EDB" w:rsidRDefault="000A7585" w:rsidP="000A7585">
      <w:pPr>
        <w:ind w:firstLine="431"/>
        <w:rPr>
          <w:szCs w:val="22"/>
        </w:rPr>
      </w:pPr>
      <w:r w:rsidRPr="00AE6EDB">
        <w:rPr>
          <w:szCs w:val="22"/>
        </w:rPr>
        <w:t>Poberatelia v tzv. produktívnom veku (nepoberali niektorú zo zákonom ustanovených dôchodkových dávok) predstavovali 59,8</w:t>
      </w:r>
      <w:r w:rsidR="005676EF">
        <w:rPr>
          <w:szCs w:val="22"/>
        </w:rPr>
        <w:t> %</w:t>
      </w:r>
      <w:r w:rsidRPr="00AE6EDB">
        <w:rPr>
          <w:szCs w:val="22"/>
        </w:rPr>
        <w:t>. Priemerná mesačná výška peňažného príspevku na</w:t>
      </w:r>
      <w:r w:rsidR="00750BF8" w:rsidRPr="00AE6EDB">
        <w:rPr>
          <w:szCs w:val="22"/>
        </w:rPr>
        <w:t> </w:t>
      </w:r>
      <w:r w:rsidRPr="00AE6EDB">
        <w:rPr>
          <w:szCs w:val="22"/>
        </w:rPr>
        <w:t>opatrovanie vyplácaného týmto poberateľom bola 172,52</w:t>
      </w:r>
      <w:r w:rsidR="0054295F">
        <w:rPr>
          <w:szCs w:val="22"/>
        </w:rPr>
        <w:t> eur</w:t>
      </w:r>
      <w:r w:rsidRPr="00AE6EDB">
        <w:rPr>
          <w:szCs w:val="22"/>
        </w:rPr>
        <w:t>a. Poberatelia, ktorým bola vyplácaná niektorá zo zákonom</w:t>
      </w:r>
      <w:r w:rsidR="00F611F0" w:rsidRPr="00AE6EDB">
        <w:rPr>
          <w:szCs w:val="22"/>
        </w:rPr>
        <w:t xml:space="preserve"> </w:t>
      </w:r>
      <w:r w:rsidRPr="00AE6EDB">
        <w:rPr>
          <w:szCs w:val="22"/>
        </w:rPr>
        <w:t>ustanovených dôchodkových dávok tvorili 38,8</w:t>
      </w:r>
      <w:r w:rsidR="005676EF">
        <w:rPr>
          <w:szCs w:val="22"/>
        </w:rPr>
        <w:t> %</w:t>
      </w:r>
      <w:r w:rsidRPr="00AE6EDB">
        <w:rPr>
          <w:szCs w:val="22"/>
        </w:rPr>
        <w:t xml:space="preserve"> priemerného počtu a priemerná výška príspevku, ktorý im bol vyplácaný </w:t>
      </w:r>
      <w:r w:rsidR="00750BF8" w:rsidRPr="00AE6EDB">
        <w:rPr>
          <w:szCs w:val="22"/>
        </w:rPr>
        <w:t>dosiahla</w:t>
      </w:r>
      <w:r w:rsidRPr="00AE6EDB">
        <w:rPr>
          <w:szCs w:val="22"/>
        </w:rPr>
        <w:t xml:space="preserve"> 89,34</w:t>
      </w:r>
      <w:r w:rsidR="0054295F">
        <w:rPr>
          <w:szCs w:val="22"/>
        </w:rPr>
        <w:t> eur</w:t>
      </w:r>
      <w:r w:rsidRPr="00AE6EDB">
        <w:rPr>
          <w:szCs w:val="22"/>
        </w:rPr>
        <w:t xml:space="preserve">a. Poberatelia, ktorým bol peňažný príspevok na opatrovanie </w:t>
      </w:r>
      <w:r w:rsidR="00F611F0" w:rsidRPr="00AE6EDB">
        <w:rPr>
          <w:szCs w:val="22"/>
        </w:rPr>
        <w:t>p</w:t>
      </w:r>
      <w:r w:rsidRPr="00AE6EDB">
        <w:rPr>
          <w:szCs w:val="22"/>
        </w:rPr>
        <w:t>oskytovaný podľa § 66 zákona o peňažných príspevkoch (t.j. za</w:t>
      </w:r>
      <w:r w:rsidR="00750BF8" w:rsidRPr="00AE6EDB">
        <w:rPr>
          <w:szCs w:val="22"/>
        </w:rPr>
        <w:t> </w:t>
      </w:r>
      <w:r w:rsidRPr="00AE6EDB">
        <w:rPr>
          <w:szCs w:val="22"/>
        </w:rPr>
        <w:t>podmienok ustanovených zákonom č. 195/1998 Z. z. o sociálnej pomoci v znení neskorších predpisov účinného do 31. 12. 2008) predstavovali 1,4</w:t>
      </w:r>
      <w:r w:rsidR="005676EF">
        <w:rPr>
          <w:szCs w:val="22"/>
        </w:rPr>
        <w:t> %</w:t>
      </w:r>
      <w:r w:rsidRPr="00AE6EDB">
        <w:rPr>
          <w:szCs w:val="22"/>
        </w:rPr>
        <w:t xml:space="preserve"> všetkých poberateľov a peňažný príspevok na opatrovanie im bol vyplácaný v priemernej výške 92,94</w:t>
      </w:r>
      <w:r w:rsidR="0054295F">
        <w:rPr>
          <w:szCs w:val="22"/>
        </w:rPr>
        <w:t> eur</w:t>
      </w:r>
      <w:r w:rsidRPr="00AE6EDB">
        <w:rPr>
          <w:szCs w:val="22"/>
        </w:rPr>
        <w:t xml:space="preserve">a. Týmto poberateľom je vyplácaná niektorá zo zákonom ustanovených dôchodkových dávok, ich počet sa neustále znižuje a postupne prechádzajú na podmienky vyplácania ustanovené zákonom o peňažných príspevkoch. </w:t>
      </w:r>
    </w:p>
    <w:bookmarkEnd w:id="688"/>
    <w:p w:rsidR="000A7585" w:rsidRPr="00AE6EDB" w:rsidRDefault="000A7585" w:rsidP="00A12073">
      <w:pPr>
        <w:ind w:firstLine="708"/>
        <w:rPr>
          <w:szCs w:val="22"/>
          <w:highlight w:val="cyan"/>
        </w:rPr>
      </w:pPr>
      <w:r w:rsidRPr="00AE6EDB">
        <w:rPr>
          <w:szCs w:val="22"/>
        </w:rPr>
        <w:t>Z dôvodu, že ani v roku 2015 neboli valorizované sumy životného minima, od</w:t>
      </w:r>
      <w:r w:rsidR="001C72AB" w:rsidRPr="00AE6EDB">
        <w:rPr>
          <w:szCs w:val="22"/>
        </w:rPr>
        <w:t xml:space="preserve"> </w:t>
      </w:r>
      <w:r w:rsidRPr="00AE6EDB">
        <w:rPr>
          <w:szCs w:val="22"/>
        </w:rPr>
        <w:t>júla 2013 neboli zvýšené zákonom ustanovené výšky peňažného príspevku na opatrovanie a hranice ochrany príjmu fyzických osôb s</w:t>
      </w:r>
      <w:r w:rsidR="001C72AB" w:rsidRPr="00AE6EDB">
        <w:rPr>
          <w:szCs w:val="22"/>
        </w:rPr>
        <w:t> </w:t>
      </w:r>
      <w:r w:rsidRPr="00AE6EDB">
        <w:rPr>
          <w:szCs w:val="22"/>
        </w:rPr>
        <w:t>ŤZP</w:t>
      </w:r>
      <w:r w:rsidR="001C72AB" w:rsidRPr="00AE6EDB">
        <w:rPr>
          <w:szCs w:val="22"/>
        </w:rPr>
        <w:t xml:space="preserve"> </w:t>
      </w:r>
      <w:r w:rsidRPr="00AE6EDB">
        <w:rPr>
          <w:szCs w:val="22"/>
        </w:rPr>
        <w:t>zostali bez zmeny</w:t>
      </w:r>
      <w:r w:rsidR="00BA50C2">
        <w:rPr>
          <w:szCs w:val="22"/>
        </w:rPr>
        <w:t>,</w:t>
      </w:r>
      <w:r w:rsidRPr="00AE6EDB">
        <w:rPr>
          <w:szCs w:val="22"/>
        </w:rPr>
        <w:t xml:space="preserve"> a to v sume cca 277,33</w:t>
      </w:r>
      <w:r w:rsidR="0054295F">
        <w:rPr>
          <w:szCs w:val="22"/>
        </w:rPr>
        <w:t> eur</w:t>
      </w:r>
      <w:r w:rsidR="00C12C45" w:rsidRPr="00AE6EDB">
        <w:rPr>
          <w:szCs w:val="22"/>
        </w:rPr>
        <w:t>a</w:t>
      </w:r>
      <w:r w:rsidRPr="00AE6EDB">
        <w:rPr>
          <w:szCs w:val="22"/>
        </w:rPr>
        <w:t>, resp. cca 594,27</w:t>
      </w:r>
      <w:r w:rsidR="0054295F">
        <w:rPr>
          <w:szCs w:val="22"/>
        </w:rPr>
        <w:t> eur</w:t>
      </w:r>
      <w:r w:rsidR="00C12C45" w:rsidRPr="00AE6EDB">
        <w:rPr>
          <w:szCs w:val="22"/>
        </w:rPr>
        <w:t>a</w:t>
      </w:r>
      <w:r w:rsidRPr="00AE6EDB">
        <w:rPr>
          <w:szCs w:val="22"/>
        </w:rPr>
        <w:t xml:space="preserve"> (v prípade nezaopatreného dieťaťa). Dôchodkové dávky, ktoré vo väčšine tvoria príjem opatrovaných fyzických osôb s ŤZP sú valorizované každoročne. Uvedené skutočnosti mali zásadný vplyv na vývoj priemerných mesačných výšok peňažného príspevku na opatrovanie. Kým opatrovateľom, ktorí poberajú okrem peňažného príspevku na opatrovanie aj niektorú z dôchodkových dávok, zostala výška peňažného príspevku bez zmeny z dôvodu, že sa pri jej stanovení nezohľadňuje príjem fyzicke</w:t>
      </w:r>
      <w:r w:rsidR="00750BF8" w:rsidRPr="00AE6EDB">
        <w:rPr>
          <w:szCs w:val="22"/>
        </w:rPr>
        <w:t>j osoby s ŤZP,</w:t>
      </w:r>
      <w:r w:rsidRPr="00AE6EDB">
        <w:rPr>
          <w:szCs w:val="22"/>
        </w:rPr>
        <w:t xml:space="preserve"> </w:t>
      </w:r>
      <w:r w:rsidR="00750BF8" w:rsidRPr="00AE6EDB">
        <w:rPr>
          <w:szCs w:val="22"/>
        </w:rPr>
        <w:t>p</w:t>
      </w:r>
      <w:r w:rsidRPr="00AE6EDB">
        <w:rPr>
          <w:szCs w:val="22"/>
        </w:rPr>
        <w:t>oberateľom v tzv. produktívnom veku klesla priemerná mesačná výška peňažného príspevku</w:t>
      </w:r>
      <w:r w:rsidR="001C72AB" w:rsidRPr="00AE6EDB">
        <w:rPr>
          <w:szCs w:val="22"/>
        </w:rPr>
        <w:t xml:space="preserve"> </w:t>
      </w:r>
      <w:r w:rsidRPr="00AE6EDB">
        <w:rPr>
          <w:szCs w:val="22"/>
        </w:rPr>
        <w:t>na opatrovanie</w:t>
      </w:r>
      <w:r w:rsidR="00F611F0" w:rsidRPr="00AE6EDB">
        <w:rPr>
          <w:szCs w:val="22"/>
        </w:rPr>
        <w:t xml:space="preserve"> </w:t>
      </w:r>
      <w:r w:rsidR="00750BF8" w:rsidRPr="00AE6EDB">
        <w:rPr>
          <w:szCs w:val="22"/>
        </w:rPr>
        <w:t>medziročne</w:t>
      </w:r>
      <w:r w:rsidRPr="00AE6EDB">
        <w:rPr>
          <w:szCs w:val="22"/>
        </w:rPr>
        <w:t xml:space="preserve"> o 4,7</w:t>
      </w:r>
      <w:r w:rsidR="0054295F">
        <w:rPr>
          <w:szCs w:val="22"/>
        </w:rPr>
        <w:t> eur</w:t>
      </w:r>
      <w:r w:rsidR="00750BF8" w:rsidRPr="00AE6EDB">
        <w:rPr>
          <w:szCs w:val="22"/>
        </w:rPr>
        <w:t>a</w:t>
      </w:r>
      <w:r w:rsidRPr="00AE6EDB">
        <w:rPr>
          <w:szCs w:val="22"/>
        </w:rPr>
        <w:t>. Z pohľadu postavenia opatrovateľov to znamená, že opatrovate</w:t>
      </w:r>
      <w:r w:rsidR="00BA50C2">
        <w:rPr>
          <w:szCs w:val="22"/>
        </w:rPr>
        <w:t>ľom</w:t>
      </w:r>
      <w:r w:rsidRPr="00AE6EDB">
        <w:rPr>
          <w:szCs w:val="22"/>
        </w:rPr>
        <w:t xml:space="preserve"> v produktívnom veku, u ktorých je v mnohých prípadoch peňažný príspevok na</w:t>
      </w:r>
      <w:r w:rsidR="00750BF8" w:rsidRPr="00AE6EDB">
        <w:rPr>
          <w:szCs w:val="22"/>
        </w:rPr>
        <w:t> </w:t>
      </w:r>
      <w:r w:rsidRPr="00AE6EDB">
        <w:rPr>
          <w:szCs w:val="22"/>
        </w:rPr>
        <w:t xml:space="preserve">opatrovanie jediným zdrojom príjmu, sa </w:t>
      </w:r>
      <w:r w:rsidR="00F611F0" w:rsidRPr="00AE6EDB">
        <w:rPr>
          <w:szCs w:val="22"/>
        </w:rPr>
        <w:t>tak, ako už aj v roku 2014, ich príjem znížil</w:t>
      </w:r>
      <w:r w:rsidRPr="00AE6EDB">
        <w:rPr>
          <w:szCs w:val="22"/>
        </w:rPr>
        <w:t>. Skupine opatrovateľov v produktívnom veku tak klesla priemerná mesačná výška peňažného príspevku na</w:t>
      </w:r>
      <w:r w:rsidR="00A90239" w:rsidRPr="00AE6EDB">
        <w:rPr>
          <w:szCs w:val="22"/>
        </w:rPr>
        <w:t> </w:t>
      </w:r>
      <w:r w:rsidRPr="00AE6EDB">
        <w:rPr>
          <w:szCs w:val="22"/>
        </w:rPr>
        <w:t>opatrovanie od poslednej valorizácie súm životného minima v roku 2013 zo sumy 180,25</w:t>
      </w:r>
      <w:r w:rsidR="0054295F">
        <w:rPr>
          <w:szCs w:val="22"/>
        </w:rPr>
        <w:t> eur</w:t>
      </w:r>
      <w:r w:rsidR="00DC2C11" w:rsidRPr="00AE6EDB">
        <w:rPr>
          <w:szCs w:val="22"/>
        </w:rPr>
        <w:t>a</w:t>
      </w:r>
      <w:r w:rsidR="001C72AB" w:rsidRPr="00AE6EDB">
        <w:rPr>
          <w:szCs w:val="22"/>
        </w:rPr>
        <w:t xml:space="preserve"> </w:t>
      </w:r>
      <w:r w:rsidRPr="00AE6EDB">
        <w:rPr>
          <w:szCs w:val="22"/>
        </w:rPr>
        <w:t>na</w:t>
      </w:r>
      <w:r w:rsidR="00A90239" w:rsidRPr="00AE6EDB">
        <w:rPr>
          <w:szCs w:val="22"/>
        </w:rPr>
        <w:t> </w:t>
      </w:r>
      <w:r w:rsidRPr="00AE6EDB">
        <w:rPr>
          <w:szCs w:val="22"/>
        </w:rPr>
        <w:t>172,52</w:t>
      </w:r>
      <w:r w:rsidR="0054295F">
        <w:rPr>
          <w:szCs w:val="22"/>
        </w:rPr>
        <w:t> eur</w:t>
      </w:r>
      <w:r w:rsidR="00DC2C11" w:rsidRPr="00AE6EDB">
        <w:rPr>
          <w:szCs w:val="22"/>
        </w:rPr>
        <w:t>a</w:t>
      </w:r>
      <w:r w:rsidRPr="00AE6EDB">
        <w:rPr>
          <w:szCs w:val="22"/>
        </w:rPr>
        <w:t xml:space="preserve"> mesačne. </w:t>
      </w:r>
      <w:r w:rsidRPr="00AE6EDB">
        <w:rPr>
          <w:szCs w:val="22"/>
          <w:highlight w:val="cyan"/>
        </w:rPr>
        <w:br w:type="page"/>
      </w:r>
    </w:p>
    <w:p w:rsidR="000A7585" w:rsidRPr="00AE6EDB" w:rsidRDefault="000A7585" w:rsidP="000A7585">
      <w:pPr>
        <w:pStyle w:val="Nadpis6"/>
      </w:pPr>
      <w:bookmarkStart w:id="689" w:name="_Toc294029747"/>
      <w:bookmarkStart w:id="690" w:name="_Toc356482743"/>
      <w:bookmarkStart w:id="691" w:name="_Toc452469895"/>
      <w:r w:rsidRPr="00AE6EDB">
        <w:t>Sociálne služby</w:t>
      </w:r>
      <w:bookmarkEnd w:id="689"/>
      <w:bookmarkEnd w:id="690"/>
      <w:bookmarkEnd w:id="691"/>
    </w:p>
    <w:p w:rsidR="009265AA" w:rsidRPr="00AE6EDB" w:rsidRDefault="000A7585" w:rsidP="000A7585">
      <w:pPr>
        <w:ind w:firstLine="708"/>
        <w:rPr>
          <w:szCs w:val="22"/>
        </w:rPr>
      </w:pPr>
      <w:r w:rsidRPr="00AE6EDB">
        <w:rPr>
          <w:szCs w:val="22"/>
          <w:lang w:eastAsia="cs-CZ"/>
        </w:rPr>
        <w:t xml:space="preserve">Sociálne služby v SR sa od roku 2009 poskytujú v súlade so </w:t>
      </w:r>
      <w:r w:rsidRPr="00AE6EDB">
        <w:rPr>
          <w:b/>
          <w:szCs w:val="22"/>
          <w:lang w:eastAsia="cs-CZ"/>
        </w:rPr>
        <w:t>zákonom č. 448/2008 Z. z. o sociálnych službách a o zmene a doplnení zákona č. 455/1991 Zb. o živnostenskom podnikaní (živnostenský zákon) v znení neskorších predpisov v znení neskorších predpisov</w:t>
      </w:r>
      <w:r w:rsidRPr="00AE6EDB">
        <w:rPr>
          <w:szCs w:val="22"/>
          <w:lang w:eastAsia="cs-CZ"/>
        </w:rPr>
        <w:t xml:space="preserve"> (ďalej len „zákon o sociálnych službách“). Zákon o sociálnych službách upravuje</w:t>
      </w:r>
      <w:r w:rsidRPr="00AE6EDB">
        <w:rPr>
          <w:szCs w:val="22"/>
        </w:rPr>
        <w:t xml:space="preserve"> právne vzťahy a podmienky poskytovania sociálnych služieb, ktorých cieľom je podporovať sociálne začlenenie občanov a uspokojovať sociálne potreby ľudí v nepriaznivej sociálnej situácii. </w:t>
      </w:r>
    </w:p>
    <w:p w:rsidR="009265AA" w:rsidRPr="00AE6EDB" w:rsidRDefault="009265AA" w:rsidP="000A7585">
      <w:pPr>
        <w:ind w:firstLine="708"/>
        <w:rPr>
          <w:szCs w:val="22"/>
        </w:rPr>
      </w:pPr>
      <w:r w:rsidRPr="00AE6EDB">
        <w:rPr>
          <w:szCs w:val="22"/>
        </w:rPr>
        <w:t xml:space="preserve">Nepriaznivá sociálna situácia je ohrozenie fyzickej osoby sociálnym vylúčením alebo obmedzenie jej schopnosti spoločensky </w:t>
      </w:r>
      <w:r w:rsidR="00D210A6" w:rsidRPr="00AE6EDB">
        <w:rPr>
          <w:szCs w:val="22"/>
        </w:rPr>
        <w:t xml:space="preserve">sa </w:t>
      </w:r>
      <w:r w:rsidRPr="00AE6EDB">
        <w:rPr>
          <w:szCs w:val="22"/>
        </w:rPr>
        <w:t>začleniť a samostatne riešiť svoje problémy</w:t>
      </w:r>
    </w:p>
    <w:p w:rsidR="009265AA" w:rsidRPr="00AE6EDB" w:rsidRDefault="000A7585" w:rsidP="009265AA">
      <w:pPr>
        <w:pStyle w:val="Odsekzoznamu"/>
        <w:rPr>
          <w:lang w:eastAsia="cs-CZ"/>
        </w:rPr>
      </w:pPr>
      <w:r w:rsidRPr="00AE6EDB">
        <w:t xml:space="preserve">z dôvodu, že nemá zabezpečené </w:t>
      </w:r>
      <w:r w:rsidR="009265AA" w:rsidRPr="00AE6EDB">
        <w:t>nevyhnutné podmienky na uspokojovanie základných životných potrieb</w:t>
      </w:r>
      <w:r w:rsidR="004E2218" w:rsidRPr="00AE6EDB">
        <w:t>,</w:t>
      </w:r>
    </w:p>
    <w:p w:rsidR="004E2218" w:rsidRPr="00AE6EDB" w:rsidRDefault="000A7585" w:rsidP="009265AA">
      <w:pPr>
        <w:pStyle w:val="Odsekzoznamu"/>
        <w:rPr>
          <w:lang w:eastAsia="cs-CZ"/>
        </w:rPr>
      </w:pPr>
      <w:r w:rsidRPr="00AE6EDB">
        <w:t>pre svoje životné návyky</w:t>
      </w:r>
      <w:r w:rsidR="004E2218" w:rsidRPr="00AE6EDB">
        <w:t>,</w:t>
      </w:r>
      <w:r w:rsidRPr="00AE6EDB">
        <w:t xml:space="preserve"> spôsob života,</w:t>
      </w:r>
      <w:r w:rsidR="009265AA" w:rsidRPr="00AE6EDB">
        <w:t xml:space="preserve"> </w:t>
      </w:r>
      <w:r w:rsidR="004E2218" w:rsidRPr="00AE6EDB">
        <w:t>závislosť od návykových látok alebo návykových škodlivých činností,</w:t>
      </w:r>
    </w:p>
    <w:p w:rsidR="004E2218" w:rsidRPr="00AE6EDB" w:rsidRDefault="004E2218" w:rsidP="004E2218">
      <w:pPr>
        <w:pStyle w:val="Odsekzoznamu"/>
        <w:rPr>
          <w:lang w:eastAsia="cs-CZ"/>
        </w:rPr>
      </w:pPr>
      <w:r w:rsidRPr="00AE6EDB">
        <w:t xml:space="preserve">pre ohrozenie jej vývoja z dôvodu jej zdravotného postihnutia, ak ide o dieťa do siedmich rokov veku, </w:t>
      </w:r>
    </w:p>
    <w:p w:rsidR="009265AA" w:rsidRPr="00AE6EDB" w:rsidRDefault="009265AA" w:rsidP="009265AA">
      <w:pPr>
        <w:pStyle w:val="Odsekzoznamu"/>
        <w:rPr>
          <w:lang w:eastAsia="cs-CZ"/>
        </w:rPr>
      </w:pPr>
      <w:r w:rsidRPr="00AE6EDB">
        <w:t>pre ťažké zdravotné postihnutie alebo nepriaznivý zdravotný stav</w:t>
      </w:r>
      <w:r w:rsidR="004E2218" w:rsidRPr="00AE6EDB">
        <w:t>,</w:t>
      </w:r>
    </w:p>
    <w:p w:rsidR="004E2218" w:rsidRPr="00AE6EDB" w:rsidRDefault="004E2218" w:rsidP="009265AA">
      <w:pPr>
        <w:pStyle w:val="Odsekzoznamu"/>
        <w:rPr>
          <w:lang w:eastAsia="cs-CZ"/>
        </w:rPr>
      </w:pPr>
      <w:r w:rsidRPr="00AE6EDB">
        <w:t>z dôvodu, že dovŕšila vek potrebný na nárok na starobný dôchodok</w:t>
      </w:r>
      <w:r w:rsidR="00D210A6">
        <w:t>,</w:t>
      </w:r>
    </w:p>
    <w:p w:rsidR="009265AA" w:rsidRPr="00AE6EDB" w:rsidRDefault="009265AA" w:rsidP="009265AA">
      <w:pPr>
        <w:pStyle w:val="Odsekzoznamu"/>
        <w:rPr>
          <w:lang w:eastAsia="cs-CZ"/>
        </w:rPr>
      </w:pPr>
      <w:r w:rsidRPr="00AE6EDB">
        <w:t>pre výkon opatrovania fyzickej osoby s ťažkým zdravotným postihnutím</w:t>
      </w:r>
      <w:r w:rsidR="00D210A6">
        <w:t>,</w:t>
      </w:r>
    </w:p>
    <w:p w:rsidR="009265AA" w:rsidRPr="00AE6EDB" w:rsidRDefault="009265AA" w:rsidP="009265AA">
      <w:pPr>
        <w:pStyle w:val="Odsekzoznamu"/>
        <w:rPr>
          <w:lang w:eastAsia="cs-CZ"/>
        </w:rPr>
      </w:pPr>
      <w:r w:rsidRPr="00AE6EDB">
        <w:t xml:space="preserve">pre ohrozenie správaním iných fyzických osôb </w:t>
      </w:r>
      <w:r w:rsidR="004E2218" w:rsidRPr="00AE6EDB">
        <w:t>alebo ak sa stala obeťou správania</w:t>
      </w:r>
      <w:r w:rsidRPr="00AE6EDB">
        <w:t xml:space="preserve"> iných fyzických osôb</w:t>
      </w:r>
      <w:r w:rsidR="004E2218" w:rsidRPr="00AE6EDB">
        <w:t>,</w:t>
      </w:r>
    </w:p>
    <w:p w:rsidR="000A7585" w:rsidRPr="00AE6EDB" w:rsidRDefault="000A7585" w:rsidP="009265AA">
      <w:pPr>
        <w:pStyle w:val="Odsekzoznamu"/>
        <w:spacing w:after="240"/>
        <w:ind w:left="714" w:hanging="357"/>
        <w:rPr>
          <w:lang w:eastAsia="cs-CZ"/>
        </w:rPr>
      </w:pPr>
      <w:r w:rsidRPr="00AE6EDB">
        <w:t>pre zotrvávanie v priestorovo segregovanej lokalite s prítomnosťou koncentrovanej a generačne reprodukovanej chudoby.</w:t>
      </w:r>
    </w:p>
    <w:p w:rsidR="000A7585" w:rsidRPr="00AE6EDB" w:rsidRDefault="000A7585" w:rsidP="000A7585">
      <w:pPr>
        <w:pStyle w:val="Zarkazkladnhotextu"/>
        <w:ind w:left="0" w:firstLine="708"/>
        <w:rPr>
          <w:b w:val="0"/>
          <w:sz w:val="22"/>
          <w:szCs w:val="22"/>
          <w:lang w:val="sk-SK"/>
        </w:rPr>
      </w:pPr>
      <w:r w:rsidRPr="00AE6EDB">
        <w:rPr>
          <w:b w:val="0"/>
          <w:sz w:val="22"/>
          <w:szCs w:val="22"/>
          <w:lang w:val="sk-SK"/>
        </w:rPr>
        <w:t>Sociálne služby sa podľa tohto zákona poskytujú prostredníctvom odborných, obslužných a ďalších činností, ktoré je poskytovateľ povinný poskytnúť alebo zabezpečiť v prípade, že sú tieto činnosti pri týchto službách taxatívne vymedzené. Odborné činnosti, ktorými sú sociálne poradenstvo, sociálna rehabilitácia a stimulácia komplexného vývoja dieťaťa so zdravotným postihnutím, je možné za podmienok ustanovených týmto zákonom poskytovať aj samostatne na základe akreditácie. Zároveň poskytovateľ môže vykonávať aj iné činnosti ako upravuje tento zákon, ktoré zvýšia kvalitu sociálnej služby. Sociálne služby sú službami verejného záujmu a sú poskytované bez dosiahnutia zisku, avšak zákon umožňuje aj poskytovanie sociálnych služieb v rámci živnosti alebo podnikania,</w:t>
      </w:r>
      <w:r w:rsidRPr="00AE6EDB">
        <w:rPr>
          <w:b w:val="0"/>
          <w:sz w:val="22"/>
          <w:szCs w:val="22"/>
          <w:lang w:val="sk-SK"/>
        </w:rPr>
        <w:br/>
        <w:t>t. j. na báze zisku.</w:t>
      </w:r>
    </w:p>
    <w:p w:rsidR="000A7585" w:rsidRPr="00AE6EDB" w:rsidRDefault="000A7585" w:rsidP="000A7585">
      <w:pPr>
        <w:rPr>
          <w:szCs w:val="22"/>
          <w:highlight w:val="cyan"/>
        </w:rPr>
      </w:pPr>
    </w:p>
    <w:p w:rsidR="000A7585" w:rsidRPr="00AE6EDB" w:rsidRDefault="000A7585" w:rsidP="000A7585">
      <w:pPr>
        <w:pStyle w:val="Zarkazkladnhotextu"/>
        <w:ind w:left="0" w:firstLine="708"/>
        <w:rPr>
          <w:b w:val="0"/>
          <w:sz w:val="22"/>
          <w:szCs w:val="22"/>
          <w:lang w:val="sk-SK"/>
        </w:rPr>
      </w:pPr>
      <w:r w:rsidRPr="00AE6EDB">
        <w:rPr>
          <w:b w:val="0"/>
          <w:sz w:val="22"/>
          <w:szCs w:val="22"/>
          <w:lang w:val="sk-SK"/>
        </w:rPr>
        <w:t xml:space="preserve">Zákon o sociálnych službách rozdeľuje sociálne služby do niekoľkých skupín, v závislosti od povahy nepriaznivej sociálnej situácie alebo od cieľovej skupiny, ktorej sú určené: </w:t>
      </w:r>
    </w:p>
    <w:p w:rsidR="000A7585" w:rsidRPr="00AE6EDB" w:rsidRDefault="000A7585" w:rsidP="000A7585">
      <w:pPr>
        <w:pStyle w:val="Odsekzoznamu"/>
        <w:rPr>
          <w:b/>
        </w:rPr>
      </w:pPr>
      <w:r w:rsidRPr="00AE6EDB">
        <w:t>sociálne služby krízovej intervencie</w:t>
      </w:r>
    </w:p>
    <w:p w:rsidR="000A7585" w:rsidRPr="00AE6EDB" w:rsidRDefault="000A7585" w:rsidP="000A7585">
      <w:pPr>
        <w:pStyle w:val="Odsekzoznamu"/>
        <w:rPr>
          <w:b/>
        </w:rPr>
      </w:pPr>
      <w:r w:rsidRPr="00AE6EDB">
        <w:rPr>
          <w:color w:val="000000"/>
        </w:rPr>
        <w:t>sociálne služby na podporu rodiny s deťmi</w:t>
      </w:r>
    </w:p>
    <w:p w:rsidR="000A7585" w:rsidRPr="00AE6EDB" w:rsidRDefault="000A7585" w:rsidP="000A7585">
      <w:pPr>
        <w:pStyle w:val="Odsekzoznamu"/>
        <w:rPr>
          <w:b/>
          <w:color w:val="000000"/>
        </w:rPr>
      </w:pPr>
      <w:r w:rsidRPr="00AE6EDB">
        <w:rPr>
          <w:color w:val="000000"/>
        </w:rPr>
        <w:t>sociálne služby na riešenie nepriaznivej sociálnej situácie z dôvodu ťažkého zdravotného postihnutia, nepriaznivého zdravotného stavu alebo z dôvodu dovŕšenia dôchodkového veku</w:t>
      </w:r>
    </w:p>
    <w:p w:rsidR="000A7585" w:rsidRPr="00AE6EDB" w:rsidRDefault="000A7585" w:rsidP="000A7585">
      <w:pPr>
        <w:pStyle w:val="Odsekzoznamu"/>
        <w:rPr>
          <w:b/>
          <w:color w:val="000000"/>
        </w:rPr>
      </w:pPr>
      <w:r w:rsidRPr="00AE6EDB">
        <w:t>sociálne služby s použitím telekomunikačných technológií</w:t>
      </w:r>
    </w:p>
    <w:p w:rsidR="000A7585" w:rsidRPr="00AE6EDB" w:rsidRDefault="000A7585" w:rsidP="000A7585">
      <w:pPr>
        <w:pStyle w:val="Odsekzoznamu"/>
        <w:rPr>
          <w:b/>
        </w:rPr>
      </w:pPr>
      <w:r w:rsidRPr="00AE6EDB">
        <w:t>podporné služby</w:t>
      </w:r>
    </w:p>
    <w:p w:rsidR="000A7585" w:rsidRPr="00AE6EDB" w:rsidRDefault="000A7585" w:rsidP="000A7585">
      <w:pPr>
        <w:rPr>
          <w:szCs w:val="22"/>
          <w:highlight w:val="cyan"/>
        </w:rPr>
      </w:pPr>
    </w:p>
    <w:p w:rsidR="000A7585" w:rsidRPr="00AE6EDB" w:rsidRDefault="000A7585" w:rsidP="000A7585">
      <w:pPr>
        <w:ind w:firstLine="708"/>
        <w:rPr>
          <w:szCs w:val="22"/>
        </w:rPr>
      </w:pPr>
      <w:r w:rsidRPr="00AE6EDB">
        <w:rPr>
          <w:szCs w:val="22"/>
        </w:rPr>
        <w:t>Na účely poskytovania sociálnych služieb, ktoré majú charakter dlhodobej starostlivosti a ktoré sa poskytujú fyzickým osobám odkázaným na pomoc inej fyzickej osoby, zákon o sociálnych službách upravuje zdravotnú a sociálnu posudkovú činnosť, na základe ktorej sa určuje odkázanosť fyzickej osoby na sociálnu službu. Zákon o sociálnych službách rieši poskytovanie zdravotnej starostlivosti v rozsahu ošetrovateľskej starostlivosti vo vybraných zariadeniach sociálnych služieb priamo sestrami, t.j. zamestnancami týchto zariadení a zároveň je upravená možnosť poskytovania sociálnej služby v zdravotníckom zariadení ústavnej starostlivosti. V osobitnej časti zákona je upravené financovanie neverejných poskytovateľov sociálnych služieb (ďalej len „ poskytovateľ“) za splnenia zákonom stanovených podmienok a financovanie neverejných poskytovateľov vybraných druhov sociálnych služieb na lokálnej úrovni zo štátneho rozpočtu na základe pridelených finančných prostriedkov z </w:t>
      </w:r>
      <w:r w:rsidR="00D210A6" w:rsidRPr="00AE6EDB">
        <w:rPr>
          <w:szCs w:val="22"/>
        </w:rPr>
        <w:t xml:space="preserve">rozpočtu </w:t>
      </w:r>
      <w:r w:rsidRPr="00AE6EDB">
        <w:rPr>
          <w:szCs w:val="22"/>
        </w:rPr>
        <w:t>kapitoly MPSVR SR. Pri financovaní sú neverejní poskytovatelia rozlišovaní z  hľadiska, či majú neziskový charakter alebo či ide o podnikateľské subjekty, nakoľko nie je možné z verejných zdrojov podporovať poskytovateľov, ktorí ich poskytujú za účelom dosiahnutia zisku.</w:t>
      </w:r>
    </w:p>
    <w:p w:rsidR="000A7585" w:rsidRPr="00AE6EDB" w:rsidRDefault="000A7585" w:rsidP="000A7585">
      <w:pPr>
        <w:ind w:firstLine="708"/>
        <w:rPr>
          <w:szCs w:val="22"/>
        </w:rPr>
      </w:pPr>
      <w:r w:rsidRPr="00AE6EDB">
        <w:rPr>
          <w:szCs w:val="22"/>
        </w:rPr>
        <w:t>Zákon o sociálnych službách upravuje výkon dohľadu nad dodržiavaním tohto zákona a ostatných všeobecne záväzných právnych predpisov pri poskytovaní sociálnych služieb, ktorý vykonáva ministerstvo. Tento ústredný orgán štátnej správy</w:t>
      </w:r>
      <w:r w:rsidR="00543903" w:rsidRPr="00AE6EDB">
        <w:rPr>
          <w:szCs w:val="22"/>
        </w:rPr>
        <w:t xml:space="preserve"> bude s účinnosťou od 1. 1. 2018</w:t>
      </w:r>
      <w:r w:rsidRPr="00AE6EDB">
        <w:rPr>
          <w:szCs w:val="22"/>
        </w:rPr>
        <w:t xml:space="preserve"> hodnotiť aj kvalitu poskytovaných sociálnych služieb na základe podmienok kvality, ktoré sú upravené v prílohe č. 2 zákona o sociálnych službách. MPSVR SR udeľuje akreditáciu na vzdelávacie programy a akreditáciu na odbornú činnosť (spolu </w:t>
      </w:r>
      <w:r w:rsidR="004E2218" w:rsidRPr="00AE6EDB">
        <w:rPr>
          <w:szCs w:val="22"/>
        </w:rPr>
        <w:t>47</w:t>
      </w:r>
      <w:r w:rsidRPr="00AE6EDB">
        <w:rPr>
          <w:szCs w:val="22"/>
        </w:rPr>
        <w:t xml:space="preserve"> akreditovaných subjektov, v tom 2</w:t>
      </w:r>
      <w:r w:rsidR="004E2218" w:rsidRPr="00AE6EDB">
        <w:rPr>
          <w:szCs w:val="22"/>
        </w:rPr>
        <w:t>9</w:t>
      </w:r>
      <w:r w:rsidRPr="00AE6EDB">
        <w:rPr>
          <w:szCs w:val="22"/>
        </w:rPr>
        <w:t xml:space="preserve"> akreditovaných subjektov, zameraných na vzdelávací program, </w:t>
      </w:r>
      <w:r w:rsidRPr="00AE6EDB">
        <w:rPr>
          <w:rFonts w:eastAsia="Calibri"/>
          <w:szCs w:val="22"/>
        </w:rPr>
        <w:t>1</w:t>
      </w:r>
      <w:r w:rsidR="004E2218" w:rsidRPr="00AE6EDB">
        <w:rPr>
          <w:rFonts w:eastAsia="Calibri"/>
          <w:szCs w:val="22"/>
        </w:rPr>
        <w:t>8</w:t>
      </w:r>
      <w:r w:rsidRPr="00AE6EDB">
        <w:rPr>
          <w:rFonts w:eastAsia="Calibri"/>
          <w:szCs w:val="22"/>
        </w:rPr>
        <w:t xml:space="preserve"> na odbornú činnosť, </w:t>
      </w:r>
      <w:r w:rsidRPr="00AE6EDB">
        <w:rPr>
          <w:szCs w:val="22"/>
        </w:rPr>
        <w:t>1</w:t>
      </w:r>
      <w:r w:rsidR="004E2218" w:rsidRPr="00AE6EDB">
        <w:rPr>
          <w:szCs w:val="22"/>
        </w:rPr>
        <w:t>8</w:t>
      </w:r>
      <w:r w:rsidRPr="00AE6EDB">
        <w:rPr>
          <w:szCs w:val="22"/>
        </w:rPr>
        <w:t xml:space="preserve"> akreditovaných subjektov, </w:t>
      </w:r>
      <w:r w:rsidRPr="00AE6EDB">
        <w:rPr>
          <w:rFonts w:eastAsia="Calibri"/>
          <w:szCs w:val="22"/>
        </w:rPr>
        <w:t>ktorým bola predĺžená akreditácia na vzdelávacie programy a </w:t>
      </w:r>
      <w:r w:rsidR="004E2218" w:rsidRPr="00AE6EDB">
        <w:rPr>
          <w:rFonts w:eastAsia="Calibri"/>
          <w:szCs w:val="22"/>
        </w:rPr>
        <w:t>25</w:t>
      </w:r>
      <w:r w:rsidRPr="00AE6EDB">
        <w:rPr>
          <w:rFonts w:eastAsia="Calibri"/>
          <w:szCs w:val="22"/>
        </w:rPr>
        <w:t>, ktorým bola predĺžená akreditácia na odbornú činnosť).</w:t>
      </w:r>
    </w:p>
    <w:p w:rsidR="000A7585" w:rsidRPr="00AE6EDB" w:rsidRDefault="000A7585" w:rsidP="000A7585">
      <w:pPr>
        <w:pStyle w:val="Default"/>
        <w:ind w:firstLine="708"/>
        <w:jc w:val="both"/>
        <w:rPr>
          <w:rFonts w:ascii="Times New Roman" w:hAnsi="Times New Roman" w:cs="Times New Roman"/>
          <w:sz w:val="22"/>
          <w:szCs w:val="22"/>
        </w:rPr>
      </w:pPr>
      <w:r w:rsidRPr="00AE6EDB">
        <w:rPr>
          <w:rFonts w:ascii="Times New Roman" w:hAnsi="Times New Roman" w:cs="Times New Roman"/>
          <w:sz w:val="22"/>
          <w:szCs w:val="22"/>
        </w:rPr>
        <w:t xml:space="preserve">Dňa 28. 11. 2013 bol Národnou radou SR schválený </w:t>
      </w:r>
      <w:r w:rsidRPr="00AE6EDB">
        <w:rPr>
          <w:rFonts w:ascii="Times New Roman" w:hAnsi="Times New Roman" w:cs="Times New Roman"/>
          <w:b/>
          <w:sz w:val="22"/>
          <w:szCs w:val="22"/>
        </w:rPr>
        <w:t>zákon</w:t>
      </w:r>
      <w:r w:rsidRPr="00AE6EDB">
        <w:rPr>
          <w:rFonts w:ascii="Times New Roman" w:hAnsi="Times New Roman" w:cs="Times New Roman"/>
          <w:sz w:val="22"/>
          <w:szCs w:val="22"/>
        </w:rPr>
        <w:t xml:space="preserve"> </w:t>
      </w:r>
      <w:r w:rsidRPr="00AE6EDB">
        <w:rPr>
          <w:rFonts w:ascii="Times New Roman" w:hAnsi="Times New Roman" w:cs="Times New Roman"/>
          <w:b/>
          <w:sz w:val="22"/>
          <w:szCs w:val="22"/>
        </w:rPr>
        <w:t>č. 485/2013 Z. z</w:t>
      </w:r>
      <w:r w:rsidRPr="00AE6EDB">
        <w:rPr>
          <w:rFonts w:ascii="Times New Roman" w:hAnsi="Times New Roman" w:cs="Times New Roman"/>
          <w:sz w:val="22"/>
          <w:szCs w:val="22"/>
        </w:rPr>
        <w:t>., ktorý s účinnosťou od 1.</w:t>
      </w:r>
      <w:r w:rsidR="005A044D" w:rsidRPr="00AE6EDB">
        <w:rPr>
          <w:rFonts w:ascii="Times New Roman" w:hAnsi="Times New Roman" w:cs="Times New Roman"/>
          <w:sz w:val="22"/>
          <w:szCs w:val="22"/>
        </w:rPr>
        <w:t> </w:t>
      </w:r>
      <w:r w:rsidRPr="00AE6EDB">
        <w:rPr>
          <w:rFonts w:ascii="Times New Roman" w:hAnsi="Times New Roman" w:cs="Times New Roman"/>
          <w:sz w:val="22"/>
          <w:szCs w:val="22"/>
        </w:rPr>
        <w:t>1.</w:t>
      </w:r>
      <w:r w:rsidR="005A044D" w:rsidRPr="00AE6EDB">
        <w:rPr>
          <w:rFonts w:ascii="Times New Roman" w:hAnsi="Times New Roman" w:cs="Times New Roman"/>
          <w:sz w:val="22"/>
          <w:szCs w:val="22"/>
        </w:rPr>
        <w:t> </w:t>
      </w:r>
      <w:r w:rsidRPr="00AE6EDB">
        <w:rPr>
          <w:rFonts w:ascii="Times New Roman" w:hAnsi="Times New Roman" w:cs="Times New Roman"/>
          <w:sz w:val="22"/>
          <w:szCs w:val="22"/>
        </w:rPr>
        <w:t xml:space="preserve">2014 menil a dopĺňal zákon o sociálnych službách. Cieľom tejto novely zákona o sociálnych službách bolo zlepšenie </w:t>
      </w:r>
      <w:r w:rsidRPr="00AE6EDB">
        <w:rPr>
          <w:rFonts w:ascii="Times New Roman" w:hAnsi="Times New Roman" w:cs="Times New Roman"/>
          <w:bCs/>
          <w:sz w:val="22"/>
          <w:szCs w:val="22"/>
        </w:rPr>
        <w:t>kvality sociálnych služieb, ich udržateľnosť a dostupnosť.</w:t>
      </w:r>
      <w:r w:rsidRPr="00AE6EDB">
        <w:rPr>
          <w:rFonts w:ascii="Times New Roman" w:hAnsi="Times New Roman" w:cs="Times New Roman"/>
          <w:sz w:val="22"/>
          <w:szCs w:val="22"/>
        </w:rPr>
        <w:t xml:space="preserve"> </w:t>
      </w:r>
    </w:p>
    <w:p w:rsidR="000A7585" w:rsidRPr="00AE6EDB" w:rsidRDefault="000A7585" w:rsidP="000A7585">
      <w:pPr>
        <w:ind w:firstLine="705"/>
        <w:rPr>
          <w:bCs/>
          <w:szCs w:val="22"/>
        </w:rPr>
      </w:pPr>
      <w:r w:rsidRPr="00AE6EDB">
        <w:rPr>
          <w:bCs/>
          <w:szCs w:val="22"/>
        </w:rPr>
        <w:t>Za pozitívne možno pokladať zmeny týkajúce sa zvýšenia ochrany príjmu prijímateľa sociálnej služby (ďalej len „prijímateľ“) pred neprimeranou úhradou. Zámerom bolo zabezpečiť ochranu príjmu tým prijímateľom, ktorých príjmy sú veľmi nízke, t.j. sú pod hranicou zákonom určených súm životného minima alebo len nepatrne presahujúce túto hranicu. Keďže prioritou vlády SR je vytvoriť v sociálnych službách také podmienky, ktoré umožnia občanom zotrvať čo najdlhšie v ich prirodzenom prostredí a poskytovať komunitne orientované sociálne služby v súlade s princípmi deinštitucionalizácie a so záväzkami SR prijatými v medzinárodných dokumentoch, viaceré zmeny sú zamerané na dosiahnutie týchto cieľov. Ide o zmeny, ktorými sa obmedzuje kapacita pri zriaďovaní nových zariadení sociálnych služieb tak, aby vznikali zariadenia rodinného typu, ale aj o určenie vekových hraníc pre vybrané sociálne služby. Zaviedla sa nová skupina sociálnych služieb krízovej intervencie, kam patria aj komunitné centrá a terénna sociálna služba krízovej intervencie, ktoré budú dôležitým nástrojom riešenia problémov v segregovaných komunitách a doteraz nemali legislatívnu oporu. Zaviedli sa tak ďalšie nové druhy sociálnych služieb, ako aj nové druhy odborných činností. Za významnú možno považovať podrobnú úpravu podmienok kvality sociálnych služieb a systém ich hodnotenia. S kvalitou poskytovania sociálnych služieb súvisí aj kvalitný proces akreditácie vzdelávacích programov a odborných činností v sociálnych službách, preto boli bližšie špecifikované a precizované podmienky akreditácie. Upravili sa a sprísnili sa podmienky registrácie a finančnej podpory z verejných zdrojov a zabezpečilo sa zvýšenie objektivity posudzovania odkázanosti na pomoc inej osoby.</w:t>
      </w:r>
    </w:p>
    <w:p w:rsidR="000A7585" w:rsidRPr="00AE6EDB" w:rsidRDefault="000A7585" w:rsidP="000A7585">
      <w:pPr>
        <w:ind w:firstLine="705"/>
        <w:rPr>
          <w:color w:val="000000" w:themeColor="text1"/>
        </w:rPr>
      </w:pPr>
      <w:r w:rsidRPr="00AE6EDB">
        <w:rPr>
          <w:color w:val="000000" w:themeColor="text1"/>
          <w:szCs w:val="22"/>
        </w:rPr>
        <w:t xml:space="preserve">Dňom 1. júla 2014 nadobudol účinnosť </w:t>
      </w:r>
      <w:r w:rsidRPr="00AE6EDB">
        <w:rPr>
          <w:b/>
          <w:color w:val="000000" w:themeColor="text1"/>
          <w:szCs w:val="22"/>
        </w:rPr>
        <w:t>zákon č. 185/2014 Z.</w:t>
      </w:r>
      <w:r w:rsidRPr="00AE6EDB">
        <w:rPr>
          <w:b/>
          <w:color w:val="000000" w:themeColor="text1"/>
        </w:rPr>
        <w:t xml:space="preserve"> </w:t>
      </w:r>
      <w:r w:rsidRPr="00AE6EDB">
        <w:rPr>
          <w:b/>
          <w:color w:val="000000" w:themeColor="text1"/>
          <w:szCs w:val="22"/>
        </w:rPr>
        <w:t>z.</w:t>
      </w:r>
      <w:r w:rsidRPr="00AE6EDB">
        <w:rPr>
          <w:color w:val="000000" w:themeColor="text1"/>
          <w:szCs w:val="22"/>
        </w:rPr>
        <w:t>, ktorým sa mení a dopĺňa zákon č. 578/2004 Z.</w:t>
      </w:r>
      <w:r w:rsidRPr="00AE6EDB">
        <w:rPr>
          <w:color w:val="000000" w:themeColor="text1"/>
        </w:rPr>
        <w:t xml:space="preserve"> </w:t>
      </w:r>
      <w:r w:rsidRPr="00AE6EDB">
        <w:rPr>
          <w:color w:val="000000" w:themeColor="text1"/>
          <w:szCs w:val="22"/>
        </w:rPr>
        <w:t>z. o poskytovateľoch zdravotnej starostlivosti, zdravotníckych pracovníkoch, stavovských organizáciách v zdravotníctve a o zmene a doplnení niektorých zákonov v znení neskorších predpisov a o zmene a doplnení niektorých zákonov, ktorým sa novelizoval aj zákon o sociálnych službách. Novou právnou úpravou sa zabezpečila previazanosť právnej úpravy poskytovania zdravotnej starostlivosti v právnych predpisoch v oblasti zdravotnej starostlivosti s právnou úpravou poskytovania zdravotnej starostlivosti v rozsahu ošetrovateľskej starostlivosti vo vybraných zariadeniach sociálnych služieb (zariadenie pre seniorov, zariadenie opatrovateľskej služby, domov sociálnych služieb, špecializované zariadenie), ustanovenou v zákone o sociálnych službách. V tejto súvislosti sa upravila nová forma poskytovania zdravotnej starostlivosti, ktorou je ošetrovateľská starostlivosť v zariadeniach sociálnych služieb, poskytovaná v súlade so štandardnými ošetrovateľskými postupmi. Zo zdrojov verejného zdravotného poistenia je možné s účinnosťou od 1. júla 2014 uhrádzať 9 zdravotných výkonov ošetrovateľskej starostlivosti, poskytovaných týmito zariadeniami sociálnych služieb prostredníctvom ich zamestnancov, ktorí spĺňajú podmienky na výkon zdravotníckeho povolania. Ide o zákonom ustanovenú možnosť uzatvárania zmluvy o poskytovaní ošetrovateľskej starostlivosti medzi zdravotnou poisťovňou a zariadením sociálnych služieb.</w:t>
      </w:r>
    </w:p>
    <w:p w:rsidR="005A044D" w:rsidRPr="00AE6EDB" w:rsidRDefault="005A044D" w:rsidP="005A044D">
      <w:pPr>
        <w:ind w:firstLine="708"/>
      </w:pPr>
      <w:r w:rsidRPr="00AE6EDB">
        <w:rPr>
          <w:b/>
        </w:rPr>
        <w:t>Poslaneckým návrhom novely zákona č. 448/2008 Z. z. o sociálnych službách</w:t>
      </w:r>
      <w:r w:rsidRPr="00AE6EDB">
        <w:t xml:space="preserve"> a o zmene a doplnení zákona č. 455/1991 Zb. o živnostenskom podnikaní (živnostenský zákon) v znení neskorších predpisov v znení neskorších predpisov bol Národnou radou SR dňa 11. 11. 2015 schválený odklad vykonávania pôsobnosti Ministerstva práce, sociálnych vecí a rodiny SR v oblasti hodnotenia podmienok kvality poskytovanej sociálnej služby do 31. 12. 2017 (novela zákona o sociálnych službách vykonaná zákonom č. 345/2015 Z. z.). Vytvoril sa tým časový priestor na prípravu poskytovateľov sociálnych služieb na toto hodnotenie. Neodstránenie nedostatkov plnenia podmienok kvality poskytovanej sociálnej služby zistených MPSVR SR v určenej lehote má totiž za následok stratu oprávnenosti poskytovania sociálnej služby možnosťou výmazu z registra poskytovateľov sociálnych služieb.</w:t>
      </w:r>
    </w:p>
    <w:p w:rsidR="005A044D" w:rsidRPr="00AE6EDB" w:rsidRDefault="005A044D" w:rsidP="005A044D">
      <w:pPr>
        <w:pStyle w:val="Zarkazkladnhotextu"/>
        <w:ind w:left="0" w:firstLine="708"/>
        <w:rPr>
          <w:b w:val="0"/>
          <w:sz w:val="22"/>
          <w:lang w:val="sk-SK"/>
        </w:rPr>
      </w:pPr>
      <w:r w:rsidRPr="00AE6EDB">
        <w:rPr>
          <w:b w:val="0"/>
          <w:sz w:val="22"/>
          <w:lang w:val="sk-SK"/>
        </w:rPr>
        <w:t>Odklad účinnosti výkonu pôsobnosti MPSVR SR</w:t>
      </w:r>
      <w:r w:rsidRPr="00AE6EDB">
        <w:rPr>
          <w:lang w:val="sk-SK"/>
        </w:rPr>
        <w:t xml:space="preserve"> </w:t>
      </w:r>
      <w:r w:rsidRPr="00AE6EDB">
        <w:rPr>
          <w:b w:val="0"/>
          <w:sz w:val="22"/>
          <w:lang w:val="sk-SK"/>
        </w:rPr>
        <w:t>hodnotiť podmienky kvality poskytovanej sociálnej služby však nič nemení na povinnosti poskytovateľa sociálnej služby aj v tomto období plniť podmienky kvality poskytovanej sociálnej služby ustanovené v prílohe č. 2 k zákonu o sociálnych službách. Ministerstvo práce, sociálnych vecí a rodiny SR od nadobudnutia účinnosti štandardov kvality poskytovaných sociálnych služieb analyzuje v rámci svojej pôsobnosti skúsenosti so</w:t>
      </w:r>
      <w:r w:rsidR="001110A1">
        <w:rPr>
          <w:b w:val="0"/>
          <w:sz w:val="22"/>
          <w:lang w:val="sk-SK"/>
        </w:rPr>
        <w:t> </w:t>
      </w:r>
      <w:r w:rsidRPr="00AE6EDB">
        <w:rPr>
          <w:b w:val="0"/>
          <w:sz w:val="22"/>
          <w:lang w:val="sk-SK"/>
        </w:rPr>
        <w:t>zavádzaním štandardov kvality poskytovaných sociálnych služieb do bežnej praxe poskytovateľov sociálnych služieb, a to v rámci výkonu dohľadu nad poskytovaním sociálnych služieb. Ochranu klientov pri poskytovaní sociálnej služby a spôsobe jej vykonávania najmä z hľadiska dodržiavania základných ľudských práv a slobôd bude MPSVR SR</w:t>
      </w:r>
      <w:r w:rsidRPr="00AE6EDB">
        <w:rPr>
          <w:lang w:val="sk-SK"/>
        </w:rPr>
        <w:t xml:space="preserve"> </w:t>
      </w:r>
      <w:r w:rsidRPr="00AE6EDB">
        <w:rPr>
          <w:b w:val="0"/>
          <w:sz w:val="22"/>
          <w:lang w:val="sk-SK"/>
        </w:rPr>
        <w:t xml:space="preserve">v období </w:t>
      </w:r>
      <w:r w:rsidR="004E3486" w:rsidRPr="00AE6EDB">
        <w:rPr>
          <w:b w:val="0"/>
          <w:sz w:val="22"/>
          <w:lang w:val="sk-SK"/>
        </w:rPr>
        <w:t xml:space="preserve">do 31. 12. 2017 </w:t>
      </w:r>
      <w:r w:rsidRPr="00AE6EDB">
        <w:rPr>
          <w:b w:val="0"/>
          <w:sz w:val="22"/>
          <w:lang w:val="sk-SK"/>
        </w:rPr>
        <w:t>realizovať svojou pôsobnosťou výkonu dohľadu nad poskytovaním sociálnych služieb.</w:t>
      </w:r>
    </w:p>
    <w:p w:rsidR="000A7585" w:rsidRPr="00AE6EDB" w:rsidRDefault="000A7585" w:rsidP="000A7585">
      <w:pPr>
        <w:ind w:firstLine="705"/>
        <w:rPr>
          <w:bCs/>
          <w:szCs w:val="22"/>
          <w:highlight w:val="cyan"/>
        </w:rPr>
      </w:pPr>
    </w:p>
    <w:p w:rsidR="00636723" w:rsidRPr="00AE6EDB" w:rsidRDefault="000A7585" w:rsidP="000A7585">
      <w:pPr>
        <w:pStyle w:val="Zarkazkladnhotextu"/>
        <w:ind w:left="0" w:firstLine="708"/>
        <w:rPr>
          <w:b w:val="0"/>
          <w:color w:val="000000" w:themeColor="text1"/>
          <w:sz w:val="22"/>
          <w:szCs w:val="22"/>
          <w:lang w:val="sk-SK"/>
        </w:rPr>
      </w:pPr>
      <w:r w:rsidRPr="00AE6EDB">
        <w:rPr>
          <w:b w:val="0"/>
          <w:color w:val="000000" w:themeColor="text1"/>
          <w:sz w:val="22"/>
          <w:szCs w:val="22"/>
          <w:lang w:val="sk-SK"/>
        </w:rPr>
        <w:t>V snahe zabezpečiť kontinuitu a efektivitu poskytovaných sociálnych služieb a súčasne v snahe podporiť zotrvanie ľudí odkázaných na pomoc čo najdlhšie v ich prirodzenom rodinnom prostredí sa MPSVR SR naďalej venuje procesu deinšitucionalizácie sociálnych služieb na Slovensku. Vláda SR schválila dňa 30.</w:t>
      </w:r>
      <w:r w:rsidR="00636723" w:rsidRPr="00AE6EDB">
        <w:rPr>
          <w:b w:val="0"/>
          <w:color w:val="000000" w:themeColor="text1"/>
          <w:sz w:val="22"/>
          <w:szCs w:val="22"/>
          <w:lang w:val="sk-SK"/>
        </w:rPr>
        <w:t> </w:t>
      </w:r>
      <w:r w:rsidRPr="00AE6EDB">
        <w:rPr>
          <w:b w:val="0"/>
          <w:color w:val="000000" w:themeColor="text1"/>
          <w:sz w:val="22"/>
          <w:szCs w:val="22"/>
          <w:lang w:val="sk-SK"/>
        </w:rPr>
        <w:t>11.</w:t>
      </w:r>
      <w:r w:rsidR="00636723" w:rsidRPr="00AE6EDB">
        <w:rPr>
          <w:b w:val="0"/>
          <w:color w:val="000000" w:themeColor="text1"/>
          <w:sz w:val="22"/>
          <w:szCs w:val="22"/>
          <w:lang w:val="sk-SK"/>
        </w:rPr>
        <w:t> </w:t>
      </w:r>
      <w:r w:rsidRPr="00AE6EDB">
        <w:rPr>
          <w:b w:val="0"/>
          <w:color w:val="000000" w:themeColor="text1"/>
          <w:sz w:val="22"/>
          <w:szCs w:val="22"/>
          <w:lang w:val="sk-SK"/>
        </w:rPr>
        <w:t xml:space="preserve">2011 Stratégiu deinštitucionalizácie systému sociálnych služieb a náhradnej starostlivosti (ďalej len „Stratégia DI“). Slovenská republika sa týmto dokumentom hlási k celosvetovému trendu systematického odstraňovania dôsledkov dlhodobo uplatňovaného, ale už historicky prekonaného modelu inštitucionálnej izolácie a segregácie ľudí vyžadujúcich dlhodobú pomoc a starostlivosť v špecializovaných zariadeniach, menovite detí v náhradnej starostlivosti a ľudí so zdravotným postihnutím, seniorov a jeho nahradenie alternatívnym modelom služieb a opatrení, svojím charakterom čo najviac podobným podmienkam bežného života. Takáto zmena modelu je jedným z cieľov súčasnej politiky EÚ v oblasti sociálnej inklúzie a zdravotného postihnutia a je súčasťou záväzkov SR v medzinárodnej </w:t>
      </w:r>
      <w:proofErr w:type="spellStart"/>
      <w:r w:rsidRPr="00AE6EDB">
        <w:rPr>
          <w:b w:val="0"/>
          <w:color w:val="000000" w:themeColor="text1"/>
          <w:sz w:val="22"/>
          <w:szCs w:val="22"/>
          <w:lang w:val="sk-SK"/>
        </w:rPr>
        <w:t>ľudsko</w:t>
      </w:r>
      <w:proofErr w:type="spellEnd"/>
      <w:r w:rsidRPr="00AE6EDB">
        <w:rPr>
          <w:b w:val="0"/>
          <w:color w:val="000000" w:themeColor="text1"/>
          <w:sz w:val="22"/>
          <w:szCs w:val="22"/>
          <w:lang w:val="sk-SK"/>
        </w:rPr>
        <w:t>–právnej agende, napr. Dohovoru o právach dieťaťa a Dohovoru OSN o</w:t>
      </w:r>
      <w:r w:rsidR="00636723" w:rsidRPr="00AE6EDB">
        <w:rPr>
          <w:b w:val="0"/>
          <w:color w:val="000000" w:themeColor="text1"/>
          <w:sz w:val="22"/>
          <w:szCs w:val="22"/>
          <w:lang w:val="sk-SK"/>
        </w:rPr>
        <w:t> </w:t>
      </w:r>
      <w:r w:rsidRPr="00AE6EDB">
        <w:rPr>
          <w:b w:val="0"/>
          <w:color w:val="000000" w:themeColor="text1"/>
          <w:sz w:val="22"/>
          <w:szCs w:val="22"/>
          <w:lang w:val="sk-SK"/>
        </w:rPr>
        <w:t>právach osôb so zdravotným postihnutím. Základným zámerom deinštituciona</w:t>
      </w:r>
      <w:r w:rsidR="00636723" w:rsidRPr="00AE6EDB">
        <w:rPr>
          <w:b w:val="0"/>
          <w:color w:val="000000" w:themeColor="text1"/>
          <w:sz w:val="22"/>
          <w:szCs w:val="22"/>
          <w:lang w:val="sk-SK"/>
        </w:rPr>
        <w:softHyphen/>
      </w:r>
      <w:r w:rsidRPr="00AE6EDB">
        <w:rPr>
          <w:b w:val="0"/>
          <w:color w:val="000000" w:themeColor="text1"/>
          <w:sz w:val="22"/>
          <w:szCs w:val="22"/>
          <w:lang w:val="sk-SK"/>
        </w:rPr>
        <w:t>li</w:t>
      </w:r>
      <w:r w:rsidR="00636723" w:rsidRPr="00AE6EDB">
        <w:rPr>
          <w:b w:val="0"/>
          <w:color w:val="000000" w:themeColor="text1"/>
          <w:sz w:val="22"/>
          <w:szCs w:val="22"/>
          <w:lang w:val="sk-SK"/>
        </w:rPr>
        <w:softHyphen/>
      </w:r>
      <w:r w:rsidRPr="00AE6EDB">
        <w:rPr>
          <w:b w:val="0"/>
          <w:color w:val="000000" w:themeColor="text1"/>
          <w:sz w:val="22"/>
          <w:szCs w:val="22"/>
          <w:lang w:val="sk-SK"/>
        </w:rPr>
        <w:t>zá</w:t>
      </w:r>
      <w:r w:rsidR="00636723" w:rsidRPr="00AE6EDB">
        <w:rPr>
          <w:b w:val="0"/>
          <w:color w:val="000000" w:themeColor="text1"/>
          <w:sz w:val="22"/>
          <w:szCs w:val="22"/>
          <w:lang w:val="sk-SK"/>
        </w:rPr>
        <w:softHyphen/>
      </w:r>
      <w:r w:rsidRPr="00AE6EDB">
        <w:rPr>
          <w:b w:val="0"/>
          <w:color w:val="000000" w:themeColor="text1"/>
          <w:sz w:val="22"/>
          <w:szCs w:val="22"/>
          <w:lang w:val="sk-SK"/>
        </w:rPr>
        <w:t xml:space="preserve">cie v SR je vytvorenie a zabezpečenie podmienok pre nezávislý a slobodný život všetkých fyzických osôb, </w:t>
      </w:r>
      <w:r w:rsidR="00D210A6">
        <w:rPr>
          <w:b w:val="0"/>
          <w:color w:val="000000" w:themeColor="text1"/>
          <w:sz w:val="22"/>
          <w:szCs w:val="22"/>
          <w:lang w:val="sk-SK"/>
        </w:rPr>
        <w:t xml:space="preserve">odkázaných na pomoc spoločnosti </w:t>
      </w:r>
      <w:r w:rsidRPr="00AE6EDB">
        <w:rPr>
          <w:b w:val="0"/>
          <w:color w:val="000000" w:themeColor="text1"/>
          <w:sz w:val="22"/>
          <w:szCs w:val="22"/>
          <w:lang w:val="sk-SK"/>
        </w:rPr>
        <w:t xml:space="preserve"> v prirodzenom sociálnom prostredí komunity</w:t>
      </w:r>
      <w:r w:rsidR="00D210A6">
        <w:rPr>
          <w:b w:val="0"/>
          <w:color w:val="000000" w:themeColor="text1"/>
          <w:sz w:val="22"/>
          <w:szCs w:val="22"/>
          <w:lang w:val="sk-SK"/>
        </w:rPr>
        <w:t xml:space="preserve"> </w:t>
      </w:r>
      <w:r w:rsidRPr="00AE6EDB">
        <w:rPr>
          <w:b w:val="0"/>
          <w:color w:val="000000" w:themeColor="text1"/>
          <w:sz w:val="22"/>
          <w:szCs w:val="22"/>
          <w:lang w:val="sk-SK"/>
        </w:rPr>
        <w:t xml:space="preserve"> prostred</w:t>
      </w:r>
      <w:r w:rsidR="00636723" w:rsidRPr="00AE6EDB">
        <w:rPr>
          <w:b w:val="0"/>
          <w:color w:val="000000" w:themeColor="text1"/>
          <w:sz w:val="22"/>
          <w:szCs w:val="22"/>
          <w:lang w:val="sk-SK"/>
        </w:rPr>
        <w:softHyphen/>
      </w:r>
      <w:r w:rsidRPr="00AE6EDB">
        <w:rPr>
          <w:b w:val="0"/>
          <w:color w:val="000000" w:themeColor="text1"/>
          <w:sz w:val="22"/>
          <w:szCs w:val="22"/>
          <w:lang w:val="sk-SK"/>
        </w:rPr>
        <w:t>níctvom komplexu kvalitných alternatívnych služieb vo verejnom záujme. MPSVR SR schválilo Národný akčný plán prechodu z inštitucionálnej na komunitnú starostlivosť v systéme sociálnych služieb na roky 201</w:t>
      </w:r>
      <w:r w:rsidR="00636723" w:rsidRPr="00AE6EDB">
        <w:rPr>
          <w:b w:val="0"/>
          <w:color w:val="000000" w:themeColor="text1"/>
          <w:sz w:val="22"/>
          <w:szCs w:val="22"/>
          <w:lang w:val="sk-SK"/>
        </w:rPr>
        <w:t>5</w:t>
      </w:r>
      <w:r w:rsidRPr="00AE6EDB">
        <w:rPr>
          <w:b w:val="0"/>
          <w:color w:val="000000" w:themeColor="text1"/>
          <w:sz w:val="22"/>
          <w:szCs w:val="22"/>
          <w:lang w:val="sk-SK"/>
        </w:rPr>
        <w:t xml:space="preserve"> – 20</w:t>
      </w:r>
      <w:r w:rsidR="00636723" w:rsidRPr="00AE6EDB">
        <w:rPr>
          <w:b w:val="0"/>
          <w:color w:val="000000" w:themeColor="text1"/>
          <w:sz w:val="22"/>
          <w:szCs w:val="22"/>
          <w:lang w:val="sk-SK"/>
        </w:rPr>
        <w:t>20</w:t>
      </w:r>
      <w:r w:rsidRPr="00AE6EDB">
        <w:rPr>
          <w:b w:val="0"/>
          <w:color w:val="000000" w:themeColor="text1"/>
          <w:sz w:val="22"/>
          <w:szCs w:val="22"/>
          <w:lang w:val="sk-SK"/>
        </w:rPr>
        <w:t xml:space="preserve"> (ďalej len „Národný akčný plán DI“). Vypracovanie Národného akčného plánu DI je jednou zo základných úloh Stratégie DI</w:t>
      </w:r>
      <w:r w:rsidR="00636723" w:rsidRPr="00AE6EDB">
        <w:rPr>
          <w:b w:val="0"/>
          <w:color w:val="000000" w:themeColor="text1"/>
          <w:sz w:val="22"/>
          <w:szCs w:val="22"/>
          <w:lang w:val="sk-SK"/>
        </w:rPr>
        <w:t>, nakoľko</w:t>
      </w:r>
      <w:r w:rsidRPr="00AE6EDB">
        <w:rPr>
          <w:b w:val="0"/>
          <w:color w:val="000000" w:themeColor="text1"/>
          <w:sz w:val="22"/>
          <w:szCs w:val="22"/>
          <w:lang w:val="sk-SK"/>
        </w:rPr>
        <w:t xml:space="preserve"> Národný akčný plán DI predstavuje základný plánovací dokument MPSVR SR na naplnenie Stratégie DI v oblasti prechodu z inštitucionálnej na komunitnú starostlivosť v systéme sociálnych služieb v SR </w:t>
      </w:r>
      <w:r w:rsidR="00636723" w:rsidRPr="00AE6EDB">
        <w:rPr>
          <w:b w:val="0"/>
          <w:color w:val="000000" w:themeColor="text1"/>
          <w:sz w:val="22"/>
          <w:szCs w:val="22"/>
          <w:lang w:val="sk-SK"/>
        </w:rPr>
        <w:t xml:space="preserve">aj </w:t>
      </w:r>
      <w:r w:rsidRPr="00AE6EDB">
        <w:rPr>
          <w:b w:val="0"/>
          <w:color w:val="000000" w:themeColor="text1"/>
          <w:sz w:val="22"/>
          <w:szCs w:val="22"/>
          <w:lang w:val="sk-SK"/>
        </w:rPr>
        <w:t>v rokoch 201</w:t>
      </w:r>
      <w:r w:rsidR="00636723" w:rsidRPr="00AE6EDB">
        <w:rPr>
          <w:b w:val="0"/>
          <w:color w:val="000000" w:themeColor="text1"/>
          <w:sz w:val="22"/>
          <w:szCs w:val="22"/>
          <w:lang w:val="sk-SK"/>
        </w:rPr>
        <w:t>5</w:t>
      </w:r>
      <w:r w:rsidRPr="00AE6EDB">
        <w:rPr>
          <w:b w:val="0"/>
          <w:color w:val="000000" w:themeColor="text1"/>
          <w:sz w:val="22"/>
          <w:szCs w:val="22"/>
          <w:lang w:val="sk-SK"/>
        </w:rPr>
        <w:t xml:space="preserve"> – 20</w:t>
      </w:r>
      <w:r w:rsidR="00636723" w:rsidRPr="00AE6EDB">
        <w:rPr>
          <w:b w:val="0"/>
          <w:color w:val="000000" w:themeColor="text1"/>
          <w:sz w:val="22"/>
          <w:szCs w:val="22"/>
          <w:lang w:val="sk-SK"/>
        </w:rPr>
        <w:t>20</w:t>
      </w:r>
      <w:r w:rsidRPr="00AE6EDB">
        <w:rPr>
          <w:b w:val="0"/>
          <w:color w:val="000000" w:themeColor="text1"/>
          <w:sz w:val="22"/>
          <w:szCs w:val="22"/>
          <w:lang w:val="sk-SK"/>
        </w:rPr>
        <w:t>.</w:t>
      </w:r>
    </w:p>
    <w:p w:rsidR="000A7585" w:rsidRPr="00AE6EDB" w:rsidRDefault="00636723" w:rsidP="000A7585">
      <w:pPr>
        <w:pStyle w:val="Zarkazkladnhotextu"/>
        <w:ind w:left="0" w:firstLine="708"/>
        <w:rPr>
          <w:b w:val="0"/>
          <w:color w:val="000000" w:themeColor="text1"/>
          <w:sz w:val="22"/>
          <w:szCs w:val="22"/>
          <w:lang w:val="sk-SK"/>
        </w:rPr>
      </w:pPr>
      <w:r w:rsidRPr="00AE6EDB">
        <w:rPr>
          <w:b w:val="0"/>
          <w:color w:val="000000" w:themeColor="text1"/>
          <w:sz w:val="22"/>
          <w:szCs w:val="22"/>
          <w:lang w:val="sk-SK"/>
        </w:rPr>
        <w:t xml:space="preserve">V predchádzajúcom programovom období bol realizovaný „pilotný“ Národný projekt </w:t>
      </w:r>
      <w:r w:rsidRPr="00AE6EDB">
        <w:rPr>
          <w:b w:val="0"/>
          <w:i/>
          <w:color w:val="000000" w:themeColor="text1"/>
          <w:sz w:val="22"/>
          <w:szCs w:val="22"/>
          <w:lang w:val="sk-SK"/>
        </w:rPr>
        <w:t>Podpora transformácie a deinštitucionalizácie systému sociálnych služieb</w:t>
      </w:r>
      <w:r w:rsidRPr="00AE6EDB">
        <w:rPr>
          <w:b w:val="0"/>
          <w:color w:val="000000" w:themeColor="text1"/>
          <w:sz w:val="22"/>
          <w:szCs w:val="22"/>
          <w:lang w:val="sk-SK"/>
        </w:rPr>
        <w:t>, ktorý bol ukončený v roku 2015. Cieľom tohto projektu bolo zahájiť a podporiť proces deinštitucionalizácie systému sociálnych služieb, ako aj pripraviť a overiť jednotný postup deinštitucionalizácie zariadení sociálnych služieb pre osoby so zdravotným postihnutím a duševnou poruchou a tiež podporiť poskytovateľov, ktorí mali záujem transformovať svoje inštitucionálne služby na komunitné. Ťažiskovým výstupom ukončeného projektu bolo teda vytvorenie a overenie jednotného postupu deinštitucionalizác</w:t>
      </w:r>
      <w:r w:rsidR="00D210A6">
        <w:rPr>
          <w:b w:val="0"/>
          <w:color w:val="000000" w:themeColor="text1"/>
          <w:sz w:val="22"/>
          <w:szCs w:val="22"/>
          <w:lang w:val="sk-SK"/>
        </w:rPr>
        <w:t>ie zariadení sociálnych služieb</w:t>
      </w:r>
      <w:r w:rsidRPr="00AE6EDB">
        <w:rPr>
          <w:b w:val="0"/>
          <w:color w:val="000000" w:themeColor="text1"/>
          <w:sz w:val="22"/>
          <w:szCs w:val="22"/>
          <w:lang w:val="sk-SK"/>
        </w:rPr>
        <w:t xml:space="preserve"> či metodických dokumentov. V pilotnom Národnom projekte </w:t>
      </w:r>
      <w:r w:rsidR="00532827" w:rsidRPr="00AE6EDB">
        <w:rPr>
          <w:b w:val="0"/>
          <w:color w:val="000000" w:themeColor="text1"/>
          <w:sz w:val="22"/>
          <w:szCs w:val="22"/>
          <w:lang w:val="sk-SK"/>
        </w:rPr>
        <w:t xml:space="preserve">bolo </w:t>
      </w:r>
      <w:r w:rsidRPr="00AE6EDB">
        <w:rPr>
          <w:b w:val="0"/>
          <w:color w:val="000000" w:themeColor="text1"/>
          <w:sz w:val="22"/>
          <w:szCs w:val="22"/>
          <w:lang w:val="sk-SK"/>
        </w:rPr>
        <w:t xml:space="preserve">v rámci </w:t>
      </w:r>
      <w:r w:rsidR="00532827" w:rsidRPr="00AE6EDB">
        <w:rPr>
          <w:b w:val="0"/>
          <w:color w:val="000000" w:themeColor="text1"/>
          <w:sz w:val="22"/>
          <w:szCs w:val="22"/>
          <w:lang w:val="sk-SK"/>
        </w:rPr>
        <w:t>vzdelávania vyškolených 409 účastníkov (najmä zamestnancov zariadení sociálnych služieb a prijímateľov sociálnych služieb, zamestnancov štátn</w:t>
      </w:r>
      <w:r w:rsidR="00D210A6">
        <w:rPr>
          <w:b w:val="0"/>
          <w:color w:val="000000" w:themeColor="text1"/>
          <w:sz w:val="22"/>
          <w:szCs w:val="22"/>
          <w:lang w:val="sk-SK"/>
        </w:rPr>
        <w:t>ej správy a územnej samosprávy). Z</w:t>
      </w:r>
      <w:r w:rsidR="00532827" w:rsidRPr="00AE6EDB">
        <w:rPr>
          <w:b w:val="0"/>
          <w:color w:val="000000" w:themeColor="text1"/>
          <w:sz w:val="22"/>
          <w:szCs w:val="22"/>
          <w:lang w:val="sk-SK"/>
        </w:rPr>
        <w:t xml:space="preserve">apojené zariadenia sú pripravené a zainteresované osoby sú vyškolené na proces transformácie a v súčasnosti pracujú na Transformačných plánoch zariadení. Počas trvania aktivít Národného projektu experti vypracovali Manuál tvorby transformačných plánov a metodiku v jednotlivých kľúčových oblastiach v procese prechodu z inštitucionálnych služieb na komunitné – v oblasti podporovaného zamestnávania, poskytovania komunitných služieb, ale aj zmien fyzického prostredia. Zapojené zariadenia sociálnych služieb sú v súčasnosti pripravené uchádzať sa o synergickú podporu v rámci Integrovaného regionálneho operačného programu, ktorý je v riadiacej pôsobnosti Ministerstva pôdohospodárstva </w:t>
      </w:r>
      <w:r w:rsidR="00865C19">
        <w:rPr>
          <w:b w:val="0"/>
          <w:color w:val="000000" w:themeColor="text1"/>
          <w:sz w:val="22"/>
          <w:szCs w:val="22"/>
          <w:lang w:val="sk-SK"/>
        </w:rPr>
        <w:t xml:space="preserve">a rozvoja vidieka SR </w:t>
      </w:r>
      <w:r w:rsidR="00532827" w:rsidRPr="00AE6EDB">
        <w:rPr>
          <w:b w:val="0"/>
          <w:color w:val="000000" w:themeColor="text1"/>
          <w:sz w:val="22"/>
          <w:szCs w:val="22"/>
          <w:lang w:val="sk-SK"/>
        </w:rPr>
        <w:t>a ktorý umožňuje poskytnúť finančnú podporu na výstavbu objektov spĺňajúcich kritériá pre poskytovanie sociálnych služieb na komunitnej úrovni.</w:t>
      </w:r>
    </w:p>
    <w:p w:rsidR="00532827" w:rsidRPr="00AE6EDB" w:rsidRDefault="00532827" w:rsidP="000A7585">
      <w:pPr>
        <w:pStyle w:val="Zarkazkladnhotextu"/>
        <w:ind w:left="0" w:firstLine="708"/>
        <w:rPr>
          <w:b w:val="0"/>
          <w:color w:val="000000" w:themeColor="text1"/>
          <w:sz w:val="22"/>
          <w:szCs w:val="22"/>
          <w:lang w:val="sk-SK"/>
        </w:rPr>
      </w:pPr>
      <w:r w:rsidRPr="00AE6EDB">
        <w:rPr>
          <w:b w:val="0"/>
          <w:color w:val="000000" w:themeColor="text1"/>
          <w:sz w:val="22"/>
          <w:szCs w:val="22"/>
          <w:lang w:val="sk-SK"/>
        </w:rPr>
        <w:t xml:space="preserve">V programovom období 2014 – 2020 bude realizovaný Národný projekt </w:t>
      </w:r>
      <w:r w:rsidRPr="00AE6EDB">
        <w:rPr>
          <w:b w:val="0"/>
          <w:i/>
          <w:color w:val="000000" w:themeColor="text1"/>
          <w:sz w:val="22"/>
          <w:szCs w:val="22"/>
          <w:lang w:val="sk-SK"/>
        </w:rPr>
        <w:t>Deinšt</w:t>
      </w:r>
      <w:r w:rsidR="00F45681">
        <w:rPr>
          <w:b w:val="0"/>
          <w:i/>
          <w:color w:val="000000" w:themeColor="text1"/>
          <w:sz w:val="22"/>
          <w:szCs w:val="22"/>
          <w:lang w:val="sk-SK"/>
        </w:rPr>
        <w:t>it</w:t>
      </w:r>
      <w:r w:rsidRPr="00AE6EDB">
        <w:rPr>
          <w:b w:val="0"/>
          <w:i/>
          <w:color w:val="000000" w:themeColor="text1"/>
          <w:sz w:val="22"/>
          <w:szCs w:val="22"/>
          <w:lang w:val="sk-SK"/>
        </w:rPr>
        <w:t>ucionalizácia zariadení sociálnych služieb – Podpora transformačných tímov</w:t>
      </w:r>
      <w:r w:rsidRPr="00AE6EDB">
        <w:rPr>
          <w:b w:val="0"/>
          <w:color w:val="000000" w:themeColor="text1"/>
          <w:sz w:val="22"/>
          <w:szCs w:val="22"/>
          <w:lang w:val="sk-SK"/>
        </w:rPr>
        <w:t>. V tomto Národnom projekte budú využité poznatky z pilotného Národného projektu a prostredníctvo</w:t>
      </w:r>
      <w:r w:rsidR="00865C19">
        <w:rPr>
          <w:b w:val="0"/>
          <w:color w:val="000000" w:themeColor="text1"/>
          <w:sz w:val="22"/>
          <w:szCs w:val="22"/>
          <w:lang w:val="sk-SK"/>
        </w:rPr>
        <w:t>m</w:t>
      </w:r>
      <w:r w:rsidRPr="00AE6EDB">
        <w:rPr>
          <w:b w:val="0"/>
          <w:color w:val="000000" w:themeColor="text1"/>
          <w:sz w:val="22"/>
          <w:szCs w:val="22"/>
          <w:lang w:val="sk-SK"/>
        </w:rPr>
        <w:t xml:space="preserve"> transformačných plánov jednotlivých zariadení bude zabezpečená aj synergia podpory projektov z Integrovaného regionálneho operačného programu.</w:t>
      </w:r>
    </w:p>
    <w:p w:rsidR="000A7585" w:rsidRPr="00AE6EDB" w:rsidRDefault="000A7585" w:rsidP="000A7585">
      <w:pPr>
        <w:shd w:val="clear" w:color="auto" w:fill="FFFFFF"/>
        <w:ind w:firstLine="708"/>
        <w:rPr>
          <w:color w:val="000000" w:themeColor="text1"/>
          <w:szCs w:val="22"/>
        </w:rPr>
      </w:pPr>
      <w:r w:rsidRPr="00AE6EDB">
        <w:rPr>
          <w:color w:val="000000" w:themeColor="text1"/>
          <w:szCs w:val="22"/>
        </w:rPr>
        <w:t>Na snahe podporiť zotrvanie ľudí odkázaných na pomoc čo najdlhšie v ich prirodzenom rodinnom prostredí sa významnou mierou podieľa</w:t>
      </w:r>
      <w:r w:rsidR="004E4D0C" w:rsidRPr="00AE6EDB">
        <w:rPr>
          <w:color w:val="000000" w:themeColor="text1"/>
          <w:szCs w:val="22"/>
        </w:rPr>
        <w:t>l</w:t>
      </w:r>
      <w:r w:rsidRPr="00AE6EDB">
        <w:rPr>
          <w:color w:val="000000" w:themeColor="text1"/>
          <w:szCs w:val="22"/>
        </w:rPr>
        <w:t xml:space="preserve"> aj Národný projekt </w:t>
      </w:r>
      <w:r w:rsidRPr="00AE6EDB">
        <w:rPr>
          <w:i/>
          <w:color w:val="000000" w:themeColor="text1"/>
          <w:szCs w:val="22"/>
        </w:rPr>
        <w:t>Podpory opatrovateľskej služby</w:t>
      </w:r>
      <w:r w:rsidRPr="00AE6EDB">
        <w:rPr>
          <w:color w:val="000000" w:themeColor="text1"/>
          <w:szCs w:val="22"/>
        </w:rPr>
        <w:t>, realizova</w:t>
      </w:r>
      <w:r w:rsidR="004E4D0C" w:rsidRPr="00AE6EDB">
        <w:rPr>
          <w:color w:val="000000" w:themeColor="text1"/>
          <w:szCs w:val="22"/>
        </w:rPr>
        <w:t>ný</w:t>
      </w:r>
      <w:r w:rsidRPr="00AE6EDB">
        <w:rPr>
          <w:color w:val="000000" w:themeColor="text1"/>
          <w:szCs w:val="22"/>
        </w:rPr>
        <w:t xml:space="preserve"> v rokoch 2014 až 2015</w:t>
      </w:r>
      <w:r w:rsidR="004E4D0C" w:rsidRPr="00AE6EDB">
        <w:rPr>
          <w:color w:val="000000" w:themeColor="text1"/>
          <w:szCs w:val="22"/>
        </w:rPr>
        <w:t xml:space="preserve"> z prostriedkov Európskeho sociálneho fondu v rámci Operačného programu Zamestnanosť a sociálna inklúzia</w:t>
      </w:r>
      <w:r w:rsidRPr="00AE6EDB">
        <w:rPr>
          <w:color w:val="000000" w:themeColor="text1"/>
          <w:szCs w:val="22"/>
        </w:rPr>
        <w:t>.</w:t>
      </w:r>
    </w:p>
    <w:p w:rsidR="000A7585" w:rsidRPr="00AE6EDB" w:rsidRDefault="000A7585" w:rsidP="004E4D0C">
      <w:pPr>
        <w:shd w:val="clear" w:color="auto" w:fill="FFFFFF"/>
        <w:ind w:firstLine="708"/>
        <w:rPr>
          <w:color w:val="000000" w:themeColor="text1"/>
          <w:szCs w:val="22"/>
        </w:rPr>
      </w:pPr>
      <w:r w:rsidRPr="00AE6EDB">
        <w:rPr>
          <w:color w:val="000000" w:themeColor="text1"/>
          <w:szCs w:val="22"/>
        </w:rPr>
        <w:t xml:space="preserve">Cieľom </w:t>
      </w:r>
      <w:r w:rsidR="004E4D0C" w:rsidRPr="00AE6EDB">
        <w:rPr>
          <w:color w:val="000000" w:themeColor="text1"/>
          <w:szCs w:val="22"/>
        </w:rPr>
        <w:t>N</w:t>
      </w:r>
      <w:r w:rsidRPr="00AE6EDB">
        <w:rPr>
          <w:color w:val="000000" w:themeColor="text1"/>
          <w:szCs w:val="22"/>
        </w:rPr>
        <w:t xml:space="preserve">árodného projektu </w:t>
      </w:r>
      <w:r w:rsidR="004E4D0C" w:rsidRPr="00AE6EDB">
        <w:rPr>
          <w:color w:val="000000" w:themeColor="text1"/>
          <w:szCs w:val="22"/>
        </w:rPr>
        <w:t>bolo</w:t>
      </w:r>
      <w:r w:rsidRPr="00AE6EDB">
        <w:rPr>
          <w:color w:val="000000" w:themeColor="text1"/>
          <w:szCs w:val="22"/>
        </w:rPr>
        <w:t xml:space="preserve"> umožniť poskytovať opatrovateľskú službu väčšiemu počtu osôb odkázaných na pomoc inej osoby a vytvoriť predpoklady rozšírenia poskytovania opatrovateľskej služby aj do regiónov, resp. obcí, ktoré doteraz reálne túto formu sociálnych služieb – opatrovateľskú službu poskytovali len v obmedzenom rozsahu alebo vôbec neposkytovali.</w:t>
      </w:r>
    </w:p>
    <w:p w:rsidR="000A7585" w:rsidRPr="00AE6EDB" w:rsidRDefault="000A7585" w:rsidP="000A7585">
      <w:pPr>
        <w:ind w:firstLine="708"/>
        <w:rPr>
          <w:color w:val="000000" w:themeColor="text1"/>
          <w:szCs w:val="22"/>
        </w:rPr>
      </w:pPr>
      <w:r w:rsidRPr="00AE6EDB">
        <w:rPr>
          <w:color w:val="000000" w:themeColor="text1"/>
          <w:szCs w:val="22"/>
        </w:rPr>
        <w:t xml:space="preserve">Realizáciou Národného projektu </w:t>
      </w:r>
      <w:r w:rsidRPr="00AE6EDB">
        <w:rPr>
          <w:i/>
          <w:color w:val="000000" w:themeColor="text1"/>
          <w:szCs w:val="22"/>
        </w:rPr>
        <w:t>Podpora opatrovateľskej služby</w:t>
      </w:r>
      <w:r w:rsidRPr="00AE6EDB">
        <w:rPr>
          <w:color w:val="000000" w:themeColor="text1"/>
          <w:szCs w:val="22"/>
        </w:rPr>
        <w:t> sa zvýšil počet prijímateľov opatrovateľskej služby o</w:t>
      </w:r>
      <w:r w:rsidR="004E4D0C" w:rsidRPr="00AE6EDB">
        <w:rPr>
          <w:color w:val="000000" w:themeColor="text1"/>
          <w:szCs w:val="22"/>
        </w:rPr>
        <w:t> </w:t>
      </w:r>
      <w:r w:rsidR="0054295F">
        <w:rPr>
          <w:color w:val="000000" w:themeColor="text1"/>
          <w:szCs w:val="22"/>
        </w:rPr>
        <w:t>3 8</w:t>
      </w:r>
      <w:r w:rsidR="004E3486" w:rsidRPr="00AE6EDB">
        <w:rPr>
          <w:color w:val="000000" w:themeColor="text1"/>
          <w:szCs w:val="22"/>
        </w:rPr>
        <w:t>42</w:t>
      </w:r>
      <w:r w:rsidRPr="00AE6EDB">
        <w:rPr>
          <w:rStyle w:val="Odkaznapoznmkupodiarou"/>
          <w:color w:val="000000" w:themeColor="text1"/>
          <w:szCs w:val="22"/>
        </w:rPr>
        <w:footnoteReference w:id="47"/>
      </w:r>
      <w:r w:rsidRPr="00AE6EDB">
        <w:rPr>
          <w:color w:val="000000" w:themeColor="text1"/>
          <w:szCs w:val="22"/>
        </w:rPr>
        <w:t xml:space="preserve"> a na druhej strane sa vytvorili nové pracovné miesta pre opatrovateľov/opatrovateľky v počte </w:t>
      </w:r>
      <w:r w:rsidR="0054295F">
        <w:rPr>
          <w:color w:val="000000" w:themeColor="text1"/>
          <w:szCs w:val="22"/>
        </w:rPr>
        <w:t>3 6</w:t>
      </w:r>
      <w:r w:rsidR="004E3486" w:rsidRPr="00AE6EDB">
        <w:rPr>
          <w:color w:val="000000" w:themeColor="text1"/>
          <w:szCs w:val="22"/>
        </w:rPr>
        <w:t>33</w:t>
      </w:r>
      <w:r w:rsidRPr="00AE6EDB">
        <w:rPr>
          <w:rStyle w:val="Odkaznapoznmkupodiarou"/>
          <w:color w:val="000000" w:themeColor="text1"/>
          <w:szCs w:val="22"/>
        </w:rPr>
        <w:footnoteReference w:id="48"/>
      </w:r>
      <w:r w:rsidRPr="00AE6EDB">
        <w:rPr>
          <w:color w:val="000000" w:themeColor="text1"/>
          <w:szCs w:val="22"/>
        </w:rPr>
        <w:t xml:space="preserve">. Projektom sa pomohlo obciam, ktoré doteraz z finančných dôvodov opatrovateľskú službu neposkytovali alebo ju poskytovali len v nevyhnutnej miere, resp. neverejným poskytovateľom sociálnych služieb, u ktorých zabezpečujú obce poskytovanie opatrovateľskej služby pre svojich občanov. </w:t>
      </w:r>
    </w:p>
    <w:p w:rsidR="004E4D0C" w:rsidRPr="00AE6EDB" w:rsidRDefault="004E4D0C" w:rsidP="000A7585">
      <w:pPr>
        <w:ind w:firstLine="708"/>
        <w:rPr>
          <w:color w:val="000000" w:themeColor="text1"/>
          <w:lang w:eastAsia="cs-CZ"/>
        </w:rPr>
      </w:pPr>
      <w:r w:rsidRPr="00AE6EDB">
        <w:rPr>
          <w:color w:val="000000" w:themeColor="text1"/>
          <w:lang w:eastAsia="cs-CZ"/>
        </w:rPr>
        <w:t xml:space="preserve">Nasledujúci Národný projekt </w:t>
      </w:r>
      <w:r w:rsidRPr="00AE6EDB">
        <w:rPr>
          <w:i/>
          <w:color w:val="000000" w:themeColor="text1"/>
          <w:lang w:eastAsia="cs-CZ"/>
        </w:rPr>
        <w:t>Podpora opatrovateľskej služby</w:t>
      </w:r>
      <w:r w:rsidRPr="00AE6EDB">
        <w:rPr>
          <w:color w:val="000000" w:themeColor="text1"/>
          <w:lang w:eastAsia="cs-CZ"/>
        </w:rPr>
        <w:t xml:space="preserve"> podporený z prostriedkov Európskeho sociálneho fondu v rámci Operačného programu Ľudské zdroje sa začal realizovať v januári 2016, realizovaný bude po dobu 33 mesiacov na celom území Slovenskej republiky s predpokladaným počtom podporených pracovných miest opatrovateľov/opatrovateliek </w:t>
      </w:r>
      <w:r w:rsidR="0054295F">
        <w:rPr>
          <w:color w:val="000000" w:themeColor="text1"/>
          <w:lang w:eastAsia="cs-CZ"/>
        </w:rPr>
        <w:t>3 3</w:t>
      </w:r>
      <w:r w:rsidRPr="00AE6EDB">
        <w:rPr>
          <w:color w:val="000000" w:themeColor="text1"/>
          <w:lang w:eastAsia="cs-CZ"/>
        </w:rPr>
        <w:t>00.</w:t>
      </w:r>
    </w:p>
    <w:p w:rsidR="000B3A0D" w:rsidRPr="00AE6EDB" w:rsidRDefault="004E4D0C" w:rsidP="000A7585">
      <w:pPr>
        <w:ind w:firstLine="708"/>
        <w:rPr>
          <w:color w:val="000000" w:themeColor="text1"/>
          <w:lang w:eastAsia="cs-CZ"/>
        </w:rPr>
      </w:pPr>
      <w:r w:rsidRPr="00AE6EDB">
        <w:rPr>
          <w:color w:val="000000" w:themeColor="text1"/>
          <w:lang w:eastAsia="cs-CZ"/>
        </w:rPr>
        <w:t xml:space="preserve">Hlavným cieľom Národného projektu </w:t>
      </w:r>
      <w:r w:rsidRPr="00AE6EDB">
        <w:rPr>
          <w:i/>
          <w:color w:val="000000" w:themeColor="text1"/>
          <w:lang w:eastAsia="cs-CZ"/>
        </w:rPr>
        <w:t>Podpora opatrovateľskej služby</w:t>
      </w:r>
      <w:r w:rsidRPr="00AE6EDB">
        <w:rPr>
          <w:color w:val="000000" w:themeColor="text1"/>
          <w:lang w:eastAsia="cs-CZ"/>
        </w:rPr>
        <w:t xml:space="preserve"> je podporiť ďalší rozvoj domácej opatrovateľskej služby za účelom predchádzania umiestňovania fyzických osôb odkázaných na pomoc inej osoby pri sebaobsluhe do pobytových zariadení sociálnych služieb. Ambíciou projektu je umožniť poskytovanie opatrovateľskej služby väčšiemu počtu osôb </w:t>
      </w:r>
      <w:r w:rsidR="000B3A0D" w:rsidRPr="00AE6EDB">
        <w:rPr>
          <w:color w:val="000000" w:themeColor="text1"/>
          <w:lang w:eastAsia="cs-CZ"/>
        </w:rPr>
        <w:t xml:space="preserve">odkázaných na pomoc inej osoby v prirodzenom domácom prostredí, zvýšiť dostupnosť opatrovateľskej služby, vytvoriť/udržať pracovné miesta a podporiť tým zamestnanosť vo všetkých regiónoch SR. </w:t>
      </w:r>
      <w:r w:rsidR="00D27792" w:rsidRPr="00AE6EDB">
        <w:rPr>
          <w:color w:val="000000" w:themeColor="text1"/>
          <w:lang w:eastAsia="cs-CZ"/>
        </w:rPr>
        <w:t>V tomto Národnom projekte sa n</w:t>
      </w:r>
      <w:r w:rsidR="000B3A0D" w:rsidRPr="00AE6EDB">
        <w:rPr>
          <w:color w:val="000000" w:themeColor="text1"/>
          <w:lang w:eastAsia="cs-CZ"/>
        </w:rPr>
        <w:t xml:space="preserve">anovo nastavili podmienky podpory tak, aby sa zabezpečila napríklad územná proporcionalita podpory podľa veľkosti samosprávnych krajov a zároveň došlo aj k rozšíreniu aktivít na územie Bratislavského samosprávneho kraja. Nový projekt umožní aj väčšiu flexibilitu úväzkov opatrovateľov/opatrovateliek tak, aby poskytovateľ mohol lepšie pokrývať potreby opatrovaných. Výstupom projektu by mal byť, okrem samotného zabezpečenia výkonu opatrovateľskej služby, aj návrh systému zabezpečenia optimálnej finančnej podpory tejto sociálnej </w:t>
      </w:r>
      <w:r w:rsidR="000B3A0D" w:rsidRPr="00AE6EDB">
        <w:t>služby.</w:t>
      </w:r>
    </w:p>
    <w:p w:rsidR="000A7585" w:rsidRPr="00AE6EDB" w:rsidRDefault="000A7585" w:rsidP="000A7585">
      <w:pPr>
        <w:pStyle w:val="Nadpis41"/>
        <w:numPr>
          <w:ilvl w:val="0"/>
          <w:numId w:val="0"/>
        </w:numPr>
      </w:pPr>
      <w:r w:rsidRPr="00AE6EDB">
        <w:t>Opatrovateľská služba</w:t>
      </w:r>
    </w:p>
    <w:p w:rsidR="000A7585" w:rsidRPr="00AE6EDB" w:rsidRDefault="000A7585" w:rsidP="000A7585">
      <w:pPr>
        <w:ind w:firstLine="708"/>
        <w:rPr>
          <w:color w:val="000000" w:themeColor="text1"/>
        </w:rPr>
      </w:pPr>
      <w:r w:rsidRPr="00AE6EDB">
        <w:rPr>
          <w:color w:val="000000" w:themeColor="text1"/>
        </w:rPr>
        <w:t>V roku 201</w:t>
      </w:r>
      <w:r w:rsidR="000B3A0D" w:rsidRPr="00AE6EDB">
        <w:rPr>
          <w:color w:val="000000" w:themeColor="text1"/>
        </w:rPr>
        <w:t>5</w:t>
      </w:r>
      <w:r w:rsidRPr="00AE6EDB">
        <w:rPr>
          <w:color w:val="000000" w:themeColor="text1"/>
        </w:rPr>
        <w:t xml:space="preserve"> bola opatrovateľská služba v domácnosti poskytovaná zo strany </w:t>
      </w:r>
      <w:r w:rsidRPr="00AE6EDB">
        <w:rPr>
          <w:b/>
          <w:color w:val="000000" w:themeColor="text1"/>
        </w:rPr>
        <w:t xml:space="preserve">obcí, t.j. verejných poskytovateľov </w:t>
      </w:r>
      <w:r w:rsidRPr="00AE6EDB">
        <w:rPr>
          <w:color w:val="000000" w:themeColor="text1"/>
        </w:rPr>
        <w:t>1</w:t>
      </w:r>
      <w:r w:rsidR="0054295F">
        <w:rPr>
          <w:color w:val="000000" w:themeColor="text1"/>
        </w:rPr>
        <w:t>2 3</w:t>
      </w:r>
      <w:r w:rsidR="000B3A0D" w:rsidRPr="00AE6EDB">
        <w:rPr>
          <w:color w:val="000000" w:themeColor="text1"/>
        </w:rPr>
        <w:t>32</w:t>
      </w:r>
      <w:r w:rsidRPr="00AE6EDB">
        <w:rPr>
          <w:color w:val="000000" w:themeColor="text1"/>
        </w:rPr>
        <w:t> fyzickým osobám, čo je oproti roku 201</w:t>
      </w:r>
      <w:r w:rsidR="000B3A0D" w:rsidRPr="00AE6EDB">
        <w:rPr>
          <w:color w:val="000000" w:themeColor="text1"/>
        </w:rPr>
        <w:t>4</w:t>
      </w:r>
      <w:r w:rsidRPr="00AE6EDB">
        <w:rPr>
          <w:color w:val="000000" w:themeColor="text1"/>
        </w:rPr>
        <w:t xml:space="preserve"> nárast o </w:t>
      </w:r>
      <w:r w:rsidR="000B3A0D" w:rsidRPr="00AE6EDB">
        <w:rPr>
          <w:color w:val="000000" w:themeColor="text1"/>
        </w:rPr>
        <w:t>180</w:t>
      </w:r>
      <w:r w:rsidRPr="00AE6EDB">
        <w:rPr>
          <w:color w:val="000000" w:themeColor="text1"/>
        </w:rPr>
        <w:t xml:space="preserve"> osôb. Predpokladom </w:t>
      </w:r>
      <w:r w:rsidR="000B3A0D" w:rsidRPr="00AE6EDB">
        <w:rPr>
          <w:color w:val="000000" w:themeColor="text1"/>
        </w:rPr>
        <w:t xml:space="preserve">opätovného </w:t>
      </w:r>
      <w:r w:rsidRPr="00AE6EDB">
        <w:rPr>
          <w:color w:val="000000" w:themeColor="text1"/>
        </w:rPr>
        <w:t xml:space="preserve">nárastu počtu opatrovaných osôb je realizácia podpory poskytovania opatrovateľskej služby cez </w:t>
      </w:r>
      <w:r w:rsidR="000B3A0D" w:rsidRPr="00AE6EDB">
        <w:rPr>
          <w:color w:val="000000" w:themeColor="text1"/>
        </w:rPr>
        <w:t>N</w:t>
      </w:r>
      <w:r w:rsidRPr="00AE6EDB">
        <w:rPr>
          <w:color w:val="000000" w:themeColor="text1"/>
        </w:rPr>
        <w:t>árodný projekt Podpory opatrovateľskej služby.</w:t>
      </w:r>
    </w:p>
    <w:p w:rsidR="000A7585" w:rsidRPr="00AE6EDB" w:rsidRDefault="000A7585" w:rsidP="000A7585">
      <w:pPr>
        <w:ind w:firstLine="708"/>
        <w:rPr>
          <w:color w:val="000000" w:themeColor="text1"/>
        </w:rPr>
      </w:pPr>
      <w:r w:rsidRPr="00AE6EDB">
        <w:rPr>
          <w:color w:val="000000" w:themeColor="text1"/>
        </w:rPr>
        <w:t xml:space="preserve">Záujem o poskytovanie opatrovateľskej služby aj </w:t>
      </w:r>
      <w:r w:rsidR="000B3A0D" w:rsidRPr="00AE6EDB">
        <w:rPr>
          <w:color w:val="000000" w:themeColor="text1"/>
        </w:rPr>
        <w:t>prostredníctvom</w:t>
      </w:r>
      <w:r w:rsidRPr="00AE6EDB">
        <w:rPr>
          <w:color w:val="000000" w:themeColor="text1"/>
        </w:rPr>
        <w:t xml:space="preserve"> </w:t>
      </w:r>
      <w:r w:rsidR="000B3A0D" w:rsidRPr="00AE6EDB">
        <w:rPr>
          <w:color w:val="000000" w:themeColor="text1"/>
        </w:rPr>
        <w:t>N</w:t>
      </w:r>
      <w:r w:rsidRPr="00AE6EDB">
        <w:rPr>
          <w:color w:val="000000" w:themeColor="text1"/>
        </w:rPr>
        <w:t xml:space="preserve">árodného projektu Podpora opatrovateľskej služby v predchádzajúcom programovom období zo strany poskytovateľov a hlavne zo strany osôb odkázaných na pomoc inej osoby potvrdil predpoklad, že terénna forma sociálnej služby v domácom prostredí je žiadanou sociálnou službou. </w:t>
      </w:r>
    </w:p>
    <w:p w:rsidR="000A7585" w:rsidRPr="00AE6EDB" w:rsidRDefault="000A7585" w:rsidP="000A7585">
      <w:pPr>
        <w:ind w:firstLine="708"/>
        <w:rPr>
          <w:color w:val="000000" w:themeColor="text1"/>
        </w:rPr>
      </w:pPr>
      <w:r w:rsidRPr="00AE6EDB">
        <w:rPr>
          <w:color w:val="000000" w:themeColor="text1"/>
        </w:rPr>
        <w:t>Opatrovateľskú službu v roku 201</w:t>
      </w:r>
      <w:r w:rsidR="000B3A0D" w:rsidRPr="00AE6EDB">
        <w:rPr>
          <w:color w:val="000000" w:themeColor="text1"/>
        </w:rPr>
        <w:t>5</w:t>
      </w:r>
      <w:r w:rsidRPr="00AE6EDB">
        <w:rPr>
          <w:color w:val="000000" w:themeColor="text1"/>
        </w:rPr>
        <w:t xml:space="preserve"> poskytovalo </w:t>
      </w:r>
      <w:r w:rsidR="0054295F">
        <w:rPr>
          <w:color w:val="000000" w:themeColor="text1"/>
        </w:rPr>
        <w:t>4 8</w:t>
      </w:r>
      <w:r w:rsidR="000B3A0D" w:rsidRPr="00AE6EDB">
        <w:rPr>
          <w:color w:val="000000" w:themeColor="text1"/>
        </w:rPr>
        <w:t>67</w:t>
      </w:r>
      <w:r w:rsidRPr="00AE6EDB">
        <w:rPr>
          <w:color w:val="000000" w:themeColor="text1"/>
        </w:rPr>
        <w:t xml:space="preserve"> zamestnancov miest a obcí. V porovnaní s rokom 201</w:t>
      </w:r>
      <w:r w:rsidR="000B3A0D" w:rsidRPr="00AE6EDB">
        <w:rPr>
          <w:color w:val="000000" w:themeColor="text1"/>
        </w:rPr>
        <w:t>4</w:t>
      </w:r>
      <w:r w:rsidRPr="00AE6EDB">
        <w:rPr>
          <w:color w:val="000000" w:themeColor="text1"/>
        </w:rPr>
        <w:t xml:space="preserve"> ide </w:t>
      </w:r>
      <w:r w:rsidR="000B3A0D" w:rsidRPr="00AE6EDB">
        <w:rPr>
          <w:color w:val="000000" w:themeColor="text1"/>
        </w:rPr>
        <w:t xml:space="preserve">o mierny pokles, a to o 68 </w:t>
      </w:r>
      <w:r w:rsidRPr="00AE6EDB">
        <w:rPr>
          <w:color w:val="000000" w:themeColor="text1"/>
        </w:rPr>
        <w:t xml:space="preserve">zamestnancov. Poskytovanie opatrovateľskej služby je realizované využitím všetkých inštitútov pracovnoprávnych vzťahov (pracovný pomer, dohoda o pracovnej činnosti, dohoda o vykonaní práce). Počty zamestnancov sú prepočítavané na plné pracovné úväzky. </w:t>
      </w:r>
    </w:p>
    <w:p w:rsidR="000B7A3A" w:rsidRPr="00AE6EDB" w:rsidRDefault="000A7585" w:rsidP="000B7A3A">
      <w:pPr>
        <w:ind w:firstLine="708"/>
        <w:rPr>
          <w:color w:val="000000" w:themeColor="text1"/>
        </w:rPr>
      </w:pPr>
      <w:r w:rsidRPr="00AE6EDB">
        <w:rPr>
          <w:color w:val="000000" w:themeColor="text1"/>
        </w:rPr>
        <w:t>Na poskytovanie opatrovateľskej služby bolo v roku 201</w:t>
      </w:r>
      <w:r w:rsidR="000B7A3A" w:rsidRPr="00AE6EDB">
        <w:rPr>
          <w:color w:val="000000" w:themeColor="text1"/>
        </w:rPr>
        <w:t>5</w:t>
      </w:r>
      <w:r w:rsidRPr="00AE6EDB">
        <w:rPr>
          <w:color w:val="000000" w:themeColor="text1"/>
        </w:rPr>
        <w:t xml:space="preserve"> vynaložených zo strany obcí </w:t>
      </w:r>
      <w:r w:rsidR="000B7A3A" w:rsidRPr="00AE6EDB">
        <w:rPr>
          <w:color w:val="000000" w:themeColor="text1"/>
        </w:rPr>
        <w:t>30,2</w:t>
      </w:r>
      <w:r w:rsidRPr="00AE6EDB">
        <w:rPr>
          <w:color w:val="000000" w:themeColor="text1"/>
        </w:rPr>
        <w:t> mil.</w:t>
      </w:r>
      <w:r w:rsidR="0054295F">
        <w:rPr>
          <w:color w:val="000000" w:themeColor="text1"/>
        </w:rPr>
        <w:t> eur</w:t>
      </w:r>
      <w:r w:rsidRPr="00AE6EDB">
        <w:rPr>
          <w:color w:val="000000" w:themeColor="text1"/>
        </w:rPr>
        <w:t>, čo je oproti roku 201</w:t>
      </w:r>
      <w:r w:rsidR="000B7A3A" w:rsidRPr="00AE6EDB">
        <w:rPr>
          <w:color w:val="000000" w:themeColor="text1"/>
        </w:rPr>
        <w:t>4</w:t>
      </w:r>
      <w:r w:rsidRPr="00AE6EDB">
        <w:rPr>
          <w:color w:val="000000" w:themeColor="text1"/>
        </w:rPr>
        <w:t xml:space="preserve"> nárast o 2,</w:t>
      </w:r>
      <w:r w:rsidR="000B7A3A" w:rsidRPr="00AE6EDB">
        <w:rPr>
          <w:color w:val="000000" w:themeColor="text1"/>
        </w:rPr>
        <w:t>0</w:t>
      </w:r>
      <w:r w:rsidRPr="00AE6EDB">
        <w:rPr>
          <w:color w:val="000000" w:themeColor="text1"/>
        </w:rPr>
        <w:t> mil.</w:t>
      </w:r>
      <w:r w:rsidR="0054295F">
        <w:rPr>
          <w:color w:val="000000" w:themeColor="text1"/>
        </w:rPr>
        <w:t> eur</w:t>
      </w:r>
      <w:r w:rsidRPr="00AE6EDB">
        <w:rPr>
          <w:color w:val="000000" w:themeColor="text1"/>
        </w:rPr>
        <w:t xml:space="preserve">. </w:t>
      </w:r>
    </w:p>
    <w:p w:rsidR="000A7585" w:rsidRPr="00AE6EDB" w:rsidRDefault="000A7585" w:rsidP="000A7585">
      <w:pPr>
        <w:ind w:firstLine="708"/>
      </w:pPr>
      <w:r w:rsidRPr="00AE6EDB">
        <w:rPr>
          <w:color w:val="000000" w:themeColor="text1"/>
        </w:rPr>
        <w:t>Príjmy obcí z úhrad za opatrovateľskú službu v roku 201</w:t>
      </w:r>
      <w:r w:rsidR="000B7A3A" w:rsidRPr="00AE6EDB">
        <w:rPr>
          <w:color w:val="000000" w:themeColor="text1"/>
        </w:rPr>
        <w:t>5 predstavovali cca 5,3</w:t>
      </w:r>
      <w:r w:rsidRPr="00AE6EDB">
        <w:rPr>
          <w:color w:val="000000" w:themeColor="text1"/>
        </w:rPr>
        <w:t xml:space="preserve"> mil.</w:t>
      </w:r>
      <w:r w:rsidR="0054295F">
        <w:rPr>
          <w:color w:val="000000" w:themeColor="text1"/>
        </w:rPr>
        <w:t> eur</w:t>
      </w:r>
      <w:r w:rsidRPr="00AE6EDB">
        <w:rPr>
          <w:color w:val="000000" w:themeColor="text1"/>
        </w:rPr>
        <w:t>, čo je oproti roku 201</w:t>
      </w:r>
      <w:r w:rsidR="000B7A3A" w:rsidRPr="00AE6EDB">
        <w:rPr>
          <w:color w:val="000000" w:themeColor="text1"/>
        </w:rPr>
        <w:t>4</w:t>
      </w:r>
      <w:r w:rsidRPr="00AE6EDB">
        <w:rPr>
          <w:color w:val="000000" w:themeColor="text1"/>
        </w:rPr>
        <w:t xml:space="preserve"> nárast o cca 2</w:t>
      </w:r>
      <w:r w:rsidR="000B7A3A" w:rsidRPr="00AE6EDB">
        <w:rPr>
          <w:color w:val="000000" w:themeColor="text1"/>
        </w:rPr>
        <w:t>32</w:t>
      </w:r>
      <w:r w:rsidRPr="00AE6EDB">
        <w:rPr>
          <w:color w:val="000000" w:themeColor="text1"/>
        </w:rPr>
        <w:t> </w:t>
      </w:r>
      <w:r w:rsidR="000B7A3A" w:rsidRPr="00AE6EDB">
        <w:rPr>
          <w:color w:val="000000" w:themeColor="text1"/>
        </w:rPr>
        <w:t>tis.</w:t>
      </w:r>
      <w:r w:rsidR="0054295F">
        <w:rPr>
          <w:color w:val="000000" w:themeColor="text1"/>
        </w:rPr>
        <w:t> eur</w:t>
      </w:r>
      <w:r w:rsidRPr="00AE6EDB">
        <w:rPr>
          <w:color w:val="000000" w:themeColor="text1"/>
        </w:rPr>
        <w:t>. Dôvodom zvýšenia príjmov v úhradách oproti roku 201</w:t>
      </w:r>
      <w:r w:rsidR="000B7A3A" w:rsidRPr="00AE6EDB">
        <w:rPr>
          <w:color w:val="000000" w:themeColor="text1"/>
        </w:rPr>
        <w:t>4</w:t>
      </w:r>
      <w:r w:rsidRPr="00AE6EDB">
        <w:rPr>
          <w:color w:val="000000" w:themeColor="text1"/>
        </w:rPr>
        <w:t xml:space="preserve"> je zvýšenie počtu prijímateľov, ktorí sa podieľali na úhrade nákladov na opatrovateľskú službu vo výške 1</w:t>
      </w:r>
      <w:r w:rsidR="000B7A3A" w:rsidRPr="00AE6EDB">
        <w:rPr>
          <w:color w:val="000000" w:themeColor="text1"/>
        </w:rPr>
        <w:t>7,70</w:t>
      </w:r>
      <w:r w:rsidR="005676EF">
        <w:rPr>
          <w:color w:val="000000" w:themeColor="text1"/>
        </w:rPr>
        <w:t> %</w:t>
      </w:r>
      <w:r w:rsidRPr="00AE6EDB">
        <w:rPr>
          <w:color w:val="000000" w:themeColor="text1"/>
        </w:rPr>
        <w:t>. Rozdiel medzi príjmami a výdavkami na opatrovateľskú službu v roku 201</w:t>
      </w:r>
      <w:r w:rsidR="000B7A3A" w:rsidRPr="00AE6EDB">
        <w:rPr>
          <w:color w:val="000000" w:themeColor="text1"/>
        </w:rPr>
        <w:t>5</w:t>
      </w:r>
      <w:r w:rsidRPr="00AE6EDB">
        <w:rPr>
          <w:color w:val="00B0F0"/>
        </w:rPr>
        <w:t xml:space="preserve"> </w:t>
      </w:r>
      <w:r w:rsidRPr="00AE6EDB">
        <w:rPr>
          <w:color w:val="000000" w:themeColor="text1"/>
        </w:rPr>
        <w:t>predstavoval 2</w:t>
      </w:r>
      <w:r w:rsidR="000B7A3A" w:rsidRPr="00AE6EDB">
        <w:rPr>
          <w:color w:val="000000" w:themeColor="text1"/>
        </w:rPr>
        <w:t>4,8</w:t>
      </w:r>
      <w:r w:rsidRPr="00AE6EDB">
        <w:rPr>
          <w:color w:val="000000" w:themeColor="text1"/>
        </w:rPr>
        <w:t xml:space="preserve"> mil.</w:t>
      </w:r>
      <w:r w:rsidR="0054295F">
        <w:rPr>
          <w:color w:val="000000" w:themeColor="text1"/>
        </w:rPr>
        <w:t> eur</w:t>
      </w:r>
      <w:r w:rsidRPr="00AE6EDB">
        <w:rPr>
          <w:color w:val="000000" w:themeColor="text1"/>
        </w:rPr>
        <w:t>, čo je suma, ktorú obce museli uhradiť z vlastných rozpočtov</w:t>
      </w:r>
      <w:r w:rsidRPr="00AE6EDB">
        <w:rPr>
          <w:color w:val="00B0F0"/>
        </w:rPr>
        <w:t>.</w:t>
      </w:r>
      <w:r w:rsidRPr="00AE6EDB">
        <w:rPr>
          <w:color w:val="000000"/>
        </w:rPr>
        <w:t xml:space="preserve"> Š</w:t>
      </w:r>
      <w:r w:rsidRPr="00AE6EDB">
        <w:rPr>
          <w:szCs w:val="22"/>
        </w:rPr>
        <w:t xml:space="preserve">tatistické údaje </w:t>
      </w:r>
      <w:r w:rsidR="000B7A3A" w:rsidRPr="00AE6EDB">
        <w:rPr>
          <w:szCs w:val="22"/>
        </w:rPr>
        <w:t xml:space="preserve">k opatrovateľskej službe </w:t>
      </w:r>
      <w:r w:rsidRPr="00AE6EDB">
        <w:rPr>
          <w:szCs w:val="22"/>
        </w:rPr>
        <w:t>sú uvedené v prílohe ku kapitole 3, tabuľka 21.</w:t>
      </w:r>
    </w:p>
    <w:p w:rsidR="000A7585" w:rsidRPr="00AE6EDB" w:rsidRDefault="000A7585" w:rsidP="000A7585">
      <w:pPr>
        <w:ind w:firstLine="708"/>
        <w:rPr>
          <w:color w:val="000000" w:themeColor="text1"/>
        </w:rPr>
      </w:pPr>
      <w:r w:rsidRPr="00AE6EDB">
        <w:rPr>
          <w:color w:val="000000" w:themeColor="text1"/>
        </w:rPr>
        <w:t>Pokiaľ ide o </w:t>
      </w:r>
      <w:r w:rsidRPr="00AE6EDB">
        <w:rPr>
          <w:b/>
          <w:color w:val="000000" w:themeColor="text1"/>
        </w:rPr>
        <w:t xml:space="preserve">neverejných poskytovateľov </w:t>
      </w:r>
      <w:r w:rsidRPr="00AE6EDB">
        <w:rPr>
          <w:color w:val="000000" w:themeColor="text1"/>
        </w:rPr>
        <w:t>opatrovateľskej služby, v roku 201</w:t>
      </w:r>
      <w:r w:rsidR="000B7A3A" w:rsidRPr="00AE6EDB">
        <w:rPr>
          <w:color w:val="000000" w:themeColor="text1"/>
        </w:rPr>
        <w:t>5</w:t>
      </w:r>
      <w:r w:rsidRPr="00AE6EDB">
        <w:rPr>
          <w:color w:val="000000" w:themeColor="text1"/>
        </w:rPr>
        <w:t xml:space="preserve"> poskytovalo opatrovateľskú službu 1</w:t>
      </w:r>
      <w:r w:rsidR="000B7A3A" w:rsidRPr="00AE6EDB">
        <w:rPr>
          <w:color w:val="000000" w:themeColor="text1"/>
        </w:rPr>
        <w:t>30</w:t>
      </w:r>
      <w:r w:rsidRPr="00AE6EDB">
        <w:rPr>
          <w:color w:val="000000" w:themeColor="text1"/>
        </w:rPr>
        <w:t> neverejných poskytovateľov, čo v porovnaní s rokom 201</w:t>
      </w:r>
      <w:r w:rsidR="000B7A3A" w:rsidRPr="00AE6EDB">
        <w:rPr>
          <w:color w:val="000000" w:themeColor="text1"/>
        </w:rPr>
        <w:t>4</w:t>
      </w:r>
      <w:r w:rsidRPr="00AE6EDB">
        <w:rPr>
          <w:color w:val="000000" w:themeColor="text1"/>
        </w:rPr>
        <w:t xml:space="preserve"> predstavuje nárast o 19 poskytovateľov. Neverejní poskytovatelia v roku 201</w:t>
      </w:r>
      <w:r w:rsidR="000B7A3A" w:rsidRPr="00AE6EDB">
        <w:rPr>
          <w:color w:val="000000" w:themeColor="text1"/>
        </w:rPr>
        <w:t>5</w:t>
      </w:r>
      <w:r w:rsidRPr="00AE6EDB">
        <w:rPr>
          <w:color w:val="000000" w:themeColor="text1"/>
        </w:rPr>
        <w:t xml:space="preserve"> opatrovali celkom </w:t>
      </w:r>
      <w:r w:rsidR="0054295F">
        <w:rPr>
          <w:color w:val="000000" w:themeColor="text1"/>
        </w:rPr>
        <w:t>4 2</w:t>
      </w:r>
      <w:r w:rsidR="000B7A3A" w:rsidRPr="00AE6EDB">
        <w:rPr>
          <w:color w:val="000000" w:themeColor="text1"/>
        </w:rPr>
        <w:t>76</w:t>
      </w:r>
      <w:r w:rsidR="00B20AAF" w:rsidRPr="00AE6EDB">
        <w:rPr>
          <w:color w:val="000000" w:themeColor="text1"/>
        </w:rPr>
        <w:t> </w:t>
      </w:r>
      <w:r w:rsidRPr="00AE6EDB">
        <w:rPr>
          <w:color w:val="000000" w:themeColor="text1"/>
        </w:rPr>
        <w:t>prijímateľov, čo oproti predchádzajúcemu roku predstavuje nárast o </w:t>
      </w:r>
      <w:r w:rsidR="000B7A3A" w:rsidRPr="00AE6EDB">
        <w:rPr>
          <w:color w:val="000000" w:themeColor="text1"/>
        </w:rPr>
        <w:t>202</w:t>
      </w:r>
      <w:r w:rsidRPr="00AE6EDB">
        <w:rPr>
          <w:color w:val="000000" w:themeColor="text1"/>
        </w:rPr>
        <w:t> opatrovaných. Príjmy neverejných poskytovateľov (z rozpočtov obcí, z úhrad od prijímateľov, z</w:t>
      </w:r>
      <w:r w:rsidR="000B7A3A" w:rsidRPr="00AE6EDB">
        <w:rPr>
          <w:color w:val="000000" w:themeColor="text1"/>
        </w:rPr>
        <w:t> </w:t>
      </w:r>
      <w:r w:rsidRPr="00AE6EDB">
        <w:rPr>
          <w:color w:val="000000" w:themeColor="text1"/>
        </w:rPr>
        <w:t>darov</w:t>
      </w:r>
      <w:r w:rsidR="000B7A3A" w:rsidRPr="00AE6EDB">
        <w:rPr>
          <w:color w:val="000000" w:themeColor="text1"/>
        </w:rPr>
        <w:t>, transfery zo štrukturálnych fondov EÚ</w:t>
      </w:r>
      <w:r w:rsidRPr="00AE6EDB">
        <w:rPr>
          <w:color w:val="000000" w:themeColor="text1"/>
        </w:rPr>
        <w:t xml:space="preserve"> a pod.) za opatrovateľskú službu boli vo výške </w:t>
      </w:r>
      <w:r w:rsidR="000B7A3A" w:rsidRPr="00AE6EDB">
        <w:rPr>
          <w:color w:val="000000" w:themeColor="text1"/>
        </w:rPr>
        <w:t>24,23</w:t>
      </w:r>
      <w:r w:rsidR="00BC0D6C">
        <w:rPr>
          <w:color w:val="000000" w:themeColor="text1"/>
        </w:rPr>
        <w:t xml:space="preserve"> mil.</w:t>
      </w:r>
      <w:r w:rsidR="0054295F">
        <w:rPr>
          <w:color w:val="000000" w:themeColor="text1"/>
        </w:rPr>
        <w:t> eur</w:t>
      </w:r>
      <w:r w:rsidRPr="00AE6EDB">
        <w:rPr>
          <w:color w:val="000000" w:themeColor="text1"/>
        </w:rPr>
        <w:t>, čo je oproti roku 201</w:t>
      </w:r>
      <w:r w:rsidR="000B7A3A" w:rsidRPr="00AE6EDB">
        <w:rPr>
          <w:color w:val="000000" w:themeColor="text1"/>
        </w:rPr>
        <w:t>4</w:t>
      </w:r>
      <w:r w:rsidRPr="00AE6EDB">
        <w:rPr>
          <w:color w:val="000000" w:themeColor="text1"/>
        </w:rPr>
        <w:t xml:space="preserve"> navýšenie o</w:t>
      </w:r>
      <w:r w:rsidR="000B7A3A" w:rsidRPr="00AE6EDB">
        <w:rPr>
          <w:color w:val="000000" w:themeColor="text1"/>
        </w:rPr>
        <w:t> 15,36</w:t>
      </w:r>
      <w:r w:rsidRPr="00AE6EDB">
        <w:rPr>
          <w:color w:val="000000" w:themeColor="text1"/>
        </w:rPr>
        <w:t xml:space="preserve"> mil.</w:t>
      </w:r>
      <w:r w:rsidR="0054295F">
        <w:rPr>
          <w:color w:val="000000" w:themeColor="text1"/>
        </w:rPr>
        <w:t> eur</w:t>
      </w:r>
      <w:r w:rsidRPr="00AE6EDB">
        <w:rPr>
          <w:color w:val="000000" w:themeColor="text1"/>
        </w:rPr>
        <w:t xml:space="preserve">, pričom ich náklady predstavovali </w:t>
      </w:r>
      <w:r w:rsidR="000B7A3A" w:rsidRPr="00AE6EDB">
        <w:rPr>
          <w:color w:val="000000" w:themeColor="text1"/>
        </w:rPr>
        <w:t>23,30</w:t>
      </w:r>
      <w:r w:rsidRPr="00AE6EDB">
        <w:rPr>
          <w:color w:val="000000" w:themeColor="text1"/>
        </w:rPr>
        <w:t xml:space="preserve"> mil.</w:t>
      </w:r>
      <w:r w:rsidR="0054295F">
        <w:rPr>
          <w:color w:val="000000" w:themeColor="text1"/>
        </w:rPr>
        <w:t> eur</w:t>
      </w:r>
      <w:r w:rsidRPr="00AE6EDB">
        <w:rPr>
          <w:color w:val="000000" w:themeColor="text1"/>
        </w:rPr>
        <w:t xml:space="preserve"> (navýšenie o</w:t>
      </w:r>
      <w:r w:rsidR="000B7A3A" w:rsidRPr="00AE6EDB">
        <w:rPr>
          <w:color w:val="000000" w:themeColor="text1"/>
        </w:rPr>
        <w:t> 15,69</w:t>
      </w:r>
      <w:r w:rsidRPr="00AE6EDB">
        <w:rPr>
          <w:color w:val="000000" w:themeColor="text1"/>
        </w:rPr>
        <w:t xml:space="preserve"> mil.</w:t>
      </w:r>
      <w:r w:rsidR="0054295F">
        <w:rPr>
          <w:color w:val="000000" w:themeColor="text1"/>
        </w:rPr>
        <w:t> eur</w:t>
      </w:r>
      <w:r w:rsidRPr="00AE6EDB">
        <w:rPr>
          <w:color w:val="000000" w:themeColor="text1"/>
        </w:rPr>
        <w:t xml:space="preserve"> oproti predchádzajúcemu roku). </w:t>
      </w:r>
    </w:p>
    <w:p w:rsidR="000A7585" w:rsidRPr="00AE6EDB" w:rsidRDefault="000A7585" w:rsidP="000A7585">
      <w:pPr>
        <w:pStyle w:val="Nadpis41"/>
        <w:numPr>
          <w:ilvl w:val="0"/>
          <w:numId w:val="0"/>
        </w:numPr>
        <w:ind w:left="864" w:hanging="864"/>
      </w:pPr>
      <w:r w:rsidRPr="00AE6EDB">
        <w:t xml:space="preserve">Prepravná služba </w:t>
      </w:r>
    </w:p>
    <w:p w:rsidR="000A7585" w:rsidRPr="00AE6EDB" w:rsidRDefault="000A7585" w:rsidP="000A7585">
      <w:pPr>
        <w:ind w:firstLine="708"/>
      </w:pPr>
      <w:r w:rsidRPr="00AE6EDB">
        <w:rPr>
          <w:color w:val="000000" w:themeColor="text1"/>
          <w:szCs w:val="22"/>
        </w:rPr>
        <w:t>V roku 201</w:t>
      </w:r>
      <w:r w:rsidR="009A54E1" w:rsidRPr="00AE6EDB">
        <w:rPr>
          <w:color w:val="000000" w:themeColor="text1"/>
          <w:szCs w:val="22"/>
        </w:rPr>
        <w:t>5</w:t>
      </w:r>
      <w:r w:rsidRPr="00AE6EDB">
        <w:rPr>
          <w:color w:val="000000" w:themeColor="text1"/>
          <w:szCs w:val="22"/>
        </w:rPr>
        <w:t xml:space="preserve"> bola prepravná služba obcami a mestami poskytnutá </w:t>
      </w:r>
      <w:r w:rsidR="0054295F">
        <w:rPr>
          <w:color w:val="000000" w:themeColor="text1"/>
          <w:szCs w:val="22"/>
        </w:rPr>
        <w:t>3 0</w:t>
      </w:r>
      <w:r w:rsidR="009A54E1" w:rsidRPr="00AE6EDB">
        <w:rPr>
          <w:color w:val="000000" w:themeColor="text1"/>
          <w:szCs w:val="22"/>
        </w:rPr>
        <w:t>32</w:t>
      </w:r>
      <w:r w:rsidRPr="00AE6EDB">
        <w:rPr>
          <w:color w:val="000000" w:themeColor="text1"/>
          <w:szCs w:val="22"/>
        </w:rPr>
        <w:t xml:space="preserve"> fyzickým osobám, čo predstavuje nárast oproti roku 201</w:t>
      </w:r>
      <w:r w:rsidR="009A54E1" w:rsidRPr="00AE6EDB">
        <w:rPr>
          <w:color w:val="000000" w:themeColor="text1"/>
          <w:szCs w:val="22"/>
        </w:rPr>
        <w:t>4</w:t>
      </w:r>
      <w:r w:rsidRPr="00AE6EDB">
        <w:rPr>
          <w:color w:val="000000" w:themeColor="text1"/>
          <w:szCs w:val="22"/>
        </w:rPr>
        <w:t xml:space="preserve"> o </w:t>
      </w:r>
      <w:r w:rsidR="009A54E1" w:rsidRPr="00AE6EDB">
        <w:rPr>
          <w:color w:val="000000" w:themeColor="text1"/>
          <w:szCs w:val="22"/>
        </w:rPr>
        <w:t>145</w:t>
      </w:r>
      <w:r w:rsidRPr="00AE6EDB">
        <w:rPr>
          <w:color w:val="000000" w:themeColor="text1"/>
          <w:szCs w:val="22"/>
        </w:rPr>
        <w:t xml:space="preserve"> fyzických osôb. Obce vynaložili v roku 201</w:t>
      </w:r>
      <w:r w:rsidR="009A54E1" w:rsidRPr="00AE6EDB">
        <w:rPr>
          <w:color w:val="000000" w:themeColor="text1"/>
          <w:szCs w:val="22"/>
        </w:rPr>
        <w:t>5</w:t>
      </w:r>
      <w:r w:rsidRPr="00AE6EDB">
        <w:rPr>
          <w:color w:val="000000" w:themeColor="text1"/>
          <w:szCs w:val="22"/>
        </w:rPr>
        <w:t xml:space="preserve"> na</w:t>
      </w:r>
      <w:r w:rsidR="009A54E1" w:rsidRPr="00AE6EDB">
        <w:rPr>
          <w:color w:val="000000" w:themeColor="text1"/>
          <w:szCs w:val="22"/>
        </w:rPr>
        <w:t> </w:t>
      </w:r>
      <w:r w:rsidRPr="00AE6EDB">
        <w:rPr>
          <w:color w:val="000000" w:themeColor="text1"/>
          <w:szCs w:val="22"/>
        </w:rPr>
        <w:t>poskytovanie prepravnej služby 24</w:t>
      </w:r>
      <w:r w:rsidR="009A54E1" w:rsidRPr="00AE6EDB">
        <w:rPr>
          <w:color w:val="000000" w:themeColor="text1"/>
          <w:szCs w:val="22"/>
        </w:rPr>
        <w:t>1</w:t>
      </w:r>
      <w:r w:rsidRPr="00AE6EDB">
        <w:rPr>
          <w:color w:val="000000" w:themeColor="text1"/>
          <w:szCs w:val="22"/>
        </w:rPr>
        <w:t xml:space="preserve"> tis.</w:t>
      </w:r>
      <w:r w:rsidR="0054295F">
        <w:rPr>
          <w:color w:val="000000" w:themeColor="text1"/>
          <w:szCs w:val="22"/>
        </w:rPr>
        <w:t> eur</w:t>
      </w:r>
      <w:r w:rsidRPr="00AE6EDB">
        <w:rPr>
          <w:color w:val="000000" w:themeColor="text1"/>
          <w:szCs w:val="22"/>
        </w:rPr>
        <w:t>, čo oproti roku 201</w:t>
      </w:r>
      <w:r w:rsidR="009A54E1" w:rsidRPr="00AE6EDB">
        <w:rPr>
          <w:color w:val="000000" w:themeColor="text1"/>
          <w:szCs w:val="22"/>
        </w:rPr>
        <w:t>4</w:t>
      </w:r>
      <w:r w:rsidRPr="00AE6EDB">
        <w:rPr>
          <w:color w:val="000000" w:themeColor="text1"/>
          <w:szCs w:val="22"/>
        </w:rPr>
        <w:t xml:space="preserve"> predstavuje pokles o 2,</w:t>
      </w:r>
      <w:r w:rsidR="009A54E1" w:rsidRPr="00AE6EDB">
        <w:rPr>
          <w:color w:val="000000" w:themeColor="text1"/>
          <w:szCs w:val="22"/>
        </w:rPr>
        <w:t>8</w:t>
      </w:r>
      <w:r w:rsidRPr="00AE6EDB">
        <w:rPr>
          <w:color w:val="000000" w:themeColor="text1"/>
          <w:szCs w:val="22"/>
        </w:rPr>
        <w:t xml:space="preserve"> tis.</w:t>
      </w:r>
      <w:r w:rsidR="0054295F">
        <w:rPr>
          <w:color w:val="000000" w:themeColor="text1"/>
        </w:rPr>
        <w:t> eur</w:t>
      </w:r>
      <w:r w:rsidRPr="00AE6EDB">
        <w:rPr>
          <w:color w:val="000000" w:themeColor="text1"/>
          <w:szCs w:val="22"/>
        </w:rPr>
        <w:t>. Prepravnú službu v roku 201</w:t>
      </w:r>
      <w:r w:rsidR="009A54E1" w:rsidRPr="00AE6EDB">
        <w:rPr>
          <w:color w:val="000000" w:themeColor="text1"/>
          <w:szCs w:val="22"/>
        </w:rPr>
        <w:t>5</w:t>
      </w:r>
      <w:r w:rsidRPr="00AE6EDB">
        <w:rPr>
          <w:color w:val="000000" w:themeColor="text1"/>
          <w:szCs w:val="22"/>
        </w:rPr>
        <w:t xml:space="preserve"> poskytovalo </w:t>
      </w:r>
      <w:r w:rsidR="009A54E1" w:rsidRPr="00AE6EDB">
        <w:rPr>
          <w:color w:val="000000" w:themeColor="text1"/>
          <w:szCs w:val="22"/>
        </w:rPr>
        <w:t>42</w:t>
      </w:r>
      <w:r w:rsidRPr="00AE6EDB">
        <w:rPr>
          <w:color w:val="000000" w:themeColor="text1"/>
          <w:szCs w:val="22"/>
        </w:rPr>
        <w:t xml:space="preserve"> neverejných poskytovateľov </w:t>
      </w:r>
      <w:r w:rsidR="009A54E1" w:rsidRPr="00AE6EDB">
        <w:rPr>
          <w:color w:val="000000" w:themeColor="text1"/>
          <w:szCs w:val="22"/>
        </w:rPr>
        <w:t xml:space="preserve">(v roku 2014 to bolo 34 neverejných poskytovateľov) </w:t>
      </w:r>
      <w:r w:rsidRPr="00AE6EDB">
        <w:rPr>
          <w:color w:val="000000" w:themeColor="text1"/>
          <w:szCs w:val="22"/>
        </w:rPr>
        <w:t xml:space="preserve">pre </w:t>
      </w:r>
      <w:r w:rsidR="00AC44CB">
        <w:rPr>
          <w:color w:val="000000" w:themeColor="text1"/>
          <w:szCs w:val="22"/>
        </w:rPr>
        <w:t>7 1</w:t>
      </w:r>
      <w:r w:rsidR="009A54E1" w:rsidRPr="00AE6EDB">
        <w:rPr>
          <w:color w:val="000000" w:themeColor="text1"/>
          <w:szCs w:val="22"/>
        </w:rPr>
        <w:t>88</w:t>
      </w:r>
      <w:r w:rsidRPr="00AE6EDB">
        <w:rPr>
          <w:color w:val="000000" w:themeColor="text1"/>
          <w:szCs w:val="22"/>
        </w:rPr>
        <w:t xml:space="preserve"> klientov, čo predstavuje </w:t>
      </w:r>
      <w:r w:rsidR="009A54E1" w:rsidRPr="00AE6EDB">
        <w:rPr>
          <w:color w:val="000000" w:themeColor="text1"/>
          <w:szCs w:val="22"/>
        </w:rPr>
        <w:t>pokles</w:t>
      </w:r>
      <w:r w:rsidRPr="00AE6EDB">
        <w:rPr>
          <w:color w:val="000000" w:themeColor="text1"/>
          <w:szCs w:val="22"/>
        </w:rPr>
        <w:t xml:space="preserve"> oproti roku 201</w:t>
      </w:r>
      <w:r w:rsidR="009A54E1" w:rsidRPr="00AE6EDB">
        <w:rPr>
          <w:color w:val="000000" w:themeColor="text1"/>
          <w:szCs w:val="22"/>
        </w:rPr>
        <w:t>4</w:t>
      </w:r>
      <w:r w:rsidRPr="00AE6EDB">
        <w:rPr>
          <w:color w:val="000000" w:themeColor="text1"/>
          <w:szCs w:val="22"/>
        </w:rPr>
        <w:t xml:space="preserve"> o</w:t>
      </w:r>
      <w:r w:rsidR="009A54E1" w:rsidRPr="00AE6EDB">
        <w:rPr>
          <w:color w:val="000000" w:themeColor="text1"/>
          <w:szCs w:val="22"/>
        </w:rPr>
        <w:t> 631 </w:t>
      </w:r>
      <w:r w:rsidRPr="00AE6EDB">
        <w:rPr>
          <w:color w:val="000000" w:themeColor="text1"/>
          <w:szCs w:val="22"/>
        </w:rPr>
        <w:t>klientov</w:t>
      </w:r>
      <w:r w:rsidR="009A54E1" w:rsidRPr="00AE6EDB">
        <w:rPr>
          <w:color w:val="000000" w:themeColor="text1"/>
          <w:szCs w:val="22"/>
        </w:rPr>
        <w:t>, a to aj napriek vyššiemu počtu poskytovateľov</w:t>
      </w:r>
      <w:r w:rsidRPr="00AE6EDB">
        <w:rPr>
          <w:color w:val="000000" w:themeColor="text1"/>
          <w:szCs w:val="22"/>
        </w:rPr>
        <w:t>. Príjmy neverejných poskytovateľov na</w:t>
      </w:r>
      <w:r w:rsidR="009A54E1" w:rsidRPr="00AE6EDB">
        <w:rPr>
          <w:color w:val="000000" w:themeColor="text1"/>
          <w:szCs w:val="22"/>
        </w:rPr>
        <w:t> </w:t>
      </w:r>
      <w:r w:rsidRPr="00AE6EDB">
        <w:rPr>
          <w:color w:val="000000" w:themeColor="text1"/>
          <w:szCs w:val="22"/>
        </w:rPr>
        <w:t xml:space="preserve">prepravnú službu boli vo výške </w:t>
      </w:r>
      <w:r w:rsidR="009A54E1" w:rsidRPr="00AE6EDB">
        <w:rPr>
          <w:color w:val="000000" w:themeColor="text1"/>
          <w:szCs w:val="22"/>
        </w:rPr>
        <w:t>381,5</w:t>
      </w:r>
      <w:r w:rsidRPr="00AE6EDB">
        <w:rPr>
          <w:color w:val="000000" w:themeColor="text1"/>
          <w:szCs w:val="22"/>
        </w:rPr>
        <w:t> tis.</w:t>
      </w:r>
      <w:r w:rsidR="0054295F">
        <w:rPr>
          <w:color w:val="000000" w:themeColor="text1"/>
          <w:szCs w:val="22"/>
        </w:rPr>
        <w:t> eur</w:t>
      </w:r>
      <w:r w:rsidRPr="00AE6EDB">
        <w:rPr>
          <w:color w:val="000000" w:themeColor="text1"/>
          <w:szCs w:val="22"/>
        </w:rPr>
        <w:t xml:space="preserve"> a ich výdavky predstavovali </w:t>
      </w:r>
      <w:r w:rsidR="009A54E1" w:rsidRPr="00AE6EDB">
        <w:rPr>
          <w:color w:val="000000" w:themeColor="text1"/>
          <w:szCs w:val="22"/>
        </w:rPr>
        <w:t>423,3</w:t>
      </w:r>
      <w:r w:rsidRPr="00AE6EDB">
        <w:rPr>
          <w:color w:val="000000" w:themeColor="text1"/>
          <w:szCs w:val="22"/>
        </w:rPr>
        <w:t xml:space="preserve"> tis.</w:t>
      </w:r>
      <w:r w:rsidR="0054295F">
        <w:rPr>
          <w:color w:val="000000" w:themeColor="text1"/>
          <w:szCs w:val="22"/>
        </w:rPr>
        <w:t> eur</w:t>
      </w:r>
      <w:r w:rsidRPr="00AE6EDB">
        <w:rPr>
          <w:color w:val="000000" w:themeColor="text1"/>
          <w:szCs w:val="22"/>
        </w:rPr>
        <w:t>. Rozdiel vo</w:t>
      </w:r>
      <w:r w:rsidR="009A54E1" w:rsidRPr="00AE6EDB">
        <w:rPr>
          <w:color w:val="000000" w:themeColor="text1"/>
          <w:szCs w:val="22"/>
        </w:rPr>
        <w:t> </w:t>
      </w:r>
      <w:r w:rsidRPr="00AE6EDB">
        <w:rPr>
          <w:color w:val="000000" w:themeColor="text1"/>
          <w:szCs w:val="22"/>
        </w:rPr>
        <w:t xml:space="preserve">výške </w:t>
      </w:r>
      <w:r w:rsidR="009A54E1" w:rsidRPr="00AE6EDB">
        <w:rPr>
          <w:color w:val="000000" w:themeColor="text1"/>
          <w:szCs w:val="22"/>
        </w:rPr>
        <w:t>41,8</w:t>
      </w:r>
      <w:r w:rsidRPr="00AE6EDB">
        <w:rPr>
          <w:color w:val="000000" w:themeColor="text1"/>
          <w:szCs w:val="22"/>
        </w:rPr>
        <w:t xml:space="preserve"> tis.</w:t>
      </w:r>
      <w:r w:rsidR="0054295F">
        <w:rPr>
          <w:color w:val="000000" w:themeColor="text1"/>
          <w:szCs w:val="22"/>
        </w:rPr>
        <w:t> eur</w:t>
      </w:r>
      <w:r w:rsidRPr="00AE6EDB">
        <w:rPr>
          <w:color w:val="000000" w:themeColor="text1"/>
          <w:szCs w:val="22"/>
        </w:rPr>
        <w:t xml:space="preserve"> neverejní poskytovatelia hradili z vlastných rozpočtov. </w:t>
      </w:r>
      <w:r w:rsidRPr="00AE6EDB">
        <w:rPr>
          <w:color w:val="000000"/>
        </w:rPr>
        <w:t>Š</w:t>
      </w:r>
      <w:r w:rsidRPr="00AE6EDB">
        <w:rPr>
          <w:szCs w:val="22"/>
        </w:rPr>
        <w:t xml:space="preserve">tatistické údaje </w:t>
      </w:r>
      <w:r w:rsidR="009A54E1" w:rsidRPr="00AE6EDB">
        <w:rPr>
          <w:szCs w:val="22"/>
        </w:rPr>
        <w:t xml:space="preserve">o prepravnej službe </w:t>
      </w:r>
      <w:r w:rsidRPr="00AE6EDB">
        <w:rPr>
          <w:szCs w:val="22"/>
        </w:rPr>
        <w:t>sú uvedené v prílohe ku kapitole 3, tabuľk</w:t>
      </w:r>
      <w:r w:rsidR="009A54E1" w:rsidRPr="00AE6EDB">
        <w:rPr>
          <w:szCs w:val="22"/>
        </w:rPr>
        <w:t>y</w:t>
      </w:r>
      <w:r w:rsidRPr="00AE6EDB">
        <w:rPr>
          <w:szCs w:val="22"/>
        </w:rPr>
        <w:t xml:space="preserve"> 22</w:t>
      </w:r>
      <w:r w:rsidR="009A54E1" w:rsidRPr="00AE6EDB">
        <w:rPr>
          <w:szCs w:val="22"/>
        </w:rPr>
        <w:t xml:space="preserve"> </w:t>
      </w:r>
      <w:r w:rsidRPr="00AE6EDB">
        <w:rPr>
          <w:szCs w:val="22"/>
        </w:rPr>
        <w:t>a 29.</w:t>
      </w:r>
    </w:p>
    <w:p w:rsidR="000A7585" w:rsidRPr="00AE6EDB" w:rsidRDefault="000A7585" w:rsidP="000A7585">
      <w:pPr>
        <w:pStyle w:val="Nadpis41"/>
        <w:numPr>
          <w:ilvl w:val="0"/>
          <w:numId w:val="0"/>
        </w:numPr>
        <w:ind w:left="864" w:hanging="864"/>
      </w:pPr>
      <w:r w:rsidRPr="00AE6EDB">
        <w:t>Zariadenia sociálnych služieb</w:t>
      </w:r>
      <w:r w:rsidRPr="00AE6EDB">
        <w:rPr>
          <w:rStyle w:val="Odkaznapoznmkupodiarou"/>
        </w:rPr>
        <w:footnoteReference w:id="49"/>
      </w:r>
    </w:p>
    <w:p w:rsidR="000A7585" w:rsidRPr="00AE6EDB" w:rsidRDefault="000A7585" w:rsidP="000A7585">
      <w:pPr>
        <w:ind w:firstLine="708"/>
        <w:rPr>
          <w:color w:val="000000" w:themeColor="text1"/>
          <w:szCs w:val="22"/>
        </w:rPr>
      </w:pPr>
      <w:r w:rsidRPr="00AE6EDB">
        <w:rPr>
          <w:color w:val="000000" w:themeColor="text1"/>
        </w:rPr>
        <w:t>K 31. 12. 201</w:t>
      </w:r>
      <w:r w:rsidR="009A54E1" w:rsidRPr="00AE6EDB">
        <w:rPr>
          <w:color w:val="000000" w:themeColor="text1"/>
        </w:rPr>
        <w:t>4</w:t>
      </w:r>
      <w:r w:rsidRPr="00AE6EDB">
        <w:rPr>
          <w:color w:val="000000" w:themeColor="text1"/>
        </w:rPr>
        <w:t xml:space="preserve"> bolo v Slovenskej republike </w:t>
      </w:r>
      <w:r w:rsidR="00AC44CB">
        <w:rPr>
          <w:color w:val="000000" w:themeColor="text1"/>
        </w:rPr>
        <w:t>5 4</w:t>
      </w:r>
      <w:r w:rsidR="009A54E1" w:rsidRPr="00AE6EDB">
        <w:rPr>
          <w:color w:val="000000" w:themeColor="text1"/>
        </w:rPr>
        <w:t>2</w:t>
      </w:r>
      <w:r w:rsidR="0054295F">
        <w:rPr>
          <w:color w:val="000000" w:themeColor="text1"/>
        </w:rPr>
        <w:t>1 3</w:t>
      </w:r>
      <w:r w:rsidR="009A54E1" w:rsidRPr="00AE6EDB">
        <w:rPr>
          <w:color w:val="000000" w:themeColor="text1"/>
        </w:rPr>
        <w:t>49</w:t>
      </w:r>
      <w:r w:rsidRPr="00AE6EDB">
        <w:rPr>
          <w:color w:val="000000" w:themeColor="text1"/>
        </w:rPr>
        <w:t xml:space="preserve"> obyvateľov, z toho </w:t>
      </w:r>
      <w:r w:rsidR="009A54E1" w:rsidRPr="00AE6EDB">
        <w:rPr>
          <w:color w:val="000000" w:themeColor="text1"/>
        </w:rPr>
        <w:t>4</w:t>
      </w:r>
      <w:r w:rsidR="00AC44CB">
        <w:rPr>
          <w:color w:val="000000" w:themeColor="text1"/>
        </w:rPr>
        <w:t>7 1</w:t>
      </w:r>
      <w:r w:rsidR="009A54E1" w:rsidRPr="00AE6EDB">
        <w:rPr>
          <w:color w:val="000000" w:themeColor="text1"/>
        </w:rPr>
        <w:t>49</w:t>
      </w:r>
      <w:r w:rsidRPr="00AE6EDB">
        <w:rPr>
          <w:color w:val="000000" w:themeColor="text1"/>
        </w:rPr>
        <w:t xml:space="preserve"> (</w:t>
      </w:r>
      <w:r w:rsidR="009A54E1" w:rsidRPr="00AE6EDB">
        <w:rPr>
          <w:color w:val="000000" w:themeColor="text1"/>
        </w:rPr>
        <w:t>4</w:t>
      </w:r>
      <w:r w:rsidR="0054295F">
        <w:rPr>
          <w:color w:val="000000" w:themeColor="text1"/>
        </w:rPr>
        <w:t>3 8</w:t>
      </w:r>
      <w:r w:rsidR="009A54E1" w:rsidRPr="00AE6EDB">
        <w:rPr>
          <w:color w:val="000000" w:themeColor="text1"/>
        </w:rPr>
        <w:t>45</w:t>
      </w:r>
      <w:r w:rsidRPr="00AE6EDB">
        <w:rPr>
          <w:color w:val="000000" w:themeColor="text1"/>
        </w:rPr>
        <w:t>)</w:t>
      </w:r>
      <w:r w:rsidRPr="00AE6EDB">
        <w:rPr>
          <w:rStyle w:val="Odkaznapoznmkupodiarou"/>
          <w:color w:val="000000" w:themeColor="text1"/>
        </w:rPr>
        <w:footnoteReference w:id="50"/>
      </w:r>
      <w:r w:rsidRPr="00AE6EDB">
        <w:rPr>
          <w:color w:val="000000" w:themeColor="text1"/>
        </w:rPr>
        <w:t xml:space="preserve"> obyvateľom (0,</w:t>
      </w:r>
      <w:r w:rsidR="004E3486" w:rsidRPr="00AE6EDB">
        <w:rPr>
          <w:color w:val="000000" w:themeColor="text1"/>
        </w:rPr>
        <w:t>8</w:t>
      </w:r>
      <w:r w:rsidR="009A54E1" w:rsidRPr="00AE6EDB">
        <w:rPr>
          <w:color w:val="000000" w:themeColor="text1"/>
        </w:rPr>
        <w:t>7</w:t>
      </w:r>
      <w:r w:rsidR="005676EF">
        <w:rPr>
          <w:color w:val="000000" w:themeColor="text1"/>
        </w:rPr>
        <w:t> %</w:t>
      </w:r>
      <w:r w:rsidRPr="00AE6EDB">
        <w:rPr>
          <w:color w:val="000000" w:themeColor="text1"/>
        </w:rPr>
        <w:t>) boli poskytované služby v</w:t>
      </w:r>
      <w:r w:rsidR="009A54E1" w:rsidRPr="00AE6EDB">
        <w:rPr>
          <w:color w:val="000000" w:themeColor="text1"/>
        </w:rPr>
        <w:t> </w:t>
      </w:r>
      <w:r w:rsidR="0054295F">
        <w:rPr>
          <w:color w:val="000000" w:themeColor="text1"/>
        </w:rPr>
        <w:t>1 1</w:t>
      </w:r>
      <w:r w:rsidR="009A54E1" w:rsidRPr="00AE6EDB">
        <w:rPr>
          <w:color w:val="000000" w:themeColor="text1"/>
        </w:rPr>
        <w:t>5</w:t>
      </w:r>
      <w:r w:rsidRPr="00AE6EDB">
        <w:rPr>
          <w:color w:val="000000" w:themeColor="text1"/>
        </w:rPr>
        <w:t>8 (</w:t>
      </w:r>
      <w:r w:rsidR="0054295F">
        <w:rPr>
          <w:color w:val="000000" w:themeColor="text1"/>
        </w:rPr>
        <w:t>1 1</w:t>
      </w:r>
      <w:r w:rsidR="009A54E1" w:rsidRPr="00AE6EDB">
        <w:rPr>
          <w:color w:val="000000" w:themeColor="text1"/>
        </w:rPr>
        <w:t>68</w:t>
      </w:r>
      <w:r w:rsidRPr="00AE6EDB">
        <w:rPr>
          <w:color w:val="000000" w:themeColor="text1"/>
        </w:rPr>
        <w:t>) zariadeniach sociálnych služieb zriadených obcou, vyšším územným celkom alebo neverejným poskytovateľom.</w:t>
      </w:r>
      <w:r w:rsidRPr="00AE6EDB">
        <w:rPr>
          <w:color w:val="000000" w:themeColor="text1"/>
          <w:szCs w:val="22"/>
        </w:rPr>
        <w:t xml:space="preserve"> Sociálne služby, ktoré majú charakter dlhodobej starostlivosti, boli poskytované </w:t>
      </w:r>
      <w:r w:rsidR="009A54E1" w:rsidRPr="00AE6EDB">
        <w:rPr>
          <w:color w:val="000000" w:themeColor="text1"/>
          <w:szCs w:val="22"/>
        </w:rPr>
        <w:t>3</w:t>
      </w:r>
      <w:r w:rsidR="00AC44CB">
        <w:rPr>
          <w:color w:val="000000" w:themeColor="text1"/>
          <w:szCs w:val="22"/>
        </w:rPr>
        <w:t>8 5</w:t>
      </w:r>
      <w:r w:rsidR="009A54E1" w:rsidRPr="00AE6EDB">
        <w:rPr>
          <w:color w:val="000000" w:themeColor="text1"/>
          <w:szCs w:val="22"/>
        </w:rPr>
        <w:t>67</w:t>
      </w:r>
      <w:r w:rsidRPr="00AE6EDB">
        <w:rPr>
          <w:color w:val="000000" w:themeColor="text1"/>
          <w:szCs w:val="22"/>
        </w:rPr>
        <w:t xml:space="preserve"> (</w:t>
      </w:r>
      <w:r w:rsidR="009A54E1" w:rsidRPr="00AE6EDB">
        <w:rPr>
          <w:color w:val="000000" w:themeColor="text1"/>
          <w:szCs w:val="22"/>
        </w:rPr>
        <w:t>3</w:t>
      </w:r>
      <w:r w:rsidR="00AC44CB">
        <w:rPr>
          <w:color w:val="000000" w:themeColor="text1"/>
          <w:szCs w:val="22"/>
        </w:rPr>
        <w:t>6 4</w:t>
      </w:r>
      <w:r w:rsidR="009A54E1" w:rsidRPr="00AE6EDB">
        <w:rPr>
          <w:color w:val="000000" w:themeColor="text1"/>
          <w:szCs w:val="22"/>
        </w:rPr>
        <w:t>41</w:t>
      </w:r>
      <w:r w:rsidRPr="00AE6EDB">
        <w:rPr>
          <w:color w:val="000000" w:themeColor="text1"/>
          <w:szCs w:val="22"/>
        </w:rPr>
        <w:t>) prijímateľom v</w:t>
      </w:r>
      <w:r w:rsidR="001110A1">
        <w:rPr>
          <w:color w:val="000000" w:themeColor="text1"/>
          <w:szCs w:val="22"/>
        </w:rPr>
        <w:t> </w:t>
      </w:r>
      <w:r w:rsidRPr="00AE6EDB">
        <w:rPr>
          <w:color w:val="000000" w:themeColor="text1"/>
          <w:szCs w:val="22"/>
        </w:rPr>
        <w:t>99</w:t>
      </w:r>
      <w:r w:rsidR="009A54E1" w:rsidRPr="00AE6EDB">
        <w:rPr>
          <w:color w:val="000000" w:themeColor="text1"/>
          <w:szCs w:val="22"/>
        </w:rPr>
        <w:t>7</w:t>
      </w:r>
      <w:r w:rsidR="001110A1">
        <w:rPr>
          <w:color w:val="000000" w:themeColor="text1"/>
          <w:szCs w:val="22"/>
        </w:rPr>
        <w:t> </w:t>
      </w:r>
      <w:r w:rsidRPr="00AE6EDB">
        <w:rPr>
          <w:color w:val="000000" w:themeColor="text1"/>
          <w:szCs w:val="22"/>
        </w:rPr>
        <w:t>(9</w:t>
      </w:r>
      <w:r w:rsidR="009A54E1" w:rsidRPr="00AE6EDB">
        <w:rPr>
          <w:color w:val="000000" w:themeColor="text1"/>
          <w:szCs w:val="22"/>
        </w:rPr>
        <w:t>95</w:t>
      </w:r>
      <w:r w:rsidRPr="00AE6EDB">
        <w:rPr>
          <w:color w:val="000000" w:themeColor="text1"/>
          <w:szCs w:val="22"/>
        </w:rPr>
        <w:t>) zariadeniach (zariadenie pre seniorov, domov sociálnych služieb, špecializované zariadenie, denný stacionár, zariadenie podporovaného bývania, rehabilitačné stredisko, zariadenie opatrovateľskej služby).</w:t>
      </w:r>
    </w:p>
    <w:p w:rsidR="000A7585" w:rsidRPr="00AE6EDB" w:rsidRDefault="000A7585" w:rsidP="000A7585">
      <w:pPr>
        <w:pStyle w:val="Zarkazkladnhotextu2"/>
        <w:spacing w:after="0"/>
        <w:ind w:left="0" w:firstLine="709"/>
        <w:rPr>
          <w:color w:val="000000" w:themeColor="text1"/>
          <w:sz w:val="22"/>
          <w:szCs w:val="22"/>
          <w:lang w:val="sk-SK"/>
        </w:rPr>
      </w:pPr>
      <w:r w:rsidRPr="00AE6EDB">
        <w:rPr>
          <w:iCs w:val="0"/>
          <w:color w:val="000000" w:themeColor="text1"/>
          <w:sz w:val="22"/>
          <w:szCs w:val="22"/>
          <w:lang w:val="sk-SK"/>
        </w:rPr>
        <w:t>V roku 201</w:t>
      </w:r>
      <w:r w:rsidR="009A54E1" w:rsidRPr="00AE6EDB">
        <w:rPr>
          <w:iCs w:val="0"/>
          <w:color w:val="000000" w:themeColor="text1"/>
          <w:sz w:val="22"/>
          <w:szCs w:val="22"/>
          <w:lang w:val="sk-SK"/>
        </w:rPr>
        <w:t>4</w:t>
      </w:r>
      <w:r w:rsidRPr="00AE6EDB">
        <w:rPr>
          <w:iCs w:val="0"/>
          <w:color w:val="000000" w:themeColor="text1"/>
          <w:sz w:val="22"/>
          <w:szCs w:val="22"/>
          <w:lang w:val="sk-SK"/>
        </w:rPr>
        <w:t xml:space="preserve"> bolo v Slovenskej republike spolu vo všetkých druhoch zariadení sociálnych služieb 4</w:t>
      </w:r>
      <w:r w:rsidR="00AC44CB">
        <w:rPr>
          <w:iCs w:val="0"/>
          <w:color w:val="000000" w:themeColor="text1"/>
          <w:sz w:val="22"/>
          <w:szCs w:val="22"/>
          <w:lang w:val="sk-SK"/>
        </w:rPr>
        <w:t>6 0</w:t>
      </w:r>
      <w:r w:rsidR="00907868" w:rsidRPr="00AE6EDB">
        <w:rPr>
          <w:iCs w:val="0"/>
          <w:color w:val="000000" w:themeColor="text1"/>
          <w:sz w:val="22"/>
          <w:szCs w:val="22"/>
          <w:lang w:val="sk-SK"/>
        </w:rPr>
        <w:t>94</w:t>
      </w:r>
      <w:r w:rsidRPr="00AE6EDB">
        <w:rPr>
          <w:iCs w:val="0"/>
          <w:color w:val="000000" w:themeColor="text1"/>
          <w:sz w:val="22"/>
          <w:szCs w:val="22"/>
          <w:lang w:val="sk-SK"/>
        </w:rPr>
        <w:t xml:space="preserve"> (</w:t>
      </w:r>
      <w:r w:rsidR="00907868" w:rsidRPr="00AE6EDB">
        <w:rPr>
          <w:iCs w:val="0"/>
          <w:color w:val="000000" w:themeColor="text1"/>
          <w:sz w:val="22"/>
          <w:szCs w:val="22"/>
          <w:lang w:val="sk-SK"/>
        </w:rPr>
        <w:t>4</w:t>
      </w:r>
      <w:r w:rsidR="0054295F">
        <w:rPr>
          <w:iCs w:val="0"/>
          <w:color w:val="000000" w:themeColor="text1"/>
          <w:sz w:val="22"/>
          <w:szCs w:val="22"/>
          <w:lang w:val="sk-SK"/>
        </w:rPr>
        <w:t>2 7</w:t>
      </w:r>
      <w:r w:rsidR="00907868" w:rsidRPr="00AE6EDB">
        <w:rPr>
          <w:iCs w:val="0"/>
          <w:color w:val="000000" w:themeColor="text1"/>
          <w:sz w:val="22"/>
          <w:szCs w:val="22"/>
          <w:lang w:val="sk-SK"/>
        </w:rPr>
        <w:t>97</w:t>
      </w:r>
      <w:r w:rsidRPr="00AE6EDB">
        <w:rPr>
          <w:iCs w:val="0"/>
          <w:color w:val="000000" w:themeColor="text1"/>
          <w:sz w:val="22"/>
          <w:szCs w:val="22"/>
          <w:lang w:val="sk-SK"/>
        </w:rPr>
        <w:t>) miest, z toho sa celoročná starostlivosť poskytovala v rámci 3</w:t>
      </w:r>
      <w:r w:rsidR="00AC44CB">
        <w:rPr>
          <w:iCs w:val="0"/>
          <w:color w:val="000000" w:themeColor="text1"/>
          <w:sz w:val="22"/>
          <w:szCs w:val="22"/>
          <w:lang w:val="sk-SK"/>
        </w:rPr>
        <w:t>9 0</w:t>
      </w:r>
      <w:r w:rsidR="00907868" w:rsidRPr="00AE6EDB">
        <w:rPr>
          <w:iCs w:val="0"/>
          <w:color w:val="000000" w:themeColor="text1"/>
          <w:sz w:val="22"/>
          <w:szCs w:val="22"/>
          <w:lang w:val="sk-SK"/>
        </w:rPr>
        <w:t>78</w:t>
      </w:r>
      <w:r w:rsidRPr="00AE6EDB">
        <w:rPr>
          <w:iCs w:val="0"/>
          <w:color w:val="000000" w:themeColor="text1"/>
          <w:sz w:val="22"/>
          <w:szCs w:val="22"/>
          <w:lang w:val="sk-SK"/>
        </w:rPr>
        <w:t xml:space="preserve"> (3</w:t>
      </w:r>
      <w:r w:rsidR="00AC44CB">
        <w:rPr>
          <w:iCs w:val="0"/>
          <w:color w:val="000000" w:themeColor="text1"/>
          <w:sz w:val="22"/>
          <w:szCs w:val="22"/>
          <w:lang w:val="sk-SK"/>
        </w:rPr>
        <w:t>8 2</w:t>
      </w:r>
      <w:r w:rsidR="00907868" w:rsidRPr="00AE6EDB">
        <w:rPr>
          <w:iCs w:val="0"/>
          <w:color w:val="000000" w:themeColor="text1"/>
          <w:sz w:val="22"/>
          <w:szCs w:val="22"/>
          <w:lang w:val="sk-SK"/>
        </w:rPr>
        <w:t>49</w:t>
      </w:r>
      <w:r w:rsidRPr="00AE6EDB">
        <w:rPr>
          <w:iCs w:val="0"/>
          <w:color w:val="000000" w:themeColor="text1"/>
          <w:sz w:val="22"/>
          <w:szCs w:val="22"/>
          <w:lang w:val="sk-SK"/>
        </w:rPr>
        <w:t>) miest (8</w:t>
      </w:r>
      <w:r w:rsidR="00907868" w:rsidRPr="00AE6EDB">
        <w:rPr>
          <w:iCs w:val="0"/>
          <w:color w:val="000000" w:themeColor="text1"/>
          <w:sz w:val="22"/>
          <w:szCs w:val="22"/>
          <w:lang w:val="sk-SK"/>
        </w:rPr>
        <w:t>4,8</w:t>
      </w:r>
      <w:r w:rsidR="005676EF">
        <w:rPr>
          <w:iCs w:val="0"/>
          <w:color w:val="000000" w:themeColor="text1"/>
          <w:sz w:val="22"/>
          <w:szCs w:val="22"/>
          <w:lang w:val="sk-SK"/>
        </w:rPr>
        <w:t> %</w:t>
      </w:r>
      <w:r w:rsidRPr="00AE6EDB">
        <w:rPr>
          <w:iCs w:val="0"/>
          <w:color w:val="000000" w:themeColor="text1"/>
          <w:sz w:val="22"/>
          <w:szCs w:val="22"/>
          <w:lang w:val="sk-SK"/>
        </w:rPr>
        <w:t xml:space="preserve">), týždenná starostlivosť </w:t>
      </w:r>
      <w:r w:rsidR="0054295F">
        <w:rPr>
          <w:iCs w:val="0"/>
          <w:color w:val="000000" w:themeColor="text1"/>
          <w:sz w:val="22"/>
          <w:szCs w:val="22"/>
          <w:lang w:val="sk-SK"/>
        </w:rPr>
        <w:t>1 5</w:t>
      </w:r>
      <w:r w:rsidR="00907868" w:rsidRPr="00AE6EDB">
        <w:rPr>
          <w:iCs w:val="0"/>
          <w:color w:val="000000" w:themeColor="text1"/>
          <w:sz w:val="22"/>
          <w:szCs w:val="22"/>
          <w:lang w:val="sk-SK"/>
        </w:rPr>
        <w:t>54</w:t>
      </w:r>
      <w:r w:rsidRPr="00AE6EDB">
        <w:rPr>
          <w:iCs w:val="0"/>
          <w:color w:val="000000" w:themeColor="text1"/>
          <w:sz w:val="22"/>
          <w:szCs w:val="22"/>
          <w:lang w:val="sk-SK"/>
        </w:rPr>
        <w:t xml:space="preserve"> (6</w:t>
      </w:r>
      <w:r w:rsidR="00907868" w:rsidRPr="00AE6EDB">
        <w:rPr>
          <w:iCs w:val="0"/>
          <w:color w:val="000000" w:themeColor="text1"/>
          <w:sz w:val="22"/>
          <w:szCs w:val="22"/>
          <w:lang w:val="sk-SK"/>
        </w:rPr>
        <w:t>54</w:t>
      </w:r>
      <w:r w:rsidRPr="00AE6EDB">
        <w:rPr>
          <w:iCs w:val="0"/>
          <w:color w:val="000000" w:themeColor="text1"/>
          <w:sz w:val="22"/>
          <w:szCs w:val="22"/>
          <w:lang w:val="sk-SK"/>
        </w:rPr>
        <w:t>)</w:t>
      </w:r>
      <w:r w:rsidR="00907868" w:rsidRPr="00AE6EDB">
        <w:rPr>
          <w:iCs w:val="0"/>
          <w:color w:val="000000" w:themeColor="text1"/>
          <w:sz w:val="22"/>
          <w:szCs w:val="22"/>
          <w:lang w:val="sk-SK"/>
        </w:rPr>
        <w:t xml:space="preserve"> </w:t>
      </w:r>
      <w:r w:rsidRPr="00AE6EDB">
        <w:rPr>
          <w:iCs w:val="0"/>
          <w:color w:val="000000" w:themeColor="text1"/>
          <w:sz w:val="22"/>
          <w:szCs w:val="22"/>
          <w:lang w:val="sk-SK"/>
        </w:rPr>
        <w:t>miest (</w:t>
      </w:r>
      <w:r w:rsidR="00907868" w:rsidRPr="00AE6EDB">
        <w:rPr>
          <w:iCs w:val="0"/>
          <w:color w:val="000000" w:themeColor="text1"/>
          <w:sz w:val="22"/>
          <w:szCs w:val="22"/>
          <w:lang w:val="sk-SK"/>
        </w:rPr>
        <w:t>3,4</w:t>
      </w:r>
      <w:r w:rsidR="005676EF">
        <w:rPr>
          <w:iCs w:val="0"/>
          <w:color w:val="000000" w:themeColor="text1"/>
          <w:sz w:val="22"/>
          <w:szCs w:val="22"/>
          <w:lang w:val="sk-SK"/>
        </w:rPr>
        <w:t> %</w:t>
      </w:r>
      <w:r w:rsidRPr="00AE6EDB">
        <w:rPr>
          <w:iCs w:val="0"/>
          <w:color w:val="000000" w:themeColor="text1"/>
          <w:sz w:val="22"/>
          <w:szCs w:val="22"/>
          <w:lang w:val="sk-SK"/>
        </w:rPr>
        <w:t xml:space="preserve">), denná starostlivosť </w:t>
      </w:r>
      <w:r w:rsidR="0054295F">
        <w:rPr>
          <w:iCs w:val="0"/>
          <w:color w:val="000000" w:themeColor="text1"/>
          <w:sz w:val="22"/>
          <w:szCs w:val="22"/>
          <w:lang w:val="sk-SK"/>
        </w:rPr>
        <w:t>3 4</w:t>
      </w:r>
      <w:r w:rsidR="00907868" w:rsidRPr="00AE6EDB">
        <w:rPr>
          <w:iCs w:val="0"/>
          <w:color w:val="000000" w:themeColor="text1"/>
          <w:sz w:val="22"/>
          <w:szCs w:val="22"/>
          <w:lang w:val="sk-SK"/>
        </w:rPr>
        <w:t>12</w:t>
      </w:r>
      <w:r w:rsidRPr="00AE6EDB">
        <w:rPr>
          <w:iCs w:val="0"/>
          <w:color w:val="000000" w:themeColor="text1"/>
          <w:sz w:val="22"/>
          <w:szCs w:val="22"/>
          <w:lang w:val="sk-SK"/>
        </w:rPr>
        <w:t xml:space="preserve"> (</w:t>
      </w:r>
      <w:r w:rsidR="0054295F">
        <w:rPr>
          <w:iCs w:val="0"/>
          <w:color w:val="000000" w:themeColor="text1"/>
          <w:sz w:val="22"/>
          <w:szCs w:val="22"/>
          <w:lang w:val="sk-SK"/>
        </w:rPr>
        <w:t>2 7</w:t>
      </w:r>
      <w:r w:rsidR="00907868" w:rsidRPr="00AE6EDB">
        <w:rPr>
          <w:iCs w:val="0"/>
          <w:color w:val="000000" w:themeColor="text1"/>
          <w:sz w:val="22"/>
          <w:szCs w:val="22"/>
          <w:lang w:val="sk-SK"/>
        </w:rPr>
        <w:t>28</w:t>
      </w:r>
      <w:r w:rsidRPr="00AE6EDB">
        <w:rPr>
          <w:iCs w:val="0"/>
          <w:color w:val="000000" w:themeColor="text1"/>
          <w:sz w:val="22"/>
          <w:szCs w:val="22"/>
          <w:lang w:val="sk-SK"/>
        </w:rPr>
        <w:t>) miest (</w:t>
      </w:r>
      <w:r w:rsidR="003C2556" w:rsidRPr="00AE6EDB">
        <w:rPr>
          <w:iCs w:val="0"/>
          <w:color w:val="000000" w:themeColor="text1"/>
          <w:sz w:val="22"/>
          <w:szCs w:val="22"/>
          <w:lang w:val="sk-SK"/>
        </w:rPr>
        <w:t>7</w:t>
      </w:r>
      <w:r w:rsidRPr="00AE6EDB">
        <w:rPr>
          <w:iCs w:val="0"/>
          <w:color w:val="000000" w:themeColor="text1"/>
          <w:sz w:val="22"/>
          <w:szCs w:val="22"/>
          <w:lang w:val="sk-SK"/>
        </w:rPr>
        <w:t>,4</w:t>
      </w:r>
      <w:r w:rsidR="005676EF">
        <w:rPr>
          <w:iCs w:val="0"/>
          <w:color w:val="000000" w:themeColor="text1"/>
          <w:sz w:val="22"/>
          <w:szCs w:val="22"/>
          <w:lang w:val="sk-SK"/>
        </w:rPr>
        <w:t> %</w:t>
      </w:r>
      <w:r w:rsidRPr="00AE6EDB">
        <w:rPr>
          <w:iCs w:val="0"/>
          <w:color w:val="000000" w:themeColor="text1"/>
          <w:sz w:val="22"/>
          <w:szCs w:val="22"/>
          <w:lang w:val="sk-SK"/>
        </w:rPr>
        <w:t xml:space="preserve">) a prechodne sa starostlivosť poskytovala na </w:t>
      </w:r>
      <w:r w:rsidR="0054295F">
        <w:rPr>
          <w:iCs w:val="0"/>
          <w:color w:val="000000" w:themeColor="text1"/>
          <w:sz w:val="22"/>
          <w:szCs w:val="22"/>
          <w:lang w:val="sk-SK"/>
        </w:rPr>
        <w:t>1 9</w:t>
      </w:r>
      <w:r w:rsidR="003C2556" w:rsidRPr="00AE6EDB">
        <w:rPr>
          <w:iCs w:val="0"/>
          <w:color w:val="000000" w:themeColor="text1"/>
          <w:sz w:val="22"/>
          <w:szCs w:val="22"/>
          <w:lang w:val="sk-SK"/>
        </w:rPr>
        <w:t>25</w:t>
      </w:r>
      <w:r w:rsidRPr="00AE6EDB">
        <w:rPr>
          <w:iCs w:val="0"/>
          <w:color w:val="000000" w:themeColor="text1"/>
          <w:sz w:val="22"/>
          <w:szCs w:val="22"/>
          <w:lang w:val="sk-SK"/>
        </w:rPr>
        <w:t xml:space="preserve"> (</w:t>
      </w:r>
      <w:r w:rsidR="0054295F">
        <w:rPr>
          <w:iCs w:val="0"/>
          <w:color w:val="000000" w:themeColor="text1"/>
          <w:sz w:val="22"/>
          <w:szCs w:val="22"/>
          <w:lang w:val="sk-SK"/>
        </w:rPr>
        <w:t>1 0</w:t>
      </w:r>
      <w:r w:rsidR="003C2556" w:rsidRPr="00AE6EDB">
        <w:rPr>
          <w:iCs w:val="0"/>
          <w:color w:val="000000" w:themeColor="text1"/>
          <w:sz w:val="22"/>
          <w:szCs w:val="22"/>
          <w:lang w:val="sk-SK"/>
        </w:rPr>
        <w:t>27</w:t>
      </w:r>
      <w:r w:rsidRPr="00AE6EDB">
        <w:rPr>
          <w:iCs w:val="0"/>
          <w:color w:val="000000" w:themeColor="text1"/>
          <w:sz w:val="22"/>
          <w:szCs w:val="22"/>
          <w:lang w:val="sk-SK"/>
        </w:rPr>
        <w:t>) miestach (</w:t>
      </w:r>
      <w:r w:rsidR="003C2556" w:rsidRPr="00AE6EDB">
        <w:rPr>
          <w:iCs w:val="0"/>
          <w:color w:val="000000" w:themeColor="text1"/>
          <w:sz w:val="22"/>
          <w:szCs w:val="22"/>
          <w:lang w:val="sk-SK"/>
        </w:rPr>
        <w:t>4,2</w:t>
      </w:r>
      <w:r w:rsidR="005676EF">
        <w:rPr>
          <w:iCs w:val="0"/>
          <w:color w:val="000000" w:themeColor="text1"/>
          <w:sz w:val="22"/>
          <w:szCs w:val="22"/>
          <w:lang w:val="sk-SK"/>
        </w:rPr>
        <w:t> %</w:t>
      </w:r>
      <w:r w:rsidRPr="00AE6EDB">
        <w:rPr>
          <w:iCs w:val="0"/>
          <w:color w:val="000000" w:themeColor="text1"/>
          <w:sz w:val="22"/>
          <w:szCs w:val="22"/>
          <w:lang w:val="sk-SK"/>
        </w:rPr>
        <w:t>).</w:t>
      </w:r>
      <w:r w:rsidRPr="00AE6EDB">
        <w:rPr>
          <w:color w:val="000000" w:themeColor="text1"/>
          <w:sz w:val="22"/>
          <w:szCs w:val="22"/>
          <w:lang w:val="sk-SK"/>
        </w:rPr>
        <w:t xml:space="preserve"> Z celkového počtu miest až </w:t>
      </w:r>
      <w:r w:rsidR="003C2556" w:rsidRPr="00AE6EDB">
        <w:rPr>
          <w:color w:val="000000" w:themeColor="text1"/>
          <w:sz w:val="22"/>
          <w:szCs w:val="22"/>
          <w:lang w:val="sk-SK"/>
        </w:rPr>
        <w:t>4</w:t>
      </w:r>
      <w:r w:rsidR="0054295F">
        <w:rPr>
          <w:color w:val="000000" w:themeColor="text1"/>
          <w:sz w:val="22"/>
          <w:szCs w:val="22"/>
          <w:lang w:val="sk-SK"/>
        </w:rPr>
        <w:t>2 4</w:t>
      </w:r>
      <w:r w:rsidR="003C2556" w:rsidRPr="00AE6EDB">
        <w:rPr>
          <w:color w:val="000000" w:themeColor="text1"/>
          <w:sz w:val="22"/>
          <w:szCs w:val="22"/>
          <w:lang w:val="sk-SK"/>
        </w:rPr>
        <w:t>18</w:t>
      </w:r>
      <w:r w:rsidRPr="00AE6EDB">
        <w:rPr>
          <w:color w:val="000000" w:themeColor="text1"/>
          <w:sz w:val="22"/>
          <w:szCs w:val="22"/>
          <w:lang w:val="sk-SK"/>
        </w:rPr>
        <w:t xml:space="preserve"> (3</w:t>
      </w:r>
      <w:r w:rsidR="00AC44CB">
        <w:rPr>
          <w:color w:val="000000" w:themeColor="text1"/>
          <w:sz w:val="22"/>
          <w:szCs w:val="22"/>
          <w:lang w:val="sk-SK"/>
        </w:rPr>
        <w:t>9 0</w:t>
      </w:r>
      <w:r w:rsidR="003C2556" w:rsidRPr="00AE6EDB">
        <w:rPr>
          <w:color w:val="000000" w:themeColor="text1"/>
          <w:sz w:val="22"/>
          <w:szCs w:val="22"/>
          <w:lang w:val="sk-SK"/>
        </w:rPr>
        <w:t>04</w:t>
      </w:r>
      <w:r w:rsidRPr="00AE6EDB">
        <w:rPr>
          <w:color w:val="000000" w:themeColor="text1"/>
          <w:sz w:val="22"/>
          <w:szCs w:val="22"/>
          <w:lang w:val="sk-SK"/>
        </w:rPr>
        <w:t>) miest (9</w:t>
      </w:r>
      <w:r w:rsidR="003C2556" w:rsidRPr="00AE6EDB">
        <w:rPr>
          <w:color w:val="000000" w:themeColor="text1"/>
          <w:sz w:val="22"/>
          <w:szCs w:val="22"/>
          <w:lang w:val="sk-SK"/>
        </w:rPr>
        <w:t>2,0</w:t>
      </w:r>
      <w:r w:rsidR="005676EF">
        <w:rPr>
          <w:color w:val="000000" w:themeColor="text1"/>
          <w:sz w:val="22"/>
          <w:szCs w:val="22"/>
          <w:lang w:val="sk-SK"/>
        </w:rPr>
        <w:t> %</w:t>
      </w:r>
      <w:r w:rsidRPr="00AE6EDB">
        <w:rPr>
          <w:color w:val="000000" w:themeColor="text1"/>
          <w:sz w:val="22"/>
          <w:szCs w:val="22"/>
          <w:lang w:val="sk-SK"/>
        </w:rPr>
        <w:t>) pripadá na sociálne služby, ktoré majú charakter dlhodobej starostlivosti.</w:t>
      </w:r>
    </w:p>
    <w:p w:rsidR="000A7585" w:rsidRPr="00AE6EDB" w:rsidRDefault="000A7585" w:rsidP="000A7585">
      <w:pPr>
        <w:pStyle w:val="Zarkazkladnhotextu"/>
        <w:ind w:left="0" w:firstLine="708"/>
        <w:rPr>
          <w:b w:val="0"/>
          <w:color w:val="000000" w:themeColor="text1"/>
          <w:sz w:val="22"/>
          <w:szCs w:val="22"/>
          <w:lang w:val="sk-SK"/>
        </w:rPr>
      </w:pPr>
      <w:r w:rsidRPr="00AE6EDB">
        <w:rPr>
          <w:b w:val="0"/>
          <w:color w:val="000000" w:themeColor="text1"/>
          <w:sz w:val="22"/>
          <w:szCs w:val="22"/>
          <w:lang w:val="sk-SK"/>
        </w:rPr>
        <w:t>Zariadenia sociálnych služieb ku koncu roku 201</w:t>
      </w:r>
      <w:r w:rsidR="003C2556" w:rsidRPr="00AE6EDB">
        <w:rPr>
          <w:b w:val="0"/>
          <w:color w:val="000000" w:themeColor="text1"/>
          <w:sz w:val="22"/>
          <w:szCs w:val="22"/>
          <w:lang w:val="sk-SK"/>
        </w:rPr>
        <w:t>4</w:t>
      </w:r>
      <w:r w:rsidRPr="00AE6EDB">
        <w:rPr>
          <w:b w:val="0"/>
          <w:color w:val="000000" w:themeColor="text1"/>
          <w:sz w:val="22"/>
          <w:szCs w:val="22"/>
          <w:lang w:val="sk-SK"/>
        </w:rPr>
        <w:t xml:space="preserve"> poskytovali sociálnu službu spolu </w:t>
      </w:r>
      <w:r w:rsidR="003C2556" w:rsidRPr="00AE6EDB">
        <w:rPr>
          <w:b w:val="0"/>
          <w:color w:val="000000" w:themeColor="text1"/>
          <w:sz w:val="22"/>
          <w:szCs w:val="22"/>
          <w:lang w:val="sk-SK"/>
        </w:rPr>
        <w:t>4</w:t>
      </w:r>
      <w:r w:rsidR="00AC44CB">
        <w:rPr>
          <w:b w:val="0"/>
          <w:color w:val="000000" w:themeColor="text1"/>
          <w:sz w:val="22"/>
          <w:szCs w:val="22"/>
          <w:lang w:val="sk-SK"/>
        </w:rPr>
        <w:t>7 1</w:t>
      </w:r>
      <w:r w:rsidR="003C2556" w:rsidRPr="00AE6EDB">
        <w:rPr>
          <w:b w:val="0"/>
          <w:color w:val="000000" w:themeColor="text1"/>
          <w:sz w:val="22"/>
          <w:szCs w:val="22"/>
          <w:lang w:val="sk-SK"/>
        </w:rPr>
        <w:t>49</w:t>
      </w:r>
      <w:r w:rsidR="001110A1">
        <w:rPr>
          <w:b w:val="0"/>
          <w:color w:val="000000" w:themeColor="text1"/>
          <w:sz w:val="22"/>
          <w:szCs w:val="22"/>
          <w:lang w:val="sk-SK"/>
        </w:rPr>
        <w:t> </w:t>
      </w:r>
      <w:r w:rsidRPr="00AE6EDB">
        <w:rPr>
          <w:b w:val="0"/>
          <w:color w:val="000000" w:themeColor="text1"/>
          <w:sz w:val="22"/>
          <w:szCs w:val="22"/>
          <w:lang w:val="sk-SK"/>
        </w:rPr>
        <w:t>(</w:t>
      </w:r>
      <w:r w:rsidR="002E61DF" w:rsidRPr="00AE6EDB">
        <w:rPr>
          <w:b w:val="0"/>
          <w:color w:val="000000" w:themeColor="text1"/>
          <w:sz w:val="22"/>
          <w:szCs w:val="22"/>
          <w:lang w:val="sk-SK"/>
        </w:rPr>
        <w:t>4</w:t>
      </w:r>
      <w:r w:rsidR="0054295F">
        <w:rPr>
          <w:b w:val="0"/>
          <w:color w:val="000000" w:themeColor="text1"/>
          <w:sz w:val="22"/>
          <w:szCs w:val="22"/>
          <w:lang w:val="sk-SK"/>
        </w:rPr>
        <w:t>3 8</w:t>
      </w:r>
      <w:r w:rsidR="002E61DF" w:rsidRPr="00AE6EDB">
        <w:rPr>
          <w:b w:val="0"/>
          <w:color w:val="000000" w:themeColor="text1"/>
          <w:sz w:val="22"/>
          <w:szCs w:val="22"/>
          <w:lang w:val="sk-SK"/>
        </w:rPr>
        <w:t>45</w:t>
      </w:r>
      <w:r w:rsidRPr="00AE6EDB">
        <w:rPr>
          <w:b w:val="0"/>
          <w:color w:val="000000" w:themeColor="text1"/>
          <w:sz w:val="22"/>
          <w:szCs w:val="22"/>
          <w:lang w:val="sk-SK"/>
        </w:rPr>
        <w:t xml:space="preserve">) prijímateľom. Z celkového počtu prijímateľov v zariadeniach sociálnych služieb bolo </w:t>
      </w:r>
      <w:r w:rsidR="002E61DF" w:rsidRPr="00AE6EDB">
        <w:rPr>
          <w:b w:val="0"/>
          <w:color w:val="000000" w:themeColor="text1"/>
          <w:sz w:val="22"/>
          <w:szCs w:val="22"/>
          <w:lang w:val="sk-SK"/>
        </w:rPr>
        <w:t>2</w:t>
      </w:r>
      <w:r w:rsidR="00AC44CB">
        <w:rPr>
          <w:b w:val="0"/>
          <w:color w:val="000000" w:themeColor="text1"/>
          <w:sz w:val="22"/>
          <w:szCs w:val="22"/>
          <w:lang w:val="sk-SK"/>
        </w:rPr>
        <w:t>4 9</w:t>
      </w:r>
      <w:r w:rsidR="002E61DF" w:rsidRPr="00AE6EDB">
        <w:rPr>
          <w:b w:val="0"/>
          <w:color w:val="000000" w:themeColor="text1"/>
          <w:sz w:val="22"/>
          <w:szCs w:val="22"/>
          <w:lang w:val="sk-SK"/>
        </w:rPr>
        <w:t>10 (2</w:t>
      </w:r>
      <w:r w:rsidR="00AC44CB">
        <w:rPr>
          <w:b w:val="0"/>
          <w:color w:val="000000" w:themeColor="text1"/>
          <w:sz w:val="22"/>
          <w:szCs w:val="22"/>
          <w:lang w:val="sk-SK"/>
        </w:rPr>
        <w:t>4 9</w:t>
      </w:r>
      <w:r w:rsidR="002E61DF" w:rsidRPr="00AE6EDB">
        <w:rPr>
          <w:b w:val="0"/>
          <w:color w:val="000000" w:themeColor="text1"/>
          <w:sz w:val="22"/>
          <w:szCs w:val="22"/>
          <w:lang w:val="sk-SK"/>
        </w:rPr>
        <w:t>10) osôb v dôchodkovom veku (5</w:t>
      </w:r>
      <w:r w:rsidR="00607054" w:rsidRPr="00AE6EDB">
        <w:rPr>
          <w:b w:val="0"/>
          <w:color w:val="000000" w:themeColor="text1"/>
          <w:sz w:val="22"/>
          <w:szCs w:val="22"/>
          <w:lang w:val="sk-SK"/>
        </w:rPr>
        <w:t>2</w:t>
      </w:r>
      <w:r w:rsidR="004E3486" w:rsidRPr="00AE6EDB">
        <w:rPr>
          <w:b w:val="0"/>
          <w:color w:val="000000" w:themeColor="text1"/>
          <w:sz w:val="22"/>
          <w:szCs w:val="22"/>
          <w:lang w:val="sk-SK"/>
        </w:rPr>
        <w:t>,8</w:t>
      </w:r>
      <w:r w:rsidR="005676EF">
        <w:rPr>
          <w:b w:val="0"/>
          <w:color w:val="000000" w:themeColor="text1"/>
          <w:sz w:val="22"/>
          <w:szCs w:val="22"/>
          <w:lang w:val="sk-SK"/>
        </w:rPr>
        <w:t> %</w:t>
      </w:r>
      <w:r w:rsidR="002E61DF" w:rsidRPr="00AE6EDB">
        <w:rPr>
          <w:b w:val="0"/>
          <w:color w:val="000000" w:themeColor="text1"/>
          <w:sz w:val="22"/>
          <w:szCs w:val="22"/>
          <w:lang w:val="sk-SK"/>
        </w:rPr>
        <w:t>), 1</w:t>
      </w:r>
      <w:r w:rsidR="0054295F">
        <w:rPr>
          <w:b w:val="0"/>
          <w:color w:val="000000" w:themeColor="text1"/>
          <w:sz w:val="22"/>
          <w:szCs w:val="22"/>
          <w:lang w:val="sk-SK"/>
        </w:rPr>
        <w:t>3 8</w:t>
      </w:r>
      <w:r w:rsidR="002E61DF" w:rsidRPr="00AE6EDB">
        <w:rPr>
          <w:b w:val="0"/>
          <w:color w:val="000000" w:themeColor="text1"/>
          <w:sz w:val="22"/>
          <w:szCs w:val="22"/>
          <w:lang w:val="sk-SK"/>
        </w:rPr>
        <w:t>54 osôb podstúpilo psychotickú liečbu (29,4</w:t>
      </w:r>
      <w:r w:rsidR="005676EF">
        <w:rPr>
          <w:b w:val="0"/>
          <w:color w:val="000000" w:themeColor="text1"/>
          <w:sz w:val="22"/>
          <w:szCs w:val="22"/>
          <w:lang w:val="sk-SK"/>
        </w:rPr>
        <w:t> %</w:t>
      </w:r>
      <w:r w:rsidR="002E61DF" w:rsidRPr="00AE6EDB">
        <w:rPr>
          <w:b w:val="0"/>
          <w:color w:val="000000" w:themeColor="text1"/>
          <w:sz w:val="22"/>
          <w:szCs w:val="22"/>
          <w:lang w:val="sk-SK"/>
        </w:rPr>
        <w:t xml:space="preserve">), </w:t>
      </w:r>
      <w:r w:rsidR="00AC44CB">
        <w:rPr>
          <w:b w:val="0"/>
          <w:color w:val="000000" w:themeColor="text1"/>
          <w:sz w:val="22"/>
          <w:szCs w:val="22"/>
          <w:lang w:val="sk-SK"/>
        </w:rPr>
        <w:t>8 5</w:t>
      </w:r>
      <w:r w:rsidR="002E61DF" w:rsidRPr="00AE6EDB">
        <w:rPr>
          <w:b w:val="0"/>
          <w:color w:val="000000" w:themeColor="text1"/>
          <w:sz w:val="22"/>
          <w:szCs w:val="22"/>
          <w:lang w:val="sk-SK"/>
        </w:rPr>
        <w:t>11 osôb užíva antidepresíva (18,1</w:t>
      </w:r>
      <w:r w:rsidR="005676EF">
        <w:rPr>
          <w:b w:val="0"/>
          <w:color w:val="000000" w:themeColor="text1"/>
          <w:sz w:val="22"/>
          <w:szCs w:val="22"/>
          <w:lang w:val="sk-SK"/>
        </w:rPr>
        <w:t> %</w:t>
      </w:r>
      <w:r w:rsidR="002E61DF" w:rsidRPr="00AE6EDB">
        <w:rPr>
          <w:b w:val="0"/>
          <w:color w:val="000000" w:themeColor="text1"/>
          <w:sz w:val="22"/>
          <w:szCs w:val="22"/>
          <w:lang w:val="sk-SK"/>
        </w:rPr>
        <w:t xml:space="preserve">), </w:t>
      </w:r>
      <w:r w:rsidR="00AC44CB">
        <w:rPr>
          <w:b w:val="0"/>
          <w:color w:val="000000" w:themeColor="text1"/>
          <w:sz w:val="22"/>
          <w:szCs w:val="22"/>
          <w:lang w:val="sk-SK"/>
        </w:rPr>
        <w:t>7 4</w:t>
      </w:r>
      <w:r w:rsidR="002E61DF" w:rsidRPr="00AE6EDB">
        <w:rPr>
          <w:b w:val="0"/>
          <w:color w:val="000000" w:themeColor="text1"/>
          <w:sz w:val="22"/>
          <w:szCs w:val="22"/>
          <w:lang w:val="sk-SK"/>
        </w:rPr>
        <w:t>96 osôb bolo opatrovaných na lôžku (15,9</w:t>
      </w:r>
      <w:r w:rsidR="005676EF">
        <w:rPr>
          <w:b w:val="0"/>
          <w:color w:val="000000" w:themeColor="text1"/>
          <w:sz w:val="22"/>
          <w:szCs w:val="22"/>
          <w:lang w:val="sk-SK"/>
        </w:rPr>
        <w:t> %</w:t>
      </w:r>
      <w:r w:rsidR="002E61DF" w:rsidRPr="00AE6EDB">
        <w:rPr>
          <w:b w:val="0"/>
          <w:color w:val="000000" w:themeColor="text1"/>
          <w:sz w:val="22"/>
          <w:szCs w:val="22"/>
          <w:lang w:val="sk-SK"/>
        </w:rPr>
        <w:t>) a </w:t>
      </w:r>
      <w:r w:rsidR="00AC44CB">
        <w:rPr>
          <w:b w:val="0"/>
          <w:color w:val="000000" w:themeColor="text1"/>
          <w:sz w:val="22"/>
          <w:szCs w:val="22"/>
          <w:lang w:val="sk-SK"/>
        </w:rPr>
        <w:t>8 6</w:t>
      </w:r>
      <w:r w:rsidR="002E61DF" w:rsidRPr="00AE6EDB">
        <w:rPr>
          <w:b w:val="0"/>
          <w:color w:val="000000" w:themeColor="text1"/>
          <w:sz w:val="22"/>
          <w:szCs w:val="22"/>
          <w:lang w:val="sk-SK"/>
        </w:rPr>
        <w:t>48 osôb má obmedzenú spôsobilosť na právne úkony alebo sú úplne pozbavení spôsobilosti na</w:t>
      </w:r>
      <w:r w:rsidR="001110A1">
        <w:rPr>
          <w:b w:val="0"/>
          <w:color w:val="000000" w:themeColor="text1"/>
          <w:sz w:val="22"/>
          <w:szCs w:val="22"/>
          <w:lang w:val="sk-SK"/>
        </w:rPr>
        <w:t> </w:t>
      </w:r>
      <w:r w:rsidR="002E61DF" w:rsidRPr="00AE6EDB">
        <w:rPr>
          <w:b w:val="0"/>
          <w:color w:val="000000" w:themeColor="text1"/>
          <w:sz w:val="22"/>
          <w:szCs w:val="22"/>
          <w:lang w:val="sk-SK"/>
        </w:rPr>
        <w:t>právne úkony (18,3</w:t>
      </w:r>
      <w:r w:rsidR="005676EF">
        <w:rPr>
          <w:b w:val="0"/>
          <w:color w:val="000000" w:themeColor="text1"/>
          <w:sz w:val="22"/>
          <w:szCs w:val="22"/>
          <w:lang w:val="sk-SK"/>
        </w:rPr>
        <w:t> %</w:t>
      </w:r>
      <w:r w:rsidR="002E61DF" w:rsidRPr="00AE6EDB">
        <w:rPr>
          <w:b w:val="0"/>
          <w:color w:val="000000" w:themeColor="text1"/>
          <w:sz w:val="22"/>
          <w:szCs w:val="22"/>
          <w:lang w:val="sk-SK"/>
        </w:rPr>
        <w:t>)</w:t>
      </w:r>
      <w:r w:rsidRPr="00AE6EDB">
        <w:rPr>
          <w:b w:val="0"/>
          <w:color w:val="000000" w:themeColor="text1"/>
          <w:sz w:val="22"/>
          <w:szCs w:val="22"/>
          <w:lang w:val="sk-SK"/>
        </w:rPr>
        <w:t>.</w:t>
      </w:r>
    </w:p>
    <w:p w:rsidR="000A7585" w:rsidRPr="00AE6EDB" w:rsidRDefault="000A7585" w:rsidP="00A90239">
      <w:pPr>
        <w:pStyle w:val="Zarkazkladnhotextu"/>
        <w:ind w:left="0" w:firstLine="708"/>
        <w:rPr>
          <w:b w:val="0"/>
          <w:color w:val="000000" w:themeColor="text1"/>
          <w:sz w:val="22"/>
          <w:szCs w:val="22"/>
          <w:lang w:val="sk-SK"/>
        </w:rPr>
      </w:pPr>
      <w:r w:rsidRPr="00AE6EDB">
        <w:rPr>
          <w:b w:val="0"/>
          <w:color w:val="000000" w:themeColor="text1"/>
          <w:sz w:val="22"/>
          <w:szCs w:val="22"/>
          <w:lang w:val="sk-SK"/>
        </w:rPr>
        <w:t>Celkové výdavky zariadení sociálnych služieb boli k 31. decembru 201</w:t>
      </w:r>
      <w:r w:rsidR="002E61DF" w:rsidRPr="00AE6EDB">
        <w:rPr>
          <w:b w:val="0"/>
          <w:color w:val="000000" w:themeColor="text1"/>
          <w:sz w:val="22"/>
          <w:szCs w:val="22"/>
          <w:lang w:val="sk-SK"/>
        </w:rPr>
        <w:t>4</w:t>
      </w:r>
      <w:r w:rsidRPr="00AE6EDB">
        <w:rPr>
          <w:b w:val="0"/>
          <w:color w:val="000000" w:themeColor="text1"/>
          <w:sz w:val="22"/>
          <w:szCs w:val="22"/>
          <w:lang w:val="sk-SK"/>
        </w:rPr>
        <w:t xml:space="preserve"> vo výške </w:t>
      </w:r>
      <w:r w:rsidR="002E61DF" w:rsidRPr="00AE6EDB">
        <w:rPr>
          <w:b w:val="0"/>
          <w:color w:val="000000" w:themeColor="text1"/>
          <w:sz w:val="22"/>
          <w:szCs w:val="22"/>
          <w:lang w:val="sk-SK"/>
        </w:rPr>
        <w:t>34</w:t>
      </w:r>
      <w:r w:rsidR="0054295F">
        <w:rPr>
          <w:b w:val="0"/>
          <w:color w:val="000000" w:themeColor="text1"/>
          <w:sz w:val="22"/>
          <w:szCs w:val="22"/>
          <w:lang w:val="sk-SK"/>
        </w:rPr>
        <w:t>0 7</w:t>
      </w:r>
      <w:r w:rsidR="002E61DF" w:rsidRPr="00AE6EDB">
        <w:rPr>
          <w:b w:val="0"/>
          <w:color w:val="000000" w:themeColor="text1"/>
          <w:sz w:val="22"/>
          <w:szCs w:val="22"/>
          <w:lang w:val="sk-SK"/>
        </w:rPr>
        <w:t>8</w:t>
      </w:r>
      <w:r w:rsidR="00AC44CB">
        <w:rPr>
          <w:b w:val="0"/>
          <w:color w:val="000000" w:themeColor="text1"/>
          <w:sz w:val="22"/>
          <w:szCs w:val="22"/>
          <w:lang w:val="sk-SK"/>
        </w:rPr>
        <w:t>7 0</w:t>
      </w:r>
      <w:r w:rsidR="002E61DF" w:rsidRPr="00AE6EDB">
        <w:rPr>
          <w:b w:val="0"/>
          <w:color w:val="000000" w:themeColor="text1"/>
          <w:sz w:val="22"/>
          <w:szCs w:val="22"/>
          <w:lang w:val="sk-SK"/>
        </w:rPr>
        <w:t>46</w:t>
      </w:r>
      <w:r w:rsidR="0054295F">
        <w:rPr>
          <w:b w:val="0"/>
          <w:color w:val="000000" w:themeColor="text1"/>
          <w:sz w:val="22"/>
          <w:szCs w:val="22"/>
          <w:lang w:val="sk-SK"/>
        </w:rPr>
        <w:t> eur</w:t>
      </w:r>
      <w:r w:rsidRPr="00AE6EDB">
        <w:rPr>
          <w:b w:val="0"/>
          <w:color w:val="000000" w:themeColor="text1"/>
          <w:sz w:val="22"/>
          <w:szCs w:val="22"/>
          <w:lang w:val="sk-SK"/>
        </w:rPr>
        <w:t xml:space="preserve"> (</w:t>
      </w:r>
      <w:r w:rsidR="002E61DF" w:rsidRPr="00AE6EDB">
        <w:rPr>
          <w:b w:val="0"/>
          <w:color w:val="000000" w:themeColor="text1"/>
          <w:sz w:val="22"/>
          <w:szCs w:val="22"/>
          <w:lang w:val="sk-SK"/>
        </w:rPr>
        <w:t>31</w:t>
      </w:r>
      <w:r w:rsidR="0054295F">
        <w:rPr>
          <w:b w:val="0"/>
          <w:color w:val="000000" w:themeColor="text1"/>
          <w:sz w:val="22"/>
          <w:szCs w:val="22"/>
          <w:lang w:val="sk-SK"/>
        </w:rPr>
        <w:t>2 7</w:t>
      </w:r>
      <w:r w:rsidR="002E61DF" w:rsidRPr="00AE6EDB">
        <w:rPr>
          <w:b w:val="0"/>
          <w:color w:val="000000" w:themeColor="text1"/>
          <w:sz w:val="22"/>
          <w:szCs w:val="22"/>
          <w:lang w:val="sk-SK"/>
        </w:rPr>
        <w:t>5</w:t>
      </w:r>
      <w:r w:rsidR="00AC44CB">
        <w:rPr>
          <w:b w:val="0"/>
          <w:color w:val="000000" w:themeColor="text1"/>
          <w:sz w:val="22"/>
          <w:szCs w:val="22"/>
          <w:lang w:val="sk-SK"/>
        </w:rPr>
        <w:t>9 3</w:t>
      </w:r>
      <w:r w:rsidR="002E61DF" w:rsidRPr="00AE6EDB">
        <w:rPr>
          <w:b w:val="0"/>
          <w:color w:val="000000" w:themeColor="text1"/>
          <w:sz w:val="22"/>
          <w:szCs w:val="22"/>
          <w:lang w:val="sk-SK"/>
        </w:rPr>
        <w:t>44</w:t>
      </w:r>
      <w:r w:rsidR="0054295F">
        <w:rPr>
          <w:b w:val="0"/>
          <w:color w:val="000000" w:themeColor="text1"/>
          <w:sz w:val="22"/>
          <w:szCs w:val="22"/>
          <w:lang w:val="sk-SK"/>
        </w:rPr>
        <w:t> eur</w:t>
      </w:r>
      <w:r w:rsidRPr="00AE6EDB">
        <w:rPr>
          <w:b w:val="0"/>
          <w:color w:val="000000" w:themeColor="text1"/>
          <w:sz w:val="22"/>
          <w:szCs w:val="22"/>
          <w:lang w:val="sk-SK"/>
        </w:rPr>
        <w:t xml:space="preserve">). Z toho až </w:t>
      </w:r>
      <w:r w:rsidR="002E61DF" w:rsidRPr="00AE6EDB">
        <w:rPr>
          <w:b w:val="0"/>
          <w:color w:val="000000" w:themeColor="text1"/>
          <w:sz w:val="22"/>
          <w:szCs w:val="22"/>
          <w:lang w:val="sk-SK"/>
        </w:rPr>
        <w:t>20</w:t>
      </w:r>
      <w:r w:rsidR="0054295F">
        <w:rPr>
          <w:b w:val="0"/>
          <w:color w:val="000000" w:themeColor="text1"/>
          <w:sz w:val="22"/>
          <w:szCs w:val="22"/>
          <w:lang w:val="sk-SK"/>
        </w:rPr>
        <w:t>0 9</w:t>
      </w:r>
      <w:r w:rsidR="002E61DF" w:rsidRPr="00AE6EDB">
        <w:rPr>
          <w:b w:val="0"/>
          <w:color w:val="000000" w:themeColor="text1"/>
          <w:sz w:val="22"/>
          <w:szCs w:val="22"/>
          <w:lang w:val="sk-SK"/>
        </w:rPr>
        <w:t>8</w:t>
      </w:r>
      <w:r w:rsidR="0054295F">
        <w:rPr>
          <w:b w:val="0"/>
          <w:color w:val="000000" w:themeColor="text1"/>
          <w:sz w:val="22"/>
          <w:szCs w:val="22"/>
          <w:lang w:val="sk-SK"/>
        </w:rPr>
        <w:t>0 4</w:t>
      </w:r>
      <w:r w:rsidR="002E61DF" w:rsidRPr="00AE6EDB">
        <w:rPr>
          <w:b w:val="0"/>
          <w:color w:val="000000" w:themeColor="text1"/>
          <w:sz w:val="22"/>
          <w:szCs w:val="22"/>
          <w:lang w:val="sk-SK"/>
        </w:rPr>
        <w:t>04</w:t>
      </w:r>
      <w:r w:rsidR="0054295F">
        <w:rPr>
          <w:b w:val="0"/>
          <w:color w:val="000000" w:themeColor="text1"/>
          <w:sz w:val="22"/>
          <w:szCs w:val="22"/>
          <w:lang w:val="sk-SK"/>
        </w:rPr>
        <w:t> eur</w:t>
      </w:r>
      <w:r w:rsidRPr="00AE6EDB">
        <w:rPr>
          <w:b w:val="0"/>
          <w:color w:val="000000" w:themeColor="text1"/>
          <w:sz w:val="22"/>
          <w:szCs w:val="22"/>
          <w:lang w:val="sk-SK"/>
        </w:rPr>
        <w:t xml:space="preserve"> (</w:t>
      </w:r>
      <w:r w:rsidR="002E61DF" w:rsidRPr="00AE6EDB">
        <w:rPr>
          <w:b w:val="0"/>
          <w:color w:val="000000" w:themeColor="text1"/>
          <w:sz w:val="22"/>
          <w:szCs w:val="22"/>
          <w:lang w:val="sk-SK"/>
        </w:rPr>
        <w:t>17</w:t>
      </w:r>
      <w:r w:rsidR="00AC44CB">
        <w:rPr>
          <w:b w:val="0"/>
          <w:color w:val="000000" w:themeColor="text1"/>
          <w:sz w:val="22"/>
          <w:szCs w:val="22"/>
          <w:lang w:val="sk-SK"/>
        </w:rPr>
        <w:t>9 7</w:t>
      </w:r>
      <w:r w:rsidR="002E61DF" w:rsidRPr="00AE6EDB">
        <w:rPr>
          <w:b w:val="0"/>
          <w:color w:val="000000" w:themeColor="text1"/>
          <w:sz w:val="22"/>
          <w:szCs w:val="22"/>
          <w:lang w:val="sk-SK"/>
        </w:rPr>
        <w:t>9</w:t>
      </w:r>
      <w:r w:rsidR="0054295F">
        <w:rPr>
          <w:b w:val="0"/>
          <w:color w:val="000000" w:themeColor="text1"/>
          <w:sz w:val="22"/>
          <w:szCs w:val="22"/>
          <w:lang w:val="sk-SK"/>
        </w:rPr>
        <w:t>4 8</w:t>
      </w:r>
      <w:r w:rsidR="002E61DF" w:rsidRPr="00AE6EDB">
        <w:rPr>
          <w:b w:val="0"/>
          <w:color w:val="000000" w:themeColor="text1"/>
          <w:sz w:val="22"/>
          <w:szCs w:val="22"/>
          <w:lang w:val="sk-SK"/>
        </w:rPr>
        <w:t>60</w:t>
      </w:r>
      <w:r w:rsidR="0054295F">
        <w:rPr>
          <w:b w:val="0"/>
          <w:color w:val="000000" w:themeColor="text1"/>
          <w:sz w:val="22"/>
          <w:szCs w:val="22"/>
          <w:lang w:val="sk-SK"/>
        </w:rPr>
        <w:t> eur</w:t>
      </w:r>
      <w:r w:rsidRPr="00AE6EDB">
        <w:rPr>
          <w:b w:val="0"/>
          <w:color w:val="000000" w:themeColor="text1"/>
          <w:sz w:val="22"/>
          <w:szCs w:val="22"/>
          <w:lang w:val="sk-SK"/>
        </w:rPr>
        <w:t xml:space="preserve">), čo je </w:t>
      </w:r>
      <w:r w:rsidR="00F52449" w:rsidRPr="00AE6EDB">
        <w:rPr>
          <w:b w:val="0"/>
          <w:color w:val="000000" w:themeColor="text1"/>
          <w:sz w:val="22"/>
          <w:szCs w:val="22"/>
          <w:lang w:val="sk-SK"/>
        </w:rPr>
        <w:t>59,0</w:t>
      </w:r>
      <w:r w:rsidR="005676EF">
        <w:rPr>
          <w:b w:val="0"/>
          <w:color w:val="000000" w:themeColor="text1"/>
          <w:sz w:val="22"/>
          <w:szCs w:val="22"/>
          <w:lang w:val="sk-SK"/>
        </w:rPr>
        <w:t> %</w:t>
      </w:r>
      <w:r w:rsidRPr="00AE6EDB">
        <w:rPr>
          <w:b w:val="0"/>
          <w:color w:val="000000" w:themeColor="text1"/>
          <w:sz w:val="22"/>
          <w:szCs w:val="22"/>
          <w:lang w:val="sk-SK"/>
        </w:rPr>
        <w:t>, bolo vynaložených na mzdy a povinné sociálne poistenie. Ostatné výdavky boli určené na tovary a služby, na obstaranie dlhodobého majetku a na zdravotnú starostlivosť. Výdavky na sociálne služby v</w:t>
      </w:r>
      <w:r w:rsidR="00F52449" w:rsidRPr="00AE6EDB">
        <w:rPr>
          <w:b w:val="0"/>
          <w:color w:val="000000" w:themeColor="text1"/>
          <w:sz w:val="22"/>
          <w:szCs w:val="22"/>
          <w:lang w:val="sk-SK"/>
        </w:rPr>
        <w:t> </w:t>
      </w:r>
      <w:r w:rsidRPr="00AE6EDB">
        <w:rPr>
          <w:b w:val="0"/>
          <w:color w:val="000000" w:themeColor="text1"/>
          <w:sz w:val="22"/>
          <w:szCs w:val="22"/>
          <w:lang w:val="sk-SK"/>
        </w:rPr>
        <w:t xml:space="preserve">zariadeniach tzv. dlhodobej starostlivosti predstavovali sumu </w:t>
      </w:r>
      <w:r w:rsidR="00F52449" w:rsidRPr="00AE6EDB">
        <w:rPr>
          <w:b w:val="0"/>
          <w:color w:val="000000" w:themeColor="text1"/>
          <w:sz w:val="22"/>
          <w:szCs w:val="22"/>
          <w:lang w:val="sk-SK"/>
        </w:rPr>
        <w:t>31</w:t>
      </w:r>
      <w:r w:rsidR="00AC44CB">
        <w:rPr>
          <w:b w:val="0"/>
          <w:color w:val="000000" w:themeColor="text1"/>
          <w:sz w:val="22"/>
          <w:szCs w:val="22"/>
          <w:lang w:val="sk-SK"/>
        </w:rPr>
        <w:t>8 4</w:t>
      </w:r>
      <w:r w:rsidR="00F52449" w:rsidRPr="00AE6EDB">
        <w:rPr>
          <w:b w:val="0"/>
          <w:color w:val="000000" w:themeColor="text1"/>
          <w:sz w:val="22"/>
          <w:szCs w:val="22"/>
          <w:lang w:val="sk-SK"/>
        </w:rPr>
        <w:t>8</w:t>
      </w:r>
      <w:r w:rsidR="0054295F">
        <w:rPr>
          <w:b w:val="0"/>
          <w:color w:val="000000" w:themeColor="text1"/>
          <w:sz w:val="22"/>
          <w:szCs w:val="22"/>
          <w:lang w:val="sk-SK"/>
        </w:rPr>
        <w:t>1 6</w:t>
      </w:r>
      <w:r w:rsidR="00F52449" w:rsidRPr="00AE6EDB">
        <w:rPr>
          <w:b w:val="0"/>
          <w:color w:val="000000" w:themeColor="text1"/>
          <w:sz w:val="22"/>
          <w:szCs w:val="22"/>
          <w:lang w:val="sk-SK"/>
        </w:rPr>
        <w:t>59</w:t>
      </w:r>
      <w:r w:rsidR="0054295F">
        <w:rPr>
          <w:b w:val="0"/>
          <w:color w:val="000000" w:themeColor="text1"/>
          <w:sz w:val="22"/>
          <w:szCs w:val="22"/>
          <w:lang w:val="sk-SK"/>
        </w:rPr>
        <w:t> eur</w:t>
      </w:r>
      <w:r w:rsidR="00F52449" w:rsidRPr="00AE6EDB">
        <w:rPr>
          <w:b w:val="0"/>
          <w:color w:val="000000" w:themeColor="text1"/>
          <w:sz w:val="22"/>
          <w:szCs w:val="22"/>
          <w:lang w:val="sk-SK"/>
        </w:rPr>
        <w:t xml:space="preserve"> </w:t>
      </w:r>
      <w:r w:rsidRPr="00AE6EDB">
        <w:rPr>
          <w:b w:val="0"/>
          <w:color w:val="000000" w:themeColor="text1"/>
          <w:sz w:val="22"/>
          <w:szCs w:val="22"/>
          <w:lang w:val="sk-SK"/>
        </w:rPr>
        <w:t>(</w:t>
      </w:r>
      <w:r w:rsidR="00F52449" w:rsidRPr="00AE6EDB">
        <w:rPr>
          <w:b w:val="0"/>
          <w:color w:val="000000" w:themeColor="text1"/>
          <w:sz w:val="22"/>
          <w:szCs w:val="22"/>
          <w:lang w:val="sk-SK"/>
        </w:rPr>
        <w:t>28</w:t>
      </w:r>
      <w:r w:rsidR="00AC44CB">
        <w:rPr>
          <w:b w:val="0"/>
          <w:color w:val="000000" w:themeColor="text1"/>
          <w:sz w:val="22"/>
          <w:szCs w:val="22"/>
          <w:lang w:val="sk-SK"/>
        </w:rPr>
        <w:t>7 3</w:t>
      </w:r>
      <w:r w:rsidR="00F52449" w:rsidRPr="00AE6EDB">
        <w:rPr>
          <w:b w:val="0"/>
          <w:color w:val="000000" w:themeColor="text1"/>
          <w:sz w:val="22"/>
          <w:szCs w:val="22"/>
          <w:lang w:val="sk-SK"/>
        </w:rPr>
        <w:t>9</w:t>
      </w:r>
      <w:r w:rsidR="00AC44CB">
        <w:rPr>
          <w:b w:val="0"/>
          <w:color w:val="000000" w:themeColor="text1"/>
          <w:sz w:val="22"/>
          <w:szCs w:val="22"/>
          <w:lang w:val="sk-SK"/>
        </w:rPr>
        <w:t>8 9</w:t>
      </w:r>
      <w:r w:rsidR="00F52449" w:rsidRPr="00AE6EDB">
        <w:rPr>
          <w:b w:val="0"/>
          <w:color w:val="000000" w:themeColor="text1"/>
          <w:sz w:val="22"/>
          <w:szCs w:val="22"/>
          <w:lang w:val="sk-SK"/>
        </w:rPr>
        <w:t>70</w:t>
      </w:r>
      <w:r w:rsidR="0054295F">
        <w:rPr>
          <w:b w:val="0"/>
          <w:color w:val="000000" w:themeColor="text1"/>
          <w:sz w:val="22"/>
          <w:szCs w:val="22"/>
          <w:lang w:val="sk-SK"/>
        </w:rPr>
        <w:t> eur</w:t>
      </w:r>
      <w:r w:rsidRPr="00AE6EDB">
        <w:rPr>
          <w:b w:val="0"/>
          <w:color w:val="000000" w:themeColor="text1"/>
          <w:sz w:val="22"/>
          <w:szCs w:val="22"/>
          <w:lang w:val="sk-SK"/>
        </w:rPr>
        <w:t>), čo je až 9</w:t>
      </w:r>
      <w:r w:rsidR="00F52449" w:rsidRPr="00AE6EDB">
        <w:rPr>
          <w:b w:val="0"/>
          <w:color w:val="000000" w:themeColor="text1"/>
          <w:sz w:val="22"/>
          <w:szCs w:val="22"/>
          <w:lang w:val="sk-SK"/>
        </w:rPr>
        <w:t>3,5</w:t>
      </w:r>
      <w:r w:rsidR="005676EF">
        <w:rPr>
          <w:b w:val="0"/>
          <w:color w:val="000000" w:themeColor="text1"/>
          <w:sz w:val="22"/>
          <w:szCs w:val="22"/>
          <w:lang w:val="sk-SK"/>
        </w:rPr>
        <w:t> %</w:t>
      </w:r>
      <w:r w:rsidRPr="00AE6EDB">
        <w:rPr>
          <w:b w:val="0"/>
          <w:color w:val="000000" w:themeColor="text1"/>
          <w:sz w:val="22"/>
          <w:szCs w:val="22"/>
          <w:lang w:val="sk-SK"/>
        </w:rPr>
        <w:t xml:space="preserve"> z celkových výdavkov vo všetkých druhoch zariadení sociálnych služieb. </w:t>
      </w:r>
    </w:p>
    <w:p w:rsidR="000A7585" w:rsidRPr="00AE6EDB" w:rsidRDefault="000A7585" w:rsidP="00F52449">
      <w:pPr>
        <w:ind w:firstLine="567"/>
        <w:rPr>
          <w:szCs w:val="22"/>
        </w:rPr>
      </w:pPr>
      <w:r w:rsidRPr="00AE6EDB">
        <w:rPr>
          <w:color w:val="000000"/>
        </w:rPr>
        <w:t>V zariadeniach sociálnych služieb bolo k 31. decembr</w:t>
      </w:r>
      <w:r w:rsidR="00F52449" w:rsidRPr="00AE6EDB">
        <w:rPr>
          <w:color w:val="000000"/>
        </w:rPr>
        <w:t>u</w:t>
      </w:r>
      <w:r w:rsidRPr="00AE6EDB">
        <w:rPr>
          <w:color w:val="000000"/>
        </w:rPr>
        <w:t xml:space="preserve"> 201</w:t>
      </w:r>
      <w:r w:rsidR="00F52449" w:rsidRPr="00AE6EDB">
        <w:rPr>
          <w:color w:val="000000"/>
        </w:rPr>
        <w:t>4</w:t>
      </w:r>
      <w:r w:rsidRPr="00AE6EDB">
        <w:rPr>
          <w:color w:val="000000"/>
        </w:rPr>
        <w:t xml:space="preserve"> zamestnaných </w:t>
      </w:r>
      <w:r w:rsidR="00F52449" w:rsidRPr="00AE6EDB">
        <w:rPr>
          <w:color w:val="000000"/>
        </w:rPr>
        <w:t>2</w:t>
      </w:r>
      <w:r w:rsidR="0054295F">
        <w:rPr>
          <w:color w:val="000000"/>
        </w:rPr>
        <w:t>2 0</w:t>
      </w:r>
      <w:r w:rsidR="00F52449" w:rsidRPr="00AE6EDB">
        <w:rPr>
          <w:color w:val="000000"/>
        </w:rPr>
        <w:t>62 </w:t>
      </w:r>
      <w:r w:rsidRPr="00AE6EDB">
        <w:rPr>
          <w:color w:val="000000"/>
        </w:rPr>
        <w:t>zamestnancov, čo predstavuje nárast oproti roku 201</w:t>
      </w:r>
      <w:r w:rsidR="00C574D1" w:rsidRPr="00AE6EDB">
        <w:rPr>
          <w:color w:val="000000"/>
        </w:rPr>
        <w:t>3</w:t>
      </w:r>
      <w:r w:rsidRPr="00AE6EDB">
        <w:rPr>
          <w:color w:val="000000"/>
        </w:rPr>
        <w:t xml:space="preserve"> o</w:t>
      </w:r>
      <w:r w:rsidR="00C574D1" w:rsidRPr="00AE6EDB">
        <w:rPr>
          <w:color w:val="000000"/>
        </w:rPr>
        <w:t> </w:t>
      </w:r>
      <w:r w:rsidR="0054295F">
        <w:rPr>
          <w:color w:val="000000"/>
        </w:rPr>
        <w:t>1 6</w:t>
      </w:r>
      <w:r w:rsidR="00C574D1" w:rsidRPr="00AE6EDB">
        <w:rPr>
          <w:color w:val="000000"/>
        </w:rPr>
        <w:t>53</w:t>
      </w:r>
      <w:r w:rsidRPr="00AE6EDB">
        <w:rPr>
          <w:color w:val="000000"/>
        </w:rPr>
        <w:t xml:space="preserve"> zamestnancov. V zariadeniach sociálnych služieb tzv. dlhodobej starostlivosti pracovalo </w:t>
      </w:r>
      <w:r w:rsidR="00C574D1" w:rsidRPr="00AE6EDB">
        <w:rPr>
          <w:color w:val="000000"/>
        </w:rPr>
        <w:t>2</w:t>
      </w:r>
      <w:r w:rsidR="0054295F">
        <w:rPr>
          <w:color w:val="000000"/>
        </w:rPr>
        <w:t>1 4</w:t>
      </w:r>
      <w:r w:rsidR="00C574D1" w:rsidRPr="00AE6EDB">
        <w:rPr>
          <w:color w:val="000000"/>
        </w:rPr>
        <w:t>33</w:t>
      </w:r>
      <w:r w:rsidRPr="00AE6EDB">
        <w:rPr>
          <w:color w:val="000000"/>
        </w:rPr>
        <w:t xml:space="preserve"> zamestnancov (97</w:t>
      </w:r>
      <w:r w:rsidR="00C574D1" w:rsidRPr="00AE6EDB">
        <w:rPr>
          <w:color w:val="000000"/>
        </w:rPr>
        <w:t>,1</w:t>
      </w:r>
      <w:r w:rsidR="005676EF">
        <w:rPr>
          <w:color w:val="000000"/>
        </w:rPr>
        <w:t> %</w:t>
      </w:r>
      <w:r w:rsidRPr="00AE6EDB">
        <w:rPr>
          <w:color w:val="000000"/>
        </w:rPr>
        <w:t xml:space="preserve"> z celkového počtu zamestnancov). </w:t>
      </w:r>
      <w:r w:rsidRPr="00AE6EDB">
        <w:rPr>
          <w:iCs/>
          <w:szCs w:val="22"/>
        </w:rPr>
        <w:t>Podrobnejšie štatistické údaje sú uvedené v tabuľkách 23 až 26</w:t>
      </w:r>
      <w:r w:rsidRPr="00AE6EDB">
        <w:rPr>
          <w:szCs w:val="22"/>
        </w:rPr>
        <w:t xml:space="preserve"> v prílohe ku</w:t>
      </w:r>
      <w:r w:rsidR="00C574D1" w:rsidRPr="00AE6EDB">
        <w:rPr>
          <w:szCs w:val="22"/>
        </w:rPr>
        <w:t> </w:t>
      </w:r>
      <w:r w:rsidRPr="00AE6EDB">
        <w:rPr>
          <w:szCs w:val="22"/>
        </w:rPr>
        <w:t>kapitole 3.</w:t>
      </w:r>
      <w:r w:rsidRPr="00AE6EDB">
        <w:rPr>
          <w:rStyle w:val="Odkaznapoznmkupodiarou"/>
          <w:szCs w:val="22"/>
        </w:rPr>
        <w:footnoteReference w:id="51"/>
      </w:r>
    </w:p>
    <w:p w:rsidR="000A7585" w:rsidRPr="00AE6EDB" w:rsidRDefault="000A7585" w:rsidP="000A7585">
      <w:pPr>
        <w:ind w:firstLine="567"/>
        <w:rPr>
          <w:iCs/>
          <w:color w:val="000000" w:themeColor="text1"/>
          <w:szCs w:val="22"/>
          <w:lang w:eastAsia="cs-CZ"/>
        </w:rPr>
      </w:pPr>
      <w:r w:rsidRPr="00AE6EDB">
        <w:rPr>
          <w:iCs/>
          <w:color w:val="000000" w:themeColor="text1"/>
          <w:szCs w:val="22"/>
          <w:lang w:eastAsia="cs-CZ"/>
        </w:rPr>
        <w:t>Pokiaľ ide o </w:t>
      </w:r>
      <w:r w:rsidRPr="00AE6EDB">
        <w:rPr>
          <w:b/>
          <w:iCs/>
          <w:color w:val="000000" w:themeColor="text1"/>
          <w:szCs w:val="22"/>
          <w:lang w:eastAsia="cs-CZ"/>
        </w:rPr>
        <w:t xml:space="preserve">zariadenia sociálnych služieb </w:t>
      </w:r>
      <w:r w:rsidRPr="00AE6EDB">
        <w:rPr>
          <w:iCs/>
          <w:color w:val="000000" w:themeColor="text1"/>
          <w:szCs w:val="22"/>
          <w:lang w:eastAsia="cs-CZ"/>
        </w:rPr>
        <w:t>a</w:t>
      </w:r>
      <w:r w:rsidRPr="00AE6EDB">
        <w:rPr>
          <w:b/>
          <w:iCs/>
          <w:color w:val="000000" w:themeColor="text1"/>
          <w:szCs w:val="22"/>
          <w:lang w:eastAsia="cs-CZ"/>
        </w:rPr>
        <w:t> vybrané druhy sociálnych služieb</w:t>
      </w:r>
      <w:r w:rsidRPr="00AE6EDB">
        <w:rPr>
          <w:rStyle w:val="Odkaznapoznmkupodiarou"/>
          <w:b/>
          <w:iCs/>
          <w:color w:val="000000" w:themeColor="text1"/>
          <w:szCs w:val="22"/>
          <w:lang w:eastAsia="cs-CZ"/>
        </w:rPr>
        <w:footnoteReference w:id="52"/>
      </w:r>
      <w:r w:rsidRPr="00AE6EDB">
        <w:rPr>
          <w:iCs/>
          <w:color w:val="000000" w:themeColor="text1"/>
          <w:szCs w:val="22"/>
          <w:lang w:eastAsia="cs-CZ"/>
        </w:rPr>
        <w:t>, ktoré nie sú sledované Štatistickým úradom SR, k 31. 12. 201</w:t>
      </w:r>
      <w:r w:rsidR="00C574D1" w:rsidRPr="00AE6EDB">
        <w:rPr>
          <w:iCs/>
          <w:color w:val="000000" w:themeColor="text1"/>
          <w:szCs w:val="22"/>
          <w:lang w:eastAsia="cs-CZ"/>
        </w:rPr>
        <w:t>5</w:t>
      </w:r>
      <w:r w:rsidRPr="00AE6EDB">
        <w:rPr>
          <w:iCs/>
          <w:color w:val="000000" w:themeColor="text1"/>
          <w:szCs w:val="22"/>
          <w:lang w:eastAsia="cs-CZ"/>
        </w:rPr>
        <w:t xml:space="preserve"> bolo v SR obcami, vyššími územnými celkami alebo neverejnými poskytovateľmi </w:t>
      </w:r>
      <w:r w:rsidR="00C574D1" w:rsidRPr="00AE6EDB">
        <w:rPr>
          <w:iCs/>
          <w:color w:val="000000" w:themeColor="text1"/>
          <w:szCs w:val="22"/>
          <w:lang w:eastAsia="cs-CZ"/>
        </w:rPr>
        <w:t xml:space="preserve">sociálnych služieb </w:t>
      </w:r>
      <w:r w:rsidRPr="00AE6EDB">
        <w:rPr>
          <w:iCs/>
          <w:color w:val="000000" w:themeColor="text1"/>
          <w:szCs w:val="22"/>
          <w:lang w:eastAsia="cs-CZ"/>
        </w:rPr>
        <w:t xml:space="preserve">zriadených </w:t>
      </w:r>
      <w:r w:rsidR="00C574D1" w:rsidRPr="00AE6EDB">
        <w:rPr>
          <w:iCs/>
          <w:color w:val="000000" w:themeColor="text1"/>
          <w:szCs w:val="22"/>
          <w:lang w:eastAsia="cs-CZ"/>
        </w:rPr>
        <w:t>18</w:t>
      </w:r>
      <w:r w:rsidRPr="00AE6EDB">
        <w:rPr>
          <w:iCs/>
          <w:color w:val="000000" w:themeColor="text1"/>
          <w:szCs w:val="22"/>
          <w:lang w:eastAsia="cs-CZ"/>
        </w:rPr>
        <w:t xml:space="preserve"> (</w:t>
      </w:r>
      <w:r w:rsidR="00C574D1" w:rsidRPr="00AE6EDB">
        <w:rPr>
          <w:iCs/>
          <w:color w:val="000000" w:themeColor="text1"/>
          <w:szCs w:val="22"/>
          <w:lang w:eastAsia="cs-CZ"/>
        </w:rPr>
        <w:t>21</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nízkoprahových denných centier s celkovým počtom prijímateľov </w:t>
      </w:r>
      <w:r w:rsidR="00C574D1" w:rsidRPr="00AE6EDB">
        <w:rPr>
          <w:iCs/>
          <w:color w:val="000000" w:themeColor="text1"/>
          <w:szCs w:val="22"/>
          <w:lang w:eastAsia="cs-CZ"/>
        </w:rPr>
        <w:t>1</w:t>
      </w:r>
      <w:r w:rsidR="0054295F">
        <w:rPr>
          <w:iCs/>
          <w:color w:val="000000" w:themeColor="text1"/>
          <w:szCs w:val="22"/>
          <w:lang w:eastAsia="cs-CZ"/>
        </w:rPr>
        <w:t>2 3</w:t>
      </w:r>
      <w:r w:rsidR="00C574D1" w:rsidRPr="00AE6EDB">
        <w:rPr>
          <w:iCs/>
          <w:color w:val="000000" w:themeColor="text1"/>
          <w:szCs w:val="22"/>
          <w:lang w:eastAsia="cs-CZ"/>
        </w:rPr>
        <w:t>44</w:t>
      </w:r>
      <w:r w:rsidRPr="00AE6EDB">
        <w:rPr>
          <w:iCs/>
          <w:color w:val="000000" w:themeColor="text1"/>
          <w:szCs w:val="22"/>
          <w:lang w:eastAsia="cs-CZ"/>
        </w:rPr>
        <w:t xml:space="preserve"> (</w:t>
      </w:r>
      <w:r w:rsidR="00C574D1" w:rsidRPr="00AE6EDB">
        <w:rPr>
          <w:iCs/>
          <w:color w:val="000000" w:themeColor="text1"/>
          <w:szCs w:val="22"/>
          <w:lang w:eastAsia="cs-CZ"/>
        </w:rPr>
        <w:t>1</w:t>
      </w:r>
      <w:r w:rsidR="00AC44CB">
        <w:rPr>
          <w:iCs/>
          <w:color w:val="000000" w:themeColor="text1"/>
          <w:szCs w:val="22"/>
          <w:lang w:eastAsia="cs-CZ"/>
        </w:rPr>
        <w:t>6 2</w:t>
      </w:r>
      <w:r w:rsidR="00C574D1" w:rsidRPr="00AE6EDB">
        <w:rPr>
          <w:iCs/>
          <w:color w:val="000000" w:themeColor="text1"/>
          <w:szCs w:val="22"/>
          <w:lang w:eastAsia="cs-CZ"/>
        </w:rPr>
        <w:t>82</w:t>
      </w:r>
      <w:r w:rsidRPr="00AE6EDB">
        <w:rPr>
          <w:iCs/>
          <w:color w:val="000000" w:themeColor="text1"/>
          <w:szCs w:val="22"/>
          <w:lang w:eastAsia="cs-CZ"/>
        </w:rPr>
        <w:t>), 2</w:t>
      </w:r>
      <w:r w:rsidR="00C574D1" w:rsidRPr="00AE6EDB">
        <w:rPr>
          <w:iCs/>
          <w:color w:val="000000" w:themeColor="text1"/>
          <w:szCs w:val="22"/>
          <w:lang w:eastAsia="cs-CZ"/>
        </w:rPr>
        <w:t>0</w:t>
      </w:r>
      <w:r w:rsidRPr="00AE6EDB">
        <w:rPr>
          <w:iCs/>
          <w:color w:val="000000" w:themeColor="text1"/>
          <w:szCs w:val="22"/>
          <w:lang w:eastAsia="cs-CZ"/>
        </w:rPr>
        <w:t xml:space="preserve"> (2</w:t>
      </w:r>
      <w:r w:rsidR="00C574D1" w:rsidRPr="00AE6EDB">
        <w:rPr>
          <w:iCs/>
          <w:color w:val="000000" w:themeColor="text1"/>
          <w:szCs w:val="22"/>
          <w:lang w:eastAsia="cs-CZ"/>
        </w:rPr>
        <w:t>8</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nízkoprahových sociálnych služieb pre deti a rodinu s celkovým počtom prijímateľov </w:t>
      </w:r>
      <w:r w:rsidR="00AC44CB">
        <w:rPr>
          <w:iCs/>
          <w:color w:val="000000" w:themeColor="text1"/>
          <w:szCs w:val="22"/>
          <w:lang w:eastAsia="cs-CZ"/>
        </w:rPr>
        <w:t>6 6</w:t>
      </w:r>
      <w:r w:rsidR="00C574D1" w:rsidRPr="00AE6EDB">
        <w:rPr>
          <w:iCs/>
          <w:color w:val="000000" w:themeColor="text1"/>
          <w:szCs w:val="22"/>
          <w:lang w:eastAsia="cs-CZ"/>
        </w:rPr>
        <w:t>34</w:t>
      </w:r>
      <w:r w:rsidRPr="00AE6EDB">
        <w:rPr>
          <w:iCs/>
          <w:color w:val="000000" w:themeColor="text1"/>
          <w:szCs w:val="22"/>
          <w:lang w:eastAsia="cs-CZ"/>
        </w:rPr>
        <w:t xml:space="preserve"> (</w:t>
      </w:r>
      <w:r w:rsidR="0054295F">
        <w:rPr>
          <w:iCs/>
          <w:color w:val="000000" w:themeColor="text1"/>
          <w:szCs w:val="22"/>
          <w:lang w:eastAsia="cs-CZ"/>
        </w:rPr>
        <w:t>4 5</w:t>
      </w:r>
      <w:r w:rsidR="00C574D1" w:rsidRPr="00AE6EDB">
        <w:rPr>
          <w:iCs/>
          <w:color w:val="000000" w:themeColor="text1"/>
          <w:szCs w:val="22"/>
          <w:lang w:eastAsia="cs-CZ"/>
        </w:rPr>
        <w:t>26</w:t>
      </w:r>
      <w:r w:rsidRPr="00AE6EDB">
        <w:rPr>
          <w:iCs/>
          <w:color w:val="000000" w:themeColor="text1"/>
          <w:szCs w:val="22"/>
          <w:lang w:eastAsia="cs-CZ"/>
        </w:rPr>
        <w:t>), 2</w:t>
      </w:r>
      <w:r w:rsidR="00C574D1" w:rsidRPr="00AE6EDB">
        <w:rPr>
          <w:iCs/>
          <w:color w:val="000000" w:themeColor="text1"/>
          <w:szCs w:val="22"/>
          <w:lang w:eastAsia="cs-CZ"/>
        </w:rPr>
        <w:t>37</w:t>
      </w:r>
      <w:r w:rsidRPr="00AE6EDB">
        <w:rPr>
          <w:iCs/>
          <w:color w:val="000000" w:themeColor="text1"/>
          <w:szCs w:val="22"/>
          <w:lang w:eastAsia="cs-CZ"/>
        </w:rPr>
        <w:t xml:space="preserve"> (2</w:t>
      </w:r>
      <w:r w:rsidR="00C574D1" w:rsidRPr="00AE6EDB">
        <w:rPr>
          <w:iCs/>
          <w:color w:val="000000" w:themeColor="text1"/>
          <w:szCs w:val="22"/>
          <w:lang w:eastAsia="cs-CZ"/>
        </w:rPr>
        <w:t>26</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denných centier s celkovým počtom prijímateľov </w:t>
      </w:r>
      <w:r w:rsidR="00C574D1" w:rsidRPr="00AE6EDB">
        <w:rPr>
          <w:iCs/>
          <w:color w:val="000000" w:themeColor="text1"/>
          <w:szCs w:val="22"/>
          <w:lang w:eastAsia="cs-CZ"/>
        </w:rPr>
        <w:t>4</w:t>
      </w:r>
      <w:r w:rsidR="0054295F">
        <w:rPr>
          <w:iCs/>
          <w:color w:val="000000" w:themeColor="text1"/>
          <w:szCs w:val="22"/>
          <w:lang w:eastAsia="cs-CZ"/>
        </w:rPr>
        <w:t>0 3</w:t>
      </w:r>
      <w:r w:rsidR="00C574D1" w:rsidRPr="00AE6EDB">
        <w:rPr>
          <w:iCs/>
          <w:color w:val="000000" w:themeColor="text1"/>
          <w:szCs w:val="22"/>
          <w:lang w:eastAsia="cs-CZ"/>
        </w:rPr>
        <w:t>27</w:t>
      </w:r>
      <w:r w:rsidRPr="00AE6EDB">
        <w:rPr>
          <w:iCs/>
          <w:color w:val="000000" w:themeColor="text1"/>
          <w:szCs w:val="22"/>
          <w:lang w:eastAsia="cs-CZ"/>
        </w:rPr>
        <w:t xml:space="preserve"> (</w:t>
      </w:r>
      <w:r w:rsidR="00C574D1" w:rsidRPr="00AE6EDB">
        <w:rPr>
          <w:iCs/>
          <w:color w:val="000000" w:themeColor="text1"/>
          <w:szCs w:val="22"/>
          <w:lang w:eastAsia="cs-CZ"/>
        </w:rPr>
        <w:t>4</w:t>
      </w:r>
      <w:r w:rsidR="0054295F">
        <w:rPr>
          <w:iCs/>
          <w:color w:val="000000" w:themeColor="text1"/>
          <w:szCs w:val="22"/>
          <w:lang w:eastAsia="cs-CZ"/>
        </w:rPr>
        <w:t>0 8</w:t>
      </w:r>
      <w:r w:rsidR="00C574D1" w:rsidRPr="00AE6EDB">
        <w:rPr>
          <w:iCs/>
          <w:color w:val="000000" w:themeColor="text1"/>
          <w:szCs w:val="22"/>
          <w:lang w:eastAsia="cs-CZ"/>
        </w:rPr>
        <w:t>85</w:t>
      </w:r>
      <w:r w:rsidRPr="00AE6EDB">
        <w:rPr>
          <w:iCs/>
          <w:color w:val="000000" w:themeColor="text1"/>
          <w:szCs w:val="22"/>
          <w:lang w:eastAsia="cs-CZ"/>
        </w:rPr>
        <w:t>), 5 (</w:t>
      </w:r>
      <w:r w:rsidR="00C574D1" w:rsidRPr="00AE6EDB">
        <w:rPr>
          <w:iCs/>
          <w:color w:val="000000" w:themeColor="text1"/>
          <w:szCs w:val="22"/>
          <w:lang w:eastAsia="cs-CZ"/>
        </w:rPr>
        <w:t>5</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integračných centier s celkovým počtom prijímateľov </w:t>
      </w:r>
      <w:r w:rsidR="00C574D1" w:rsidRPr="00AE6EDB">
        <w:rPr>
          <w:iCs/>
          <w:color w:val="000000" w:themeColor="text1"/>
          <w:szCs w:val="22"/>
          <w:lang w:eastAsia="cs-CZ"/>
        </w:rPr>
        <w:t>122</w:t>
      </w:r>
      <w:r w:rsidRPr="00AE6EDB">
        <w:rPr>
          <w:iCs/>
          <w:color w:val="000000" w:themeColor="text1"/>
          <w:szCs w:val="22"/>
          <w:lang w:eastAsia="cs-CZ"/>
        </w:rPr>
        <w:t xml:space="preserve"> (</w:t>
      </w:r>
      <w:r w:rsidR="0054295F">
        <w:rPr>
          <w:iCs/>
          <w:color w:val="000000" w:themeColor="text1"/>
          <w:szCs w:val="22"/>
          <w:lang w:eastAsia="cs-CZ"/>
        </w:rPr>
        <w:t>2 6</w:t>
      </w:r>
      <w:r w:rsidR="00C574D1" w:rsidRPr="00AE6EDB">
        <w:rPr>
          <w:iCs/>
          <w:color w:val="000000" w:themeColor="text1"/>
          <w:szCs w:val="22"/>
          <w:lang w:eastAsia="cs-CZ"/>
        </w:rPr>
        <w:t>88</w:t>
      </w:r>
      <w:r w:rsidRPr="00AE6EDB">
        <w:rPr>
          <w:iCs/>
          <w:color w:val="000000" w:themeColor="text1"/>
          <w:szCs w:val="22"/>
          <w:lang w:eastAsia="cs-CZ"/>
        </w:rPr>
        <w:t>), 1</w:t>
      </w:r>
      <w:r w:rsidR="00C574D1" w:rsidRPr="00AE6EDB">
        <w:rPr>
          <w:iCs/>
          <w:color w:val="000000" w:themeColor="text1"/>
          <w:szCs w:val="22"/>
          <w:lang w:eastAsia="cs-CZ"/>
        </w:rPr>
        <w:t>05</w:t>
      </w:r>
      <w:r w:rsidRPr="00AE6EDB">
        <w:rPr>
          <w:iCs/>
          <w:color w:val="000000" w:themeColor="text1"/>
          <w:szCs w:val="22"/>
          <w:lang w:eastAsia="cs-CZ"/>
        </w:rPr>
        <w:t xml:space="preserve"> (</w:t>
      </w:r>
      <w:r w:rsidR="00C574D1" w:rsidRPr="00AE6EDB">
        <w:rPr>
          <w:iCs/>
          <w:color w:val="000000" w:themeColor="text1"/>
          <w:szCs w:val="22"/>
          <w:lang w:eastAsia="cs-CZ"/>
        </w:rPr>
        <w:t>134</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jedální s celkovým počtom prijímateľov </w:t>
      </w:r>
      <w:r w:rsidR="00C574D1" w:rsidRPr="00AE6EDB">
        <w:rPr>
          <w:iCs/>
          <w:color w:val="000000" w:themeColor="text1"/>
          <w:szCs w:val="22"/>
          <w:lang w:eastAsia="cs-CZ"/>
        </w:rPr>
        <w:t>1</w:t>
      </w:r>
      <w:r w:rsidR="0054295F">
        <w:rPr>
          <w:iCs/>
          <w:color w:val="000000" w:themeColor="text1"/>
          <w:szCs w:val="22"/>
          <w:lang w:eastAsia="cs-CZ"/>
        </w:rPr>
        <w:t>2 5</w:t>
      </w:r>
      <w:r w:rsidR="00C574D1" w:rsidRPr="00AE6EDB">
        <w:rPr>
          <w:iCs/>
          <w:color w:val="000000" w:themeColor="text1"/>
          <w:szCs w:val="22"/>
          <w:lang w:eastAsia="cs-CZ"/>
        </w:rPr>
        <w:t>20</w:t>
      </w:r>
      <w:r w:rsidRPr="00AE6EDB">
        <w:rPr>
          <w:iCs/>
          <w:color w:val="000000" w:themeColor="text1"/>
          <w:szCs w:val="22"/>
          <w:lang w:eastAsia="cs-CZ"/>
        </w:rPr>
        <w:t xml:space="preserve"> (</w:t>
      </w:r>
      <w:r w:rsidR="00C574D1" w:rsidRPr="00AE6EDB">
        <w:rPr>
          <w:iCs/>
          <w:color w:val="000000" w:themeColor="text1"/>
          <w:szCs w:val="22"/>
          <w:lang w:eastAsia="cs-CZ"/>
        </w:rPr>
        <w:t>1</w:t>
      </w:r>
      <w:r w:rsidR="00AC44CB">
        <w:rPr>
          <w:iCs/>
          <w:color w:val="000000" w:themeColor="text1"/>
          <w:szCs w:val="22"/>
          <w:lang w:eastAsia="cs-CZ"/>
        </w:rPr>
        <w:t>9 7</w:t>
      </w:r>
      <w:r w:rsidR="00C574D1" w:rsidRPr="00AE6EDB">
        <w:rPr>
          <w:iCs/>
          <w:color w:val="000000" w:themeColor="text1"/>
          <w:szCs w:val="22"/>
          <w:lang w:eastAsia="cs-CZ"/>
        </w:rPr>
        <w:t>23</w:t>
      </w:r>
      <w:r w:rsidRPr="00AE6EDB">
        <w:rPr>
          <w:iCs/>
          <w:color w:val="000000" w:themeColor="text1"/>
          <w:szCs w:val="22"/>
          <w:lang w:eastAsia="cs-CZ"/>
        </w:rPr>
        <w:t>), 2</w:t>
      </w:r>
      <w:r w:rsidR="00C574D1" w:rsidRPr="00AE6EDB">
        <w:rPr>
          <w:iCs/>
          <w:color w:val="000000" w:themeColor="text1"/>
          <w:szCs w:val="22"/>
          <w:lang w:eastAsia="cs-CZ"/>
        </w:rPr>
        <w:t>5</w:t>
      </w:r>
      <w:r w:rsidRPr="00AE6EDB">
        <w:rPr>
          <w:iCs/>
          <w:color w:val="000000" w:themeColor="text1"/>
          <w:szCs w:val="22"/>
          <w:lang w:eastAsia="cs-CZ"/>
        </w:rPr>
        <w:t xml:space="preserve"> (2</w:t>
      </w:r>
      <w:r w:rsidR="00C574D1" w:rsidRPr="00AE6EDB">
        <w:rPr>
          <w:iCs/>
          <w:color w:val="000000" w:themeColor="text1"/>
          <w:szCs w:val="22"/>
          <w:lang w:eastAsia="cs-CZ"/>
        </w:rPr>
        <w:t>4</w:t>
      </w:r>
      <w:r w:rsidRPr="00AE6EDB">
        <w:rPr>
          <w:iCs/>
          <w:color w:val="000000" w:themeColor="text1"/>
          <w:szCs w:val="22"/>
          <w:lang w:eastAsia="cs-CZ"/>
        </w:rPr>
        <w:t>)</w:t>
      </w:r>
      <w:r w:rsidR="00865C19">
        <w:rPr>
          <w:iCs/>
          <w:color w:val="000000" w:themeColor="text1"/>
          <w:szCs w:val="22"/>
          <w:lang w:eastAsia="cs-CZ"/>
        </w:rPr>
        <w:t>,</w:t>
      </w:r>
      <w:r w:rsidRPr="00AE6EDB">
        <w:rPr>
          <w:iCs/>
          <w:color w:val="000000" w:themeColor="text1"/>
          <w:szCs w:val="22"/>
          <w:lang w:eastAsia="cs-CZ"/>
        </w:rPr>
        <w:t xml:space="preserve"> práčovní s celkovým počtom prijímateľov </w:t>
      </w:r>
      <w:r w:rsidR="0054295F">
        <w:rPr>
          <w:iCs/>
          <w:color w:val="000000" w:themeColor="text1"/>
          <w:szCs w:val="22"/>
          <w:lang w:eastAsia="cs-CZ"/>
        </w:rPr>
        <w:t>3 7</w:t>
      </w:r>
      <w:r w:rsidR="00C574D1" w:rsidRPr="00AE6EDB">
        <w:rPr>
          <w:iCs/>
          <w:color w:val="000000" w:themeColor="text1"/>
          <w:szCs w:val="22"/>
          <w:lang w:eastAsia="cs-CZ"/>
        </w:rPr>
        <w:t>19</w:t>
      </w:r>
      <w:r w:rsidRPr="00AE6EDB">
        <w:rPr>
          <w:iCs/>
          <w:color w:val="000000" w:themeColor="text1"/>
          <w:szCs w:val="22"/>
          <w:lang w:eastAsia="cs-CZ"/>
        </w:rPr>
        <w:t xml:space="preserve"> (</w:t>
      </w:r>
      <w:r w:rsidR="0054295F">
        <w:rPr>
          <w:iCs/>
          <w:color w:val="000000" w:themeColor="text1"/>
          <w:szCs w:val="22"/>
          <w:lang w:eastAsia="cs-CZ"/>
        </w:rPr>
        <w:t>2 8</w:t>
      </w:r>
      <w:r w:rsidR="00C574D1" w:rsidRPr="00AE6EDB">
        <w:rPr>
          <w:iCs/>
          <w:color w:val="000000" w:themeColor="text1"/>
          <w:szCs w:val="22"/>
          <w:lang w:eastAsia="cs-CZ"/>
        </w:rPr>
        <w:t>63</w:t>
      </w:r>
      <w:r w:rsidRPr="00AE6EDB">
        <w:rPr>
          <w:iCs/>
          <w:color w:val="000000" w:themeColor="text1"/>
          <w:szCs w:val="22"/>
          <w:lang w:eastAsia="cs-CZ"/>
        </w:rPr>
        <w:t>) a </w:t>
      </w:r>
      <w:r w:rsidR="00C574D1" w:rsidRPr="00AE6EDB">
        <w:rPr>
          <w:iCs/>
          <w:color w:val="000000" w:themeColor="text1"/>
          <w:szCs w:val="22"/>
          <w:lang w:eastAsia="cs-CZ"/>
        </w:rPr>
        <w:t>42</w:t>
      </w:r>
      <w:r w:rsidRPr="00AE6EDB">
        <w:rPr>
          <w:iCs/>
          <w:color w:val="000000" w:themeColor="text1"/>
          <w:szCs w:val="22"/>
          <w:lang w:eastAsia="cs-CZ"/>
        </w:rPr>
        <w:t xml:space="preserve"> (26) stredísk osobnej hygieny s celkovým počtom prijímateľov </w:t>
      </w:r>
      <w:r w:rsidR="00AC44CB">
        <w:rPr>
          <w:iCs/>
          <w:color w:val="000000" w:themeColor="text1"/>
          <w:szCs w:val="22"/>
          <w:lang w:eastAsia="cs-CZ"/>
        </w:rPr>
        <w:t>9 1</w:t>
      </w:r>
      <w:r w:rsidR="00C574D1" w:rsidRPr="00AE6EDB">
        <w:rPr>
          <w:iCs/>
          <w:color w:val="000000" w:themeColor="text1"/>
          <w:szCs w:val="22"/>
          <w:lang w:eastAsia="cs-CZ"/>
        </w:rPr>
        <w:t>13</w:t>
      </w:r>
      <w:r w:rsidRPr="00AE6EDB">
        <w:rPr>
          <w:iCs/>
          <w:color w:val="000000" w:themeColor="text1"/>
          <w:szCs w:val="22"/>
          <w:lang w:eastAsia="cs-CZ"/>
        </w:rPr>
        <w:t xml:space="preserve"> (</w:t>
      </w:r>
      <w:r w:rsidR="00C574D1" w:rsidRPr="00AE6EDB">
        <w:rPr>
          <w:iCs/>
          <w:color w:val="000000" w:themeColor="text1"/>
          <w:szCs w:val="22"/>
          <w:lang w:eastAsia="cs-CZ"/>
        </w:rPr>
        <w:t>1</w:t>
      </w:r>
      <w:r w:rsidR="00AC44CB">
        <w:rPr>
          <w:iCs/>
          <w:color w:val="000000" w:themeColor="text1"/>
          <w:szCs w:val="22"/>
          <w:lang w:eastAsia="cs-CZ"/>
        </w:rPr>
        <w:t>6 8</w:t>
      </w:r>
      <w:r w:rsidR="00C574D1" w:rsidRPr="00AE6EDB">
        <w:rPr>
          <w:iCs/>
          <w:color w:val="000000" w:themeColor="text1"/>
          <w:szCs w:val="22"/>
          <w:lang w:eastAsia="cs-CZ"/>
        </w:rPr>
        <w:t>09</w:t>
      </w:r>
      <w:r w:rsidRPr="00AE6EDB">
        <w:rPr>
          <w:iCs/>
          <w:color w:val="000000" w:themeColor="text1"/>
          <w:szCs w:val="22"/>
          <w:lang w:eastAsia="cs-CZ"/>
        </w:rPr>
        <w:t xml:space="preserve">). Pomoc pri osobnej starostlivosti o dieťa a podporu zosúlaďovania osobného a pracovného života poskytovali </w:t>
      </w:r>
      <w:r w:rsidR="00C574D1" w:rsidRPr="00AE6EDB">
        <w:rPr>
          <w:iCs/>
          <w:color w:val="000000" w:themeColor="text1"/>
          <w:szCs w:val="22"/>
          <w:lang w:eastAsia="cs-CZ"/>
        </w:rPr>
        <w:t>9</w:t>
      </w:r>
      <w:r w:rsidRPr="00AE6EDB">
        <w:rPr>
          <w:iCs/>
          <w:color w:val="000000" w:themeColor="text1"/>
          <w:szCs w:val="22"/>
          <w:lang w:eastAsia="cs-CZ"/>
        </w:rPr>
        <w:t xml:space="preserve"> (</w:t>
      </w:r>
      <w:r w:rsidR="00C574D1" w:rsidRPr="00AE6EDB">
        <w:rPr>
          <w:iCs/>
          <w:color w:val="000000" w:themeColor="text1"/>
          <w:szCs w:val="22"/>
          <w:lang w:eastAsia="cs-CZ"/>
        </w:rPr>
        <w:t>3</w:t>
      </w:r>
      <w:r w:rsidRPr="00AE6EDB">
        <w:rPr>
          <w:iCs/>
          <w:color w:val="000000" w:themeColor="text1"/>
          <w:szCs w:val="22"/>
          <w:lang w:eastAsia="cs-CZ"/>
        </w:rPr>
        <w:t xml:space="preserve">) poskytovatelia s celkovým počtom prijímateľov </w:t>
      </w:r>
      <w:r w:rsidR="00C574D1" w:rsidRPr="00AE6EDB">
        <w:rPr>
          <w:iCs/>
          <w:color w:val="000000" w:themeColor="text1"/>
          <w:szCs w:val="22"/>
          <w:lang w:eastAsia="cs-CZ"/>
        </w:rPr>
        <w:t>86</w:t>
      </w:r>
      <w:r w:rsidRPr="00AE6EDB">
        <w:rPr>
          <w:iCs/>
          <w:color w:val="000000" w:themeColor="text1"/>
          <w:szCs w:val="22"/>
          <w:lang w:eastAsia="cs-CZ"/>
        </w:rPr>
        <w:t xml:space="preserve"> (</w:t>
      </w:r>
      <w:r w:rsidR="00C574D1" w:rsidRPr="00AE6EDB">
        <w:rPr>
          <w:iCs/>
          <w:color w:val="000000" w:themeColor="text1"/>
          <w:szCs w:val="22"/>
          <w:lang w:eastAsia="cs-CZ"/>
        </w:rPr>
        <w:t>6</w:t>
      </w:r>
      <w:r w:rsidRPr="00AE6EDB">
        <w:rPr>
          <w:iCs/>
          <w:color w:val="000000" w:themeColor="text1"/>
          <w:szCs w:val="22"/>
          <w:lang w:eastAsia="cs-CZ"/>
        </w:rPr>
        <w:t xml:space="preserve">), </w:t>
      </w:r>
      <w:r w:rsidR="00C574D1" w:rsidRPr="00AE6EDB">
        <w:rPr>
          <w:iCs/>
          <w:color w:val="000000" w:themeColor="text1"/>
          <w:szCs w:val="22"/>
          <w:lang w:eastAsia="cs-CZ"/>
        </w:rPr>
        <w:t>7</w:t>
      </w:r>
      <w:r w:rsidRPr="00AE6EDB">
        <w:rPr>
          <w:iCs/>
          <w:color w:val="000000" w:themeColor="text1"/>
          <w:szCs w:val="22"/>
          <w:lang w:eastAsia="cs-CZ"/>
        </w:rPr>
        <w:t xml:space="preserve"> (</w:t>
      </w:r>
      <w:r w:rsidR="00C574D1" w:rsidRPr="00AE6EDB">
        <w:rPr>
          <w:iCs/>
          <w:color w:val="000000" w:themeColor="text1"/>
          <w:szCs w:val="22"/>
          <w:lang w:eastAsia="cs-CZ"/>
        </w:rPr>
        <w:t>8</w:t>
      </w:r>
      <w:r w:rsidRPr="00AE6EDB">
        <w:rPr>
          <w:iCs/>
          <w:color w:val="000000" w:themeColor="text1"/>
          <w:szCs w:val="22"/>
          <w:lang w:eastAsia="cs-CZ"/>
        </w:rPr>
        <w:t xml:space="preserve">) poskytovateľov sprostredkovávalo osobnú asistenciu s celkovým počtom prijímateľov </w:t>
      </w:r>
      <w:r w:rsidR="0054295F">
        <w:rPr>
          <w:iCs/>
          <w:color w:val="000000" w:themeColor="text1"/>
          <w:szCs w:val="22"/>
          <w:lang w:eastAsia="cs-CZ"/>
        </w:rPr>
        <w:t>1 1</w:t>
      </w:r>
      <w:r w:rsidR="00C574D1" w:rsidRPr="00AE6EDB">
        <w:rPr>
          <w:iCs/>
          <w:color w:val="000000" w:themeColor="text1"/>
          <w:szCs w:val="22"/>
          <w:lang w:eastAsia="cs-CZ"/>
        </w:rPr>
        <w:t>29</w:t>
      </w:r>
      <w:r w:rsidRPr="00AE6EDB">
        <w:rPr>
          <w:iCs/>
          <w:color w:val="000000" w:themeColor="text1"/>
          <w:szCs w:val="22"/>
          <w:lang w:eastAsia="cs-CZ"/>
        </w:rPr>
        <w:t> (55</w:t>
      </w:r>
      <w:r w:rsidR="00C574D1" w:rsidRPr="00AE6EDB">
        <w:rPr>
          <w:iCs/>
          <w:color w:val="000000" w:themeColor="text1"/>
          <w:szCs w:val="22"/>
          <w:lang w:eastAsia="cs-CZ"/>
        </w:rPr>
        <w:t>4</w:t>
      </w:r>
      <w:r w:rsidRPr="00AE6EDB">
        <w:rPr>
          <w:iCs/>
          <w:color w:val="000000" w:themeColor="text1"/>
          <w:szCs w:val="22"/>
          <w:lang w:eastAsia="cs-CZ"/>
        </w:rPr>
        <w:t>), 4</w:t>
      </w:r>
      <w:r w:rsidR="00C574D1" w:rsidRPr="00AE6EDB">
        <w:rPr>
          <w:iCs/>
          <w:color w:val="000000" w:themeColor="text1"/>
          <w:szCs w:val="22"/>
          <w:lang w:eastAsia="cs-CZ"/>
        </w:rPr>
        <w:t>5</w:t>
      </w:r>
      <w:r w:rsidRPr="00AE6EDB">
        <w:rPr>
          <w:iCs/>
          <w:color w:val="000000" w:themeColor="text1"/>
          <w:szCs w:val="22"/>
          <w:lang w:eastAsia="cs-CZ"/>
        </w:rPr>
        <w:t xml:space="preserve"> (</w:t>
      </w:r>
      <w:r w:rsidR="00C574D1" w:rsidRPr="00AE6EDB">
        <w:rPr>
          <w:iCs/>
          <w:color w:val="000000" w:themeColor="text1"/>
          <w:szCs w:val="22"/>
          <w:lang w:eastAsia="cs-CZ"/>
        </w:rPr>
        <w:t>4</w:t>
      </w:r>
      <w:r w:rsidRPr="00AE6EDB">
        <w:rPr>
          <w:iCs/>
          <w:color w:val="000000" w:themeColor="text1"/>
          <w:szCs w:val="22"/>
          <w:lang w:eastAsia="cs-CZ"/>
        </w:rPr>
        <w:t xml:space="preserve">4) poskytovateľov požičiavalo pomôcky s celkovým počtom prijímateľov </w:t>
      </w:r>
      <w:r w:rsidR="0054295F">
        <w:rPr>
          <w:iCs/>
          <w:color w:val="000000" w:themeColor="text1"/>
          <w:szCs w:val="22"/>
          <w:lang w:eastAsia="cs-CZ"/>
        </w:rPr>
        <w:t>1 4</w:t>
      </w:r>
      <w:r w:rsidR="00C574D1" w:rsidRPr="00AE6EDB">
        <w:rPr>
          <w:iCs/>
          <w:color w:val="000000" w:themeColor="text1"/>
          <w:szCs w:val="22"/>
          <w:lang w:eastAsia="cs-CZ"/>
        </w:rPr>
        <w:t>19</w:t>
      </w:r>
      <w:r w:rsidRPr="00AE6EDB">
        <w:rPr>
          <w:iCs/>
          <w:color w:val="000000" w:themeColor="text1"/>
          <w:szCs w:val="22"/>
          <w:lang w:eastAsia="cs-CZ"/>
        </w:rPr>
        <w:t xml:space="preserve"> (</w:t>
      </w:r>
      <w:r w:rsidR="0054295F">
        <w:rPr>
          <w:iCs/>
          <w:color w:val="000000" w:themeColor="text1"/>
          <w:szCs w:val="22"/>
          <w:lang w:eastAsia="cs-CZ"/>
        </w:rPr>
        <w:t>1 5</w:t>
      </w:r>
      <w:r w:rsidR="00C574D1" w:rsidRPr="00AE6EDB">
        <w:rPr>
          <w:iCs/>
          <w:color w:val="000000" w:themeColor="text1"/>
          <w:szCs w:val="22"/>
          <w:lang w:eastAsia="cs-CZ"/>
        </w:rPr>
        <w:t>25</w:t>
      </w:r>
      <w:r w:rsidRPr="00AE6EDB">
        <w:rPr>
          <w:iCs/>
          <w:color w:val="000000" w:themeColor="text1"/>
          <w:szCs w:val="22"/>
          <w:lang w:eastAsia="cs-CZ"/>
        </w:rPr>
        <w:t xml:space="preserve">), monitorovanie a signalizáciu potreby poskytovalo </w:t>
      </w:r>
      <w:r w:rsidR="000E6B37" w:rsidRPr="00AE6EDB">
        <w:rPr>
          <w:iCs/>
          <w:color w:val="000000" w:themeColor="text1"/>
          <w:szCs w:val="22"/>
          <w:lang w:eastAsia="cs-CZ"/>
        </w:rPr>
        <w:t>8</w:t>
      </w:r>
      <w:r w:rsidRPr="00AE6EDB">
        <w:rPr>
          <w:iCs/>
          <w:color w:val="000000" w:themeColor="text1"/>
          <w:szCs w:val="22"/>
          <w:lang w:eastAsia="cs-CZ"/>
        </w:rPr>
        <w:t xml:space="preserve"> (</w:t>
      </w:r>
      <w:r w:rsidR="000E6B37" w:rsidRPr="00AE6EDB">
        <w:rPr>
          <w:iCs/>
          <w:color w:val="000000" w:themeColor="text1"/>
          <w:szCs w:val="22"/>
          <w:lang w:eastAsia="cs-CZ"/>
        </w:rPr>
        <w:t>9</w:t>
      </w:r>
      <w:r w:rsidRPr="00AE6EDB">
        <w:rPr>
          <w:iCs/>
          <w:color w:val="000000" w:themeColor="text1"/>
          <w:szCs w:val="22"/>
          <w:lang w:eastAsia="cs-CZ"/>
        </w:rPr>
        <w:t xml:space="preserve">) poskytovateľov s celkovým počtom prijímateľov </w:t>
      </w:r>
      <w:r w:rsidR="000E6B37" w:rsidRPr="00AE6EDB">
        <w:rPr>
          <w:iCs/>
          <w:color w:val="000000" w:themeColor="text1"/>
          <w:szCs w:val="22"/>
          <w:lang w:eastAsia="cs-CZ"/>
        </w:rPr>
        <w:t>407</w:t>
      </w:r>
      <w:r w:rsidRPr="00AE6EDB">
        <w:rPr>
          <w:iCs/>
          <w:color w:val="000000" w:themeColor="text1"/>
          <w:szCs w:val="22"/>
          <w:lang w:eastAsia="cs-CZ"/>
        </w:rPr>
        <w:t xml:space="preserve"> (</w:t>
      </w:r>
      <w:r w:rsidR="000E6B37" w:rsidRPr="00AE6EDB">
        <w:rPr>
          <w:iCs/>
          <w:color w:val="000000" w:themeColor="text1"/>
          <w:szCs w:val="22"/>
          <w:lang w:eastAsia="cs-CZ"/>
        </w:rPr>
        <w:t>332</w:t>
      </w:r>
      <w:r w:rsidRPr="00AE6EDB">
        <w:rPr>
          <w:iCs/>
          <w:color w:val="000000" w:themeColor="text1"/>
          <w:szCs w:val="22"/>
          <w:lang w:eastAsia="cs-CZ"/>
        </w:rPr>
        <w:t xml:space="preserve">) a pomoc pri výkone opatrovníckych práv a povinností </w:t>
      </w:r>
      <w:r w:rsidR="000E6B37" w:rsidRPr="00AE6EDB">
        <w:rPr>
          <w:iCs/>
          <w:color w:val="000000" w:themeColor="text1"/>
          <w:szCs w:val="22"/>
          <w:lang w:eastAsia="cs-CZ"/>
        </w:rPr>
        <w:t>9 </w:t>
      </w:r>
      <w:r w:rsidRPr="00AE6EDB">
        <w:rPr>
          <w:iCs/>
          <w:color w:val="000000" w:themeColor="text1"/>
          <w:szCs w:val="22"/>
          <w:lang w:eastAsia="cs-CZ"/>
        </w:rPr>
        <w:t>(</w:t>
      </w:r>
      <w:r w:rsidR="000E6B37" w:rsidRPr="00AE6EDB">
        <w:rPr>
          <w:iCs/>
          <w:color w:val="000000" w:themeColor="text1"/>
          <w:szCs w:val="22"/>
          <w:lang w:eastAsia="cs-CZ"/>
        </w:rPr>
        <w:t>1</w:t>
      </w:r>
      <w:r w:rsidRPr="00AE6EDB">
        <w:rPr>
          <w:iCs/>
          <w:color w:val="000000" w:themeColor="text1"/>
          <w:szCs w:val="22"/>
          <w:lang w:eastAsia="cs-CZ"/>
        </w:rPr>
        <w:t xml:space="preserve">7) poskytovateľov s celkovým počtom prijímateľov </w:t>
      </w:r>
      <w:r w:rsidR="000E6B37" w:rsidRPr="00AE6EDB">
        <w:rPr>
          <w:iCs/>
          <w:color w:val="000000" w:themeColor="text1"/>
          <w:szCs w:val="22"/>
          <w:lang w:eastAsia="cs-CZ"/>
        </w:rPr>
        <w:t>67</w:t>
      </w:r>
      <w:r w:rsidRPr="00AE6EDB">
        <w:rPr>
          <w:iCs/>
          <w:color w:val="000000" w:themeColor="text1"/>
          <w:szCs w:val="22"/>
          <w:lang w:eastAsia="cs-CZ"/>
        </w:rPr>
        <w:t xml:space="preserve"> (</w:t>
      </w:r>
      <w:r w:rsidR="000E6B37" w:rsidRPr="00AE6EDB">
        <w:rPr>
          <w:iCs/>
          <w:color w:val="000000" w:themeColor="text1"/>
          <w:szCs w:val="22"/>
          <w:lang w:eastAsia="cs-CZ"/>
        </w:rPr>
        <w:t>8</w:t>
      </w:r>
      <w:r w:rsidRPr="00AE6EDB">
        <w:rPr>
          <w:iCs/>
          <w:color w:val="000000" w:themeColor="text1"/>
          <w:szCs w:val="22"/>
          <w:lang w:eastAsia="cs-CZ"/>
        </w:rPr>
        <w:t xml:space="preserve">9). </w:t>
      </w:r>
      <w:r w:rsidR="000E6B37" w:rsidRPr="00AE6EDB">
        <w:rPr>
          <w:iCs/>
          <w:color w:val="000000" w:themeColor="text1"/>
          <w:szCs w:val="22"/>
          <w:lang w:eastAsia="cs-CZ"/>
        </w:rPr>
        <w:t>Pri nových druhoch sociálnych služieb sú k dispozícii v roku 2015 nasledovné údaje</w:t>
      </w:r>
      <w:r w:rsidR="00F43C26" w:rsidRPr="00AE6EDB">
        <w:rPr>
          <w:iCs/>
          <w:color w:val="000000" w:themeColor="text1"/>
          <w:szCs w:val="22"/>
          <w:lang w:eastAsia="cs-CZ"/>
        </w:rPr>
        <w:t>:</w:t>
      </w:r>
      <w:r w:rsidR="000E6B37" w:rsidRPr="00AE6EDB">
        <w:rPr>
          <w:iCs/>
          <w:color w:val="000000" w:themeColor="text1"/>
          <w:szCs w:val="22"/>
          <w:lang w:eastAsia="cs-CZ"/>
        </w:rPr>
        <w:t xml:space="preserve"> Počet komunitných centier bol 97 s celkovým počtom klientov 2</w:t>
      </w:r>
      <w:r w:rsidR="0054295F">
        <w:rPr>
          <w:iCs/>
          <w:color w:val="000000" w:themeColor="text1"/>
          <w:szCs w:val="22"/>
          <w:lang w:eastAsia="cs-CZ"/>
        </w:rPr>
        <w:t>0 2</w:t>
      </w:r>
      <w:r w:rsidR="000E6B37" w:rsidRPr="00AE6EDB">
        <w:rPr>
          <w:iCs/>
          <w:color w:val="000000" w:themeColor="text1"/>
          <w:szCs w:val="22"/>
          <w:lang w:eastAsia="cs-CZ"/>
        </w:rPr>
        <w:t xml:space="preserve">41, podporu samostatného bývania poskytovalo 22 poskytovateľov s počtom 52 prijímateľov, poskytovateľov služby včasnej intervencie bolo 26 s počtom 175 prijímateľov, terénnu sociálnu službu krízovej intervencie poskytovalo 53 poskytovateľov s celkovým počtom </w:t>
      </w:r>
      <w:r w:rsidR="00AC44CB">
        <w:rPr>
          <w:iCs/>
          <w:color w:val="000000" w:themeColor="text1"/>
          <w:szCs w:val="22"/>
          <w:lang w:eastAsia="cs-CZ"/>
        </w:rPr>
        <w:t>9 2</w:t>
      </w:r>
      <w:r w:rsidR="000E6B37" w:rsidRPr="00AE6EDB">
        <w:rPr>
          <w:iCs/>
          <w:color w:val="000000" w:themeColor="text1"/>
          <w:szCs w:val="22"/>
          <w:lang w:eastAsia="cs-CZ"/>
        </w:rPr>
        <w:t>44 prijímateľov.</w:t>
      </w:r>
    </w:p>
    <w:p w:rsidR="000A7585" w:rsidRPr="00AE6EDB" w:rsidRDefault="000A7585" w:rsidP="000A7585">
      <w:pPr>
        <w:ind w:firstLine="567"/>
        <w:rPr>
          <w:szCs w:val="22"/>
        </w:rPr>
      </w:pPr>
      <w:r w:rsidRPr="00AE6EDB">
        <w:rPr>
          <w:szCs w:val="22"/>
        </w:rPr>
        <w:t>Štatistické údaje o vybraných sociálnych službách sú uvedené v prílohe ku kapitole 3, tabuľky 27 a 29.</w:t>
      </w:r>
    </w:p>
    <w:p w:rsidR="000A7585" w:rsidRPr="00AE6EDB" w:rsidRDefault="000A7585" w:rsidP="000A7585">
      <w:pPr>
        <w:ind w:firstLine="567"/>
        <w:rPr>
          <w:color w:val="000000" w:themeColor="text1"/>
        </w:rPr>
      </w:pPr>
      <w:r w:rsidRPr="00AE6EDB">
        <w:rPr>
          <w:szCs w:val="22"/>
        </w:rPr>
        <w:t xml:space="preserve"> </w:t>
      </w:r>
      <w:r w:rsidRPr="00AE6EDB">
        <w:rPr>
          <w:color w:val="000000" w:themeColor="text1"/>
          <w:szCs w:val="22"/>
          <w:lang w:eastAsia="cs-CZ"/>
        </w:rPr>
        <w:t>V roku 201</w:t>
      </w:r>
      <w:r w:rsidR="000E6B37" w:rsidRPr="00AE6EDB">
        <w:rPr>
          <w:color w:val="000000" w:themeColor="text1"/>
          <w:szCs w:val="22"/>
          <w:lang w:eastAsia="cs-CZ"/>
        </w:rPr>
        <w:t>5</w:t>
      </w:r>
      <w:r w:rsidRPr="00AE6EDB">
        <w:rPr>
          <w:color w:val="000000" w:themeColor="text1"/>
          <w:szCs w:val="22"/>
          <w:lang w:eastAsia="cs-CZ"/>
        </w:rPr>
        <w:t xml:space="preserve"> bolo do </w:t>
      </w:r>
      <w:r w:rsidRPr="00AE6EDB">
        <w:rPr>
          <w:b/>
          <w:color w:val="000000" w:themeColor="text1"/>
          <w:szCs w:val="22"/>
          <w:lang w:eastAsia="cs-CZ"/>
        </w:rPr>
        <w:t>poradovníkov</w:t>
      </w:r>
      <w:r w:rsidRPr="00AE6EDB">
        <w:rPr>
          <w:color w:val="000000" w:themeColor="text1"/>
          <w:szCs w:val="22"/>
          <w:lang w:eastAsia="cs-CZ"/>
        </w:rPr>
        <w:t xml:space="preserve"> čakateľov na poskytovanie sociálnych služieb v zariadeniach sociálnych služieb zaradených celkovo </w:t>
      </w:r>
      <w:r w:rsidR="00AC44CB">
        <w:rPr>
          <w:color w:val="000000" w:themeColor="text1"/>
          <w:szCs w:val="22"/>
          <w:lang w:eastAsia="cs-CZ"/>
        </w:rPr>
        <w:t>6 0</w:t>
      </w:r>
      <w:r w:rsidR="000E6B37" w:rsidRPr="00AE6EDB">
        <w:rPr>
          <w:color w:val="000000" w:themeColor="text1"/>
          <w:szCs w:val="22"/>
          <w:lang w:eastAsia="cs-CZ"/>
        </w:rPr>
        <w:t>00</w:t>
      </w:r>
      <w:r w:rsidRPr="00AE6EDB">
        <w:rPr>
          <w:color w:val="000000" w:themeColor="text1"/>
          <w:szCs w:val="22"/>
          <w:lang w:eastAsia="cs-CZ"/>
        </w:rPr>
        <w:t xml:space="preserve"> (</w:t>
      </w:r>
      <w:r w:rsidR="0054295F">
        <w:rPr>
          <w:color w:val="000000" w:themeColor="text1"/>
          <w:szCs w:val="22"/>
          <w:lang w:eastAsia="cs-CZ"/>
        </w:rPr>
        <w:t>4 5</w:t>
      </w:r>
      <w:r w:rsidR="000E6B37" w:rsidRPr="00AE6EDB">
        <w:rPr>
          <w:color w:val="000000" w:themeColor="text1"/>
          <w:szCs w:val="22"/>
          <w:lang w:eastAsia="cs-CZ"/>
        </w:rPr>
        <w:t>21</w:t>
      </w:r>
      <w:r w:rsidRPr="00AE6EDB">
        <w:rPr>
          <w:color w:val="000000" w:themeColor="text1"/>
          <w:szCs w:val="22"/>
          <w:lang w:eastAsia="cs-CZ"/>
        </w:rPr>
        <w:t>) fyzických osôb, z toho najviac v</w:t>
      </w:r>
      <w:r w:rsidR="000E6B37" w:rsidRPr="00AE6EDB">
        <w:rPr>
          <w:color w:val="000000" w:themeColor="text1"/>
          <w:szCs w:val="22"/>
          <w:lang w:eastAsia="cs-CZ"/>
        </w:rPr>
        <w:t> zariadeniach pre seniorov</w:t>
      </w:r>
      <w:r w:rsidRPr="00AE6EDB">
        <w:rPr>
          <w:color w:val="000000" w:themeColor="text1"/>
          <w:szCs w:val="22"/>
          <w:lang w:eastAsia="cs-CZ"/>
        </w:rPr>
        <w:t xml:space="preserve">, a to </w:t>
      </w:r>
      <w:r w:rsidR="0054295F">
        <w:rPr>
          <w:color w:val="000000" w:themeColor="text1"/>
          <w:szCs w:val="22"/>
          <w:lang w:eastAsia="cs-CZ"/>
        </w:rPr>
        <w:t>3 4</w:t>
      </w:r>
      <w:r w:rsidR="000E6B37" w:rsidRPr="00AE6EDB">
        <w:rPr>
          <w:color w:val="000000" w:themeColor="text1"/>
          <w:szCs w:val="22"/>
          <w:lang w:eastAsia="cs-CZ"/>
        </w:rPr>
        <w:t>27</w:t>
      </w:r>
      <w:r w:rsidRPr="00AE6EDB">
        <w:rPr>
          <w:color w:val="000000" w:themeColor="text1"/>
          <w:szCs w:val="22"/>
          <w:lang w:eastAsia="cs-CZ"/>
        </w:rPr>
        <w:t xml:space="preserve"> osôb (5</w:t>
      </w:r>
      <w:r w:rsidR="000E6B37" w:rsidRPr="00AE6EDB">
        <w:rPr>
          <w:color w:val="000000" w:themeColor="text1"/>
          <w:szCs w:val="22"/>
          <w:lang w:eastAsia="cs-CZ"/>
        </w:rPr>
        <w:t>7,1</w:t>
      </w:r>
      <w:r w:rsidR="005676EF">
        <w:rPr>
          <w:color w:val="000000" w:themeColor="text1"/>
          <w:szCs w:val="22"/>
          <w:lang w:eastAsia="cs-CZ"/>
        </w:rPr>
        <w:t> %</w:t>
      </w:r>
      <w:r w:rsidRPr="00AE6EDB">
        <w:rPr>
          <w:color w:val="000000" w:themeColor="text1"/>
          <w:szCs w:val="22"/>
          <w:lang w:eastAsia="cs-CZ"/>
        </w:rPr>
        <w:t>) a v</w:t>
      </w:r>
      <w:r w:rsidR="000E6B37" w:rsidRPr="00AE6EDB">
        <w:rPr>
          <w:color w:val="000000" w:themeColor="text1"/>
          <w:szCs w:val="22"/>
          <w:lang w:eastAsia="cs-CZ"/>
        </w:rPr>
        <w:t xml:space="preserve"> domovoch sociálnych služieb </w:t>
      </w:r>
      <w:r w:rsidR="0054295F">
        <w:rPr>
          <w:color w:val="000000" w:themeColor="text1"/>
          <w:szCs w:val="22"/>
          <w:lang w:eastAsia="cs-CZ"/>
        </w:rPr>
        <w:t>1 8</w:t>
      </w:r>
      <w:r w:rsidR="000E6B37" w:rsidRPr="00AE6EDB">
        <w:rPr>
          <w:color w:val="000000" w:themeColor="text1"/>
          <w:szCs w:val="22"/>
          <w:lang w:eastAsia="cs-CZ"/>
        </w:rPr>
        <w:t>60</w:t>
      </w:r>
      <w:r w:rsidRPr="00AE6EDB">
        <w:rPr>
          <w:color w:val="000000" w:themeColor="text1"/>
          <w:szCs w:val="22"/>
          <w:lang w:eastAsia="cs-CZ"/>
        </w:rPr>
        <w:t xml:space="preserve"> osôb (3</w:t>
      </w:r>
      <w:r w:rsidR="000E6B37" w:rsidRPr="00AE6EDB">
        <w:rPr>
          <w:color w:val="000000" w:themeColor="text1"/>
          <w:szCs w:val="22"/>
          <w:lang w:eastAsia="cs-CZ"/>
        </w:rPr>
        <w:t>1,0</w:t>
      </w:r>
      <w:r w:rsidR="005676EF">
        <w:rPr>
          <w:color w:val="000000" w:themeColor="text1"/>
          <w:szCs w:val="22"/>
          <w:lang w:eastAsia="cs-CZ"/>
        </w:rPr>
        <w:t> %</w:t>
      </w:r>
      <w:r w:rsidRPr="00AE6EDB">
        <w:rPr>
          <w:color w:val="000000" w:themeColor="text1"/>
          <w:szCs w:val="22"/>
          <w:lang w:eastAsia="cs-CZ"/>
        </w:rPr>
        <w:t>). Celkový počet čakateľov oproti roku 201</w:t>
      </w:r>
      <w:r w:rsidR="000E6B37" w:rsidRPr="00AE6EDB">
        <w:rPr>
          <w:color w:val="000000" w:themeColor="text1"/>
          <w:szCs w:val="22"/>
          <w:lang w:eastAsia="cs-CZ"/>
        </w:rPr>
        <w:t>4</w:t>
      </w:r>
      <w:r w:rsidRPr="00AE6EDB">
        <w:rPr>
          <w:color w:val="000000" w:themeColor="text1"/>
          <w:szCs w:val="22"/>
          <w:lang w:eastAsia="cs-CZ"/>
        </w:rPr>
        <w:t xml:space="preserve"> stúpol o</w:t>
      </w:r>
      <w:r w:rsidR="000E6B37" w:rsidRPr="00AE6EDB">
        <w:rPr>
          <w:color w:val="000000" w:themeColor="text1"/>
          <w:szCs w:val="22"/>
          <w:lang w:eastAsia="cs-CZ"/>
        </w:rPr>
        <w:t> </w:t>
      </w:r>
      <w:r w:rsidR="0054295F">
        <w:rPr>
          <w:color w:val="000000" w:themeColor="text1"/>
          <w:szCs w:val="22"/>
          <w:lang w:eastAsia="cs-CZ"/>
        </w:rPr>
        <w:t>1 4</w:t>
      </w:r>
      <w:r w:rsidR="000E6B37" w:rsidRPr="00AE6EDB">
        <w:rPr>
          <w:color w:val="000000" w:themeColor="text1"/>
          <w:szCs w:val="22"/>
          <w:lang w:eastAsia="cs-CZ"/>
        </w:rPr>
        <w:t>79</w:t>
      </w:r>
      <w:r w:rsidRPr="00AE6EDB">
        <w:rPr>
          <w:color w:val="000000" w:themeColor="text1"/>
          <w:szCs w:val="22"/>
          <w:lang w:eastAsia="cs-CZ"/>
        </w:rPr>
        <w:t xml:space="preserve"> osôb. </w:t>
      </w:r>
    </w:p>
    <w:p w:rsidR="000A7585" w:rsidRPr="00AE6EDB" w:rsidRDefault="000A7585" w:rsidP="000A7585">
      <w:pPr>
        <w:ind w:firstLine="567"/>
        <w:rPr>
          <w:szCs w:val="22"/>
        </w:rPr>
      </w:pPr>
      <w:r w:rsidRPr="00AE6EDB">
        <w:rPr>
          <w:iCs/>
          <w:szCs w:val="22"/>
        </w:rPr>
        <w:t>Podrobnejšie štatistické údaje sú uvedené v tabuľke 28</w:t>
      </w:r>
      <w:r w:rsidRPr="00AE6EDB">
        <w:rPr>
          <w:szCs w:val="22"/>
        </w:rPr>
        <w:t xml:space="preserve"> v prílohe ku kapitole 3. </w:t>
      </w:r>
    </w:p>
    <w:p w:rsidR="000A7585" w:rsidRPr="00AE6EDB" w:rsidRDefault="000A7585" w:rsidP="000A7585">
      <w:pPr>
        <w:pStyle w:val="Nadpis41"/>
        <w:numPr>
          <w:ilvl w:val="0"/>
          <w:numId w:val="0"/>
        </w:numPr>
        <w:ind w:left="864" w:hanging="864"/>
      </w:pPr>
      <w:r w:rsidRPr="00AE6EDB">
        <w:t>Neverejní poskytovatelia sociálnych služieb</w:t>
      </w:r>
    </w:p>
    <w:p w:rsidR="000A7585" w:rsidRPr="00AE6EDB" w:rsidRDefault="000A7585" w:rsidP="000A7585">
      <w:pPr>
        <w:ind w:firstLine="567"/>
        <w:rPr>
          <w:color w:val="000000" w:themeColor="text1"/>
          <w:szCs w:val="22"/>
        </w:rPr>
      </w:pPr>
      <w:r w:rsidRPr="00AE6EDB">
        <w:rPr>
          <w:iCs/>
          <w:color w:val="000000" w:themeColor="text1"/>
        </w:rPr>
        <w:t>K 31. 12. 201</w:t>
      </w:r>
      <w:r w:rsidR="000E6B37" w:rsidRPr="00AE6EDB">
        <w:rPr>
          <w:iCs/>
          <w:color w:val="000000" w:themeColor="text1"/>
        </w:rPr>
        <w:t>5</w:t>
      </w:r>
      <w:r w:rsidRPr="00AE6EDB">
        <w:rPr>
          <w:iCs/>
          <w:color w:val="000000" w:themeColor="text1"/>
        </w:rPr>
        <w:t xml:space="preserve"> poskytovalo sociálne služby (okrem sociálnych služieb v zariadeniach, ktoré sú sledované Štatistickým úradom SR) 4</w:t>
      </w:r>
      <w:r w:rsidR="000E6B37" w:rsidRPr="00AE6EDB">
        <w:rPr>
          <w:iCs/>
          <w:color w:val="000000" w:themeColor="text1"/>
        </w:rPr>
        <w:t>91</w:t>
      </w:r>
      <w:r w:rsidRPr="00AE6EDB">
        <w:rPr>
          <w:iCs/>
          <w:color w:val="000000" w:themeColor="text1"/>
        </w:rPr>
        <w:t xml:space="preserve"> (</w:t>
      </w:r>
      <w:r w:rsidR="000E6B37" w:rsidRPr="00AE6EDB">
        <w:rPr>
          <w:iCs/>
          <w:color w:val="000000" w:themeColor="text1"/>
        </w:rPr>
        <w:t>418</w:t>
      </w:r>
      <w:r w:rsidRPr="00AE6EDB">
        <w:rPr>
          <w:iCs/>
          <w:color w:val="000000" w:themeColor="text1"/>
        </w:rPr>
        <w:t>) neverejných poskytovateľov, čo predstavuje nárast oproti roku 201</w:t>
      </w:r>
      <w:r w:rsidR="000E6B37" w:rsidRPr="00AE6EDB">
        <w:rPr>
          <w:iCs/>
          <w:color w:val="000000" w:themeColor="text1"/>
        </w:rPr>
        <w:t>4</w:t>
      </w:r>
      <w:r w:rsidRPr="00AE6EDB">
        <w:rPr>
          <w:iCs/>
          <w:color w:val="000000" w:themeColor="text1"/>
        </w:rPr>
        <w:t xml:space="preserve"> o </w:t>
      </w:r>
      <w:r w:rsidR="000E6B37" w:rsidRPr="00AE6EDB">
        <w:rPr>
          <w:iCs/>
          <w:color w:val="000000" w:themeColor="text1"/>
        </w:rPr>
        <w:t>73</w:t>
      </w:r>
      <w:r w:rsidRPr="00AE6EDB">
        <w:rPr>
          <w:iCs/>
          <w:color w:val="000000" w:themeColor="text1"/>
        </w:rPr>
        <w:t xml:space="preserve"> poskytovateľov. Neverejní poskytovatelia poskytovali sociálne služby celkom </w:t>
      </w:r>
      <w:r w:rsidR="00AF1BDF" w:rsidRPr="00AE6EDB">
        <w:rPr>
          <w:iCs/>
          <w:color w:val="000000" w:themeColor="text1"/>
        </w:rPr>
        <w:t>7</w:t>
      </w:r>
      <w:r w:rsidR="00AC44CB">
        <w:rPr>
          <w:iCs/>
          <w:color w:val="000000" w:themeColor="text1"/>
        </w:rPr>
        <w:t>8 4</w:t>
      </w:r>
      <w:r w:rsidR="00AF1BDF" w:rsidRPr="00AE6EDB">
        <w:rPr>
          <w:iCs/>
          <w:color w:val="000000" w:themeColor="text1"/>
        </w:rPr>
        <w:t xml:space="preserve">82 </w:t>
      </w:r>
      <w:r w:rsidRPr="00AE6EDB">
        <w:rPr>
          <w:iCs/>
          <w:color w:val="000000" w:themeColor="text1"/>
          <w:szCs w:val="22"/>
          <w:lang w:eastAsia="cs-CZ"/>
        </w:rPr>
        <w:t>prijímateľom</w:t>
      </w:r>
      <w:r w:rsidRPr="00AE6EDB">
        <w:rPr>
          <w:iCs/>
          <w:color w:val="000000" w:themeColor="text1"/>
        </w:rPr>
        <w:t>, čo je o</w:t>
      </w:r>
      <w:r w:rsidR="00AF1BDF" w:rsidRPr="00AE6EDB">
        <w:rPr>
          <w:iCs/>
          <w:color w:val="000000" w:themeColor="text1"/>
        </w:rPr>
        <w:t> </w:t>
      </w:r>
      <w:r w:rsidR="0054295F">
        <w:rPr>
          <w:iCs/>
          <w:color w:val="000000" w:themeColor="text1"/>
        </w:rPr>
        <w:t>4 6</w:t>
      </w:r>
      <w:r w:rsidR="00AF1BDF" w:rsidRPr="00AE6EDB">
        <w:rPr>
          <w:iCs/>
          <w:color w:val="000000" w:themeColor="text1"/>
        </w:rPr>
        <w:t>55</w:t>
      </w:r>
      <w:r w:rsidRPr="00AE6EDB">
        <w:rPr>
          <w:iCs/>
          <w:color w:val="000000" w:themeColor="text1"/>
        </w:rPr>
        <w:t xml:space="preserve"> </w:t>
      </w:r>
      <w:r w:rsidR="00AF1BDF" w:rsidRPr="00AE6EDB">
        <w:rPr>
          <w:iCs/>
          <w:color w:val="000000" w:themeColor="text1"/>
        </w:rPr>
        <w:t>menej ako</w:t>
      </w:r>
      <w:r w:rsidRPr="00AE6EDB">
        <w:rPr>
          <w:iCs/>
          <w:color w:val="000000" w:themeColor="text1"/>
        </w:rPr>
        <w:t xml:space="preserve"> v roku 201</w:t>
      </w:r>
      <w:r w:rsidR="00AF1BDF" w:rsidRPr="00AE6EDB">
        <w:rPr>
          <w:iCs/>
          <w:color w:val="000000" w:themeColor="text1"/>
        </w:rPr>
        <w:t>4</w:t>
      </w:r>
      <w:r w:rsidR="000E6B37" w:rsidRPr="00AE6EDB">
        <w:rPr>
          <w:iCs/>
          <w:color w:val="000000" w:themeColor="text1"/>
        </w:rPr>
        <w:t xml:space="preserve"> (8</w:t>
      </w:r>
      <w:r w:rsidR="0054295F">
        <w:rPr>
          <w:iCs/>
          <w:color w:val="000000" w:themeColor="text1"/>
        </w:rPr>
        <w:t>3 1</w:t>
      </w:r>
      <w:r w:rsidR="000E6B37" w:rsidRPr="00AE6EDB">
        <w:rPr>
          <w:iCs/>
          <w:color w:val="000000" w:themeColor="text1"/>
        </w:rPr>
        <w:t>37)</w:t>
      </w:r>
      <w:r w:rsidRPr="00AE6EDB">
        <w:rPr>
          <w:iCs/>
          <w:color w:val="000000" w:themeColor="text1"/>
        </w:rPr>
        <w:t xml:space="preserve">. Celkové príjmy neverejných poskytovateľov </w:t>
      </w:r>
      <w:r w:rsidRPr="00AE6EDB">
        <w:rPr>
          <w:color w:val="000000" w:themeColor="text1"/>
        </w:rPr>
        <w:t xml:space="preserve">(z rozpočtov obcí, z úhrad od </w:t>
      </w:r>
      <w:r w:rsidRPr="00AE6EDB">
        <w:rPr>
          <w:iCs/>
          <w:color w:val="000000" w:themeColor="text1"/>
          <w:szCs w:val="22"/>
          <w:lang w:eastAsia="cs-CZ"/>
        </w:rPr>
        <w:t>prijímateľov</w:t>
      </w:r>
      <w:r w:rsidRPr="00AE6EDB">
        <w:rPr>
          <w:color w:val="000000" w:themeColor="text1"/>
        </w:rPr>
        <w:t xml:space="preserve">, z darov a pod.) </w:t>
      </w:r>
      <w:r w:rsidRPr="00AE6EDB">
        <w:rPr>
          <w:iCs/>
          <w:color w:val="000000" w:themeColor="text1"/>
        </w:rPr>
        <w:t xml:space="preserve">predstavovali sumu takmer </w:t>
      </w:r>
      <w:r w:rsidR="00AF1BDF" w:rsidRPr="00AE6EDB">
        <w:rPr>
          <w:iCs/>
          <w:color w:val="000000" w:themeColor="text1"/>
        </w:rPr>
        <w:t>29,41</w:t>
      </w:r>
      <w:r w:rsidRPr="00AE6EDB">
        <w:rPr>
          <w:iCs/>
          <w:color w:val="000000" w:themeColor="text1"/>
        </w:rPr>
        <w:t> mil.</w:t>
      </w:r>
      <w:r w:rsidR="0054295F">
        <w:rPr>
          <w:iCs/>
          <w:color w:val="000000" w:themeColor="text1"/>
        </w:rPr>
        <w:t> eur</w:t>
      </w:r>
      <w:r w:rsidRPr="00AE6EDB">
        <w:rPr>
          <w:iCs/>
          <w:color w:val="000000" w:themeColor="text1"/>
        </w:rPr>
        <w:t xml:space="preserve">, celkové výdavky neverejných poskytovateľov dosiahli sumu </w:t>
      </w:r>
      <w:r w:rsidR="00AF1BDF" w:rsidRPr="00AE6EDB">
        <w:rPr>
          <w:iCs/>
          <w:color w:val="000000" w:themeColor="text1"/>
        </w:rPr>
        <w:t>29,93</w:t>
      </w:r>
      <w:r w:rsidRPr="00AE6EDB">
        <w:rPr>
          <w:iCs/>
          <w:color w:val="000000" w:themeColor="text1"/>
        </w:rPr>
        <w:t> mil.</w:t>
      </w:r>
      <w:r w:rsidR="0054295F">
        <w:rPr>
          <w:iCs/>
          <w:color w:val="000000" w:themeColor="text1"/>
        </w:rPr>
        <w:t> eur</w:t>
      </w:r>
      <w:r w:rsidRPr="00AE6EDB">
        <w:rPr>
          <w:iCs/>
          <w:color w:val="000000" w:themeColor="text1"/>
        </w:rPr>
        <w:t>.</w:t>
      </w:r>
      <w:r w:rsidRPr="00AE6EDB">
        <w:rPr>
          <w:color w:val="000000" w:themeColor="text1"/>
          <w:szCs w:val="22"/>
        </w:rPr>
        <w:t xml:space="preserve"> </w:t>
      </w:r>
    </w:p>
    <w:p w:rsidR="000A7585" w:rsidRPr="00AE6EDB" w:rsidRDefault="000A7585" w:rsidP="000A7585">
      <w:pPr>
        <w:ind w:firstLine="567"/>
        <w:rPr>
          <w:szCs w:val="22"/>
        </w:rPr>
      </w:pPr>
      <w:r w:rsidRPr="00AE6EDB">
        <w:rPr>
          <w:iCs/>
          <w:szCs w:val="22"/>
        </w:rPr>
        <w:t>Ďalšie štatistické údaje obsahuje príloha ku kapitole 3, tabuľka 29</w:t>
      </w:r>
      <w:r w:rsidRPr="00AE6EDB">
        <w:rPr>
          <w:szCs w:val="22"/>
        </w:rPr>
        <w:t>.</w:t>
      </w:r>
    </w:p>
    <w:p w:rsidR="00893A25" w:rsidRPr="00AE6EDB" w:rsidRDefault="00893A25">
      <w:pPr>
        <w:jc w:val="left"/>
        <w:rPr>
          <w:b/>
          <w:color w:val="E78A80" w:themeColor="accent2" w:themeTint="99"/>
          <w:szCs w:val="22"/>
        </w:rPr>
      </w:pPr>
      <w:r w:rsidRPr="00AE6EDB">
        <w:br w:type="page"/>
      </w:r>
    </w:p>
    <w:p w:rsidR="0053246C" w:rsidRPr="00AE6EDB" w:rsidRDefault="0053246C" w:rsidP="0053246C">
      <w:pPr>
        <w:pStyle w:val="Nadpis41"/>
        <w:numPr>
          <w:ilvl w:val="0"/>
          <w:numId w:val="0"/>
        </w:numPr>
        <w:ind w:left="864" w:hanging="864"/>
      </w:pPr>
      <w:r w:rsidRPr="00AE6EDB">
        <w:t xml:space="preserve">Spolufinancovanie sociálnych služieb </w:t>
      </w:r>
    </w:p>
    <w:p w:rsidR="0053246C" w:rsidRPr="00AE6EDB" w:rsidRDefault="0053246C" w:rsidP="0053246C">
      <w:pPr>
        <w:ind w:firstLine="567"/>
        <w:rPr>
          <w:color w:val="000000"/>
        </w:rPr>
      </w:pPr>
      <w:r w:rsidRPr="00AE6EDB">
        <w:t>MPSVR SR v roku 2015 poskytlo v súlade so zákonom č. 448/2008 Z. z. o sociálnych službách a o zmene a doplnení zákona č. 455/1991 Zb. o živnostenskom podnikaní (živnostenský zákon) v znení neskorších predpisov rozpočtové prostriedky na spolufinancovanie vybraných druhov sociálnych služieb v zariadeniach sociálnych služieb verejných i neverejných poskytovateľov.</w:t>
      </w:r>
    </w:p>
    <w:p w:rsidR="0053246C" w:rsidRPr="00AE6EDB" w:rsidRDefault="0053246C" w:rsidP="0053246C">
      <w:pPr>
        <w:ind w:firstLine="567"/>
      </w:pPr>
      <w:r w:rsidRPr="00AE6EDB">
        <w:t xml:space="preserve">Na základe predložených žiadostí a uzatvorených zmluvných vzťahov so 168 mestami a obcami a s 253 neverejnými poskytovateľmi sociálnych služieb boli </w:t>
      </w:r>
      <w:r w:rsidR="00A90239" w:rsidRPr="00AE6EDB">
        <w:t xml:space="preserve">na rok 2015 </w:t>
      </w:r>
      <w:r w:rsidRPr="00AE6EDB">
        <w:t>poskytnuté na spolufinancovanie sociálnych služieb rozpočtové prostriedky v sume 7</w:t>
      </w:r>
      <w:r w:rsidR="00AC44CB">
        <w:t>6 9</w:t>
      </w:r>
      <w:r w:rsidRPr="00AE6EDB">
        <w:t>6</w:t>
      </w:r>
      <w:r w:rsidR="00AC44CB">
        <w:t>5 8</w:t>
      </w:r>
      <w:r w:rsidRPr="00AE6EDB">
        <w:t>31</w:t>
      </w:r>
      <w:r w:rsidR="0054295F">
        <w:t> eur</w:t>
      </w:r>
      <w:r w:rsidRPr="00AE6EDB">
        <w:t>, z toho 4</w:t>
      </w:r>
      <w:r w:rsidR="0054295F">
        <w:t>0 9</w:t>
      </w:r>
      <w:r w:rsidRPr="00AE6EDB">
        <w:t>6</w:t>
      </w:r>
      <w:r w:rsidR="0054295F">
        <w:t>1 2</w:t>
      </w:r>
      <w:r w:rsidRPr="00AE6EDB">
        <w:t>72</w:t>
      </w:r>
      <w:r w:rsidR="0054295F">
        <w:t> eur</w:t>
      </w:r>
      <w:r w:rsidRPr="00AE6EDB">
        <w:t xml:space="preserve"> pre verejných poskytovateľov (3</w:t>
      </w:r>
      <w:r w:rsidR="00134C31">
        <w:t>3</w:t>
      </w:r>
      <w:r w:rsidRPr="00AE6EDB">
        <w:t>6 zariadení) a 3</w:t>
      </w:r>
      <w:r w:rsidR="00AC44CB">
        <w:t>6 0</w:t>
      </w:r>
      <w:r w:rsidRPr="00AE6EDB">
        <w:t>0</w:t>
      </w:r>
      <w:r w:rsidR="0054295F">
        <w:t>4 5</w:t>
      </w:r>
      <w:r w:rsidRPr="00AE6EDB">
        <w:t>59</w:t>
      </w:r>
      <w:r w:rsidR="0054295F">
        <w:t> eur</w:t>
      </w:r>
      <w:r w:rsidRPr="00AE6EDB">
        <w:t xml:space="preserve"> pre neverejných poskytovateľov (413 zariadení) sociálnych služieb nasledovne:</w:t>
      </w:r>
    </w:p>
    <w:p w:rsidR="0053246C" w:rsidRPr="00AE6EDB" w:rsidRDefault="0053246C" w:rsidP="0053246C">
      <w:pPr>
        <w:pStyle w:val="Odsekzoznamu"/>
        <w:numPr>
          <w:ilvl w:val="0"/>
          <w:numId w:val="46"/>
        </w:numPr>
      </w:pPr>
      <w:r w:rsidRPr="00AE6EDB">
        <w:t xml:space="preserve">podľa § 71 ods. 6 predmetného zákona </w:t>
      </w:r>
      <w:r w:rsidRPr="00AE6EDB">
        <w:rPr>
          <w:color w:val="000000"/>
        </w:rPr>
        <w:t>–</w:t>
      </w:r>
      <w:r w:rsidRPr="00AE6EDB">
        <w:t xml:space="preserve"> zariadenia sociálnych služieb zriadené alebo založené obcou: denný stacionár (</w:t>
      </w:r>
      <w:r w:rsidR="0054295F">
        <w:t>1 0</w:t>
      </w:r>
      <w:r w:rsidRPr="00AE6EDB">
        <w:t>2</w:t>
      </w:r>
      <w:r w:rsidR="00AC44CB">
        <w:t>6 7</w:t>
      </w:r>
      <w:r w:rsidRPr="00AE6EDB">
        <w:t>20</w:t>
      </w:r>
      <w:r w:rsidR="0054295F">
        <w:t> eur</w:t>
      </w:r>
      <w:r w:rsidRPr="00AE6EDB">
        <w:t>), domov sociálnych služieb (</w:t>
      </w:r>
      <w:r w:rsidR="0054295F">
        <w:t>1 9</w:t>
      </w:r>
      <w:r w:rsidRPr="00AE6EDB">
        <w:t>1</w:t>
      </w:r>
      <w:r w:rsidR="0054295F">
        <w:t>3 1</w:t>
      </w:r>
      <w:r w:rsidRPr="00AE6EDB">
        <w:t>31</w:t>
      </w:r>
      <w:r w:rsidR="0054295F">
        <w:t> eur</w:t>
      </w:r>
      <w:r w:rsidRPr="00AE6EDB">
        <w:t>), nocľaháreň (55</w:t>
      </w:r>
      <w:r w:rsidR="0054295F">
        <w:t>1 0</w:t>
      </w:r>
      <w:r w:rsidRPr="00AE6EDB">
        <w:t>40</w:t>
      </w:r>
      <w:r w:rsidR="0054295F">
        <w:t> eur</w:t>
      </w:r>
      <w:r w:rsidRPr="00AE6EDB">
        <w:t>), špecializované zariadenie (74</w:t>
      </w:r>
      <w:r w:rsidR="00AC44CB">
        <w:t>8 4</w:t>
      </w:r>
      <w:r w:rsidRPr="00AE6EDB">
        <w:t>40</w:t>
      </w:r>
      <w:r w:rsidR="0054295F">
        <w:t> eur</w:t>
      </w:r>
      <w:r w:rsidRPr="00AE6EDB">
        <w:t>), útulok (85</w:t>
      </w:r>
      <w:r w:rsidR="00AC44CB">
        <w:t>6 8</w:t>
      </w:r>
      <w:r w:rsidRPr="00AE6EDB">
        <w:t>90</w:t>
      </w:r>
      <w:r w:rsidR="0054295F">
        <w:t> eur</w:t>
      </w:r>
      <w:r w:rsidRPr="00AE6EDB">
        <w:t>), zariadenie podporovaného bývania (3</w:t>
      </w:r>
      <w:r w:rsidR="00AC44CB">
        <w:t>8 4</w:t>
      </w:r>
      <w:r w:rsidRPr="00AE6EDB">
        <w:t>00</w:t>
      </w:r>
      <w:r w:rsidR="0054295F">
        <w:t> eur</w:t>
      </w:r>
      <w:r w:rsidRPr="00AE6EDB">
        <w:t>), zariadenie núdzového bývania (32</w:t>
      </w:r>
      <w:r w:rsidR="0054295F">
        <w:t>2 2</w:t>
      </w:r>
      <w:r w:rsidRPr="00AE6EDB">
        <w:t>00</w:t>
      </w:r>
      <w:r w:rsidR="0054295F">
        <w:t> eur</w:t>
      </w:r>
      <w:r w:rsidRPr="00AE6EDB">
        <w:t>), zariadenie opatrovateľskej služby (</w:t>
      </w:r>
      <w:r w:rsidR="00AC44CB">
        <w:t>5 7</w:t>
      </w:r>
      <w:r w:rsidRPr="00AE6EDB">
        <w:t>8</w:t>
      </w:r>
      <w:r w:rsidR="00AC44CB">
        <w:t>8 1</w:t>
      </w:r>
      <w:r w:rsidRPr="00AE6EDB">
        <w:t>60</w:t>
      </w:r>
      <w:r w:rsidR="0054295F">
        <w:t> eur</w:t>
      </w:r>
      <w:r w:rsidRPr="00AE6EDB">
        <w:t>) a zariadenie pre seniorov (2</w:t>
      </w:r>
      <w:r w:rsidR="00AC44CB">
        <w:t>9 7</w:t>
      </w:r>
      <w:r w:rsidRPr="00AE6EDB">
        <w:t>1</w:t>
      </w:r>
      <w:r w:rsidR="00AC44CB">
        <w:t>6 2</w:t>
      </w:r>
      <w:r w:rsidRPr="00AE6EDB">
        <w:t>91</w:t>
      </w:r>
      <w:r w:rsidR="0054295F">
        <w:t> eur</w:t>
      </w:r>
      <w:r w:rsidRPr="00AE6EDB">
        <w:t>),</w:t>
      </w:r>
    </w:p>
    <w:p w:rsidR="0053246C" w:rsidRPr="00AE6EDB" w:rsidRDefault="0053246C" w:rsidP="0053246C">
      <w:pPr>
        <w:pStyle w:val="Odsekzoznamu"/>
        <w:numPr>
          <w:ilvl w:val="0"/>
          <w:numId w:val="46"/>
        </w:numPr>
      </w:pPr>
      <w:r w:rsidRPr="00AE6EDB">
        <w:t xml:space="preserve">podľa § 78a zákona o sociálnych službách </w:t>
      </w:r>
      <w:r w:rsidRPr="00AE6EDB">
        <w:rPr>
          <w:color w:val="000000"/>
        </w:rPr>
        <w:t>–</w:t>
      </w:r>
      <w:r w:rsidRPr="00AE6EDB">
        <w:t xml:space="preserve"> neverejní poskytovatelia: denný stacionár (</w:t>
      </w:r>
      <w:r w:rsidR="00AC44CB">
        <w:t>5 8</w:t>
      </w:r>
      <w:r w:rsidRPr="00AE6EDB">
        <w:t>5</w:t>
      </w:r>
      <w:r w:rsidR="0054295F">
        <w:t>2 4</w:t>
      </w:r>
      <w:r w:rsidRPr="00AE6EDB">
        <w:t>56</w:t>
      </w:r>
      <w:r w:rsidR="0054295F">
        <w:t> eur</w:t>
      </w:r>
      <w:r w:rsidRPr="00AE6EDB">
        <w:t>), nocľaháreň (86</w:t>
      </w:r>
      <w:r w:rsidR="00AC44CB">
        <w:t>5 1</w:t>
      </w:r>
      <w:r w:rsidRPr="00AE6EDB">
        <w:t>47</w:t>
      </w:r>
      <w:r w:rsidR="0054295F">
        <w:t> eur</w:t>
      </w:r>
      <w:r w:rsidRPr="00AE6EDB">
        <w:t>), zariadenie opatrovateľskej služby (</w:t>
      </w:r>
      <w:r w:rsidR="0054295F">
        <w:t>3 2</w:t>
      </w:r>
      <w:r w:rsidRPr="00AE6EDB">
        <w:t>0</w:t>
      </w:r>
      <w:r w:rsidR="00AC44CB">
        <w:t>6 3</w:t>
      </w:r>
      <w:r w:rsidRPr="00AE6EDB">
        <w:t>80</w:t>
      </w:r>
      <w:r w:rsidR="0054295F">
        <w:t> eur</w:t>
      </w:r>
      <w:r w:rsidRPr="00AE6EDB">
        <w:t>) a zariadenie pre seniorov (2</w:t>
      </w:r>
      <w:r w:rsidR="00AC44CB">
        <w:t>6 0</w:t>
      </w:r>
      <w:r w:rsidRPr="00AE6EDB">
        <w:t>8</w:t>
      </w:r>
      <w:r w:rsidR="0054295F">
        <w:t>0 5</w:t>
      </w:r>
      <w:r w:rsidRPr="00AE6EDB">
        <w:t>76</w:t>
      </w:r>
      <w:r w:rsidR="0054295F">
        <w:t> eur</w:t>
      </w:r>
      <w:r w:rsidRPr="00AE6EDB">
        <w:t xml:space="preserve">). </w:t>
      </w:r>
    </w:p>
    <w:p w:rsidR="0053246C" w:rsidRPr="00AE6EDB" w:rsidRDefault="0053246C" w:rsidP="0053246C">
      <w:pPr>
        <w:ind w:firstLine="567"/>
        <w:rPr>
          <w:highlight w:val="cyan"/>
        </w:rPr>
      </w:pPr>
    </w:p>
    <w:p w:rsidR="0053246C" w:rsidRPr="00AE6EDB" w:rsidRDefault="0053246C" w:rsidP="0053246C">
      <w:pPr>
        <w:ind w:firstLine="567"/>
        <w:rPr>
          <w:highlight w:val="cyan"/>
        </w:rPr>
      </w:pPr>
      <w:r w:rsidRPr="00AE6EDB">
        <w:t xml:space="preserve">K 31.12.2015 boli od 128 prijímateľov finančného príspevku vrátené na účet ministerstva finančné prostriedky v sume </w:t>
      </w:r>
      <w:r w:rsidR="0054295F">
        <w:t>3 9</w:t>
      </w:r>
      <w:r w:rsidRPr="00AE6EDB">
        <w:t>2</w:t>
      </w:r>
      <w:r w:rsidR="00AC44CB">
        <w:t>6 2</w:t>
      </w:r>
      <w:r w:rsidRPr="00AE6EDB">
        <w:t>32</w:t>
      </w:r>
      <w:r w:rsidR="0054295F">
        <w:t> eur</w:t>
      </w:r>
      <w:r w:rsidRPr="00AE6EDB">
        <w:t xml:space="preserve">, z toho </w:t>
      </w:r>
      <w:r w:rsidR="0054295F">
        <w:t>1 4</w:t>
      </w:r>
      <w:r w:rsidRPr="00AE6EDB">
        <w:t>0</w:t>
      </w:r>
      <w:r w:rsidR="0054295F">
        <w:t>1 8</w:t>
      </w:r>
      <w:r w:rsidRPr="00AE6EDB">
        <w:t>70</w:t>
      </w:r>
      <w:r w:rsidR="0054295F">
        <w:t> eur</w:t>
      </w:r>
      <w:r w:rsidRPr="00AE6EDB">
        <w:t xml:space="preserve"> od verejných a </w:t>
      </w:r>
      <w:r w:rsidR="0054295F">
        <w:t>2 5</w:t>
      </w:r>
      <w:r w:rsidRPr="00AE6EDB">
        <w:t>2</w:t>
      </w:r>
      <w:r w:rsidR="0054295F">
        <w:t>4 3</w:t>
      </w:r>
      <w:r w:rsidRPr="00AE6EDB">
        <w:t>62</w:t>
      </w:r>
      <w:r w:rsidR="0054295F">
        <w:t> eur</w:t>
      </w:r>
      <w:r w:rsidRPr="00AE6EDB">
        <w:t xml:space="preserve"> od neverejných poskytovateľov sociálnej služby, predovšetkým z dôvodu neobsadených miest v zariadeniach sociálnych služieb. Čerpanie rozpočtových prostriedkov (po zaúčtovaní </w:t>
      </w:r>
      <w:proofErr w:type="spellStart"/>
      <w:r w:rsidRPr="00AE6EDB">
        <w:t>vratiek</w:t>
      </w:r>
      <w:proofErr w:type="spellEnd"/>
      <w:r w:rsidRPr="00AE6EDB">
        <w:t>) predstavuje 7</w:t>
      </w:r>
      <w:r w:rsidR="0054295F">
        <w:t>3 0</w:t>
      </w:r>
      <w:r w:rsidRPr="00AE6EDB">
        <w:t>3</w:t>
      </w:r>
      <w:r w:rsidR="00AC44CB">
        <w:t>9 5</w:t>
      </w:r>
      <w:r w:rsidRPr="00AE6EDB">
        <w:t>98</w:t>
      </w:r>
      <w:r w:rsidR="0054295F">
        <w:t> eur</w:t>
      </w:r>
      <w:r w:rsidRPr="00AE6EDB">
        <w:t>, z toho verejní poskytovatelia použili 3</w:t>
      </w:r>
      <w:r w:rsidR="00AC44CB">
        <w:t>9 5</w:t>
      </w:r>
      <w:r w:rsidRPr="00AE6EDB">
        <w:t>5</w:t>
      </w:r>
      <w:r w:rsidR="00AC44CB">
        <w:t>9 4</w:t>
      </w:r>
      <w:r w:rsidRPr="00AE6EDB">
        <w:t>02</w:t>
      </w:r>
      <w:r w:rsidR="0054295F">
        <w:t> eur</w:t>
      </w:r>
      <w:r w:rsidRPr="00AE6EDB">
        <w:t xml:space="preserve"> a neverejní poskytovatelia 3</w:t>
      </w:r>
      <w:r w:rsidR="0054295F">
        <w:t>3 4</w:t>
      </w:r>
      <w:r w:rsidRPr="00AE6EDB">
        <w:t>8</w:t>
      </w:r>
      <w:r w:rsidR="0054295F">
        <w:t>0 1</w:t>
      </w:r>
      <w:r w:rsidRPr="00AE6EDB">
        <w:t>96</w:t>
      </w:r>
      <w:r w:rsidR="0054295F">
        <w:t> eur</w:t>
      </w:r>
      <w:r w:rsidRPr="00AE6EDB">
        <w:t xml:space="preserve">. </w:t>
      </w:r>
      <w:r w:rsidR="007C4BE2" w:rsidRPr="007C4BE2">
        <w:t xml:space="preserve"> V rámci zúčtovania finančných vzťahov so štátnym rozpočtom za rok 2015 vrátili prijímatelia finančného príspevku po 1.</w:t>
      </w:r>
      <w:r w:rsidR="007C4BE2">
        <w:t> </w:t>
      </w:r>
      <w:r w:rsidR="007C4BE2" w:rsidRPr="007C4BE2">
        <w:t>1.</w:t>
      </w:r>
      <w:r w:rsidR="007C4BE2">
        <w:t> </w:t>
      </w:r>
      <w:r w:rsidR="007C4BE2" w:rsidRPr="007C4BE2">
        <w:t>2016 ďalšie rozpočtové prostriedky v sume 3</w:t>
      </w:r>
      <w:r w:rsidR="007C4BE2">
        <w:t> </w:t>
      </w:r>
      <w:r w:rsidR="007C4BE2" w:rsidRPr="007C4BE2">
        <w:t>872</w:t>
      </w:r>
      <w:r w:rsidR="007C4BE2">
        <w:t> </w:t>
      </w:r>
      <w:r w:rsidR="007C4BE2" w:rsidRPr="007C4BE2">
        <w:t>645</w:t>
      </w:r>
      <w:r w:rsidR="007C4BE2">
        <w:t> </w:t>
      </w:r>
      <w:r w:rsidR="007C4BE2" w:rsidRPr="007C4BE2">
        <w:t>eur, z toho 1</w:t>
      </w:r>
      <w:r w:rsidR="007C4BE2">
        <w:t> </w:t>
      </w:r>
      <w:r w:rsidR="007C4BE2" w:rsidRPr="007C4BE2">
        <w:t>511</w:t>
      </w:r>
      <w:r w:rsidR="007C4BE2">
        <w:t> </w:t>
      </w:r>
      <w:r w:rsidR="007C4BE2" w:rsidRPr="007C4BE2">
        <w:t>485</w:t>
      </w:r>
      <w:r w:rsidR="007C4BE2">
        <w:t> </w:t>
      </w:r>
      <w:r w:rsidR="007C4BE2" w:rsidRPr="007C4BE2">
        <w:t>eur od verejných a</w:t>
      </w:r>
      <w:r w:rsidR="007C4BE2">
        <w:t> </w:t>
      </w:r>
      <w:r w:rsidR="007C4BE2" w:rsidRPr="007C4BE2">
        <w:t>2</w:t>
      </w:r>
      <w:r w:rsidR="007C4BE2">
        <w:t> </w:t>
      </w:r>
      <w:r w:rsidR="007C4BE2" w:rsidRPr="007C4BE2">
        <w:t>361</w:t>
      </w:r>
      <w:r w:rsidR="007C4BE2">
        <w:t> </w:t>
      </w:r>
      <w:r w:rsidR="007C4BE2" w:rsidRPr="007C4BE2">
        <w:t>160</w:t>
      </w:r>
      <w:r w:rsidR="007C4BE2">
        <w:t> </w:t>
      </w:r>
      <w:r w:rsidR="007C4BE2" w:rsidRPr="007C4BE2">
        <w:t>eur od neverejných poskytovateľov sociálnej služby a prostriedky v sume 196</w:t>
      </w:r>
      <w:r w:rsidR="007C4BE2">
        <w:t> </w:t>
      </w:r>
      <w:r w:rsidR="007C4BE2" w:rsidRPr="007C4BE2">
        <w:t>507</w:t>
      </w:r>
      <w:r w:rsidR="007C4BE2">
        <w:t> </w:t>
      </w:r>
      <w:r w:rsidR="007C4BE2" w:rsidRPr="007C4BE2">
        <w:t>eur budú vrátené na základe zúčtovania, resp. schválených splátkových kalendárov. Rozpočtové prostriedky v sume 48</w:t>
      </w:r>
      <w:r w:rsidR="007C4BE2">
        <w:t> </w:t>
      </w:r>
      <w:r w:rsidR="007C4BE2" w:rsidRPr="007C4BE2">
        <w:t>960 eur sú vymáhané. Na</w:t>
      </w:r>
      <w:r w:rsidR="007C4BE2">
        <w:t> </w:t>
      </w:r>
      <w:r w:rsidR="007C4BE2" w:rsidRPr="007C4BE2">
        <w:t>základe toho možno konštatovať, že poskytovatelia sociálnych služieb použili na úhradu oprávnených nákladov na sociálne služby z rozpočtových prostriedkov poskytnutých MPSVR SR v</w:t>
      </w:r>
      <w:r w:rsidR="007C4BE2">
        <w:t> </w:t>
      </w:r>
      <w:r w:rsidR="007C4BE2" w:rsidRPr="007C4BE2">
        <w:t>roku 2015 celkom 68</w:t>
      </w:r>
      <w:r w:rsidR="007C4BE2">
        <w:t> </w:t>
      </w:r>
      <w:r w:rsidR="007C4BE2" w:rsidRPr="007C4BE2">
        <w:t>921</w:t>
      </w:r>
      <w:r w:rsidR="007C4BE2">
        <w:t> </w:t>
      </w:r>
      <w:r w:rsidR="007C4BE2" w:rsidRPr="007C4BE2">
        <w:t>486</w:t>
      </w:r>
      <w:r w:rsidR="007C4BE2">
        <w:t> </w:t>
      </w:r>
      <w:r w:rsidR="007C4BE2" w:rsidRPr="007C4BE2">
        <w:t>eur, z toho verejní poskytovatelia 38</w:t>
      </w:r>
      <w:r w:rsidR="007C4BE2">
        <w:t> </w:t>
      </w:r>
      <w:r w:rsidR="007C4BE2" w:rsidRPr="007C4BE2">
        <w:t>047</w:t>
      </w:r>
      <w:r w:rsidR="007C4BE2">
        <w:t> </w:t>
      </w:r>
      <w:r w:rsidR="007C4BE2" w:rsidRPr="007C4BE2">
        <w:t>917</w:t>
      </w:r>
      <w:r w:rsidR="007C4BE2">
        <w:t> </w:t>
      </w:r>
      <w:r w:rsidR="007C4BE2" w:rsidRPr="007C4BE2">
        <w:t>eur a neverejní poskytovatelia 30</w:t>
      </w:r>
      <w:r w:rsidR="007C4BE2">
        <w:t> </w:t>
      </w:r>
      <w:r w:rsidR="007C4BE2" w:rsidRPr="007C4BE2">
        <w:t>873</w:t>
      </w:r>
      <w:r w:rsidR="007C4BE2">
        <w:t> </w:t>
      </w:r>
      <w:r w:rsidR="007C4BE2" w:rsidRPr="007C4BE2">
        <w:t>569</w:t>
      </w:r>
      <w:r w:rsidR="007C4BE2">
        <w:t> </w:t>
      </w:r>
      <w:r w:rsidR="007C4BE2" w:rsidRPr="007C4BE2">
        <w:t>eur.</w:t>
      </w:r>
      <w:r w:rsidR="0020703B">
        <w:rPr>
          <w:rStyle w:val="Odkaznapoznmkupodiarou"/>
        </w:rPr>
        <w:footnoteReference w:id="53"/>
      </w:r>
      <w:r w:rsidRPr="00AE6EDB">
        <w:rPr>
          <w:highlight w:val="cyan"/>
        </w:rPr>
        <w:t xml:space="preserve"> </w:t>
      </w:r>
    </w:p>
    <w:p w:rsidR="0053246C" w:rsidRPr="00AE6EDB" w:rsidRDefault="0053246C" w:rsidP="0053246C">
      <w:pPr>
        <w:pStyle w:val="Zkladntext"/>
        <w:spacing w:after="0"/>
        <w:ind w:firstLine="709"/>
        <w:rPr>
          <w:highlight w:val="cyan"/>
        </w:rPr>
      </w:pPr>
      <w:r w:rsidRPr="00AE6EDB">
        <w:t>Výdavky poskytnuté na spolufinancovanie sociálnych služieb v roku 2015 boli v porovnaní s rokom 2014 vyššie o 1</w:t>
      </w:r>
      <w:r w:rsidR="0054295F">
        <w:t>3 1</w:t>
      </w:r>
      <w:r w:rsidRPr="00AE6EDB">
        <w:t>0</w:t>
      </w:r>
      <w:r w:rsidR="0054295F">
        <w:t>1 7</w:t>
      </w:r>
      <w:r w:rsidRPr="00AE6EDB">
        <w:t>24</w:t>
      </w:r>
      <w:r w:rsidR="0054295F">
        <w:t> eur</w:t>
      </w:r>
      <w:r w:rsidRPr="00AE6EDB">
        <w:t xml:space="preserve"> (o 21,9</w:t>
      </w:r>
      <w:r w:rsidR="005676EF">
        <w:t> %</w:t>
      </w:r>
      <w:r w:rsidRPr="00AE6EDB">
        <w:t>), a to najmä z dôvodu nárastu počtu žiadateľov o finančný príspevok o 78. Medziročne vzrástol počet prijímateľov sociálnej služby v zariadeniach verejných i neverejných poskytovateľov, na ktorých bol finančný príspevok poskytnutý o </w:t>
      </w:r>
      <w:r w:rsidR="0054295F">
        <w:t>4 7</w:t>
      </w:r>
      <w:r w:rsidRPr="00AE6EDB">
        <w:t>66 osôb.</w:t>
      </w:r>
    </w:p>
    <w:p w:rsidR="0053246C" w:rsidRPr="00AE6EDB" w:rsidRDefault="0053246C" w:rsidP="0053246C">
      <w:pPr>
        <w:pStyle w:val="Zkladntext"/>
        <w:spacing w:after="0"/>
        <w:ind w:firstLine="709"/>
        <w:rPr>
          <w:highlight w:val="cyan"/>
        </w:rPr>
      </w:pPr>
      <w:r w:rsidRPr="00AE6EDB">
        <w:t xml:space="preserve">Vzhľadom na to, že v roku 2014 bol nad rámec zákona o sociálnych službách poskytnutý aj jednorazový finančný príspevok neverejným poskytovateľom vybraných druhov sociálnej služby na regionálnej úrovni v sume </w:t>
      </w:r>
      <w:r w:rsidR="00AC44CB">
        <w:t>9 7</w:t>
      </w:r>
      <w:r w:rsidRPr="00AE6EDB">
        <w:t>1</w:t>
      </w:r>
      <w:r w:rsidR="0054295F">
        <w:t>3 7</w:t>
      </w:r>
      <w:r w:rsidRPr="00AE6EDB">
        <w:t>76</w:t>
      </w:r>
      <w:r w:rsidR="0054295F">
        <w:t> eur</w:t>
      </w:r>
      <w:r w:rsidRPr="00AE6EDB">
        <w:t>, výdavky na spolufinancovanie sociálnych služieb (podprogram 07C0A) medziročne vzrástli o </w:t>
      </w:r>
      <w:r w:rsidR="0054295F">
        <w:t>3 3</w:t>
      </w:r>
      <w:r w:rsidRPr="00AE6EDB">
        <w:t>8</w:t>
      </w:r>
      <w:r w:rsidR="00AC44CB">
        <w:t>7 9</w:t>
      </w:r>
      <w:r w:rsidRPr="00AE6EDB">
        <w:t>49</w:t>
      </w:r>
      <w:r w:rsidR="0054295F">
        <w:t> eur</w:t>
      </w:r>
      <w:r w:rsidRPr="00AE6EDB">
        <w:t xml:space="preserve"> (o 4,9</w:t>
      </w:r>
      <w:r w:rsidR="005676EF">
        <w:t> %</w:t>
      </w:r>
      <w:r w:rsidRPr="00AE6EDB">
        <w:t>).</w:t>
      </w:r>
    </w:p>
    <w:p w:rsidR="0053246C" w:rsidRPr="00AE6EDB" w:rsidRDefault="0053246C" w:rsidP="0053246C">
      <w:pPr>
        <w:pStyle w:val="Nadpis41"/>
        <w:numPr>
          <w:ilvl w:val="0"/>
          <w:numId w:val="0"/>
        </w:numPr>
        <w:jc w:val="left"/>
      </w:pPr>
      <w:r w:rsidRPr="00AE6EDB">
        <w:t>Kontrola hospodárenia s finančným príspevkom na financovanie sociálnej služby v zariadení</w:t>
      </w:r>
    </w:p>
    <w:p w:rsidR="0053246C" w:rsidRPr="00AE6EDB" w:rsidRDefault="0053246C" w:rsidP="0053246C">
      <w:pPr>
        <w:ind w:firstLine="431"/>
        <w:rPr>
          <w:rFonts w:eastAsia="Lucida Sans Unicode"/>
          <w:kern w:val="2"/>
          <w:lang w:eastAsia="ar-SA"/>
        </w:rPr>
      </w:pPr>
      <w:r w:rsidRPr="00AE6EDB">
        <w:rPr>
          <w:rFonts w:eastAsia="Lucida Sans Unicode"/>
          <w:kern w:val="2"/>
          <w:lang w:eastAsia="ar-SA"/>
        </w:rPr>
        <w:t>MPSVR SR v súlade s § 79 ods. 6 písm. c) zákona o sociálnych službách kontroluje hospodárenie s finančným príspevkom na financovanie sociálnej služby v zariadení podľa § 71 ods. 6 a finančným príspevkom na poskytovanie sociálnej služby podľa § 78a a účelnosť ich využitia. Výber subjektov, v ktorých boli v roku 2015 vykonané následné finančné kontroly (ďalej len „NFK“) sa uskutočnil na</w:t>
      </w:r>
      <w:r w:rsidR="002C7295" w:rsidRPr="00AE6EDB">
        <w:rPr>
          <w:rFonts w:eastAsia="Lucida Sans Unicode"/>
          <w:kern w:val="2"/>
          <w:lang w:eastAsia="ar-SA"/>
        </w:rPr>
        <w:t> </w:t>
      </w:r>
      <w:r w:rsidRPr="00AE6EDB">
        <w:rPr>
          <w:rFonts w:eastAsia="Lucida Sans Unicode"/>
          <w:kern w:val="2"/>
          <w:lang w:eastAsia="ar-SA"/>
        </w:rPr>
        <w:t>základe analýzy rizika.</w:t>
      </w:r>
    </w:p>
    <w:p w:rsidR="0053246C" w:rsidRPr="00AE6EDB" w:rsidRDefault="0053246C" w:rsidP="0053246C">
      <w:pPr>
        <w:ind w:firstLine="431"/>
        <w:rPr>
          <w:rFonts w:eastAsia="Lucida Sans Unicode"/>
          <w:kern w:val="2"/>
          <w:lang w:eastAsia="ar-SA"/>
        </w:rPr>
      </w:pPr>
      <w:r w:rsidRPr="00AE6EDB">
        <w:rPr>
          <w:rFonts w:eastAsia="Lucida Sans Unicode"/>
          <w:kern w:val="2"/>
          <w:lang w:eastAsia="ar-SA"/>
        </w:rPr>
        <w:t xml:space="preserve">V roku 2015 bolo v uvedených subjektoch vykonaných 15 NFK. Celková suma kontrolovaných verejných prostriedkov v rámci vykonaných NFK predstavovala </w:t>
      </w:r>
      <w:r w:rsidR="0054295F">
        <w:rPr>
          <w:rFonts w:eastAsia="Lucida Sans Unicode"/>
          <w:kern w:val="2"/>
          <w:lang w:eastAsia="ar-SA"/>
        </w:rPr>
        <w:t>3 0</w:t>
      </w:r>
      <w:r w:rsidRPr="00AE6EDB">
        <w:rPr>
          <w:rFonts w:eastAsia="Lucida Sans Unicode"/>
          <w:kern w:val="2"/>
          <w:lang w:eastAsia="ar-SA"/>
        </w:rPr>
        <w:t>8</w:t>
      </w:r>
      <w:r w:rsidR="00AC44CB">
        <w:rPr>
          <w:rFonts w:eastAsia="Lucida Sans Unicode"/>
          <w:kern w:val="2"/>
          <w:lang w:eastAsia="ar-SA"/>
        </w:rPr>
        <w:t>4 9</w:t>
      </w:r>
      <w:r w:rsidRPr="00AE6EDB">
        <w:rPr>
          <w:rFonts w:eastAsia="Lucida Sans Unicode"/>
          <w:kern w:val="2"/>
          <w:lang w:eastAsia="ar-SA"/>
        </w:rPr>
        <w:t>04</w:t>
      </w:r>
      <w:r w:rsidR="0054295F">
        <w:rPr>
          <w:rFonts w:eastAsia="Lucida Sans Unicode"/>
          <w:kern w:val="2"/>
          <w:lang w:eastAsia="ar-SA"/>
        </w:rPr>
        <w:t> eur</w:t>
      </w:r>
      <w:r w:rsidRPr="00AE6EDB">
        <w:rPr>
          <w:rFonts w:eastAsia="Lucida Sans Unicode"/>
          <w:kern w:val="2"/>
          <w:lang w:eastAsia="ar-SA"/>
        </w:rPr>
        <w:t>. Z toho suma kontrolovaných prostriedkov štátneho rozpočtu z rozpočtovej kapitoly MPSVR SR udelených formou dotácie podľa ustanovení zákona č. 544/2010 Z. z. o dotáciách v pôsobnosti Ministerstva práce, sociálnych vecí a rodiny Slovenskej republiky v znení neskorších predpisov (ďalej len „zákon o dotáciách“) činila 14</w:t>
      </w:r>
      <w:r w:rsidR="0054295F">
        <w:rPr>
          <w:rFonts w:eastAsia="Lucida Sans Unicode"/>
          <w:kern w:val="2"/>
          <w:lang w:eastAsia="ar-SA"/>
        </w:rPr>
        <w:t>4 0</w:t>
      </w:r>
      <w:r w:rsidRPr="00AE6EDB">
        <w:rPr>
          <w:rFonts w:eastAsia="Lucida Sans Unicode"/>
          <w:kern w:val="2"/>
          <w:lang w:eastAsia="ar-SA"/>
        </w:rPr>
        <w:t>40</w:t>
      </w:r>
      <w:r w:rsidR="0054295F">
        <w:rPr>
          <w:rFonts w:eastAsia="Lucida Sans Unicode"/>
          <w:kern w:val="2"/>
          <w:lang w:eastAsia="ar-SA"/>
        </w:rPr>
        <w:t> eur</w:t>
      </w:r>
      <w:r w:rsidRPr="00AE6EDB">
        <w:rPr>
          <w:rFonts w:eastAsia="Lucida Sans Unicode"/>
          <w:kern w:val="2"/>
          <w:lang w:eastAsia="ar-SA"/>
        </w:rPr>
        <w:t xml:space="preserve"> a suma prostriedkov štátneho rozpočtu poskytnutých na zabezpečenie sociálnej služby podľa § 78a a § 71 ods. 6 zákona o sociálnych službách predstavovala sumu </w:t>
      </w:r>
      <w:r w:rsidR="0054295F">
        <w:rPr>
          <w:rFonts w:eastAsia="Lucida Sans Unicode"/>
          <w:kern w:val="2"/>
          <w:lang w:eastAsia="ar-SA"/>
        </w:rPr>
        <w:t>2 9</w:t>
      </w:r>
      <w:r w:rsidRPr="00AE6EDB">
        <w:rPr>
          <w:rFonts w:eastAsia="Lucida Sans Unicode"/>
          <w:kern w:val="2"/>
          <w:lang w:eastAsia="ar-SA"/>
        </w:rPr>
        <w:t>4</w:t>
      </w:r>
      <w:r w:rsidR="0054295F">
        <w:rPr>
          <w:rFonts w:eastAsia="Lucida Sans Unicode"/>
          <w:kern w:val="2"/>
          <w:lang w:eastAsia="ar-SA"/>
        </w:rPr>
        <w:t>0 8</w:t>
      </w:r>
      <w:r w:rsidRPr="00AE6EDB">
        <w:rPr>
          <w:rFonts w:eastAsia="Lucida Sans Unicode"/>
          <w:kern w:val="2"/>
          <w:lang w:eastAsia="ar-SA"/>
        </w:rPr>
        <w:t>64</w:t>
      </w:r>
      <w:r w:rsidR="0054295F">
        <w:rPr>
          <w:rFonts w:eastAsia="Lucida Sans Unicode"/>
          <w:kern w:val="2"/>
          <w:lang w:eastAsia="ar-SA"/>
        </w:rPr>
        <w:t> eur</w:t>
      </w:r>
      <w:r w:rsidRPr="00AE6EDB">
        <w:rPr>
          <w:rFonts w:eastAsia="Lucida Sans Unicode"/>
          <w:kern w:val="2"/>
          <w:lang w:eastAsia="ar-SA"/>
        </w:rPr>
        <w:t xml:space="preserve">. </w:t>
      </w:r>
    </w:p>
    <w:p w:rsidR="0053246C" w:rsidRPr="00AE6EDB" w:rsidRDefault="0053246C" w:rsidP="0053246C">
      <w:pPr>
        <w:spacing w:line="276" w:lineRule="auto"/>
        <w:rPr>
          <w:rFonts w:eastAsiaTheme="minorHAnsi"/>
          <w:szCs w:val="22"/>
          <w:lang w:eastAsia="cs-CZ"/>
        </w:rPr>
      </w:pPr>
    </w:p>
    <w:p w:rsidR="0053246C" w:rsidRPr="00AE6EDB" w:rsidRDefault="0053246C" w:rsidP="0053246C">
      <w:pPr>
        <w:widowControl w:val="0"/>
        <w:tabs>
          <w:tab w:val="left" w:pos="3332"/>
        </w:tabs>
        <w:suppressAutoHyphens/>
        <w:spacing w:after="60" w:line="276" w:lineRule="auto"/>
        <w:rPr>
          <w:rFonts w:eastAsia="Lucida Sans Unicode"/>
          <w:b/>
          <w:kern w:val="2"/>
          <w:szCs w:val="22"/>
          <w:lang w:eastAsia="ar-SA"/>
        </w:rPr>
      </w:pPr>
      <w:r w:rsidRPr="00AE6EDB">
        <w:rPr>
          <w:rFonts w:eastAsia="Lucida Sans Unicode"/>
          <w:b/>
          <w:kern w:val="2"/>
          <w:szCs w:val="22"/>
          <w:lang w:eastAsia="ar-SA"/>
        </w:rPr>
        <w:t>Následné finančné kontroly vykonané v roku 2015</w:t>
      </w:r>
    </w:p>
    <w:p w:rsidR="0053246C" w:rsidRPr="00AE6EDB" w:rsidRDefault="0053246C" w:rsidP="0053246C">
      <w:pPr>
        <w:pStyle w:val="Odsekzoznamu"/>
        <w:rPr>
          <w:rFonts w:eastAsia="Lucida Sans Unicode"/>
        </w:rPr>
      </w:pPr>
      <w:r w:rsidRPr="00AE6EDB">
        <w:rPr>
          <w:rFonts w:eastAsia="Lucida Sans Unicode"/>
        </w:rPr>
        <w:t>NFK prostriedkov štátneho rozpočtu z rozpočtovej kapitoly MPSVR SR formou dotácie podľa ustanovení zákona o dotáciách boli vykonané v 9 subjektoch; štyroch obciach a v jednom meste (verejných poskytovateľoch sociálnej služby) a troch neziskových organizáciách a jednom občianskom združení (neverejných poskytovateľoch sociálnej služby)</w:t>
      </w:r>
    </w:p>
    <w:p w:rsidR="0053246C" w:rsidRPr="00AE6EDB" w:rsidRDefault="0053246C" w:rsidP="0053246C">
      <w:pPr>
        <w:pStyle w:val="Odsekzoznamu"/>
        <w:rPr>
          <w:rFonts w:eastAsia="Lucida Sans Unicode"/>
        </w:rPr>
      </w:pPr>
      <w:r w:rsidRPr="00AE6EDB">
        <w:rPr>
          <w:rFonts w:eastAsia="Lucida Sans Unicode"/>
        </w:rPr>
        <w:t>NFK prostriedkov štátneho rozpočtu poskytnutých na zabezpečenie sociálnej služby podľa § 78a zákona o sociálnych službách, boli vykonané v dvoch neziskových organizáciách a jednom občianskom združení (neverejných poskytovateľoch sociálnej služby)</w:t>
      </w:r>
    </w:p>
    <w:p w:rsidR="0053246C" w:rsidRPr="00AE6EDB" w:rsidRDefault="0053246C" w:rsidP="0053246C">
      <w:pPr>
        <w:pStyle w:val="Odsekzoznamu"/>
        <w:rPr>
          <w:rFonts w:eastAsia="Lucida Sans Unicode"/>
        </w:rPr>
      </w:pPr>
      <w:r w:rsidRPr="00AE6EDB">
        <w:rPr>
          <w:rFonts w:eastAsia="Lucida Sans Unicode"/>
        </w:rPr>
        <w:t xml:space="preserve">NFK prostriedkov štátneho rozpočtu prostriedkov poskytnutých na zabezpečenie sociálnej služby podľa § 71 ods. 6 zákona o sociálnych službách boli vykonané v dvoch mestách a jednej obci (verejných poskytovateľoch sociálnej služby). </w:t>
      </w:r>
    </w:p>
    <w:p w:rsidR="0053246C" w:rsidRPr="00AE6EDB" w:rsidRDefault="0053246C" w:rsidP="0053246C">
      <w:pPr>
        <w:pStyle w:val="Odsekzoznamu"/>
        <w:numPr>
          <w:ilvl w:val="0"/>
          <w:numId w:val="0"/>
        </w:numPr>
        <w:ind w:left="720"/>
        <w:rPr>
          <w:rFonts w:eastAsia="Lucida Sans Unicode"/>
        </w:rPr>
      </w:pPr>
    </w:p>
    <w:p w:rsidR="0053246C" w:rsidRPr="00AE6EDB" w:rsidRDefault="0053246C" w:rsidP="0053246C">
      <w:pPr>
        <w:widowControl w:val="0"/>
        <w:tabs>
          <w:tab w:val="left" w:pos="3332"/>
        </w:tabs>
        <w:suppressAutoHyphens/>
        <w:spacing w:after="60" w:line="276" w:lineRule="auto"/>
        <w:rPr>
          <w:rFonts w:eastAsia="Lucida Sans Unicode"/>
          <w:kern w:val="2"/>
          <w:szCs w:val="22"/>
          <w:lang w:eastAsia="ar-SA"/>
        </w:rPr>
      </w:pPr>
      <w:r w:rsidRPr="00AE6EDB">
        <w:rPr>
          <w:rFonts w:eastAsia="Lucida Sans Unicode"/>
          <w:kern w:val="2"/>
          <w:szCs w:val="22"/>
          <w:lang w:eastAsia="ar-SA"/>
        </w:rPr>
        <w:t>NFK zameranými na overenie hospodárnosti, efektívnosti, účinnosti a účelnosti použitia verejných prostriedkov poskytnutých z rozpočtovej kapitoly MPSVR SR boli zistené porušenia:</w:t>
      </w:r>
    </w:p>
    <w:p w:rsidR="0053246C" w:rsidRPr="00AE6EDB" w:rsidRDefault="0053246C" w:rsidP="0053246C">
      <w:pPr>
        <w:pStyle w:val="Odsekzoznamu"/>
        <w:rPr>
          <w:rFonts w:eastAsiaTheme="majorEastAsia"/>
        </w:rPr>
      </w:pPr>
      <w:r w:rsidRPr="00AE6EDB">
        <w:rPr>
          <w:rFonts w:eastAsiaTheme="majorEastAsia"/>
        </w:rPr>
        <w:t>§ 8 a § 30 zákona</w:t>
      </w:r>
      <w:r w:rsidR="00F45681">
        <w:rPr>
          <w:rFonts w:eastAsiaTheme="majorEastAsia"/>
        </w:rPr>
        <w:t xml:space="preserve"> </w:t>
      </w:r>
      <w:r w:rsidRPr="00AE6EDB">
        <w:rPr>
          <w:rFonts w:eastAsiaTheme="majorEastAsia"/>
        </w:rPr>
        <w:t>č. 431/2002 Z. z. o účtovníctve v znení neskorších predpisov,</w:t>
      </w:r>
    </w:p>
    <w:p w:rsidR="0053246C" w:rsidRPr="00AE6EDB" w:rsidRDefault="0053246C" w:rsidP="0053246C">
      <w:pPr>
        <w:pStyle w:val="Odsekzoznamu"/>
        <w:rPr>
          <w:rFonts w:eastAsiaTheme="majorEastAsia"/>
        </w:rPr>
      </w:pPr>
      <w:r w:rsidRPr="00AE6EDB">
        <w:rPr>
          <w:rFonts w:eastAsiaTheme="majorEastAsia"/>
        </w:rPr>
        <w:t xml:space="preserve">finančnej disciplíny podľa § 31 ods. 1 písm. b) zákona č. 523/2004 Z. z. o rozpočtových pravidlách verejnej správy a o zmene a doplnení niektorých zákonov vo výške </w:t>
      </w:r>
      <w:r w:rsidR="00AC44CB">
        <w:rPr>
          <w:rFonts w:eastAsiaTheme="majorEastAsia"/>
        </w:rPr>
        <w:t>9 0</w:t>
      </w:r>
      <w:r w:rsidRPr="00AE6EDB">
        <w:rPr>
          <w:rFonts w:eastAsiaTheme="majorEastAsia"/>
        </w:rPr>
        <w:t>82,96</w:t>
      </w:r>
      <w:r w:rsidR="0054295F">
        <w:rPr>
          <w:rFonts w:eastAsiaTheme="majorEastAsia"/>
        </w:rPr>
        <w:t> eur</w:t>
      </w:r>
      <w:r w:rsidR="00CD5A09">
        <w:rPr>
          <w:rFonts w:eastAsiaTheme="majorEastAsia"/>
        </w:rPr>
        <w:t>a</w:t>
      </w:r>
      <w:r w:rsidRPr="00AE6EDB">
        <w:rPr>
          <w:rFonts w:eastAsiaTheme="majorEastAsia"/>
        </w:rPr>
        <w:t>,</w:t>
      </w:r>
    </w:p>
    <w:p w:rsidR="0053246C" w:rsidRPr="00AE6EDB" w:rsidRDefault="0053246C" w:rsidP="0053246C">
      <w:pPr>
        <w:pStyle w:val="Odsekzoznamu"/>
        <w:rPr>
          <w:rFonts w:eastAsiaTheme="majorEastAsia"/>
        </w:rPr>
      </w:pPr>
      <w:r w:rsidRPr="00AE6EDB">
        <w:rPr>
          <w:rFonts w:eastAsiaTheme="majorEastAsia"/>
        </w:rPr>
        <w:t>finančnej disciplíny podľa § 31 ods. ods. 1, písm. a) zákona č. 523/2004 Z. z. o rozpočtových pravidlách verejnej správy a o zmene a doplnení niektorých zákonov vo výške 4</w:t>
      </w:r>
      <w:r w:rsidR="00AC44CB">
        <w:rPr>
          <w:rFonts w:eastAsiaTheme="majorEastAsia"/>
        </w:rPr>
        <w:t>7 5</w:t>
      </w:r>
      <w:r w:rsidRPr="00AE6EDB">
        <w:rPr>
          <w:rFonts w:eastAsiaTheme="majorEastAsia"/>
        </w:rPr>
        <w:t>67,84</w:t>
      </w:r>
      <w:r w:rsidR="0054295F">
        <w:rPr>
          <w:rFonts w:eastAsiaTheme="majorEastAsia"/>
        </w:rPr>
        <w:t> eur</w:t>
      </w:r>
      <w:r w:rsidR="00CD5A09">
        <w:rPr>
          <w:rFonts w:eastAsiaTheme="majorEastAsia"/>
        </w:rPr>
        <w:t>a</w:t>
      </w:r>
      <w:r w:rsidRPr="00AE6EDB">
        <w:rPr>
          <w:rFonts w:eastAsiaTheme="majorEastAsia"/>
        </w:rPr>
        <w:t>,</w:t>
      </w:r>
    </w:p>
    <w:p w:rsidR="0053246C" w:rsidRPr="00AE6EDB" w:rsidRDefault="0053246C" w:rsidP="0053246C">
      <w:pPr>
        <w:pStyle w:val="Odsekzoznamu"/>
        <w:rPr>
          <w:rFonts w:eastAsiaTheme="majorEastAsia"/>
        </w:rPr>
      </w:pPr>
      <w:r w:rsidRPr="00AE6EDB">
        <w:rPr>
          <w:rFonts w:eastAsiaTheme="majorEastAsia"/>
        </w:rPr>
        <w:t>§ 19 ods. 1 zákona č. 523/2004 Z. z. o rozpočtových pravidlách verejnej správy a o zmene a doplnení niektorých zákonov,</w:t>
      </w:r>
    </w:p>
    <w:p w:rsidR="0053246C" w:rsidRPr="00AE6EDB" w:rsidRDefault="0053246C" w:rsidP="0053246C">
      <w:pPr>
        <w:pStyle w:val="Odsekzoznamu"/>
        <w:rPr>
          <w:rFonts w:eastAsiaTheme="majorEastAsia"/>
        </w:rPr>
      </w:pPr>
      <w:r w:rsidRPr="00AE6EDB">
        <w:rPr>
          <w:rFonts w:eastAsiaTheme="majorEastAsia"/>
        </w:rPr>
        <w:t>§ 5 ods. 1 zákona č. 25/2006 Z. z. o verejnom obstarávaní a o zmene a doplnení niektorých zákonov,</w:t>
      </w:r>
    </w:p>
    <w:p w:rsidR="0053246C" w:rsidRPr="00AE6EDB" w:rsidRDefault="0053246C" w:rsidP="0053246C">
      <w:pPr>
        <w:pStyle w:val="Odsekzoznamu"/>
        <w:rPr>
          <w:rFonts w:eastAsiaTheme="majorEastAsia"/>
        </w:rPr>
      </w:pPr>
      <w:r w:rsidRPr="00AE6EDB">
        <w:rPr>
          <w:rFonts w:eastAsiaTheme="majorEastAsia"/>
        </w:rPr>
        <w:t>§ 9 ods. 3 zákona č. 25/2006 Z. z. o verejnom obstarávaní a o zmene a doplnení niektorých zákonov.</w:t>
      </w:r>
    </w:p>
    <w:p w:rsidR="0053246C" w:rsidRPr="00AE6EDB" w:rsidRDefault="0053246C" w:rsidP="0053246C">
      <w:pPr>
        <w:ind w:firstLine="431"/>
        <w:rPr>
          <w:rFonts w:eastAsia="Lucida Sans Unicode"/>
          <w:kern w:val="2"/>
          <w:lang w:eastAsia="ar-SA"/>
        </w:rPr>
      </w:pPr>
      <w:r w:rsidRPr="00AE6EDB">
        <w:rPr>
          <w:rFonts w:eastAsia="Lucida Sans Unicode"/>
          <w:kern w:val="2"/>
          <w:lang w:eastAsia="ar-SA"/>
        </w:rPr>
        <w:t>V troch prípadoch kontrolované subjekty do dňa skončenia NFK odviedli finančné prostriedky vo</w:t>
      </w:r>
      <w:r w:rsidR="009D4C19" w:rsidRPr="00AE6EDB">
        <w:rPr>
          <w:rFonts w:eastAsia="Lucida Sans Unicode"/>
          <w:kern w:val="2"/>
          <w:lang w:eastAsia="ar-SA"/>
        </w:rPr>
        <w:t> </w:t>
      </w:r>
      <w:r w:rsidRPr="00AE6EDB">
        <w:rPr>
          <w:rFonts w:eastAsia="Lucida Sans Unicode"/>
          <w:kern w:val="2"/>
          <w:lang w:eastAsia="ar-SA"/>
        </w:rPr>
        <w:t>výške porušenia finančnej disciplíny do štátneho rozpočtu, v dôsledku čoho sa správne konanie nezačalo. V jednom prípade boli výsledky následnej finančnej kontroly postúpené na ďalšie konanie príslušnej správe finančnej kontroly. Na základe uvedených zistení boli kontrolovaným subjektom uložené povinnosti prijať opatrenia na odstránenie zistených nedostatkov a na odstránenie príčin ich vzniku.</w:t>
      </w:r>
    </w:p>
    <w:p w:rsidR="000A7585" w:rsidRPr="00AE6EDB" w:rsidRDefault="000A7585" w:rsidP="000A7585">
      <w:pPr>
        <w:pStyle w:val="Nadpis41"/>
        <w:numPr>
          <w:ilvl w:val="0"/>
          <w:numId w:val="0"/>
        </w:numPr>
        <w:ind w:left="864" w:hanging="864"/>
      </w:pPr>
      <w:r w:rsidRPr="00AE6EDB">
        <w:t>Dohľad nad poskytovaním sociálnych služieb</w:t>
      </w:r>
    </w:p>
    <w:p w:rsidR="000A7585" w:rsidRPr="00AE6EDB" w:rsidRDefault="000A7585" w:rsidP="000A7585">
      <w:pPr>
        <w:widowControl w:val="0"/>
        <w:suppressAutoHyphens/>
        <w:ind w:firstLine="431"/>
        <w:rPr>
          <w:iCs/>
          <w:szCs w:val="22"/>
        </w:rPr>
      </w:pPr>
      <w:r w:rsidRPr="00AE6EDB">
        <w:rPr>
          <w:rFonts w:eastAsia="Lucida Sans Unicode"/>
          <w:kern w:val="2"/>
          <w:lang w:eastAsia="ar-SA"/>
        </w:rPr>
        <w:t xml:space="preserve">Podľa § 98 a § 99 zákona </w:t>
      </w:r>
      <w:r w:rsidRPr="00AE6EDB">
        <w:t xml:space="preserve">o sociálnych službách </w:t>
      </w:r>
      <w:r w:rsidRPr="00AE6EDB">
        <w:rPr>
          <w:iCs/>
          <w:szCs w:val="22"/>
        </w:rPr>
        <w:t>štát prostredníctvom MPSVR SR vykonáva dohľad</w:t>
      </w:r>
      <w:r w:rsidRPr="00AE6EDB">
        <w:rPr>
          <w:rStyle w:val="Odkaznapoznmkupodiarou"/>
          <w:rFonts w:eastAsia="Lucida Sans Unicode"/>
          <w:kern w:val="2"/>
          <w:lang w:eastAsia="ar-SA"/>
        </w:rPr>
        <w:footnoteReference w:id="54"/>
      </w:r>
      <w:r w:rsidRPr="00AE6EDB">
        <w:rPr>
          <w:iCs/>
          <w:szCs w:val="22"/>
        </w:rPr>
        <w:t xml:space="preserve"> nad dodržiavaním zákona o sociálnych službách a všeobecne záväzných právnych predpisov pri: </w:t>
      </w:r>
    </w:p>
    <w:p w:rsidR="000A7585" w:rsidRPr="00AE6EDB" w:rsidRDefault="000A7585" w:rsidP="000A7585">
      <w:pPr>
        <w:pStyle w:val="Odsekzoznamu"/>
      </w:pPr>
      <w:r w:rsidRPr="00AE6EDB">
        <w:t xml:space="preserve">poskytovaní sociálnych služieb a spôsobe ich vykonávania, najmä z hľadiska dodržiavania základných ľudských práv a slobôd, </w:t>
      </w:r>
    </w:p>
    <w:p w:rsidR="000A7585" w:rsidRPr="00AE6EDB" w:rsidRDefault="000A7585" w:rsidP="000A7585">
      <w:pPr>
        <w:pStyle w:val="Odsekzoznamu"/>
      </w:pPr>
      <w:r w:rsidRPr="00AE6EDB">
        <w:t xml:space="preserve">uzatváraní zmlúv o poskytovaní sociálnej služby, </w:t>
      </w:r>
    </w:p>
    <w:p w:rsidR="000A7585" w:rsidRPr="00AE6EDB" w:rsidRDefault="000A7585" w:rsidP="000A7585">
      <w:pPr>
        <w:pStyle w:val="Odsekzoznamu"/>
      </w:pPr>
      <w:r w:rsidRPr="00AE6EDB">
        <w:t>dodržiavaní záväzkov zo zmluvy o poskytovaní sociálnej služby,</w:t>
      </w:r>
    </w:p>
    <w:p w:rsidR="000A7585" w:rsidRPr="00AE6EDB" w:rsidRDefault="000A7585" w:rsidP="000A7585">
      <w:pPr>
        <w:pStyle w:val="Odsekzoznamu"/>
      </w:pPr>
      <w:r w:rsidRPr="00AE6EDB">
        <w:t xml:space="preserve">vykonávaní odborných činností, na ktoré bola udelená akreditácia. </w:t>
      </w:r>
    </w:p>
    <w:p w:rsidR="000A7585" w:rsidRPr="00AE6EDB" w:rsidRDefault="000A7585" w:rsidP="000A7585">
      <w:pPr>
        <w:pStyle w:val="Odsekzoznamu"/>
        <w:numPr>
          <w:ilvl w:val="0"/>
          <w:numId w:val="0"/>
        </w:numPr>
        <w:ind w:left="720"/>
      </w:pPr>
    </w:p>
    <w:p w:rsidR="000A7585" w:rsidRPr="00AE6EDB" w:rsidRDefault="000A7585" w:rsidP="000A7585">
      <w:pPr>
        <w:widowControl w:val="0"/>
        <w:suppressAutoHyphens/>
        <w:ind w:firstLine="431"/>
        <w:rPr>
          <w:rFonts w:eastAsia="Lucida Sans Unicode"/>
        </w:rPr>
      </w:pPr>
      <w:r w:rsidRPr="00AE6EDB">
        <w:rPr>
          <w:rFonts w:eastAsia="Lucida Sans Unicode"/>
          <w:kern w:val="2"/>
          <w:lang w:eastAsia="ar-SA"/>
        </w:rPr>
        <w:t>Pri výkone dohľadu nad poskytovaním sociálnych služieb (ďalej len „dohľad“) MPSVR SR postupuje podľa „Smernice Ministerstva práce, sociálnych vecí a rodiny Slovenskej republiky č. 50/2012 z 18. decembra 2012 na výkon dohľadu nad poskytovaním sociálnych služieb“ účinnej od 1. januára 2013 a dodatku č. 1 z 19. septembra 2013 účinného od 20. septembra 2013.</w:t>
      </w:r>
    </w:p>
    <w:p w:rsidR="000A7585" w:rsidRPr="00AE6EDB" w:rsidRDefault="000A7585" w:rsidP="000A7585">
      <w:pPr>
        <w:jc w:val="left"/>
        <w:rPr>
          <w:rFonts w:eastAsia="Lucida Sans Unicode"/>
        </w:rPr>
      </w:pPr>
    </w:p>
    <w:p w:rsidR="000A7585" w:rsidRPr="00AE6EDB" w:rsidRDefault="000A7585" w:rsidP="00737497">
      <w:pPr>
        <w:jc w:val="left"/>
        <w:rPr>
          <w:b/>
          <w:szCs w:val="22"/>
        </w:rPr>
      </w:pPr>
      <w:r w:rsidRPr="00AE6EDB">
        <w:rPr>
          <w:b/>
          <w:szCs w:val="22"/>
        </w:rPr>
        <w:t xml:space="preserve">Prehľad výkonu dohľadu v roku 2015 </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1"/>
        <w:gridCol w:w="697"/>
      </w:tblGrid>
      <w:tr w:rsidR="000A7585" w:rsidRPr="00AE6EDB" w:rsidTr="00DE0EEC">
        <w:tc>
          <w:tcPr>
            <w:tcW w:w="8591" w:type="dxa"/>
            <w:hideMark/>
          </w:tcPr>
          <w:p w:rsidR="000A7585" w:rsidRPr="00AE6EDB" w:rsidRDefault="000A7585" w:rsidP="00DE0EEC">
            <w:pPr>
              <w:spacing w:line="276" w:lineRule="auto"/>
              <w:rPr>
                <w:b/>
              </w:rPr>
            </w:pPr>
            <w:r w:rsidRPr="00AE6EDB">
              <w:t>Počet prenesených dohľadov z roku 2014 a ukončených v roku 2015</w:t>
            </w:r>
          </w:p>
        </w:tc>
        <w:tc>
          <w:tcPr>
            <w:tcW w:w="697" w:type="dxa"/>
            <w:hideMark/>
          </w:tcPr>
          <w:p w:rsidR="000A7585" w:rsidRPr="00AE6EDB" w:rsidRDefault="000A7585" w:rsidP="00DE0EEC">
            <w:pPr>
              <w:spacing w:line="276" w:lineRule="auto"/>
              <w:jc w:val="center"/>
              <w:rPr>
                <w:b/>
              </w:rPr>
            </w:pPr>
            <w:r w:rsidRPr="00AE6EDB">
              <w:rPr>
                <w:b/>
              </w:rPr>
              <w:t>3</w:t>
            </w:r>
          </w:p>
        </w:tc>
      </w:tr>
      <w:tr w:rsidR="000A7585" w:rsidRPr="00AE6EDB" w:rsidTr="00DE0EEC">
        <w:tc>
          <w:tcPr>
            <w:tcW w:w="8591" w:type="dxa"/>
            <w:hideMark/>
          </w:tcPr>
          <w:p w:rsidR="000A7585" w:rsidRPr="00AE6EDB" w:rsidRDefault="000A7585" w:rsidP="00DE0EEC">
            <w:pPr>
              <w:spacing w:line="276" w:lineRule="auto"/>
              <w:rPr>
                <w:b/>
              </w:rPr>
            </w:pPr>
            <w:r w:rsidRPr="00AE6EDB">
              <w:t xml:space="preserve">Počet začatých a ukončených dohľadov v roku 2015 podľa plánu zamerania činnosti </w:t>
            </w:r>
          </w:p>
        </w:tc>
        <w:tc>
          <w:tcPr>
            <w:tcW w:w="697" w:type="dxa"/>
            <w:hideMark/>
          </w:tcPr>
          <w:p w:rsidR="000A7585" w:rsidRPr="00AE6EDB" w:rsidRDefault="000A7585" w:rsidP="00DE0EEC">
            <w:pPr>
              <w:spacing w:line="276" w:lineRule="auto"/>
              <w:jc w:val="center"/>
              <w:rPr>
                <w:b/>
              </w:rPr>
            </w:pPr>
            <w:r w:rsidRPr="00AE6EDB">
              <w:rPr>
                <w:b/>
              </w:rPr>
              <w:t>4</w:t>
            </w:r>
          </w:p>
        </w:tc>
      </w:tr>
      <w:tr w:rsidR="000A7585" w:rsidRPr="00AE6EDB" w:rsidTr="00DE0EEC">
        <w:tc>
          <w:tcPr>
            <w:tcW w:w="8591" w:type="dxa"/>
            <w:hideMark/>
          </w:tcPr>
          <w:p w:rsidR="000A7585" w:rsidRPr="00AE6EDB" w:rsidRDefault="000A7585" w:rsidP="00DE0EEC">
            <w:pPr>
              <w:spacing w:line="276" w:lineRule="auto"/>
              <w:rPr>
                <w:b/>
                <w:bCs/>
              </w:rPr>
            </w:pPr>
            <w:r w:rsidRPr="00AE6EDB">
              <w:rPr>
                <w:bCs/>
              </w:rPr>
              <w:t>Počet začatých a ukončených dohľadov nad rámec zamerania v roku 2015</w:t>
            </w:r>
          </w:p>
        </w:tc>
        <w:tc>
          <w:tcPr>
            <w:tcW w:w="697" w:type="dxa"/>
            <w:hideMark/>
          </w:tcPr>
          <w:p w:rsidR="000A7585" w:rsidRPr="00AE6EDB" w:rsidRDefault="000A7585" w:rsidP="00DE0EEC">
            <w:pPr>
              <w:spacing w:line="276" w:lineRule="auto"/>
              <w:jc w:val="center"/>
              <w:rPr>
                <w:b/>
              </w:rPr>
            </w:pPr>
            <w:r w:rsidRPr="00AE6EDB">
              <w:rPr>
                <w:b/>
              </w:rPr>
              <w:t>5</w:t>
            </w:r>
          </w:p>
        </w:tc>
      </w:tr>
      <w:tr w:rsidR="000A7585" w:rsidRPr="00AE6EDB" w:rsidTr="00DE0EEC">
        <w:tc>
          <w:tcPr>
            <w:tcW w:w="8591" w:type="dxa"/>
            <w:hideMark/>
          </w:tcPr>
          <w:p w:rsidR="000A7585" w:rsidRPr="00AE6EDB" w:rsidRDefault="000A7585" w:rsidP="00DE0EEC">
            <w:pPr>
              <w:spacing w:line="276" w:lineRule="auto"/>
              <w:rPr>
                <w:b/>
              </w:rPr>
            </w:pPr>
            <w:r w:rsidRPr="00AE6EDB">
              <w:rPr>
                <w:b/>
                <w:bCs/>
              </w:rPr>
              <w:t>Celkový počet vykonaných a ukončených dohľadov v roku 2015</w:t>
            </w:r>
          </w:p>
        </w:tc>
        <w:tc>
          <w:tcPr>
            <w:tcW w:w="697" w:type="dxa"/>
            <w:hideMark/>
          </w:tcPr>
          <w:p w:rsidR="000A7585" w:rsidRPr="00AE6EDB" w:rsidRDefault="000A7585" w:rsidP="00DE0EEC">
            <w:pPr>
              <w:spacing w:line="276" w:lineRule="auto"/>
              <w:jc w:val="center"/>
              <w:rPr>
                <w:b/>
              </w:rPr>
            </w:pPr>
            <w:r w:rsidRPr="00AE6EDB">
              <w:rPr>
                <w:b/>
              </w:rPr>
              <w:t>12</w:t>
            </w:r>
          </w:p>
        </w:tc>
      </w:tr>
      <w:tr w:rsidR="000A7585" w:rsidRPr="00AE6EDB" w:rsidTr="00DE0EEC">
        <w:tc>
          <w:tcPr>
            <w:tcW w:w="8591" w:type="dxa"/>
            <w:hideMark/>
          </w:tcPr>
          <w:p w:rsidR="000A7585" w:rsidRPr="00AE6EDB" w:rsidRDefault="000A7585" w:rsidP="00DE0EEC">
            <w:pPr>
              <w:spacing w:line="276" w:lineRule="auto"/>
              <w:rPr>
                <w:bCs/>
              </w:rPr>
            </w:pPr>
            <w:r w:rsidRPr="00AE6EDB">
              <w:rPr>
                <w:bCs/>
              </w:rPr>
              <w:t xml:space="preserve">Počet začatých a neukončených dohľadov v roku 2015 podľa plánu zamerania činnosti </w:t>
            </w:r>
          </w:p>
        </w:tc>
        <w:tc>
          <w:tcPr>
            <w:tcW w:w="697" w:type="dxa"/>
            <w:hideMark/>
          </w:tcPr>
          <w:p w:rsidR="000A7585" w:rsidRPr="00AE6EDB" w:rsidRDefault="000A7585" w:rsidP="00DE0EEC">
            <w:pPr>
              <w:spacing w:line="276" w:lineRule="auto"/>
              <w:jc w:val="center"/>
              <w:rPr>
                <w:b/>
              </w:rPr>
            </w:pPr>
            <w:r w:rsidRPr="00AE6EDB">
              <w:rPr>
                <w:b/>
              </w:rPr>
              <w:t>0</w:t>
            </w:r>
          </w:p>
        </w:tc>
      </w:tr>
      <w:tr w:rsidR="000A7585" w:rsidRPr="00AE6EDB" w:rsidTr="00DE0EEC">
        <w:tc>
          <w:tcPr>
            <w:tcW w:w="8591" w:type="dxa"/>
            <w:hideMark/>
          </w:tcPr>
          <w:p w:rsidR="000A7585" w:rsidRPr="00AE6EDB" w:rsidRDefault="000A7585" w:rsidP="00DE0EEC">
            <w:pPr>
              <w:spacing w:line="276" w:lineRule="auto"/>
              <w:rPr>
                <w:bCs/>
              </w:rPr>
            </w:pPr>
            <w:r w:rsidRPr="00AE6EDB">
              <w:rPr>
                <w:bCs/>
              </w:rPr>
              <w:t xml:space="preserve">Počet začatých a neukončených dohľadov v roku 2015 mimo zamerania činnosti </w:t>
            </w:r>
          </w:p>
        </w:tc>
        <w:tc>
          <w:tcPr>
            <w:tcW w:w="697" w:type="dxa"/>
            <w:hideMark/>
          </w:tcPr>
          <w:p w:rsidR="000A7585" w:rsidRPr="00AE6EDB" w:rsidRDefault="000A7585" w:rsidP="00DE0EEC">
            <w:pPr>
              <w:spacing w:line="276" w:lineRule="auto"/>
              <w:jc w:val="center"/>
              <w:rPr>
                <w:b/>
              </w:rPr>
            </w:pPr>
            <w:r w:rsidRPr="00AE6EDB">
              <w:rPr>
                <w:b/>
              </w:rPr>
              <w:t>1</w:t>
            </w:r>
          </w:p>
        </w:tc>
      </w:tr>
    </w:tbl>
    <w:p w:rsidR="000A7585" w:rsidRPr="00AE6EDB" w:rsidRDefault="000A7585" w:rsidP="000A7585">
      <w:pPr>
        <w:spacing w:line="276" w:lineRule="auto"/>
        <w:rPr>
          <w:b/>
          <w:szCs w:val="22"/>
        </w:rPr>
      </w:pPr>
      <w:r w:rsidRPr="00AE6EDB">
        <w:rPr>
          <w:b/>
          <w:szCs w:val="22"/>
        </w:rPr>
        <w:t>Prehľad výkonu kontrol splnenia opatrení v roku 2015</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5"/>
        <w:gridCol w:w="693"/>
      </w:tblGrid>
      <w:tr w:rsidR="000A7585" w:rsidRPr="00AE6EDB" w:rsidTr="00DE0EEC">
        <w:tc>
          <w:tcPr>
            <w:tcW w:w="8595" w:type="dxa"/>
            <w:hideMark/>
          </w:tcPr>
          <w:p w:rsidR="000A7585" w:rsidRPr="00AE6EDB" w:rsidRDefault="000A7585" w:rsidP="00DE0EEC">
            <w:pPr>
              <w:spacing w:line="276" w:lineRule="auto"/>
            </w:pPr>
            <w:r w:rsidRPr="00AE6EDB">
              <w:t>Počet vykonaných kontrol splnenia prijatých opatrení z roku 2014 a ukončených v roku 2015</w:t>
            </w:r>
          </w:p>
        </w:tc>
        <w:tc>
          <w:tcPr>
            <w:tcW w:w="693" w:type="dxa"/>
            <w:hideMark/>
          </w:tcPr>
          <w:p w:rsidR="000A7585" w:rsidRPr="00AE6EDB" w:rsidRDefault="000A7585" w:rsidP="00DE0EEC">
            <w:pPr>
              <w:spacing w:line="276" w:lineRule="auto"/>
              <w:jc w:val="center"/>
              <w:rPr>
                <w:b/>
              </w:rPr>
            </w:pPr>
            <w:r w:rsidRPr="00AE6EDB">
              <w:rPr>
                <w:b/>
              </w:rPr>
              <w:t>0</w:t>
            </w:r>
          </w:p>
        </w:tc>
      </w:tr>
      <w:tr w:rsidR="000A7585" w:rsidRPr="00AE6EDB" w:rsidTr="00DE0EEC">
        <w:tc>
          <w:tcPr>
            <w:tcW w:w="8595" w:type="dxa"/>
            <w:hideMark/>
          </w:tcPr>
          <w:p w:rsidR="000A7585" w:rsidRPr="00AE6EDB" w:rsidRDefault="000A7585" w:rsidP="00DE0EEC">
            <w:pPr>
              <w:spacing w:line="276" w:lineRule="auto"/>
              <w:rPr>
                <w:b/>
              </w:rPr>
            </w:pPr>
            <w:r w:rsidRPr="00AE6EDB">
              <w:t>Počet naplánovaných kontrol splnenia prijatých opatrení na rok 2015</w:t>
            </w:r>
          </w:p>
        </w:tc>
        <w:tc>
          <w:tcPr>
            <w:tcW w:w="693" w:type="dxa"/>
            <w:hideMark/>
          </w:tcPr>
          <w:p w:rsidR="000A7585" w:rsidRPr="00AE6EDB" w:rsidRDefault="000A7585" w:rsidP="00DE0EEC">
            <w:pPr>
              <w:spacing w:line="276" w:lineRule="auto"/>
              <w:jc w:val="center"/>
              <w:rPr>
                <w:b/>
              </w:rPr>
            </w:pPr>
            <w:r w:rsidRPr="00AE6EDB">
              <w:rPr>
                <w:b/>
              </w:rPr>
              <w:t>1</w:t>
            </w:r>
          </w:p>
        </w:tc>
      </w:tr>
      <w:tr w:rsidR="000A7585" w:rsidRPr="00AE6EDB" w:rsidTr="00DE0EEC">
        <w:tc>
          <w:tcPr>
            <w:tcW w:w="8595" w:type="dxa"/>
            <w:hideMark/>
          </w:tcPr>
          <w:p w:rsidR="000A7585" w:rsidRPr="00AE6EDB" w:rsidRDefault="000A7585" w:rsidP="00DE0EEC">
            <w:pPr>
              <w:spacing w:line="276" w:lineRule="auto"/>
              <w:rPr>
                <w:b/>
              </w:rPr>
            </w:pPr>
            <w:r w:rsidRPr="00AE6EDB">
              <w:t xml:space="preserve">Počet vykonaných kontrol splnenia prijatých opatrení v roku 2015 </w:t>
            </w:r>
          </w:p>
        </w:tc>
        <w:tc>
          <w:tcPr>
            <w:tcW w:w="693" w:type="dxa"/>
            <w:hideMark/>
          </w:tcPr>
          <w:p w:rsidR="000A7585" w:rsidRPr="00AE6EDB" w:rsidRDefault="000A7585" w:rsidP="00DE0EEC">
            <w:pPr>
              <w:spacing w:line="276" w:lineRule="auto"/>
              <w:jc w:val="center"/>
              <w:rPr>
                <w:b/>
              </w:rPr>
            </w:pPr>
            <w:r w:rsidRPr="00AE6EDB">
              <w:rPr>
                <w:b/>
              </w:rPr>
              <w:t>0</w:t>
            </w:r>
          </w:p>
        </w:tc>
      </w:tr>
      <w:tr w:rsidR="000A7585" w:rsidRPr="00AE6EDB" w:rsidTr="00DE0EEC">
        <w:tc>
          <w:tcPr>
            <w:tcW w:w="8595" w:type="dxa"/>
            <w:hideMark/>
          </w:tcPr>
          <w:p w:rsidR="000A7585" w:rsidRPr="00AE6EDB" w:rsidRDefault="000A7585" w:rsidP="00DE0EEC">
            <w:pPr>
              <w:spacing w:line="276" w:lineRule="auto"/>
              <w:rPr>
                <w:b/>
              </w:rPr>
            </w:pPr>
            <w:r w:rsidRPr="00AE6EDB">
              <w:t>Počet neuskutočnených kontrol splnenia prijatých opatrení prenesených do roku 2016</w:t>
            </w:r>
          </w:p>
        </w:tc>
        <w:tc>
          <w:tcPr>
            <w:tcW w:w="693" w:type="dxa"/>
            <w:hideMark/>
          </w:tcPr>
          <w:p w:rsidR="000A7585" w:rsidRPr="00AE6EDB" w:rsidRDefault="000A7585" w:rsidP="00DE0EEC">
            <w:pPr>
              <w:spacing w:line="276" w:lineRule="auto"/>
              <w:jc w:val="center"/>
              <w:rPr>
                <w:b/>
              </w:rPr>
            </w:pPr>
            <w:r w:rsidRPr="00AE6EDB">
              <w:rPr>
                <w:b/>
              </w:rPr>
              <w:t>0</w:t>
            </w:r>
          </w:p>
        </w:tc>
      </w:tr>
    </w:tbl>
    <w:p w:rsidR="000A7585" w:rsidRPr="00AE6EDB" w:rsidRDefault="000A7585" w:rsidP="000A7585">
      <w:pPr>
        <w:spacing w:before="120"/>
        <w:rPr>
          <w:rFonts w:eastAsia="Lucida Sans Unicode"/>
          <w:iCs/>
          <w:kern w:val="2"/>
          <w:lang w:eastAsia="ar-SA"/>
        </w:rPr>
      </w:pPr>
      <w:r w:rsidRPr="00AE6EDB">
        <w:rPr>
          <w:rFonts w:eastAsia="Lucida Sans Unicode"/>
          <w:iCs/>
          <w:kern w:val="2"/>
          <w:lang w:eastAsia="ar-SA"/>
        </w:rPr>
        <w:t xml:space="preserve">Z celkového počtu vykonaných dohľadov v roku 2015 bol v 3 prípadoch výsledným materiálom záznam o výsledku dohľadu nad poskytovaním sociálnej služby a v 9 prípadoch protokol o výsledku dohľadu nad poskytovaním sociálnej služby. </w:t>
      </w:r>
    </w:p>
    <w:p w:rsidR="000A7585" w:rsidRPr="00AE6EDB" w:rsidRDefault="000A7585" w:rsidP="000A7585">
      <w:pPr>
        <w:pStyle w:val="Odsekzoznamu"/>
        <w:numPr>
          <w:ilvl w:val="0"/>
          <w:numId w:val="0"/>
        </w:numPr>
        <w:spacing w:before="120"/>
        <w:ind w:firstLine="431"/>
        <w:rPr>
          <w:rFonts w:eastAsia="Lucida Sans Unicode"/>
          <w:kern w:val="2"/>
          <w:szCs w:val="22"/>
          <w:lang w:eastAsia="ar-SA"/>
        </w:rPr>
      </w:pPr>
      <w:r w:rsidRPr="00AE6EDB">
        <w:rPr>
          <w:rFonts w:eastAsia="Lucida Sans Unicode"/>
          <w:kern w:val="2"/>
          <w:szCs w:val="22"/>
          <w:lang w:eastAsia="ar-SA"/>
        </w:rPr>
        <w:t xml:space="preserve">U 9 z celkového počtu 12 verejných aj neverejných poskytovateľov sociálnej služby, u ktorých boli vykonané dohľady v roku 2015, boli zistené porušenia Ústavy SR, zákona o sociálnych službách a iných všeobecne záväzných právnych predpisov. </w:t>
      </w:r>
    </w:p>
    <w:p w:rsidR="000A7585" w:rsidRPr="00AE6EDB" w:rsidRDefault="000A7585" w:rsidP="000A7585">
      <w:pPr>
        <w:rPr>
          <w:rFonts w:eastAsia="Lucida Sans Unicode"/>
          <w:b/>
          <w:iCs/>
          <w:kern w:val="2"/>
          <w:szCs w:val="22"/>
          <w:lang w:eastAsia="ar-SA"/>
        </w:rPr>
      </w:pPr>
      <w:r w:rsidRPr="00AE6EDB">
        <w:rPr>
          <w:rFonts w:eastAsia="Lucida Sans Unicode"/>
          <w:b/>
          <w:iCs/>
          <w:kern w:val="2"/>
          <w:szCs w:val="22"/>
          <w:lang w:eastAsia="ar-SA"/>
        </w:rPr>
        <w:t xml:space="preserve">Vykonanými dohľadmi v roku 2015 boli zistené najmä: </w:t>
      </w:r>
    </w:p>
    <w:p w:rsidR="000A7585" w:rsidRPr="00AE6EDB" w:rsidRDefault="000A7585" w:rsidP="000A7585">
      <w:pPr>
        <w:pStyle w:val="Odsekzoznamu"/>
        <w:numPr>
          <w:ilvl w:val="0"/>
          <w:numId w:val="25"/>
        </w:numPr>
        <w:suppressAutoHyphens/>
        <w:spacing w:after="200"/>
        <w:ind w:left="284" w:hanging="284"/>
        <w:contextualSpacing/>
        <w:rPr>
          <w:szCs w:val="22"/>
        </w:rPr>
      </w:pPr>
      <w:r w:rsidRPr="00AE6EDB">
        <w:rPr>
          <w:szCs w:val="22"/>
        </w:rPr>
        <w:t xml:space="preserve">Porušenia zákona č. 460/1992 Zb. Ústava Slovenskej republiky v znení neskorších predpisov vo vnútorných predpisoch poskytovateľov </w:t>
      </w:r>
      <w:r w:rsidRPr="00AE6EDB">
        <w:rPr>
          <w:rFonts w:eastAsia="Lucida Sans Unicode"/>
          <w:kern w:val="2"/>
          <w:szCs w:val="22"/>
          <w:lang w:eastAsia="ar-SA"/>
        </w:rPr>
        <w:t>sociálnej služby</w:t>
      </w:r>
      <w:r w:rsidRPr="00AE6EDB">
        <w:rPr>
          <w:szCs w:val="22"/>
        </w:rPr>
        <w:t>, ktoré nemajú oporu v právnom poriadku SR spočívajúce v:</w:t>
      </w:r>
    </w:p>
    <w:p w:rsidR="000A7585" w:rsidRPr="00AE6EDB" w:rsidRDefault="000A7585" w:rsidP="000A7585">
      <w:pPr>
        <w:pStyle w:val="Odsekzoznamu"/>
        <w:numPr>
          <w:ilvl w:val="0"/>
          <w:numId w:val="27"/>
        </w:numPr>
        <w:suppressAutoHyphens/>
        <w:spacing w:after="200"/>
        <w:contextualSpacing/>
        <w:rPr>
          <w:szCs w:val="22"/>
        </w:rPr>
      </w:pPr>
      <w:r w:rsidRPr="00AE6EDB">
        <w:rPr>
          <w:szCs w:val="22"/>
        </w:rPr>
        <w:t xml:space="preserve">obmedzení slobody pohybu </w:t>
      </w:r>
      <w:r w:rsidRPr="00AE6EDB">
        <w:rPr>
          <w:iCs/>
          <w:color w:val="000000" w:themeColor="text1"/>
          <w:szCs w:val="22"/>
          <w:lang w:eastAsia="cs-CZ"/>
        </w:rPr>
        <w:t xml:space="preserve">prijímateľov </w:t>
      </w:r>
      <w:r w:rsidRPr="00AE6EDB">
        <w:rPr>
          <w:rFonts w:eastAsia="Lucida Sans Unicode"/>
          <w:kern w:val="2"/>
          <w:szCs w:val="22"/>
          <w:lang w:eastAsia="ar-SA"/>
        </w:rPr>
        <w:t>sociálnej služby</w:t>
      </w:r>
      <w:r w:rsidRPr="00AE6EDB">
        <w:rPr>
          <w:szCs w:val="22"/>
        </w:rPr>
        <w:t>,</w:t>
      </w:r>
    </w:p>
    <w:p w:rsidR="000A7585" w:rsidRPr="00AE6EDB" w:rsidRDefault="000A7585" w:rsidP="000A7585">
      <w:pPr>
        <w:pStyle w:val="Odsekzoznamu"/>
        <w:numPr>
          <w:ilvl w:val="0"/>
          <w:numId w:val="27"/>
        </w:numPr>
        <w:suppressAutoHyphens/>
        <w:spacing w:after="200"/>
        <w:contextualSpacing/>
        <w:rPr>
          <w:szCs w:val="22"/>
        </w:rPr>
      </w:pPr>
      <w:r w:rsidRPr="00AE6EDB">
        <w:rPr>
          <w:szCs w:val="22"/>
        </w:rPr>
        <w:t>zákazoch a príkazoch bez opory v zákonoch.</w:t>
      </w:r>
    </w:p>
    <w:p w:rsidR="000A7585" w:rsidRPr="00AE6EDB" w:rsidRDefault="000A7585" w:rsidP="000A7585">
      <w:pPr>
        <w:pStyle w:val="Odsekzoznamu"/>
        <w:numPr>
          <w:ilvl w:val="0"/>
          <w:numId w:val="25"/>
        </w:numPr>
        <w:spacing w:after="200"/>
        <w:ind w:left="284" w:hanging="284"/>
        <w:contextualSpacing/>
        <w:rPr>
          <w:szCs w:val="22"/>
        </w:rPr>
      </w:pPr>
      <w:r w:rsidRPr="00AE6EDB">
        <w:rPr>
          <w:szCs w:val="22"/>
        </w:rPr>
        <w:t>Porušenia zákona o sociálnych službách spočívajúce v:</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nerešpektovaní práv prijímateľov </w:t>
      </w:r>
      <w:r w:rsidRPr="00AE6EDB">
        <w:rPr>
          <w:rFonts w:eastAsia="Lucida Sans Unicode"/>
          <w:kern w:val="2"/>
          <w:szCs w:val="22"/>
          <w:lang w:eastAsia="ar-SA"/>
        </w:rPr>
        <w:t>sociálnej služby</w:t>
      </w:r>
      <w:r w:rsidRPr="00AE6EDB">
        <w:rPr>
          <w:szCs w:val="22"/>
        </w:rPr>
        <w:t>,</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nedodržiavaní povinností poskytovateľov </w:t>
      </w:r>
      <w:r w:rsidRPr="00AE6EDB">
        <w:rPr>
          <w:rFonts w:eastAsia="Lucida Sans Unicode"/>
          <w:kern w:val="2"/>
          <w:szCs w:val="22"/>
          <w:lang w:eastAsia="ar-SA"/>
        </w:rPr>
        <w:t>sociálnej služby</w:t>
      </w:r>
      <w:r w:rsidRPr="00AE6EDB">
        <w:rPr>
          <w:szCs w:val="22"/>
        </w:rPr>
        <w:t xml:space="preserve"> pri plánovaní poskytovania sociálnej služby podľa individuálnych potrieb, schopností a cieľov prijímateľa </w:t>
      </w:r>
      <w:r w:rsidRPr="00AE6EDB">
        <w:rPr>
          <w:rFonts w:eastAsia="Lucida Sans Unicode"/>
          <w:kern w:val="2"/>
          <w:szCs w:val="22"/>
          <w:lang w:eastAsia="ar-SA"/>
        </w:rPr>
        <w:t>sociálnej služby</w:t>
      </w:r>
      <w:r w:rsidRPr="00AE6EDB">
        <w:rPr>
          <w:szCs w:val="22"/>
        </w:rPr>
        <w:t xml:space="preserve">, </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neplnení procedurálnych, personálnych a prevádzkových podmienok poskytovateľa </w:t>
      </w:r>
      <w:r w:rsidRPr="00AE6EDB">
        <w:rPr>
          <w:rFonts w:eastAsia="Lucida Sans Unicode"/>
          <w:kern w:val="2"/>
          <w:szCs w:val="22"/>
          <w:lang w:eastAsia="ar-SA"/>
        </w:rPr>
        <w:t>sociálnej služby</w:t>
      </w:r>
      <w:r w:rsidRPr="00AE6EDB">
        <w:rPr>
          <w:szCs w:val="22"/>
        </w:rPr>
        <w:t>,</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neuskutočňovaní programu </w:t>
      </w:r>
      <w:proofErr w:type="spellStart"/>
      <w:r w:rsidRPr="00AE6EDB">
        <w:rPr>
          <w:szCs w:val="22"/>
        </w:rPr>
        <w:t>supervízie</w:t>
      </w:r>
      <w:proofErr w:type="spellEnd"/>
      <w:r w:rsidRPr="00AE6EDB">
        <w:rPr>
          <w:szCs w:val="22"/>
        </w:rPr>
        <w:t xml:space="preserve">, </w:t>
      </w:r>
    </w:p>
    <w:p w:rsidR="000A7585" w:rsidRPr="00AE6EDB" w:rsidRDefault="000A7585" w:rsidP="000A7585">
      <w:pPr>
        <w:pStyle w:val="Odsekzoznamu"/>
        <w:numPr>
          <w:ilvl w:val="0"/>
          <w:numId w:val="18"/>
        </w:numPr>
        <w:spacing w:after="200"/>
        <w:ind w:left="720"/>
        <w:contextualSpacing/>
        <w:rPr>
          <w:color w:val="00B050"/>
          <w:szCs w:val="22"/>
        </w:rPr>
      </w:pPr>
      <w:r w:rsidRPr="00AE6EDB">
        <w:rPr>
          <w:szCs w:val="22"/>
        </w:rPr>
        <w:t xml:space="preserve">nesprávnom postupe pri úschove cenných vecí prijímateľa </w:t>
      </w:r>
      <w:r w:rsidRPr="00AE6EDB">
        <w:rPr>
          <w:rFonts w:eastAsia="Lucida Sans Unicode"/>
          <w:kern w:val="2"/>
          <w:szCs w:val="22"/>
          <w:lang w:eastAsia="ar-SA"/>
        </w:rPr>
        <w:t xml:space="preserve">sociálnej služby (bez uzatvorenia </w:t>
      </w:r>
      <w:r w:rsidRPr="00AE6EDB">
        <w:rPr>
          <w:szCs w:val="22"/>
        </w:rPr>
        <w:t>zmluvy o úschove)</w:t>
      </w:r>
      <w:r w:rsidRPr="00AE6EDB">
        <w:rPr>
          <w:rFonts w:eastAsia="Lucida Sans Unicode"/>
          <w:kern w:val="2"/>
          <w:szCs w:val="22"/>
          <w:lang w:eastAsia="ar-SA"/>
        </w:rPr>
        <w:t>,</w:t>
      </w:r>
      <w:r w:rsidRPr="00AE6EDB">
        <w:rPr>
          <w:color w:val="00B050"/>
          <w:szCs w:val="22"/>
        </w:rPr>
        <w:t xml:space="preserve"> </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nedodržiavaní povinností poskytovateľa </w:t>
      </w:r>
      <w:r w:rsidRPr="00AE6EDB">
        <w:rPr>
          <w:rFonts w:eastAsia="Lucida Sans Unicode"/>
          <w:kern w:val="2"/>
          <w:szCs w:val="22"/>
          <w:lang w:eastAsia="ar-SA"/>
        </w:rPr>
        <w:t>sociálnej služby</w:t>
      </w:r>
      <w:r w:rsidRPr="00AE6EDB">
        <w:rPr>
          <w:szCs w:val="22"/>
        </w:rPr>
        <w:t xml:space="preserve"> pri ochrane života, zdravia a dôstojnosti prijímateľa,</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nedodržiavaní povinnosti poskytovateľa </w:t>
      </w:r>
      <w:r w:rsidRPr="00AE6EDB">
        <w:rPr>
          <w:rFonts w:eastAsia="Lucida Sans Unicode"/>
          <w:kern w:val="2"/>
          <w:szCs w:val="22"/>
          <w:lang w:eastAsia="ar-SA"/>
        </w:rPr>
        <w:t>sociálnej služby</w:t>
      </w:r>
      <w:r w:rsidRPr="00AE6EDB">
        <w:rPr>
          <w:szCs w:val="22"/>
        </w:rPr>
        <w:t xml:space="preserve"> pri vykonávaní odborných, obslužných a ďalších činností, zabezpečení vykonávania týchto činností alebo utvárania podmienok na ich vykonávanie v rozsahu ustanovenom zákonom a pre druh sociálnej služby, ktorý poskytuje,</w:t>
      </w:r>
    </w:p>
    <w:p w:rsidR="000A7585" w:rsidRPr="00AE6EDB" w:rsidRDefault="000A7585" w:rsidP="000A7585">
      <w:pPr>
        <w:pStyle w:val="Odsekzoznamu"/>
        <w:numPr>
          <w:ilvl w:val="0"/>
          <w:numId w:val="18"/>
        </w:numPr>
        <w:spacing w:after="200"/>
        <w:ind w:left="720"/>
        <w:contextualSpacing/>
        <w:rPr>
          <w:szCs w:val="22"/>
        </w:rPr>
      </w:pPr>
      <w:r w:rsidRPr="00AE6EDB">
        <w:rPr>
          <w:szCs w:val="22"/>
        </w:rPr>
        <w:t>nesprávnom postupe poskytovateľa sociálnej služby pri prijímaní darov bez darovacej zmluvy,</w:t>
      </w:r>
    </w:p>
    <w:p w:rsidR="000A7585" w:rsidRPr="00AE6EDB" w:rsidRDefault="000A7585" w:rsidP="000A7585">
      <w:pPr>
        <w:pStyle w:val="Odsekzoznamu"/>
        <w:numPr>
          <w:ilvl w:val="0"/>
          <w:numId w:val="18"/>
        </w:numPr>
        <w:spacing w:after="200"/>
        <w:ind w:left="720"/>
        <w:contextualSpacing/>
        <w:rPr>
          <w:szCs w:val="22"/>
        </w:rPr>
      </w:pPr>
      <w:r w:rsidRPr="00AE6EDB">
        <w:rPr>
          <w:szCs w:val="22"/>
        </w:rPr>
        <w:t>určovaní úhrady za sociálnu službu bez cenníka sociálnej služby, resp. bez jeho zverejnenia na</w:t>
      </w:r>
      <w:r w:rsidR="009D4C19" w:rsidRPr="00AE6EDB">
        <w:rPr>
          <w:szCs w:val="22"/>
        </w:rPr>
        <w:t> </w:t>
      </w:r>
      <w:r w:rsidRPr="00AE6EDB">
        <w:rPr>
          <w:szCs w:val="22"/>
        </w:rPr>
        <w:t>web</w:t>
      </w:r>
      <w:r w:rsidR="00E73821" w:rsidRPr="00AE6EDB">
        <w:rPr>
          <w:szCs w:val="22"/>
        </w:rPr>
        <w:t>ovom sídl</w:t>
      </w:r>
      <w:r w:rsidRPr="00AE6EDB">
        <w:rPr>
          <w:szCs w:val="22"/>
        </w:rPr>
        <w:t xml:space="preserve">e alebo inom dostupnom mieste (u neverejného poskytovateľa </w:t>
      </w:r>
      <w:r w:rsidRPr="00AE6EDB">
        <w:rPr>
          <w:rFonts w:eastAsia="Lucida Sans Unicode"/>
          <w:kern w:val="2"/>
          <w:szCs w:val="22"/>
          <w:lang w:eastAsia="ar-SA"/>
        </w:rPr>
        <w:t>sociálnej služby),</w:t>
      </w:r>
    </w:p>
    <w:p w:rsidR="000A7585" w:rsidRPr="00AE6EDB" w:rsidRDefault="000A7585" w:rsidP="000A7585">
      <w:pPr>
        <w:pStyle w:val="Odsekzoznamu"/>
        <w:numPr>
          <w:ilvl w:val="0"/>
          <w:numId w:val="18"/>
        </w:numPr>
        <w:spacing w:after="200"/>
        <w:ind w:left="720"/>
        <w:contextualSpacing/>
        <w:rPr>
          <w:szCs w:val="22"/>
        </w:rPr>
      </w:pPr>
      <w:r w:rsidRPr="00AE6EDB">
        <w:rPr>
          <w:rFonts w:eastAsia="Lucida Sans Unicode"/>
          <w:kern w:val="2"/>
          <w:szCs w:val="22"/>
          <w:lang w:eastAsia="ar-SA"/>
        </w:rPr>
        <w:t>určovaní úhrady za sociálnu službu v rozpore so všeobecne záväzným nariadením obce (</w:t>
      </w:r>
      <w:r w:rsidRPr="00AE6EDB">
        <w:rPr>
          <w:szCs w:val="22"/>
        </w:rPr>
        <w:t>u</w:t>
      </w:r>
      <w:r w:rsidR="009D4C19" w:rsidRPr="00AE6EDB">
        <w:rPr>
          <w:szCs w:val="22"/>
        </w:rPr>
        <w:t> </w:t>
      </w:r>
      <w:r w:rsidRPr="00AE6EDB">
        <w:rPr>
          <w:szCs w:val="22"/>
        </w:rPr>
        <w:t xml:space="preserve">verejného poskytovateľa </w:t>
      </w:r>
      <w:r w:rsidRPr="00AE6EDB">
        <w:rPr>
          <w:rFonts w:eastAsia="Lucida Sans Unicode"/>
          <w:kern w:val="2"/>
          <w:szCs w:val="22"/>
          <w:lang w:eastAsia="ar-SA"/>
        </w:rPr>
        <w:t>sociálnej služby),</w:t>
      </w:r>
    </w:p>
    <w:p w:rsidR="000A7585" w:rsidRPr="00AE6EDB" w:rsidRDefault="000A7585" w:rsidP="000A7585">
      <w:pPr>
        <w:pStyle w:val="Odsekzoznamu"/>
        <w:numPr>
          <w:ilvl w:val="0"/>
          <w:numId w:val="18"/>
        </w:numPr>
        <w:spacing w:after="200"/>
        <w:ind w:left="720"/>
        <w:contextualSpacing/>
        <w:rPr>
          <w:szCs w:val="22"/>
        </w:rPr>
      </w:pPr>
      <w:r w:rsidRPr="00AE6EDB">
        <w:rPr>
          <w:szCs w:val="22"/>
        </w:rPr>
        <w:t>nedodržiavaní zákona pri určovaní úhrady za sociálnu službu,</w:t>
      </w:r>
    </w:p>
    <w:p w:rsidR="000A7585" w:rsidRPr="00AE6EDB" w:rsidRDefault="000A7585" w:rsidP="000A7585">
      <w:pPr>
        <w:pStyle w:val="Odsekzoznamu"/>
        <w:numPr>
          <w:ilvl w:val="0"/>
          <w:numId w:val="18"/>
        </w:numPr>
        <w:spacing w:after="200"/>
        <w:ind w:left="720"/>
        <w:contextualSpacing/>
        <w:rPr>
          <w:szCs w:val="22"/>
        </w:rPr>
      </w:pPr>
      <w:r w:rsidRPr="00AE6EDB">
        <w:rPr>
          <w:szCs w:val="22"/>
        </w:rPr>
        <w:t>nedodržiavaní zákona pri uzatváraní zmluvy o poskytovaní sociálnej služby a dodržiavaní záväzkov zo zmluvy,</w:t>
      </w:r>
    </w:p>
    <w:p w:rsidR="000A7585" w:rsidRPr="00AE6EDB" w:rsidRDefault="000A7585" w:rsidP="000A7585">
      <w:pPr>
        <w:pStyle w:val="Odsekzoznamu"/>
        <w:numPr>
          <w:ilvl w:val="0"/>
          <w:numId w:val="18"/>
        </w:numPr>
        <w:spacing w:after="200"/>
        <w:ind w:left="720"/>
        <w:contextualSpacing/>
        <w:rPr>
          <w:szCs w:val="22"/>
        </w:rPr>
      </w:pPr>
      <w:r w:rsidRPr="00AE6EDB">
        <w:rPr>
          <w:szCs w:val="22"/>
        </w:rPr>
        <w:t xml:space="preserve">nedodržiavaní zákona pri vedení evidencie prijímateľov </w:t>
      </w:r>
      <w:r w:rsidRPr="00AE6EDB">
        <w:rPr>
          <w:rFonts w:eastAsia="Lucida Sans Unicode"/>
          <w:kern w:val="2"/>
          <w:szCs w:val="22"/>
          <w:lang w:eastAsia="ar-SA"/>
        </w:rPr>
        <w:t>sociálnej služby</w:t>
      </w:r>
      <w:r w:rsidRPr="00AE6EDB">
        <w:rPr>
          <w:szCs w:val="22"/>
        </w:rPr>
        <w:t>.</w:t>
      </w:r>
    </w:p>
    <w:p w:rsidR="000A7585" w:rsidRPr="00AE6EDB" w:rsidRDefault="000A7585" w:rsidP="000A7585">
      <w:pPr>
        <w:pStyle w:val="Odsekzoznamu"/>
        <w:numPr>
          <w:ilvl w:val="0"/>
          <w:numId w:val="28"/>
        </w:numPr>
        <w:spacing w:after="200"/>
        <w:ind w:left="284" w:hanging="284"/>
        <w:contextualSpacing/>
        <w:rPr>
          <w:szCs w:val="22"/>
          <w:lang w:eastAsia="cs-CZ"/>
        </w:rPr>
      </w:pPr>
      <w:r w:rsidRPr="00AE6EDB">
        <w:rPr>
          <w:szCs w:val="22"/>
        </w:rPr>
        <w:t xml:space="preserve">Porušenia zákona </w:t>
      </w:r>
      <w:r w:rsidRPr="00AE6EDB">
        <w:rPr>
          <w:szCs w:val="22"/>
          <w:lang w:eastAsia="cs-CZ"/>
        </w:rPr>
        <w:t xml:space="preserve">č. 576/2004 Z. z. o zdravotnej starostlivosti, službách súvisiacich s poskytovaním zdravotnej starostlivosti a o zmene a doplnení niektorých zákonov v znení neskorších predpisov spočívajúce v nerešpektovaní práva prijímateľa na výber poskytovateľa zdravotnej starostlivosti a nariadení povinnosti prijímateľa sociálnej služby odovzdať zdravotnú dokumentáciu poskytovateľovi </w:t>
      </w:r>
      <w:r w:rsidRPr="00AE6EDB">
        <w:rPr>
          <w:rFonts w:eastAsia="Lucida Sans Unicode"/>
          <w:kern w:val="2"/>
          <w:szCs w:val="22"/>
          <w:lang w:eastAsia="ar-SA"/>
        </w:rPr>
        <w:t>sociálnej služby</w:t>
      </w:r>
      <w:r w:rsidRPr="00AE6EDB">
        <w:rPr>
          <w:szCs w:val="22"/>
          <w:lang w:eastAsia="cs-CZ"/>
        </w:rPr>
        <w:t>.</w:t>
      </w:r>
    </w:p>
    <w:p w:rsidR="000A7585" w:rsidRPr="00AE6EDB" w:rsidRDefault="000A7585" w:rsidP="000A7585">
      <w:pPr>
        <w:pStyle w:val="Odsekzoznamu"/>
        <w:numPr>
          <w:ilvl w:val="0"/>
          <w:numId w:val="28"/>
        </w:numPr>
        <w:spacing w:after="200"/>
        <w:ind w:left="284" w:hanging="284"/>
        <w:contextualSpacing/>
        <w:rPr>
          <w:bCs/>
          <w:szCs w:val="22"/>
        </w:rPr>
      </w:pPr>
      <w:r w:rsidRPr="00AE6EDB">
        <w:rPr>
          <w:szCs w:val="22"/>
        </w:rPr>
        <w:t>Porušenia z</w:t>
      </w:r>
      <w:r w:rsidRPr="00AE6EDB">
        <w:rPr>
          <w:bCs/>
          <w:szCs w:val="22"/>
        </w:rPr>
        <w:t>ákona č. 447/2008 Z. z. o peňažných príspevkoch na kompenzáciu ťažkého zdravotného postihnutia v znení neskorších zákonov</w:t>
      </w:r>
      <w:r w:rsidRPr="00AE6EDB">
        <w:rPr>
          <w:szCs w:val="22"/>
        </w:rPr>
        <w:t xml:space="preserve"> v nadväznosti na § 72 ods. 8 zákona o sociálnych službách</w:t>
      </w:r>
      <w:r w:rsidRPr="00AE6EDB">
        <w:rPr>
          <w:bCs/>
          <w:szCs w:val="22"/>
        </w:rPr>
        <w:t xml:space="preserve"> spočívajúce v nezisťovaní alebo v nesprávnom posudzovaní a zisťovaní príjmu prijímateľa </w:t>
      </w:r>
      <w:r w:rsidRPr="00AE6EDB">
        <w:rPr>
          <w:rFonts w:eastAsia="Lucida Sans Unicode"/>
          <w:kern w:val="2"/>
          <w:szCs w:val="22"/>
          <w:lang w:eastAsia="ar-SA"/>
        </w:rPr>
        <w:t>sociálnej služby</w:t>
      </w:r>
      <w:r w:rsidRPr="00AE6EDB">
        <w:rPr>
          <w:bCs/>
          <w:szCs w:val="22"/>
        </w:rPr>
        <w:t xml:space="preserve"> na účely určenia úhrady.</w:t>
      </w:r>
    </w:p>
    <w:p w:rsidR="000A7585" w:rsidRPr="00AE6EDB" w:rsidRDefault="000A7585" w:rsidP="000A7585">
      <w:pPr>
        <w:pStyle w:val="Odsekzoznamu"/>
        <w:numPr>
          <w:ilvl w:val="0"/>
          <w:numId w:val="28"/>
        </w:numPr>
        <w:suppressAutoHyphens/>
        <w:spacing w:after="200"/>
        <w:ind w:left="284" w:hanging="284"/>
        <w:contextualSpacing/>
        <w:rPr>
          <w:bCs/>
          <w:kern w:val="24"/>
          <w:szCs w:val="22"/>
        </w:rPr>
      </w:pPr>
      <w:r w:rsidRPr="00AE6EDB">
        <w:rPr>
          <w:bCs/>
          <w:kern w:val="24"/>
          <w:szCs w:val="22"/>
        </w:rPr>
        <w:t xml:space="preserve">Porušenie </w:t>
      </w:r>
      <w:r w:rsidRPr="00AE6EDB">
        <w:rPr>
          <w:bCs/>
          <w:kern w:val="24"/>
          <w:szCs w:val="22"/>
          <w:lang w:eastAsia="cs-CZ"/>
        </w:rPr>
        <w:t>z</w:t>
      </w:r>
      <w:r w:rsidRPr="00AE6EDB">
        <w:rPr>
          <w:szCs w:val="22"/>
          <w:lang w:eastAsia="cs-CZ"/>
        </w:rPr>
        <w:t xml:space="preserve">ákona č. 224/2006 Z. z. o občianskych preukazoch a o zmene a doplnení niektorých zákonov v znení neskorších predpisov spočívajúci v nariadení </w:t>
      </w:r>
      <w:r w:rsidRPr="00AE6EDB">
        <w:rPr>
          <w:bCs/>
          <w:kern w:val="24"/>
          <w:szCs w:val="22"/>
        </w:rPr>
        <w:t xml:space="preserve">povinnosti prijímateľa </w:t>
      </w:r>
      <w:r w:rsidRPr="00AE6EDB">
        <w:rPr>
          <w:rFonts w:eastAsia="Lucida Sans Unicode"/>
          <w:kern w:val="2"/>
          <w:szCs w:val="22"/>
          <w:lang w:eastAsia="ar-SA"/>
        </w:rPr>
        <w:t>sociálnej služby</w:t>
      </w:r>
      <w:r w:rsidRPr="00AE6EDB">
        <w:rPr>
          <w:bCs/>
          <w:kern w:val="24"/>
          <w:szCs w:val="22"/>
        </w:rPr>
        <w:t xml:space="preserve"> odovzdať poskytovateľovi občiansky preukaz.</w:t>
      </w:r>
    </w:p>
    <w:p w:rsidR="000A7585" w:rsidRPr="00AE6EDB" w:rsidRDefault="000A7585" w:rsidP="000A7585">
      <w:pPr>
        <w:pStyle w:val="Odsekzoznamu"/>
        <w:numPr>
          <w:ilvl w:val="0"/>
          <w:numId w:val="28"/>
        </w:numPr>
        <w:suppressAutoHyphens/>
        <w:spacing w:after="200"/>
        <w:ind w:left="284" w:hanging="284"/>
        <w:contextualSpacing/>
        <w:rPr>
          <w:bCs/>
          <w:kern w:val="24"/>
          <w:szCs w:val="22"/>
        </w:rPr>
      </w:pPr>
      <w:r w:rsidRPr="00AE6EDB">
        <w:rPr>
          <w:szCs w:val="22"/>
        </w:rPr>
        <w:t xml:space="preserve">Porušenie všeobecne záväzného nariadenia zriaďovateľa </w:t>
      </w:r>
      <w:r w:rsidRPr="00AE6EDB">
        <w:rPr>
          <w:rFonts w:eastAsia="Lucida Sans Unicode"/>
          <w:kern w:val="2"/>
          <w:szCs w:val="22"/>
          <w:lang w:eastAsia="ar-SA"/>
        </w:rPr>
        <w:t>(</w:t>
      </w:r>
      <w:r w:rsidRPr="00AE6EDB">
        <w:rPr>
          <w:szCs w:val="22"/>
        </w:rPr>
        <w:t xml:space="preserve">u verejného poskytovateľa </w:t>
      </w:r>
      <w:r w:rsidRPr="00AE6EDB">
        <w:rPr>
          <w:rFonts w:eastAsia="Lucida Sans Unicode"/>
          <w:kern w:val="2"/>
          <w:szCs w:val="22"/>
          <w:lang w:eastAsia="ar-SA"/>
        </w:rPr>
        <w:t>sociálnej služby).</w:t>
      </w:r>
    </w:p>
    <w:p w:rsidR="000A7585" w:rsidRPr="00AE6EDB" w:rsidRDefault="000A7585" w:rsidP="000A7585">
      <w:pPr>
        <w:pStyle w:val="Odsekzoznamu"/>
        <w:numPr>
          <w:ilvl w:val="0"/>
          <w:numId w:val="26"/>
        </w:numPr>
        <w:suppressAutoHyphens/>
        <w:spacing w:after="200"/>
        <w:ind w:left="284" w:hanging="284"/>
        <w:contextualSpacing/>
        <w:rPr>
          <w:bCs/>
          <w:kern w:val="24"/>
          <w:szCs w:val="22"/>
        </w:rPr>
      </w:pPr>
      <w:r w:rsidRPr="00AE6EDB">
        <w:rPr>
          <w:szCs w:val="22"/>
        </w:rPr>
        <w:t>Porušenie zmluvy o poskytovaní sociálnej služby spočívajúce v nedodržiavaní záväzkov zo</w:t>
      </w:r>
      <w:r w:rsidR="009D4C19" w:rsidRPr="00AE6EDB">
        <w:rPr>
          <w:szCs w:val="22"/>
        </w:rPr>
        <w:t> </w:t>
      </w:r>
      <w:r w:rsidRPr="00AE6EDB">
        <w:rPr>
          <w:szCs w:val="22"/>
        </w:rPr>
        <w:t>zmluvy.</w:t>
      </w:r>
    </w:p>
    <w:p w:rsidR="000A7585" w:rsidRPr="00AE6EDB" w:rsidRDefault="000A7585" w:rsidP="000A7585">
      <w:pPr>
        <w:pStyle w:val="Odsekzoznamu"/>
        <w:numPr>
          <w:ilvl w:val="0"/>
          <w:numId w:val="0"/>
        </w:numPr>
        <w:rPr>
          <w:i/>
          <w:caps/>
          <w:szCs w:val="22"/>
          <w:highlight w:val="cyan"/>
        </w:rPr>
      </w:pPr>
    </w:p>
    <w:p w:rsidR="000A7585" w:rsidRPr="00AE6EDB" w:rsidRDefault="000A7585" w:rsidP="000A7585">
      <w:pPr>
        <w:suppressAutoHyphens/>
        <w:spacing w:after="200"/>
        <w:contextualSpacing/>
        <w:rPr>
          <w:bCs/>
          <w:kern w:val="24"/>
          <w:sz w:val="24"/>
        </w:rPr>
      </w:pPr>
      <w:r w:rsidRPr="00AE6EDB">
        <w:rPr>
          <w:rFonts w:eastAsia="Lucida Sans Unicode"/>
          <w:b/>
          <w:kern w:val="2"/>
          <w:lang w:eastAsia="ar-SA"/>
        </w:rPr>
        <w:t>Evidencia, sledovanie a vyhodnocovanie oznámení poskytovateľov o použití prostriedkov netelesného a telesného obmedzenia</w:t>
      </w:r>
    </w:p>
    <w:p w:rsidR="000A7585" w:rsidRPr="00AE6EDB" w:rsidRDefault="000A7585" w:rsidP="000A7585">
      <w:pPr>
        <w:widowControl w:val="0"/>
        <w:suppressAutoHyphens/>
        <w:jc w:val="left"/>
        <w:rPr>
          <w:rFonts w:eastAsia="Lucida Sans Unicode"/>
          <w:b/>
          <w:i/>
          <w:kern w:val="2"/>
          <w:lang w:eastAsia="ar-SA"/>
        </w:rPr>
      </w:pPr>
    </w:p>
    <w:p w:rsidR="000A7585" w:rsidRPr="00AE6EDB" w:rsidRDefault="000A7585" w:rsidP="000A7585">
      <w:pPr>
        <w:ind w:firstLine="431"/>
      </w:pPr>
      <w:r w:rsidRPr="00AE6EDB">
        <w:t xml:space="preserve">Zákon o sociálnych službách v § 10 ods. 5 a 6 ukladá poskytovateľom </w:t>
      </w:r>
      <w:r w:rsidRPr="00AE6EDB">
        <w:rPr>
          <w:rFonts w:eastAsia="Lucida Sans Unicode"/>
          <w:kern w:val="2"/>
          <w:szCs w:val="22"/>
          <w:lang w:eastAsia="ar-SA"/>
        </w:rPr>
        <w:t>sociálnej služby, okrem iných povinností,</w:t>
      </w:r>
      <w:r w:rsidRPr="00AE6EDB">
        <w:t xml:space="preserve"> viesť register o použití prostriedkov netelesných a telesných obmedzení</w:t>
      </w:r>
      <w:r w:rsidR="00E73821" w:rsidRPr="00AE6EDB">
        <w:t xml:space="preserve"> (ďalej len „použitie obmedzení“)</w:t>
      </w:r>
      <w:r w:rsidRPr="00AE6EDB">
        <w:t xml:space="preserve">, ktoré sú podľa § 10 ods. 6 uvedeného zákona povinní bezodkladne po použití oznámiť MPSVR SR. Zasielané údaje z tohto registra boli monitorované a využívané pri plánovaní a samotnej realizácii dohľadov. Počet oznámení o použití obmedzení doručených MPSVR SR má podľa evidencie v jednotlivých rokoch od roku 2009, t. j. od účinnosti zákona o sociálnych službách, narastajúci charakter. Každoročne narastá počet zaslaných oznámení najmä od poskytovateľov sociálnych služieb, u ktorých bol vykonaný dohľad. </w:t>
      </w:r>
    </w:p>
    <w:p w:rsidR="0020703B" w:rsidRDefault="0020703B">
      <w:pPr>
        <w:jc w:val="left"/>
        <w:rPr>
          <w:b/>
          <w:lang w:eastAsia="cs-CZ"/>
        </w:rPr>
      </w:pPr>
      <w:r>
        <w:rPr>
          <w:lang w:eastAsia="cs-CZ"/>
        </w:rPr>
        <w:br w:type="page"/>
      </w:r>
    </w:p>
    <w:p w:rsidR="000A7585" w:rsidRPr="00AE6EDB" w:rsidRDefault="000A7585" w:rsidP="000A7585">
      <w:pPr>
        <w:pStyle w:val="Nadpis7"/>
        <w:rPr>
          <w:lang w:eastAsia="cs-CZ"/>
        </w:rPr>
      </w:pPr>
      <w:r w:rsidRPr="00AE6EDB">
        <w:rPr>
          <w:lang w:eastAsia="cs-CZ"/>
        </w:rPr>
        <w:t>Graf 3.1</w:t>
      </w:r>
      <w:r w:rsidR="004A57BA" w:rsidRPr="00AE6EDB">
        <w:rPr>
          <w:lang w:eastAsia="cs-CZ"/>
        </w:rPr>
        <w:t>7</w:t>
      </w:r>
      <w:r w:rsidRPr="00AE6EDB">
        <w:rPr>
          <w:lang w:eastAsia="cs-CZ"/>
        </w:rPr>
        <w:t xml:space="preserve"> Grafické znázornenie počtu oznámení od poskytovateľov zaslaných ministerstvu v rokoch 20</w:t>
      </w:r>
      <w:r w:rsidR="0053246C" w:rsidRPr="00AE6EDB">
        <w:rPr>
          <w:lang w:eastAsia="cs-CZ"/>
        </w:rPr>
        <w:t>11</w:t>
      </w:r>
      <w:r w:rsidRPr="00AE6EDB">
        <w:rPr>
          <w:lang w:eastAsia="cs-CZ"/>
        </w:rPr>
        <w:t xml:space="preserve"> </w:t>
      </w:r>
      <w:r w:rsidRPr="00AE6EDB">
        <w:rPr>
          <w:color w:val="000000" w:themeColor="text1"/>
        </w:rPr>
        <w:t>–</w:t>
      </w:r>
      <w:r w:rsidRPr="00AE6EDB">
        <w:rPr>
          <w:lang w:eastAsia="cs-CZ"/>
        </w:rPr>
        <w:t xml:space="preserve"> 2015</w:t>
      </w:r>
    </w:p>
    <w:p w:rsidR="000A7585" w:rsidRPr="00AE6EDB" w:rsidRDefault="000A7585" w:rsidP="000A7585">
      <w:pPr>
        <w:pStyle w:val="zdroj"/>
        <w:ind w:firstLine="0"/>
        <w:jc w:val="center"/>
      </w:pPr>
      <w:r w:rsidRPr="00AE6EDB">
        <w:rPr>
          <w:noProof/>
          <w:sz w:val="24"/>
        </w:rPr>
        <w:drawing>
          <wp:inline distT="0" distB="0" distL="0" distR="0" wp14:anchorId="1A6CCBBA" wp14:editId="5AD05E2F">
            <wp:extent cx="5760720" cy="2883487"/>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A7585" w:rsidRPr="00AE6EDB" w:rsidRDefault="000A7585" w:rsidP="000A7585">
      <w:pPr>
        <w:pStyle w:val="zdroj"/>
      </w:pPr>
      <w:r w:rsidRPr="00AE6EDB">
        <w:t>Zdroj: MPSVR SR</w:t>
      </w:r>
    </w:p>
    <w:p w:rsidR="000A7585" w:rsidRPr="00AE6EDB" w:rsidRDefault="000A7585" w:rsidP="000A7585">
      <w:pPr>
        <w:rPr>
          <w:highlight w:val="cyan"/>
        </w:rPr>
      </w:pPr>
    </w:p>
    <w:p w:rsidR="000A7585" w:rsidRPr="00AE6EDB" w:rsidRDefault="000A7585" w:rsidP="000A7585">
      <w:pPr>
        <w:ind w:firstLine="431"/>
      </w:pPr>
      <w:r w:rsidRPr="00AE6EDB">
        <w:t xml:space="preserve">Narastajúci počet </w:t>
      </w:r>
      <w:r w:rsidR="00207222" w:rsidRPr="00AE6EDB">
        <w:t xml:space="preserve">použitých </w:t>
      </w:r>
      <w:r w:rsidRPr="00AE6EDB">
        <w:t xml:space="preserve">obmedzení podľa oznámení poskytovateľov </w:t>
      </w:r>
      <w:r w:rsidRPr="00AE6EDB">
        <w:rPr>
          <w:rFonts w:eastAsia="Lucida Sans Unicode"/>
          <w:kern w:val="2"/>
          <w:lang w:eastAsia="ar-SA"/>
        </w:rPr>
        <w:t xml:space="preserve">sociálnych služieb doručených MPSVR SR </w:t>
      </w:r>
      <w:r w:rsidRPr="00AE6EDB">
        <w:t xml:space="preserve">poukazuje na skutočnosť, že poskytovatelia </w:t>
      </w:r>
      <w:r w:rsidRPr="00AE6EDB">
        <w:rPr>
          <w:rFonts w:eastAsia="Lucida Sans Unicode"/>
          <w:kern w:val="2"/>
          <w:lang w:eastAsia="ar-SA"/>
        </w:rPr>
        <w:t xml:space="preserve">sociálnych služieb </w:t>
      </w:r>
      <w:r w:rsidRPr="00AE6EDB">
        <w:t>každoročne venujú zvýšenú pozornosť plneniu povinností pri ochrane života, zdravia a dôstojnosti prijímateľa sociálnej služby, ktoré im vyplývajú z § 10 zákona o sociálnych službách. Neznamená to, že pri</w:t>
      </w:r>
      <w:r w:rsidR="001110A1">
        <w:t> </w:t>
      </w:r>
      <w:r w:rsidRPr="00AE6EDB">
        <w:t>poskytovaní sociálnej služby by poskytovatelia</w:t>
      </w:r>
      <w:r w:rsidRPr="00AE6EDB">
        <w:rPr>
          <w:rFonts w:eastAsia="Lucida Sans Unicode"/>
          <w:kern w:val="2"/>
          <w:lang w:eastAsia="ar-SA"/>
        </w:rPr>
        <w:t xml:space="preserve"> sociálnych služieb </w:t>
      </w:r>
      <w:r w:rsidRPr="00AE6EDB">
        <w:t>začali vo väčšej miere u prijímateľov sociálnej služby aplikovať prostriedky obmedzenia.</w:t>
      </w:r>
    </w:p>
    <w:p w:rsidR="000A7585" w:rsidRPr="00AE6EDB" w:rsidRDefault="000A7585" w:rsidP="000A7585">
      <w:pPr>
        <w:ind w:firstLine="431"/>
        <w:rPr>
          <w:b/>
          <w:highlight w:val="cyan"/>
        </w:rPr>
      </w:pPr>
      <w:r w:rsidRPr="00AE6EDB">
        <w:t xml:space="preserve">Podľa doručených oznámení o použitých prostriedkoch obmedzení od poskytovateľov </w:t>
      </w:r>
      <w:r w:rsidRPr="00AE6EDB">
        <w:rPr>
          <w:rFonts w:eastAsia="Lucida Sans Unicode"/>
          <w:kern w:val="2"/>
          <w:lang w:eastAsia="ar-SA"/>
        </w:rPr>
        <w:t xml:space="preserve">sociálnych služieb </w:t>
      </w:r>
      <w:r w:rsidRPr="00AE6EDB">
        <w:t xml:space="preserve">bolo v roku 2015 v zariadeniach sociálnych služieb zaznamenaných 98 netelesných obmedzení a 238 telesných obmedzení. Počet telesných obmedzení môže, ale nemusí byť signálom, že poskytovatelia </w:t>
      </w:r>
      <w:r w:rsidRPr="00AE6EDB">
        <w:rPr>
          <w:rFonts w:eastAsia="Lucida Sans Unicode"/>
          <w:kern w:val="2"/>
          <w:lang w:eastAsia="ar-SA"/>
        </w:rPr>
        <w:t xml:space="preserve">sociálnych služieb </w:t>
      </w:r>
      <w:r w:rsidRPr="00AE6EDB">
        <w:t>používajú viac telesné obmedzenia.</w:t>
      </w:r>
      <w:r w:rsidRPr="00AE6EDB">
        <w:rPr>
          <w:highlight w:val="cyan"/>
        </w:rPr>
        <w:t xml:space="preserve"> </w:t>
      </w:r>
    </w:p>
    <w:p w:rsidR="000A7585" w:rsidRPr="00AE6EDB" w:rsidRDefault="000A7585" w:rsidP="000A7585">
      <w:pPr>
        <w:pStyle w:val="Nadpis7"/>
      </w:pPr>
      <w:r w:rsidRPr="00AE6EDB">
        <w:t>Tabuľka 3.2</w:t>
      </w:r>
      <w:r w:rsidR="00D26D30" w:rsidRPr="00AE6EDB">
        <w:t>7</w:t>
      </w:r>
      <w:r w:rsidRPr="00AE6EDB">
        <w:t xml:space="preserve"> Rozdelenie oznámení o použitých prostriedkoch netelesných a telesných obmedzení doručených ministerstvu v roku 2015 podľa jednotlivých krajov</w:t>
      </w:r>
    </w:p>
    <w:tbl>
      <w:tblPr>
        <w:tblStyle w:val="Mkatabulky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ayout w:type="fixed"/>
        <w:tblLook w:val="04A0" w:firstRow="1" w:lastRow="0" w:firstColumn="1" w:lastColumn="0" w:noHBand="0" w:noVBand="1"/>
      </w:tblPr>
      <w:tblGrid>
        <w:gridCol w:w="1928"/>
        <w:gridCol w:w="1757"/>
        <w:gridCol w:w="1928"/>
        <w:gridCol w:w="1020"/>
      </w:tblGrid>
      <w:tr w:rsidR="000A7585" w:rsidRPr="00AE6EDB" w:rsidTr="00DE0EEC">
        <w:trPr>
          <w:trHeight w:val="270"/>
          <w:jc w:val="center"/>
        </w:trPr>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spacing w:line="276" w:lineRule="auto"/>
              <w:jc w:val="center"/>
              <w:rPr>
                <w:b/>
                <w:bCs/>
                <w:color w:val="FFFFFF" w:themeColor="background1"/>
                <w:szCs w:val="22"/>
                <w:lang w:eastAsia="en-US"/>
              </w:rPr>
            </w:pPr>
            <w:r w:rsidRPr="00AE6EDB">
              <w:rPr>
                <w:b/>
                <w:bCs/>
                <w:color w:val="FFFFFF" w:themeColor="background1"/>
                <w:szCs w:val="22"/>
                <w:lang w:eastAsia="en-US"/>
              </w:rPr>
              <w:t>Kraj</w:t>
            </w:r>
          </w:p>
        </w:tc>
        <w:tc>
          <w:tcPr>
            <w:tcW w:w="175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AE6EDB" w:rsidRDefault="000A7585" w:rsidP="00DE0EEC">
            <w:pPr>
              <w:spacing w:line="276" w:lineRule="auto"/>
              <w:jc w:val="center"/>
              <w:rPr>
                <w:b/>
                <w:bCs/>
                <w:color w:val="FFFFFF" w:themeColor="background1"/>
                <w:szCs w:val="22"/>
                <w:lang w:eastAsia="en-US"/>
              </w:rPr>
            </w:pPr>
            <w:r w:rsidRPr="00AE6EDB">
              <w:rPr>
                <w:b/>
                <w:bCs/>
                <w:color w:val="FFFFFF" w:themeColor="background1"/>
                <w:szCs w:val="22"/>
                <w:lang w:eastAsia="en-US"/>
              </w:rPr>
              <w:t>Počet oznámení od verejných poskytovateľov</w:t>
            </w:r>
          </w:p>
        </w:tc>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AE6EDB" w:rsidRDefault="000A7585" w:rsidP="00DE0EEC">
            <w:pPr>
              <w:spacing w:line="276" w:lineRule="auto"/>
              <w:jc w:val="center"/>
              <w:rPr>
                <w:b/>
                <w:bCs/>
                <w:color w:val="FFFFFF" w:themeColor="background1"/>
                <w:szCs w:val="22"/>
                <w:lang w:eastAsia="en-US"/>
              </w:rPr>
            </w:pPr>
            <w:r w:rsidRPr="00AE6EDB">
              <w:rPr>
                <w:b/>
                <w:bCs/>
                <w:color w:val="FFFFFF" w:themeColor="background1"/>
                <w:szCs w:val="22"/>
                <w:lang w:eastAsia="en-US"/>
              </w:rPr>
              <w:t>Počet oznámení od neverejných poskytovateľov</w:t>
            </w:r>
          </w:p>
        </w:tc>
        <w:tc>
          <w:tcPr>
            <w:tcW w:w="102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AE6EDB" w:rsidRDefault="000A7585" w:rsidP="00DE0EEC">
            <w:pPr>
              <w:spacing w:line="276" w:lineRule="auto"/>
              <w:jc w:val="center"/>
              <w:rPr>
                <w:b/>
                <w:bCs/>
                <w:color w:val="FFFFFF" w:themeColor="background1"/>
                <w:szCs w:val="22"/>
                <w:lang w:eastAsia="en-US"/>
              </w:rPr>
            </w:pPr>
            <w:r w:rsidRPr="00AE6EDB">
              <w:rPr>
                <w:b/>
                <w:bCs/>
                <w:color w:val="FFFFFF" w:themeColor="background1"/>
                <w:szCs w:val="22"/>
                <w:lang w:eastAsia="en-US"/>
              </w:rPr>
              <w:t>Spolu</w:t>
            </w:r>
          </w:p>
        </w:tc>
      </w:tr>
      <w:tr w:rsidR="000A7585" w:rsidRPr="00AE6EDB" w:rsidTr="00DE0EEC">
        <w:trPr>
          <w:trHeight w:val="255"/>
          <w:jc w:val="center"/>
        </w:trPr>
        <w:tc>
          <w:tcPr>
            <w:tcW w:w="1928" w:type="dxa"/>
            <w:tcBorders>
              <w:top w:val="single" w:sz="6" w:space="0" w:color="BF0000" w:themeColor="accent3" w:themeShade="BF"/>
            </w:tcBorders>
            <w:noWrap/>
            <w:hideMark/>
          </w:tcPr>
          <w:p w:rsidR="000A7585" w:rsidRPr="00AE6EDB" w:rsidRDefault="000A7585" w:rsidP="00DE0EEC">
            <w:pPr>
              <w:spacing w:line="276" w:lineRule="auto"/>
              <w:rPr>
                <w:szCs w:val="22"/>
                <w:lang w:eastAsia="en-US"/>
              </w:rPr>
            </w:pPr>
            <w:r w:rsidRPr="00AE6EDB">
              <w:rPr>
                <w:szCs w:val="22"/>
                <w:lang w:eastAsia="en-US"/>
              </w:rPr>
              <w:t>Bratislavský</w:t>
            </w:r>
          </w:p>
        </w:tc>
        <w:tc>
          <w:tcPr>
            <w:tcW w:w="1757" w:type="dxa"/>
            <w:tcBorders>
              <w:top w:val="single" w:sz="6" w:space="0" w:color="BF0000" w:themeColor="accent3" w:themeShade="BF"/>
            </w:tcBorders>
            <w:noWrap/>
            <w:vAlign w:val="bottom"/>
            <w:hideMark/>
          </w:tcPr>
          <w:p w:rsidR="000A7585" w:rsidRPr="00AE6EDB" w:rsidRDefault="000A7585" w:rsidP="00DE0EEC">
            <w:pPr>
              <w:spacing w:line="276" w:lineRule="auto"/>
              <w:jc w:val="center"/>
              <w:rPr>
                <w:lang w:eastAsia="en-US"/>
              </w:rPr>
            </w:pPr>
            <w:r w:rsidRPr="00AE6EDB">
              <w:rPr>
                <w:lang w:eastAsia="en-US"/>
              </w:rPr>
              <w:t>1</w:t>
            </w:r>
          </w:p>
        </w:tc>
        <w:tc>
          <w:tcPr>
            <w:tcW w:w="1928" w:type="dxa"/>
            <w:tcBorders>
              <w:top w:val="single" w:sz="6" w:space="0" w:color="BF0000" w:themeColor="accent3" w:themeShade="BF"/>
            </w:tcBorders>
            <w:hideMark/>
          </w:tcPr>
          <w:p w:rsidR="000A7585" w:rsidRPr="00AE6EDB" w:rsidRDefault="000A7585" w:rsidP="00DE0EEC">
            <w:pPr>
              <w:spacing w:line="276" w:lineRule="auto"/>
              <w:jc w:val="center"/>
              <w:rPr>
                <w:lang w:eastAsia="en-US"/>
              </w:rPr>
            </w:pPr>
            <w:r w:rsidRPr="00AE6EDB">
              <w:rPr>
                <w:lang w:eastAsia="en-US"/>
              </w:rPr>
              <w:t>18</w:t>
            </w:r>
          </w:p>
        </w:tc>
        <w:tc>
          <w:tcPr>
            <w:tcW w:w="1020" w:type="dxa"/>
            <w:tcBorders>
              <w:top w:val="single" w:sz="6" w:space="0" w:color="BF0000" w:themeColor="accent3" w:themeShade="BF"/>
            </w:tcBorders>
            <w:hideMark/>
          </w:tcPr>
          <w:p w:rsidR="000A7585" w:rsidRPr="00AE6EDB" w:rsidRDefault="000A7585" w:rsidP="00DE0EEC">
            <w:pPr>
              <w:spacing w:line="276" w:lineRule="auto"/>
              <w:jc w:val="center"/>
              <w:rPr>
                <w:lang w:eastAsia="en-US"/>
              </w:rPr>
            </w:pPr>
            <w:r w:rsidRPr="00AE6EDB">
              <w:rPr>
                <w:lang w:eastAsia="en-US"/>
              </w:rPr>
              <w:t>19</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Trnavský</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56</w:t>
            </w:r>
          </w:p>
        </w:tc>
        <w:tc>
          <w:tcPr>
            <w:tcW w:w="1928" w:type="dxa"/>
            <w:hideMark/>
          </w:tcPr>
          <w:p w:rsidR="000A7585" w:rsidRPr="00AE6EDB" w:rsidRDefault="000A7585" w:rsidP="00DE0EEC">
            <w:pPr>
              <w:spacing w:line="276" w:lineRule="auto"/>
              <w:jc w:val="center"/>
              <w:rPr>
                <w:lang w:eastAsia="en-US"/>
              </w:rPr>
            </w:pPr>
            <w:r w:rsidRPr="00AE6EDB">
              <w:rPr>
                <w:lang w:eastAsia="en-US"/>
              </w:rPr>
              <w:t>57</w:t>
            </w:r>
          </w:p>
        </w:tc>
        <w:tc>
          <w:tcPr>
            <w:tcW w:w="1020" w:type="dxa"/>
            <w:hideMark/>
          </w:tcPr>
          <w:p w:rsidR="000A7585" w:rsidRPr="00AE6EDB" w:rsidRDefault="000A7585" w:rsidP="00DE0EEC">
            <w:pPr>
              <w:spacing w:line="276" w:lineRule="auto"/>
              <w:jc w:val="center"/>
              <w:rPr>
                <w:lang w:eastAsia="en-US"/>
              </w:rPr>
            </w:pPr>
            <w:r w:rsidRPr="00AE6EDB">
              <w:rPr>
                <w:lang w:eastAsia="en-US"/>
              </w:rPr>
              <w:t>113</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 xml:space="preserve">Nitriansky </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18</w:t>
            </w:r>
          </w:p>
        </w:tc>
        <w:tc>
          <w:tcPr>
            <w:tcW w:w="1928" w:type="dxa"/>
            <w:hideMark/>
          </w:tcPr>
          <w:p w:rsidR="000A7585" w:rsidRPr="00AE6EDB" w:rsidRDefault="000A7585" w:rsidP="00DE0EEC">
            <w:pPr>
              <w:spacing w:line="276" w:lineRule="auto"/>
              <w:jc w:val="center"/>
              <w:rPr>
                <w:lang w:eastAsia="en-US"/>
              </w:rPr>
            </w:pPr>
            <w:r w:rsidRPr="00AE6EDB">
              <w:rPr>
                <w:lang w:eastAsia="en-US"/>
              </w:rPr>
              <w:t>4</w:t>
            </w:r>
          </w:p>
        </w:tc>
        <w:tc>
          <w:tcPr>
            <w:tcW w:w="1020" w:type="dxa"/>
            <w:hideMark/>
          </w:tcPr>
          <w:p w:rsidR="000A7585" w:rsidRPr="00AE6EDB" w:rsidRDefault="000A7585" w:rsidP="00DE0EEC">
            <w:pPr>
              <w:spacing w:line="276" w:lineRule="auto"/>
              <w:jc w:val="center"/>
              <w:rPr>
                <w:lang w:eastAsia="en-US"/>
              </w:rPr>
            </w:pPr>
            <w:r w:rsidRPr="00AE6EDB">
              <w:rPr>
                <w:lang w:eastAsia="en-US"/>
              </w:rPr>
              <w:t>22</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Trenčiansky</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58</w:t>
            </w:r>
          </w:p>
        </w:tc>
        <w:tc>
          <w:tcPr>
            <w:tcW w:w="1928" w:type="dxa"/>
            <w:hideMark/>
          </w:tcPr>
          <w:p w:rsidR="000A7585" w:rsidRPr="00AE6EDB" w:rsidRDefault="000A7585" w:rsidP="00DE0EEC">
            <w:pPr>
              <w:spacing w:line="276" w:lineRule="auto"/>
              <w:jc w:val="center"/>
              <w:rPr>
                <w:lang w:eastAsia="en-US"/>
              </w:rPr>
            </w:pPr>
            <w:r w:rsidRPr="00AE6EDB">
              <w:rPr>
                <w:lang w:eastAsia="en-US"/>
              </w:rPr>
              <w:t>0</w:t>
            </w:r>
          </w:p>
        </w:tc>
        <w:tc>
          <w:tcPr>
            <w:tcW w:w="1020" w:type="dxa"/>
            <w:hideMark/>
          </w:tcPr>
          <w:p w:rsidR="000A7585" w:rsidRPr="00AE6EDB" w:rsidRDefault="000A7585" w:rsidP="00DE0EEC">
            <w:pPr>
              <w:spacing w:line="276" w:lineRule="auto"/>
              <w:jc w:val="center"/>
              <w:rPr>
                <w:lang w:eastAsia="en-US"/>
              </w:rPr>
            </w:pPr>
            <w:r w:rsidRPr="00AE6EDB">
              <w:rPr>
                <w:lang w:eastAsia="en-US"/>
              </w:rPr>
              <w:t>58</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Žilinský</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27</w:t>
            </w:r>
          </w:p>
        </w:tc>
        <w:tc>
          <w:tcPr>
            <w:tcW w:w="1928" w:type="dxa"/>
            <w:hideMark/>
          </w:tcPr>
          <w:p w:rsidR="000A7585" w:rsidRPr="00AE6EDB" w:rsidRDefault="000A7585" w:rsidP="00DE0EEC">
            <w:pPr>
              <w:spacing w:line="276" w:lineRule="auto"/>
              <w:jc w:val="center"/>
              <w:rPr>
                <w:lang w:eastAsia="en-US"/>
              </w:rPr>
            </w:pPr>
            <w:r w:rsidRPr="00AE6EDB">
              <w:rPr>
                <w:lang w:eastAsia="en-US"/>
              </w:rPr>
              <w:t>0</w:t>
            </w:r>
          </w:p>
        </w:tc>
        <w:tc>
          <w:tcPr>
            <w:tcW w:w="1020" w:type="dxa"/>
            <w:hideMark/>
          </w:tcPr>
          <w:p w:rsidR="000A7585" w:rsidRPr="00AE6EDB" w:rsidRDefault="000A7585" w:rsidP="00DE0EEC">
            <w:pPr>
              <w:spacing w:line="276" w:lineRule="auto"/>
              <w:jc w:val="center"/>
              <w:rPr>
                <w:lang w:eastAsia="en-US"/>
              </w:rPr>
            </w:pPr>
            <w:r w:rsidRPr="00AE6EDB">
              <w:rPr>
                <w:lang w:eastAsia="en-US"/>
              </w:rPr>
              <w:t>27</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Banskobystrický</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32</w:t>
            </w:r>
          </w:p>
        </w:tc>
        <w:tc>
          <w:tcPr>
            <w:tcW w:w="1928" w:type="dxa"/>
            <w:hideMark/>
          </w:tcPr>
          <w:p w:rsidR="000A7585" w:rsidRPr="00AE6EDB" w:rsidRDefault="000A7585" w:rsidP="00DE0EEC">
            <w:pPr>
              <w:spacing w:line="276" w:lineRule="auto"/>
              <w:jc w:val="center"/>
              <w:rPr>
                <w:lang w:eastAsia="en-US"/>
              </w:rPr>
            </w:pPr>
            <w:r w:rsidRPr="00AE6EDB">
              <w:rPr>
                <w:lang w:eastAsia="en-US"/>
              </w:rPr>
              <w:t>0</w:t>
            </w:r>
          </w:p>
        </w:tc>
        <w:tc>
          <w:tcPr>
            <w:tcW w:w="1020" w:type="dxa"/>
            <w:hideMark/>
          </w:tcPr>
          <w:p w:rsidR="000A7585" w:rsidRPr="00AE6EDB" w:rsidRDefault="000A7585" w:rsidP="00DE0EEC">
            <w:pPr>
              <w:spacing w:line="276" w:lineRule="auto"/>
              <w:jc w:val="center"/>
              <w:rPr>
                <w:lang w:eastAsia="en-US"/>
              </w:rPr>
            </w:pPr>
            <w:r w:rsidRPr="00AE6EDB">
              <w:rPr>
                <w:lang w:eastAsia="en-US"/>
              </w:rPr>
              <w:t>32</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Košický</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14</w:t>
            </w:r>
          </w:p>
        </w:tc>
        <w:tc>
          <w:tcPr>
            <w:tcW w:w="1928" w:type="dxa"/>
            <w:hideMark/>
          </w:tcPr>
          <w:p w:rsidR="000A7585" w:rsidRPr="00AE6EDB" w:rsidRDefault="000A7585" w:rsidP="00DE0EEC">
            <w:pPr>
              <w:spacing w:line="276" w:lineRule="auto"/>
              <w:jc w:val="center"/>
              <w:rPr>
                <w:lang w:eastAsia="en-US"/>
              </w:rPr>
            </w:pPr>
            <w:r w:rsidRPr="00AE6EDB">
              <w:rPr>
                <w:lang w:eastAsia="en-US"/>
              </w:rPr>
              <w:t>9</w:t>
            </w:r>
          </w:p>
        </w:tc>
        <w:tc>
          <w:tcPr>
            <w:tcW w:w="1020" w:type="dxa"/>
            <w:hideMark/>
          </w:tcPr>
          <w:p w:rsidR="000A7585" w:rsidRPr="00AE6EDB" w:rsidRDefault="000A7585" w:rsidP="00DE0EEC">
            <w:pPr>
              <w:spacing w:line="276" w:lineRule="auto"/>
              <w:jc w:val="center"/>
              <w:rPr>
                <w:lang w:eastAsia="en-US"/>
              </w:rPr>
            </w:pPr>
            <w:r w:rsidRPr="00AE6EDB">
              <w:rPr>
                <w:lang w:eastAsia="en-US"/>
              </w:rPr>
              <w:t>23</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szCs w:val="22"/>
                <w:lang w:eastAsia="en-US"/>
              </w:rPr>
            </w:pPr>
            <w:r w:rsidRPr="00AE6EDB">
              <w:rPr>
                <w:szCs w:val="22"/>
                <w:lang w:eastAsia="en-US"/>
              </w:rPr>
              <w:t>Prešovský</w:t>
            </w:r>
          </w:p>
        </w:tc>
        <w:tc>
          <w:tcPr>
            <w:tcW w:w="1757" w:type="dxa"/>
            <w:noWrap/>
            <w:vAlign w:val="bottom"/>
            <w:hideMark/>
          </w:tcPr>
          <w:p w:rsidR="000A7585" w:rsidRPr="00AE6EDB" w:rsidRDefault="000A7585" w:rsidP="00DE0EEC">
            <w:pPr>
              <w:spacing w:line="276" w:lineRule="auto"/>
              <w:jc w:val="center"/>
              <w:rPr>
                <w:lang w:eastAsia="en-US"/>
              </w:rPr>
            </w:pPr>
            <w:r w:rsidRPr="00AE6EDB">
              <w:rPr>
                <w:lang w:eastAsia="en-US"/>
              </w:rPr>
              <w:t>42</w:t>
            </w:r>
          </w:p>
        </w:tc>
        <w:tc>
          <w:tcPr>
            <w:tcW w:w="1928" w:type="dxa"/>
            <w:hideMark/>
          </w:tcPr>
          <w:p w:rsidR="000A7585" w:rsidRPr="00AE6EDB" w:rsidRDefault="000A7585" w:rsidP="00DE0EEC">
            <w:pPr>
              <w:spacing w:line="276" w:lineRule="auto"/>
              <w:jc w:val="center"/>
              <w:rPr>
                <w:lang w:eastAsia="en-US"/>
              </w:rPr>
            </w:pPr>
            <w:r w:rsidRPr="00AE6EDB">
              <w:rPr>
                <w:lang w:eastAsia="en-US"/>
              </w:rPr>
              <w:t>0</w:t>
            </w:r>
          </w:p>
        </w:tc>
        <w:tc>
          <w:tcPr>
            <w:tcW w:w="1020" w:type="dxa"/>
            <w:hideMark/>
          </w:tcPr>
          <w:p w:rsidR="000A7585" w:rsidRPr="00AE6EDB" w:rsidRDefault="000A7585" w:rsidP="00DE0EEC">
            <w:pPr>
              <w:spacing w:line="276" w:lineRule="auto"/>
              <w:jc w:val="center"/>
              <w:rPr>
                <w:lang w:eastAsia="en-US"/>
              </w:rPr>
            </w:pPr>
            <w:r w:rsidRPr="00AE6EDB">
              <w:rPr>
                <w:lang w:eastAsia="en-US"/>
              </w:rPr>
              <w:t>42</w:t>
            </w:r>
          </w:p>
        </w:tc>
      </w:tr>
      <w:tr w:rsidR="000A7585" w:rsidRPr="00AE6EDB" w:rsidTr="00DE0EEC">
        <w:trPr>
          <w:trHeight w:val="255"/>
          <w:jc w:val="center"/>
        </w:trPr>
        <w:tc>
          <w:tcPr>
            <w:tcW w:w="1928" w:type="dxa"/>
            <w:noWrap/>
            <w:hideMark/>
          </w:tcPr>
          <w:p w:rsidR="000A7585" w:rsidRPr="00AE6EDB" w:rsidRDefault="000A7585" w:rsidP="00DE0EEC">
            <w:pPr>
              <w:spacing w:line="276" w:lineRule="auto"/>
              <w:rPr>
                <w:b/>
                <w:bCs/>
                <w:szCs w:val="22"/>
                <w:lang w:eastAsia="en-US"/>
              </w:rPr>
            </w:pPr>
            <w:r w:rsidRPr="00AE6EDB">
              <w:rPr>
                <w:b/>
                <w:bCs/>
                <w:szCs w:val="22"/>
                <w:lang w:eastAsia="en-US"/>
              </w:rPr>
              <w:t>SPOLU</w:t>
            </w:r>
          </w:p>
        </w:tc>
        <w:tc>
          <w:tcPr>
            <w:tcW w:w="1757" w:type="dxa"/>
            <w:noWrap/>
            <w:vAlign w:val="bottom"/>
            <w:hideMark/>
          </w:tcPr>
          <w:p w:rsidR="000A7585" w:rsidRPr="00AE6EDB" w:rsidRDefault="000A7585" w:rsidP="00DE0EEC">
            <w:pPr>
              <w:spacing w:line="276" w:lineRule="auto"/>
              <w:jc w:val="center"/>
              <w:rPr>
                <w:b/>
                <w:bCs/>
                <w:lang w:eastAsia="en-US"/>
              </w:rPr>
            </w:pPr>
            <w:r w:rsidRPr="00AE6EDB">
              <w:rPr>
                <w:b/>
                <w:bCs/>
                <w:lang w:eastAsia="en-US"/>
              </w:rPr>
              <w:t>248</w:t>
            </w:r>
          </w:p>
        </w:tc>
        <w:tc>
          <w:tcPr>
            <w:tcW w:w="1928" w:type="dxa"/>
            <w:hideMark/>
          </w:tcPr>
          <w:p w:rsidR="000A7585" w:rsidRPr="00AE6EDB" w:rsidRDefault="000A7585" w:rsidP="00DE0EEC">
            <w:pPr>
              <w:spacing w:line="276" w:lineRule="auto"/>
              <w:jc w:val="center"/>
              <w:rPr>
                <w:b/>
                <w:bCs/>
                <w:lang w:eastAsia="en-US"/>
              </w:rPr>
            </w:pPr>
            <w:r w:rsidRPr="00AE6EDB">
              <w:rPr>
                <w:b/>
                <w:bCs/>
                <w:lang w:eastAsia="en-US"/>
              </w:rPr>
              <w:t>88</w:t>
            </w:r>
          </w:p>
        </w:tc>
        <w:tc>
          <w:tcPr>
            <w:tcW w:w="1020" w:type="dxa"/>
            <w:hideMark/>
          </w:tcPr>
          <w:p w:rsidR="000A7585" w:rsidRPr="00AE6EDB" w:rsidRDefault="000A7585" w:rsidP="00DE0EEC">
            <w:pPr>
              <w:spacing w:line="276" w:lineRule="auto"/>
              <w:jc w:val="center"/>
              <w:rPr>
                <w:b/>
                <w:bCs/>
                <w:lang w:eastAsia="en-US"/>
              </w:rPr>
            </w:pPr>
            <w:r w:rsidRPr="00AE6EDB">
              <w:rPr>
                <w:b/>
                <w:bCs/>
                <w:lang w:eastAsia="en-US"/>
              </w:rPr>
              <w:t>336</w:t>
            </w:r>
          </w:p>
        </w:tc>
      </w:tr>
    </w:tbl>
    <w:p w:rsidR="000A7585" w:rsidRPr="00AE6EDB" w:rsidRDefault="000A7585" w:rsidP="000A7585">
      <w:pPr>
        <w:pStyle w:val="zdroj"/>
        <w:ind w:firstLine="1276"/>
      </w:pPr>
      <w:r w:rsidRPr="00AE6EDB">
        <w:t>Zdroj: MPSVR SR</w:t>
      </w:r>
    </w:p>
    <w:p w:rsidR="0053246C" w:rsidRPr="00AE6EDB" w:rsidRDefault="0053246C">
      <w:pPr>
        <w:jc w:val="left"/>
        <w:rPr>
          <w:rFonts w:ascii="Times New Roman Bold" w:hAnsi="Times New Roman Bold"/>
          <w:b/>
          <w:color w:val="D83E2C" w:themeColor="accent2"/>
          <w:sz w:val="24"/>
          <w:szCs w:val="20"/>
          <w:lang w:eastAsia="cs-CZ"/>
        </w:rPr>
      </w:pPr>
      <w:bookmarkStart w:id="692" w:name="_Toc313879239"/>
      <w:bookmarkStart w:id="693" w:name="_Toc356482746"/>
      <w:bookmarkStart w:id="694" w:name="_Toc422233439"/>
      <w:bookmarkStart w:id="695" w:name="_Toc325438257"/>
      <w:r w:rsidRPr="00AE6EDB">
        <w:br w:type="page"/>
      </w:r>
    </w:p>
    <w:p w:rsidR="000A7585" w:rsidRPr="00AE6EDB" w:rsidRDefault="000A7585" w:rsidP="000A7585">
      <w:pPr>
        <w:pStyle w:val="Nadpis6"/>
      </w:pPr>
      <w:bookmarkStart w:id="696" w:name="_Toc452469896"/>
      <w:r w:rsidRPr="00AE6EDB">
        <w:t xml:space="preserve">Dotácie na podporu rozvoja sociálnej oblasti v pôsobnosti </w:t>
      </w:r>
      <w:bookmarkEnd w:id="692"/>
      <w:bookmarkEnd w:id="693"/>
      <w:r w:rsidRPr="00AE6EDB">
        <w:t>MPSVR SR</w:t>
      </w:r>
      <w:bookmarkEnd w:id="694"/>
      <w:bookmarkEnd w:id="696"/>
    </w:p>
    <w:p w:rsidR="000A7585" w:rsidRPr="00AE6EDB" w:rsidRDefault="000A7585" w:rsidP="000A7585">
      <w:pPr>
        <w:pStyle w:val="Zkladntext"/>
        <w:tabs>
          <w:tab w:val="left" w:pos="851"/>
        </w:tabs>
        <w:spacing w:after="0"/>
        <w:ind w:firstLine="431"/>
        <w:rPr>
          <w:szCs w:val="22"/>
        </w:rPr>
      </w:pPr>
      <w:r w:rsidRPr="00AE6EDB">
        <w:rPr>
          <w:szCs w:val="22"/>
        </w:rPr>
        <w:t xml:space="preserve">MPSVR SR poskytovalo v roku 2015 dotácie z rozpočtu kapitoly v súlade so zákonom </w:t>
      </w:r>
      <w:r w:rsidRPr="00AE6EDB">
        <w:rPr>
          <w:szCs w:val="22"/>
        </w:rPr>
        <w:br/>
        <w:t>č. 544/2010 Z. z. o dotáciách v pôsobnosti MPSVR SR v znení č. 393/2012 Z. z. (ďalej len „zákon</w:t>
      </w:r>
      <w:r w:rsidR="0053246C" w:rsidRPr="00AE6EDB">
        <w:rPr>
          <w:szCs w:val="22"/>
        </w:rPr>
        <w:t xml:space="preserve"> o</w:t>
      </w:r>
      <w:r w:rsidR="005F3324" w:rsidRPr="00AE6EDB">
        <w:rPr>
          <w:szCs w:val="22"/>
        </w:rPr>
        <w:t> </w:t>
      </w:r>
      <w:r w:rsidR="0053246C" w:rsidRPr="00AE6EDB">
        <w:rPr>
          <w:szCs w:val="22"/>
        </w:rPr>
        <w:t>dotáciách</w:t>
      </w:r>
      <w:r w:rsidRPr="00AE6EDB">
        <w:rPr>
          <w:szCs w:val="22"/>
        </w:rPr>
        <w:t xml:space="preserve">“). Celkovo boli poskytnuté dotácie v sume </w:t>
      </w:r>
      <w:r w:rsidR="0054295F">
        <w:rPr>
          <w:szCs w:val="22"/>
        </w:rPr>
        <w:t>2 5</w:t>
      </w:r>
      <w:r w:rsidRPr="00AE6EDB">
        <w:rPr>
          <w:szCs w:val="22"/>
        </w:rPr>
        <w:t>4</w:t>
      </w:r>
      <w:r w:rsidR="0054295F">
        <w:rPr>
          <w:szCs w:val="22"/>
        </w:rPr>
        <w:t>1 9</w:t>
      </w:r>
      <w:r w:rsidRPr="00AE6EDB">
        <w:rPr>
          <w:szCs w:val="22"/>
        </w:rPr>
        <w:t>62</w:t>
      </w:r>
      <w:r w:rsidR="0054295F">
        <w:rPr>
          <w:szCs w:val="22"/>
        </w:rPr>
        <w:t> eur</w:t>
      </w:r>
      <w:r w:rsidRPr="00AE6EDB">
        <w:rPr>
          <w:szCs w:val="22"/>
        </w:rPr>
        <w:t xml:space="preserve">, z toho </w:t>
      </w:r>
      <w:r w:rsidR="0054295F">
        <w:rPr>
          <w:szCs w:val="22"/>
        </w:rPr>
        <w:t>2 3</w:t>
      </w:r>
      <w:r w:rsidRPr="00AE6EDB">
        <w:rPr>
          <w:szCs w:val="22"/>
        </w:rPr>
        <w:t>7</w:t>
      </w:r>
      <w:r w:rsidR="00AC44CB">
        <w:rPr>
          <w:szCs w:val="22"/>
        </w:rPr>
        <w:t>7 9</w:t>
      </w:r>
      <w:r w:rsidRPr="00AE6EDB">
        <w:rPr>
          <w:szCs w:val="22"/>
        </w:rPr>
        <w:t>23</w:t>
      </w:r>
      <w:r w:rsidR="0054295F">
        <w:rPr>
          <w:szCs w:val="22"/>
        </w:rPr>
        <w:t> eur</w:t>
      </w:r>
      <w:r w:rsidRPr="00AE6EDB">
        <w:rPr>
          <w:szCs w:val="22"/>
        </w:rPr>
        <w:t xml:space="preserve"> právnickým osobám.</w:t>
      </w:r>
    </w:p>
    <w:p w:rsidR="000A7585" w:rsidRPr="00AE6EDB" w:rsidRDefault="000A7585" w:rsidP="000A7585">
      <w:pPr>
        <w:pStyle w:val="Zkladntext"/>
        <w:tabs>
          <w:tab w:val="left" w:pos="851"/>
        </w:tabs>
        <w:spacing w:after="0"/>
        <w:ind w:firstLine="431"/>
        <w:rPr>
          <w:szCs w:val="22"/>
          <w:highlight w:val="cyan"/>
        </w:rPr>
      </w:pPr>
      <w:r w:rsidRPr="00AE6EDB">
        <w:rPr>
          <w:szCs w:val="22"/>
        </w:rPr>
        <w:t>Dotácie na podporu rozvoja sociálnych služieb a dotácie na podporu vykonávania opatrení sociálnoprávnej ochrany detí a sociálnej kurately (§ 3 zákona</w:t>
      </w:r>
      <w:r w:rsidR="0053246C" w:rsidRPr="00AE6EDB">
        <w:rPr>
          <w:szCs w:val="22"/>
        </w:rPr>
        <w:t xml:space="preserve"> o dotáciách</w:t>
      </w:r>
      <w:r w:rsidRPr="00AE6EDB">
        <w:rPr>
          <w:szCs w:val="22"/>
        </w:rPr>
        <w:t xml:space="preserve">) boli poskytnuté v sume </w:t>
      </w:r>
      <w:r w:rsidR="0054295F">
        <w:rPr>
          <w:szCs w:val="22"/>
        </w:rPr>
        <w:t>1 5</w:t>
      </w:r>
      <w:r w:rsidRPr="00AE6EDB">
        <w:rPr>
          <w:szCs w:val="22"/>
        </w:rPr>
        <w:t>6</w:t>
      </w:r>
      <w:r w:rsidR="0054295F">
        <w:rPr>
          <w:szCs w:val="22"/>
        </w:rPr>
        <w:t>1 7</w:t>
      </w:r>
      <w:r w:rsidRPr="00AE6EDB">
        <w:rPr>
          <w:szCs w:val="22"/>
        </w:rPr>
        <w:t>00</w:t>
      </w:r>
      <w:r w:rsidR="0054295F">
        <w:rPr>
          <w:szCs w:val="22"/>
        </w:rPr>
        <w:t> eur</w:t>
      </w:r>
      <w:r w:rsidRPr="00AE6EDB">
        <w:rPr>
          <w:szCs w:val="22"/>
        </w:rPr>
        <w:t xml:space="preserve"> (210 </w:t>
      </w:r>
      <w:r w:rsidR="005F3324" w:rsidRPr="00AE6EDB">
        <w:rPr>
          <w:szCs w:val="22"/>
        </w:rPr>
        <w:t xml:space="preserve">podporených </w:t>
      </w:r>
      <w:r w:rsidRPr="00AE6EDB">
        <w:rPr>
          <w:szCs w:val="22"/>
        </w:rPr>
        <w:t xml:space="preserve">žiadostí), z toho z kapitálových transferov v sume </w:t>
      </w:r>
      <w:r w:rsidR="0054295F">
        <w:rPr>
          <w:szCs w:val="22"/>
        </w:rPr>
        <w:t>1 1</w:t>
      </w:r>
      <w:r w:rsidRPr="00AE6EDB">
        <w:rPr>
          <w:szCs w:val="22"/>
        </w:rPr>
        <w:t>0</w:t>
      </w:r>
      <w:r w:rsidR="0054295F">
        <w:rPr>
          <w:szCs w:val="22"/>
        </w:rPr>
        <w:t>1 2</w:t>
      </w:r>
      <w:r w:rsidRPr="00AE6EDB">
        <w:rPr>
          <w:szCs w:val="22"/>
        </w:rPr>
        <w:t>87</w:t>
      </w:r>
      <w:r w:rsidR="0054295F">
        <w:rPr>
          <w:szCs w:val="22"/>
        </w:rPr>
        <w:t> eur</w:t>
      </w:r>
      <w:r w:rsidRPr="00AE6EDB">
        <w:rPr>
          <w:szCs w:val="22"/>
        </w:rPr>
        <w:t xml:space="preserve"> na</w:t>
      </w:r>
      <w:r w:rsidR="0053246C" w:rsidRPr="00AE6EDB">
        <w:rPr>
          <w:szCs w:val="22"/>
        </w:rPr>
        <w:t> </w:t>
      </w:r>
      <w:r w:rsidRPr="00AE6EDB">
        <w:rPr>
          <w:szCs w:val="22"/>
        </w:rPr>
        <w:t>kúpu osobných a špeciálnych motorových vozidiel, technických zariadení na zlepšenie manipulácie s klientmi s obmedzenou schopnosťou pohybu, materiálového vybavenia, na vytváranie bezbariérového prostredia a na rekonštrukcie a stavebné úpravy. Na podporu rekondičných aktivít (§ 6) boli poskytnuté výdavky v sume 61</w:t>
      </w:r>
      <w:r w:rsidR="00AC44CB">
        <w:rPr>
          <w:szCs w:val="22"/>
        </w:rPr>
        <w:t>8 6</w:t>
      </w:r>
      <w:r w:rsidRPr="00AE6EDB">
        <w:rPr>
          <w:szCs w:val="22"/>
        </w:rPr>
        <w:t>54</w:t>
      </w:r>
      <w:r w:rsidR="0054295F">
        <w:rPr>
          <w:szCs w:val="22"/>
        </w:rPr>
        <w:t> eur</w:t>
      </w:r>
      <w:r w:rsidRPr="00AE6EDB">
        <w:rPr>
          <w:szCs w:val="22"/>
        </w:rPr>
        <w:t xml:space="preserve"> </w:t>
      </w:r>
      <w:r w:rsidRPr="00AE6EDB">
        <w:t xml:space="preserve">(28 </w:t>
      </w:r>
      <w:r w:rsidRPr="00AE6EDB">
        <w:rPr>
          <w:szCs w:val="22"/>
        </w:rPr>
        <w:t>žiadostí), na podporu členstva v medzinárodnej organizácii v sociálnej oblasti (§ 7) v sume 4</w:t>
      </w:r>
      <w:r w:rsidR="0054295F">
        <w:rPr>
          <w:szCs w:val="22"/>
        </w:rPr>
        <w:t>0 9</w:t>
      </w:r>
      <w:r w:rsidRPr="00AE6EDB">
        <w:rPr>
          <w:szCs w:val="22"/>
        </w:rPr>
        <w:t>78</w:t>
      </w:r>
      <w:r w:rsidR="0054295F">
        <w:rPr>
          <w:szCs w:val="22"/>
        </w:rPr>
        <w:t> eur</w:t>
      </w:r>
      <w:r w:rsidRPr="00AE6EDB">
        <w:rPr>
          <w:szCs w:val="22"/>
        </w:rPr>
        <w:t xml:space="preserve"> (20 žiadostí) a na podporu edičnej činnosti (§ 8) v sume 14</w:t>
      </w:r>
      <w:r w:rsidR="0054295F">
        <w:rPr>
          <w:szCs w:val="22"/>
        </w:rPr>
        <w:t>2 2</w:t>
      </w:r>
      <w:r w:rsidRPr="00AE6EDB">
        <w:rPr>
          <w:szCs w:val="22"/>
        </w:rPr>
        <w:t>21</w:t>
      </w:r>
      <w:r w:rsidR="0054295F">
        <w:rPr>
          <w:szCs w:val="22"/>
        </w:rPr>
        <w:t> eur</w:t>
      </w:r>
      <w:r w:rsidRPr="00AE6EDB">
        <w:rPr>
          <w:szCs w:val="22"/>
        </w:rPr>
        <w:t xml:space="preserve"> (18 žiadostí), z toho </w:t>
      </w:r>
      <w:r w:rsidR="0054295F">
        <w:rPr>
          <w:szCs w:val="22"/>
        </w:rPr>
        <w:t>3 0</w:t>
      </w:r>
      <w:r w:rsidRPr="00AE6EDB">
        <w:rPr>
          <w:szCs w:val="22"/>
        </w:rPr>
        <w:t>00</w:t>
      </w:r>
      <w:r w:rsidR="0054295F">
        <w:rPr>
          <w:szCs w:val="22"/>
        </w:rPr>
        <w:t> eur</w:t>
      </w:r>
      <w:r w:rsidRPr="00AE6EDB">
        <w:rPr>
          <w:szCs w:val="22"/>
        </w:rPr>
        <w:t xml:space="preserve"> na protidrogovú politiku. V rámci dotácií na podporu rekondičných aktivít boli na dotácie</w:t>
      </w:r>
      <w:r w:rsidR="00865C19">
        <w:rPr>
          <w:szCs w:val="22"/>
        </w:rPr>
        <w:t xml:space="preserve">, </w:t>
      </w:r>
      <w:r w:rsidRPr="00AE6EDB">
        <w:rPr>
          <w:szCs w:val="22"/>
        </w:rPr>
        <w:t xml:space="preserve"> zamerané na predchádzanie sociálnemu vylúčeniu a na podporu obnovenia psychickej a fyzickej kondície fyzickej osoby, ktorá je poberateľom starobného, predčasného starobného alebo výsluhového dôchodku a nevykonáva činnosť, ktorá zakladá nárok na príjem zo závislej činnosti alebo z podnikania poskytnuté trom subjektom výdavky v sume 53</w:t>
      </w:r>
      <w:r w:rsidR="00AC44CB">
        <w:rPr>
          <w:szCs w:val="22"/>
        </w:rPr>
        <w:t>8 2</w:t>
      </w:r>
      <w:r w:rsidRPr="00AE6EDB">
        <w:rPr>
          <w:szCs w:val="22"/>
        </w:rPr>
        <w:t>50</w:t>
      </w:r>
      <w:r w:rsidR="0054295F">
        <w:rPr>
          <w:szCs w:val="22"/>
        </w:rPr>
        <w:t> eur</w:t>
      </w:r>
      <w:r w:rsidRPr="00AE6EDB">
        <w:rPr>
          <w:szCs w:val="22"/>
        </w:rPr>
        <w:t>; prostredníctvom nich bol poskytnutý príspevok na rekreácie 1</w:t>
      </w:r>
      <w:r w:rsidR="0054295F">
        <w:rPr>
          <w:szCs w:val="22"/>
        </w:rPr>
        <w:t>0 7</w:t>
      </w:r>
      <w:r w:rsidRPr="00AE6EDB">
        <w:rPr>
          <w:szCs w:val="22"/>
        </w:rPr>
        <w:t>65 žiadateľom. V súlade so zákonom č. 393/2012 Z. z., ktorým bol novelizovaný zákon</w:t>
      </w:r>
      <w:r w:rsidR="0053246C" w:rsidRPr="00AE6EDB">
        <w:rPr>
          <w:szCs w:val="22"/>
        </w:rPr>
        <w:t xml:space="preserve"> o dotáciách</w:t>
      </w:r>
      <w:r w:rsidRPr="00AE6EDB">
        <w:rPr>
          <w:szCs w:val="22"/>
        </w:rPr>
        <w:t>, ministerstvo poskytlo dotáciu na podporu humanitárnej pomoci právnickým osobám (§9 ods.3) v sume 1</w:t>
      </w:r>
      <w:r w:rsidR="0054295F">
        <w:rPr>
          <w:szCs w:val="22"/>
        </w:rPr>
        <w:t>4 3</w:t>
      </w:r>
      <w:r w:rsidRPr="00AE6EDB">
        <w:rPr>
          <w:szCs w:val="22"/>
        </w:rPr>
        <w:t>70</w:t>
      </w:r>
      <w:r w:rsidR="0054295F">
        <w:rPr>
          <w:szCs w:val="22"/>
        </w:rPr>
        <w:t> eur</w:t>
      </w:r>
      <w:r w:rsidRPr="00AE6EDB">
        <w:rPr>
          <w:szCs w:val="22"/>
        </w:rPr>
        <w:t xml:space="preserve"> (3 žiadosti). Z hľadiska právnej formy príjemcu dotácie boli rozpočtové prostriedky poskytnuté obciam a vyšším územným celkom pre zariadenia v ich zriaďovateľskej pôsobnosti v sume </w:t>
      </w:r>
      <w:r w:rsidR="005F3324" w:rsidRPr="00AE6EDB">
        <w:rPr>
          <w:szCs w:val="22"/>
        </w:rPr>
        <w:br/>
      </w:r>
      <w:r w:rsidRPr="00AE6EDB">
        <w:rPr>
          <w:szCs w:val="22"/>
        </w:rPr>
        <w:t>88</w:t>
      </w:r>
      <w:r w:rsidR="00AC44CB">
        <w:rPr>
          <w:szCs w:val="22"/>
        </w:rPr>
        <w:t>7 6</w:t>
      </w:r>
      <w:r w:rsidRPr="00AE6EDB">
        <w:rPr>
          <w:szCs w:val="22"/>
        </w:rPr>
        <w:t>56</w:t>
      </w:r>
      <w:r w:rsidR="0054295F">
        <w:rPr>
          <w:szCs w:val="22"/>
        </w:rPr>
        <w:t> eur</w:t>
      </w:r>
      <w:r w:rsidRPr="00AE6EDB">
        <w:rPr>
          <w:szCs w:val="22"/>
        </w:rPr>
        <w:t>, občianskym združeniam v sume 67</w:t>
      </w:r>
      <w:r w:rsidR="00AC44CB">
        <w:rPr>
          <w:szCs w:val="22"/>
        </w:rPr>
        <w:t>9 0</w:t>
      </w:r>
      <w:r w:rsidRPr="00AE6EDB">
        <w:rPr>
          <w:szCs w:val="22"/>
        </w:rPr>
        <w:t>05</w:t>
      </w:r>
      <w:r w:rsidR="0054295F">
        <w:rPr>
          <w:szCs w:val="22"/>
        </w:rPr>
        <w:t> eur</w:t>
      </w:r>
      <w:r w:rsidRPr="00AE6EDB">
        <w:rPr>
          <w:szCs w:val="22"/>
        </w:rPr>
        <w:t>, odborovej organizácii v sume 32</w:t>
      </w:r>
      <w:r w:rsidR="0054295F">
        <w:rPr>
          <w:szCs w:val="22"/>
        </w:rPr>
        <w:t>3 2</w:t>
      </w:r>
      <w:r w:rsidRPr="00AE6EDB">
        <w:rPr>
          <w:szCs w:val="22"/>
        </w:rPr>
        <w:t>50</w:t>
      </w:r>
      <w:r w:rsidR="0054295F">
        <w:rPr>
          <w:szCs w:val="22"/>
        </w:rPr>
        <w:t> eur</w:t>
      </w:r>
      <w:r w:rsidRPr="00AE6EDB">
        <w:rPr>
          <w:szCs w:val="22"/>
        </w:rPr>
        <w:t>, neziskovým organizáciám v sume 42</w:t>
      </w:r>
      <w:r w:rsidR="0054295F">
        <w:rPr>
          <w:szCs w:val="22"/>
        </w:rPr>
        <w:t>4 6</w:t>
      </w:r>
      <w:r w:rsidRPr="00AE6EDB">
        <w:rPr>
          <w:szCs w:val="22"/>
        </w:rPr>
        <w:t>68</w:t>
      </w:r>
      <w:r w:rsidR="0054295F">
        <w:rPr>
          <w:szCs w:val="22"/>
        </w:rPr>
        <w:t> eur</w:t>
      </w:r>
      <w:r w:rsidRPr="00AE6EDB">
        <w:rPr>
          <w:szCs w:val="22"/>
        </w:rPr>
        <w:t xml:space="preserve"> a cirkevným organizáciám v sume 6</w:t>
      </w:r>
      <w:r w:rsidR="0054295F">
        <w:rPr>
          <w:szCs w:val="22"/>
        </w:rPr>
        <w:t>3 3</w:t>
      </w:r>
      <w:r w:rsidRPr="00AE6EDB">
        <w:rPr>
          <w:szCs w:val="22"/>
        </w:rPr>
        <w:t>44</w:t>
      </w:r>
      <w:r w:rsidR="0054295F">
        <w:rPr>
          <w:szCs w:val="22"/>
        </w:rPr>
        <w:t> eur</w:t>
      </w:r>
      <w:r w:rsidRPr="00AE6EDB">
        <w:rPr>
          <w:szCs w:val="22"/>
        </w:rPr>
        <w:t xml:space="preserve">. </w:t>
      </w:r>
    </w:p>
    <w:p w:rsidR="000A7585" w:rsidRPr="00AE6EDB" w:rsidRDefault="000A7585" w:rsidP="000A7585">
      <w:pPr>
        <w:pStyle w:val="Zkladntext"/>
        <w:tabs>
          <w:tab w:val="left" w:pos="851"/>
        </w:tabs>
        <w:spacing w:after="0"/>
        <w:ind w:firstLine="431"/>
        <w:rPr>
          <w:szCs w:val="22"/>
          <w:highlight w:val="cyan"/>
        </w:rPr>
      </w:pPr>
      <w:r w:rsidRPr="00AE6EDB">
        <w:rPr>
          <w:szCs w:val="22"/>
        </w:rPr>
        <w:t xml:space="preserve">V súlade s § 9 ods. 1 zákona </w:t>
      </w:r>
      <w:r w:rsidR="0053246C" w:rsidRPr="00AE6EDB">
        <w:rPr>
          <w:szCs w:val="22"/>
        </w:rPr>
        <w:t xml:space="preserve">o dotáciách </w:t>
      </w:r>
      <w:r w:rsidRPr="00AE6EDB">
        <w:rPr>
          <w:szCs w:val="22"/>
        </w:rPr>
        <w:t>bola poskytnutá dotácia fyzickým osobám na podporu humanitárnej pomoci v sume 16</w:t>
      </w:r>
      <w:r w:rsidR="0054295F">
        <w:rPr>
          <w:szCs w:val="22"/>
        </w:rPr>
        <w:t>4 0</w:t>
      </w:r>
      <w:r w:rsidRPr="00AE6EDB">
        <w:rPr>
          <w:szCs w:val="22"/>
        </w:rPr>
        <w:t>39</w:t>
      </w:r>
      <w:r w:rsidR="0054295F">
        <w:rPr>
          <w:szCs w:val="22"/>
        </w:rPr>
        <w:t> eur</w:t>
      </w:r>
      <w:r w:rsidRPr="00AE6EDB">
        <w:rPr>
          <w:szCs w:val="22"/>
        </w:rPr>
        <w:t xml:space="preserve"> pre 455 fyzických osôb v krízovej životnej situácii alebo v</w:t>
      </w:r>
      <w:r w:rsidR="005F3324" w:rsidRPr="00AE6EDB">
        <w:rPr>
          <w:szCs w:val="22"/>
        </w:rPr>
        <w:t> </w:t>
      </w:r>
      <w:r w:rsidRPr="00AE6EDB">
        <w:rPr>
          <w:szCs w:val="22"/>
        </w:rPr>
        <w:t>mimoriadne nepriaznivej sociálnej situácii na podporu riešenia tejto situácie.</w:t>
      </w:r>
      <w:r w:rsidRPr="00AE6EDB">
        <w:rPr>
          <w:szCs w:val="22"/>
          <w:highlight w:val="cyan"/>
        </w:rPr>
        <w:t xml:space="preserve"> </w:t>
      </w:r>
    </w:p>
    <w:p w:rsidR="000A7585" w:rsidRPr="00AE6EDB" w:rsidRDefault="000A7585" w:rsidP="000A7585">
      <w:pPr>
        <w:pStyle w:val="Nadpis7"/>
      </w:pPr>
      <w:bookmarkStart w:id="697" w:name="_Toc294027510"/>
      <w:bookmarkStart w:id="698" w:name="_Toc294029749"/>
      <w:bookmarkStart w:id="699" w:name="_Toc313879240"/>
      <w:bookmarkStart w:id="700" w:name="_Toc356482747"/>
      <w:bookmarkEnd w:id="697"/>
      <w:bookmarkEnd w:id="698"/>
      <w:r w:rsidRPr="00AE6EDB">
        <w:rPr>
          <w:lang w:eastAsia="cs-CZ"/>
        </w:rPr>
        <w:t>Tabuľka 3.2</w:t>
      </w:r>
      <w:r w:rsidR="00D26D30" w:rsidRPr="00AE6EDB">
        <w:rPr>
          <w:lang w:eastAsia="cs-CZ"/>
        </w:rPr>
        <w:t>8</w:t>
      </w:r>
      <w:r w:rsidRPr="00AE6EDB">
        <w:rPr>
          <w:lang w:eastAsia="cs-CZ"/>
        </w:rPr>
        <w:t xml:space="preserve"> Poskytovanie dotácií v pôsobnosti MPSVR SR</w:t>
      </w:r>
      <w:bookmarkEnd w:id="699"/>
      <w:bookmarkEnd w:id="700"/>
    </w:p>
    <w:tbl>
      <w:tblPr>
        <w:tblW w:w="911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0" w:type="dxa"/>
          <w:right w:w="0" w:type="dxa"/>
        </w:tblCellMar>
        <w:tblLook w:val="0000" w:firstRow="0" w:lastRow="0" w:firstColumn="0" w:lastColumn="0" w:noHBand="0" w:noVBand="0"/>
      </w:tblPr>
      <w:tblGrid>
        <w:gridCol w:w="2271"/>
        <w:gridCol w:w="1273"/>
        <w:gridCol w:w="1052"/>
        <w:gridCol w:w="1119"/>
        <w:gridCol w:w="1261"/>
        <w:gridCol w:w="1068"/>
        <w:gridCol w:w="1082"/>
        <w:gridCol w:w="11"/>
      </w:tblGrid>
      <w:tr w:rsidR="000A7585" w:rsidRPr="00AE6EDB" w:rsidTr="00DE0EEC">
        <w:trPr>
          <w:trHeight w:val="433"/>
          <w:jc w:val="center"/>
        </w:trPr>
        <w:tc>
          <w:tcPr>
            <w:tcW w:w="2271" w:type="dxa"/>
            <w:vMerge w:val="restart"/>
            <w:shd w:val="clear" w:color="auto" w:fill="BF0000" w:themeFill="accent3" w:themeFillShade="BF"/>
            <w:noWrap/>
            <w:tcMar>
              <w:top w:w="0" w:type="dxa"/>
              <w:left w:w="70" w:type="dxa"/>
              <w:bottom w:w="0" w:type="dxa"/>
              <w:right w:w="70" w:type="dxa"/>
            </w:tcMar>
            <w:vAlign w:val="center"/>
          </w:tcPr>
          <w:p w:rsidR="000A7585" w:rsidRPr="00AE6EDB" w:rsidRDefault="000A7585" w:rsidP="00DE0EEC">
            <w:pPr>
              <w:jc w:val="center"/>
              <w:rPr>
                <w:rFonts w:ascii="Calibri" w:hAnsi="Calibri"/>
                <w:b/>
                <w:color w:val="FFFFFF"/>
                <w:szCs w:val="22"/>
              </w:rPr>
            </w:pPr>
            <w:bookmarkStart w:id="701" w:name="_Toc294027511"/>
            <w:bookmarkStart w:id="702" w:name="_Toc294029750"/>
            <w:bookmarkStart w:id="703" w:name="_Toc313879241"/>
            <w:bookmarkEnd w:id="701"/>
            <w:bookmarkEnd w:id="702"/>
            <w:bookmarkEnd w:id="703"/>
            <w:r w:rsidRPr="00AE6EDB">
              <w:rPr>
                <w:b/>
                <w:color w:val="FFFFFF"/>
                <w:szCs w:val="22"/>
              </w:rPr>
              <w:t>Účel poskytovania dotácií:</w:t>
            </w:r>
          </w:p>
        </w:tc>
        <w:tc>
          <w:tcPr>
            <w:tcW w:w="3420" w:type="dxa"/>
            <w:gridSpan w:val="3"/>
            <w:shd w:val="clear" w:color="auto" w:fill="BF0000" w:themeFill="accent3" w:themeFillShade="BF"/>
            <w:noWrap/>
            <w:tcMar>
              <w:top w:w="0" w:type="dxa"/>
              <w:left w:w="70" w:type="dxa"/>
              <w:bottom w:w="0" w:type="dxa"/>
              <w:right w:w="70" w:type="dxa"/>
            </w:tcMar>
            <w:vAlign w:val="center"/>
          </w:tcPr>
          <w:p w:rsidR="000A7585" w:rsidRPr="00AE6EDB" w:rsidRDefault="000A7585" w:rsidP="00DE0EEC">
            <w:pPr>
              <w:jc w:val="center"/>
              <w:rPr>
                <w:rFonts w:ascii="Calibri" w:hAnsi="Calibri"/>
                <w:b/>
                <w:color w:val="FFFFFF"/>
                <w:szCs w:val="22"/>
              </w:rPr>
            </w:pPr>
            <w:r w:rsidRPr="00AE6EDB">
              <w:rPr>
                <w:b/>
                <w:color w:val="FFFFFF"/>
                <w:szCs w:val="22"/>
              </w:rPr>
              <w:t>Podporené projekty</w:t>
            </w:r>
          </w:p>
        </w:tc>
        <w:tc>
          <w:tcPr>
            <w:tcW w:w="3411" w:type="dxa"/>
            <w:gridSpan w:val="3"/>
            <w:shd w:val="clear" w:color="auto" w:fill="BF0000" w:themeFill="accent3" w:themeFillShade="BF"/>
            <w:tcMar>
              <w:top w:w="0" w:type="dxa"/>
              <w:left w:w="70" w:type="dxa"/>
              <w:bottom w:w="0" w:type="dxa"/>
              <w:right w:w="70" w:type="dxa"/>
            </w:tcMar>
            <w:vAlign w:val="center"/>
          </w:tcPr>
          <w:p w:rsidR="000A7585" w:rsidRPr="00AE6EDB" w:rsidRDefault="000A7585" w:rsidP="00DE0EEC">
            <w:pPr>
              <w:jc w:val="center"/>
              <w:rPr>
                <w:rFonts w:ascii="Calibri" w:hAnsi="Calibri"/>
                <w:b/>
                <w:color w:val="FFFFFF"/>
                <w:szCs w:val="22"/>
              </w:rPr>
            </w:pPr>
            <w:r w:rsidRPr="00AE6EDB">
              <w:rPr>
                <w:b/>
                <w:color w:val="FFFFFF"/>
                <w:szCs w:val="22"/>
              </w:rPr>
              <w:t>Poskytnuté finančné prostriedky v €</w:t>
            </w:r>
          </w:p>
        </w:tc>
        <w:tc>
          <w:tcPr>
            <w:tcW w:w="11" w:type="dxa"/>
            <w:vAlign w:val="center"/>
          </w:tcPr>
          <w:p w:rsidR="000A7585" w:rsidRPr="00AE6EDB" w:rsidRDefault="000A7585" w:rsidP="00DE0EEC">
            <w:pPr>
              <w:rPr>
                <w:color w:val="000000"/>
              </w:rPr>
            </w:pPr>
          </w:p>
        </w:tc>
      </w:tr>
      <w:tr w:rsidR="000A7585" w:rsidRPr="00AE6EDB" w:rsidTr="001110A1">
        <w:trPr>
          <w:trHeight w:val="210"/>
          <w:jc w:val="center"/>
        </w:trPr>
        <w:tc>
          <w:tcPr>
            <w:tcW w:w="2271" w:type="dxa"/>
            <w:vMerge/>
            <w:shd w:val="clear" w:color="auto" w:fill="BF0000" w:themeFill="accent3" w:themeFillShade="BF"/>
            <w:vAlign w:val="center"/>
          </w:tcPr>
          <w:p w:rsidR="000A7585" w:rsidRPr="00AE6EDB" w:rsidRDefault="000A7585" w:rsidP="00DE0EEC">
            <w:pPr>
              <w:jc w:val="center"/>
              <w:rPr>
                <w:rFonts w:ascii="Calibri" w:hAnsi="Calibri"/>
                <w:b/>
                <w:color w:val="FFFFFF"/>
                <w:szCs w:val="22"/>
              </w:rPr>
            </w:pPr>
          </w:p>
        </w:tc>
        <w:tc>
          <w:tcPr>
            <w:tcW w:w="1257" w:type="dxa"/>
            <w:shd w:val="clear" w:color="auto" w:fill="BF0000" w:themeFill="accent3" w:themeFillShade="BF"/>
            <w:noWrap/>
            <w:vAlign w:val="bottom"/>
          </w:tcPr>
          <w:p w:rsidR="000A7585" w:rsidRPr="00AE6EDB" w:rsidRDefault="000A7585" w:rsidP="001110A1">
            <w:pPr>
              <w:jc w:val="center"/>
              <w:rPr>
                <w:rFonts w:ascii="Calibri" w:hAnsi="Calibri"/>
                <w:b/>
                <w:color w:val="FFFFFF"/>
                <w:szCs w:val="22"/>
              </w:rPr>
            </w:pPr>
            <w:r w:rsidRPr="00AE6EDB">
              <w:rPr>
                <w:b/>
                <w:color w:val="FFFFFF"/>
                <w:szCs w:val="22"/>
              </w:rPr>
              <w:t>rok 2014</w:t>
            </w:r>
          </w:p>
        </w:tc>
        <w:tc>
          <w:tcPr>
            <w:tcW w:w="1044" w:type="dxa"/>
            <w:shd w:val="clear" w:color="auto" w:fill="BF0000" w:themeFill="accent3" w:themeFillShade="BF"/>
            <w:noWrap/>
            <w:tcMar>
              <w:top w:w="0" w:type="dxa"/>
              <w:left w:w="70" w:type="dxa"/>
              <w:bottom w:w="0" w:type="dxa"/>
              <w:right w:w="70" w:type="dxa"/>
            </w:tcMar>
            <w:vAlign w:val="bottom"/>
          </w:tcPr>
          <w:p w:rsidR="000A7585" w:rsidRPr="00AE6EDB" w:rsidRDefault="000A7585" w:rsidP="001110A1">
            <w:pPr>
              <w:jc w:val="center"/>
              <w:rPr>
                <w:rFonts w:ascii="Calibri" w:hAnsi="Calibri"/>
                <w:b/>
                <w:color w:val="FFFFFF"/>
                <w:szCs w:val="22"/>
              </w:rPr>
            </w:pPr>
            <w:r w:rsidRPr="00AE6EDB">
              <w:rPr>
                <w:b/>
                <w:color w:val="FFFFFF"/>
                <w:szCs w:val="22"/>
              </w:rPr>
              <w:t>rok 2015</w:t>
            </w:r>
          </w:p>
        </w:tc>
        <w:tc>
          <w:tcPr>
            <w:tcW w:w="1119" w:type="dxa"/>
            <w:shd w:val="clear" w:color="auto" w:fill="BF0000" w:themeFill="accent3" w:themeFillShade="BF"/>
            <w:noWrap/>
            <w:tcMar>
              <w:top w:w="0" w:type="dxa"/>
              <w:left w:w="70" w:type="dxa"/>
              <w:bottom w:w="0" w:type="dxa"/>
              <w:right w:w="70" w:type="dxa"/>
            </w:tcMar>
            <w:vAlign w:val="bottom"/>
          </w:tcPr>
          <w:p w:rsidR="000A7585" w:rsidRPr="00AE6EDB" w:rsidRDefault="000A7585" w:rsidP="001110A1">
            <w:pPr>
              <w:jc w:val="center"/>
              <w:rPr>
                <w:rFonts w:ascii="Calibri" w:hAnsi="Calibri"/>
                <w:b/>
                <w:color w:val="FFFFFF"/>
                <w:szCs w:val="22"/>
              </w:rPr>
            </w:pPr>
            <w:r w:rsidRPr="00AE6EDB">
              <w:rPr>
                <w:b/>
                <w:color w:val="FFFFFF"/>
                <w:szCs w:val="22"/>
              </w:rPr>
              <w:t>Index 2015/2014</w:t>
            </w:r>
          </w:p>
        </w:tc>
        <w:tc>
          <w:tcPr>
            <w:tcW w:w="1261" w:type="dxa"/>
            <w:shd w:val="clear" w:color="auto" w:fill="BF0000" w:themeFill="accent3" w:themeFillShade="BF"/>
            <w:noWrap/>
            <w:tcMar>
              <w:top w:w="0" w:type="dxa"/>
              <w:left w:w="70" w:type="dxa"/>
              <w:bottom w:w="0" w:type="dxa"/>
              <w:right w:w="70" w:type="dxa"/>
            </w:tcMar>
            <w:vAlign w:val="bottom"/>
          </w:tcPr>
          <w:p w:rsidR="000A7585" w:rsidRPr="00AE6EDB" w:rsidRDefault="000A7585" w:rsidP="001110A1">
            <w:pPr>
              <w:jc w:val="center"/>
              <w:rPr>
                <w:rFonts w:ascii="Calibri" w:hAnsi="Calibri"/>
                <w:b/>
                <w:color w:val="FFFFFF"/>
                <w:szCs w:val="22"/>
              </w:rPr>
            </w:pPr>
            <w:r w:rsidRPr="00AE6EDB">
              <w:rPr>
                <w:b/>
                <w:color w:val="FFFFFF"/>
                <w:szCs w:val="22"/>
              </w:rPr>
              <w:t>rok 2014</w:t>
            </w:r>
          </w:p>
        </w:tc>
        <w:tc>
          <w:tcPr>
            <w:tcW w:w="1068" w:type="dxa"/>
            <w:shd w:val="clear" w:color="auto" w:fill="BF0000" w:themeFill="accent3" w:themeFillShade="BF"/>
            <w:noWrap/>
            <w:tcMar>
              <w:top w:w="0" w:type="dxa"/>
              <w:left w:w="70" w:type="dxa"/>
              <w:bottom w:w="0" w:type="dxa"/>
              <w:right w:w="70" w:type="dxa"/>
            </w:tcMar>
            <w:vAlign w:val="bottom"/>
          </w:tcPr>
          <w:p w:rsidR="000A7585" w:rsidRPr="00AE6EDB" w:rsidRDefault="000A7585" w:rsidP="001110A1">
            <w:pPr>
              <w:jc w:val="center"/>
              <w:rPr>
                <w:rFonts w:ascii="Calibri" w:hAnsi="Calibri"/>
                <w:b/>
                <w:color w:val="FFFFFF"/>
                <w:szCs w:val="22"/>
              </w:rPr>
            </w:pPr>
            <w:r w:rsidRPr="00AE6EDB">
              <w:rPr>
                <w:b/>
                <w:color w:val="FFFFFF"/>
                <w:szCs w:val="22"/>
              </w:rPr>
              <w:t>rok 2015</w:t>
            </w:r>
          </w:p>
        </w:tc>
        <w:tc>
          <w:tcPr>
            <w:tcW w:w="1082" w:type="dxa"/>
            <w:shd w:val="clear" w:color="auto" w:fill="BF0000" w:themeFill="accent3" w:themeFillShade="BF"/>
            <w:noWrap/>
            <w:tcMar>
              <w:top w:w="0" w:type="dxa"/>
              <w:left w:w="70" w:type="dxa"/>
              <w:bottom w:w="0" w:type="dxa"/>
              <w:right w:w="70" w:type="dxa"/>
            </w:tcMar>
            <w:vAlign w:val="bottom"/>
          </w:tcPr>
          <w:p w:rsidR="000A7585" w:rsidRPr="00AE6EDB" w:rsidRDefault="000A7585" w:rsidP="001110A1">
            <w:pPr>
              <w:jc w:val="center"/>
              <w:rPr>
                <w:b/>
                <w:color w:val="FFFFFF"/>
                <w:szCs w:val="22"/>
              </w:rPr>
            </w:pPr>
            <w:r w:rsidRPr="00AE6EDB">
              <w:rPr>
                <w:b/>
                <w:color w:val="FFFFFF"/>
                <w:szCs w:val="22"/>
              </w:rPr>
              <w:t>Index 2015/2014</w:t>
            </w:r>
          </w:p>
        </w:tc>
        <w:tc>
          <w:tcPr>
            <w:tcW w:w="11" w:type="dxa"/>
            <w:vAlign w:val="center"/>
          </w:tcPr>
          <w:p w:rsidR="000A7585" w:rsidRPr="00AE6EDB" w:rsidRDefault="000A7585" w:rsidP="00DE0EEC">
            <w:pPr>
              <w:rPr>
                <w:color w:val="000000"/>
              </w:rPr>
            </w:pPr>
          </w:p>
        </w:tc>
      </w:tr>
      <w:tr w:rsidR="000A7585" w:rsidRPr="00AE6EDB" w:rsidTr="00DE0EEC">
        <w:trPr>
          <w:trHeight w:val="234"/>
          <w:jc w:val="center"/>
        </w:trPr>
        <w:tc>
          <w:tcPr>
            <w:tcW w:w="2271" w:type="dxa"/>
            <w:vAlign w:val="center"/>
          </w:tcPr>
          <w:p w:rsidR="000A7585" w:rsidRPr="00AE6EDB" w:rsidRDefault="000A7585" w:rsidP="00DE0EEC">
            <w:pPr>
              <w:rPr>
                <w:rFonts w:ascii="Calibri" w:hAnsi="Calibri"/>
                <w:color w:val="000000"/>
                <w:sz w:val="20"/>
                <w:szCs w:val="20"/>
                <w:lang w:eastAsia="en-US"/>
              </w:rPr>
            </w:pPr>
            <w:r w:rsidRPr="00AE6EDB">
              <w:rPr>
                <w:color w:val="000000"/>
              </w:rPr>
              <w:t>–</w:t>
            </w:r>
            <w:r w:rsidRPr="00AE6EDB">
              <w:rPr>
                <w:color w:val="000000"/>
                <w:sz w:val="20"/>
                <w:szCs w:val="20"/>
                <w:lang w:eastAsia="en-US"/>
              </w:rPr>
              <w:t xml:space="preserve"> na podporu rozvoja sociálnych služieb a na podporu vykonávania opatrení sociálnoprávnej ochrany detí a sociálnej kurately</w:t>
            </w:r>
          </w:p>
        </w:tc>
        <w:tc>
          <w:tcPr>
            <w:tcW w:w="1257" w:type="dxa"/>
            <w:vAlign w:val="center"/>
          </w:tcPr>
          <w:p w:rsidR="000A7585" w:rsidRPr="00AE6EDB" w:rsidRDefault="000A7585" w:rsidP="00DE0EEC">
            <w:pPr>
              <w:jc w:val="right"/>
              <w:rPr>
                <w:rFonts w:ascii="Calibri" w:hAnsi="Calibri"/>
                <w:lang w:eastAsia="en-US"/>
              </w:rPr>
            </w:pPr>
            <w:r w:rsidRPr="00AE6EDB">
              <w:rPr>
                <w:lang w:eastAsia="en-US"/>
              </w:rPr>
              <w:t>166</w:t>
            </w:r>
          </w:p>
        </w:tc>
        <w:tc>
          <w:tcPr>
            <w:tcW w:w="1044" w:type="dxa"/>
            <w:vAlign w:val="center"/>
          </w:tcPr>
          <w:p w:rsidR="000A7585" w:rsidRPr="00AE6EDB" w:rsidRDefault="000A7585" w:rsidP="00DE0EEC">
            <w:pPr>
              <w:jc w:val="right"/>
              <w:rPr>
                <w:lang w:eastAsia="en-US"/>
              </w:rPr>
            </w:pPr>
            <w:r w:rsidRPr="00AE6EDB">
              <w:rPr>
                <w:lang w:eastAsia="en-US"/>
              </w:rPr>
              <w:t>210</w:t>
            </w:r>
          </w:p>
        </w:tc>
        <w:tc>
          <w:tcPr>
            <w:tcW w:w="1119" w:type="dxa"/>
            <w:noWrap/>
            <w:tcMar>
              <w:top w:w="0" w:type="dxa"/>
              <w:left w:w="70" w:type="dxa"/>
              <w:bottom w:w="0" w:type="dxa"/>
              <w:right w:w="70" w:type="dxa"/>
            </w:tcMar>
            <w:vAlign w:val="center"/>
          </w:tcPr>
          <w:p w:rsidR="000A7585" w:rsidRPr="00AE6EDB" w:rsidRDefault="000A7585" w:rsidP="00DE0EEC">
            <w:pPr>
              <w:jc w:val="right"/>
              <w:rPr>
                <w:rFonts w:ascii="Calibri" w:hAnsi="Calibri"/>
                <w:lang w:eastAsia="en-US"/>
              </w:rPr>
            </w:pPr>
            <w:r w:rsidRPr="00AE6EDB">
              <w:rPr>
                <w:lang w:eastAsia="en-US"/>
              </w:rPr>
              <w:t>126,5</w:t>
            </w:r>
          </w:p>
        </w:tc>
        <w:tc>
          <w:tcPr>
            <w:tcW w:w="1261" w:type="dxa"/>
            <w:tcMar>
              <w:top w:w="0" w:type="dxa"/>
              <w:left w:w="70" w:type="dxa"/>
              <w:bottom w:w="0" w:type="dxa"/>
              <w:right w:w="70" w:type="dxa"/>
            </w:tcMar>
            <w:vAlign w:val="center"/>
          </w:tcPr>
          <w:p w:rsidR="000A7585" w:rsidRPr="00AE6EDB" w:rsidRDefault="0054295F" w:rsidP="00DE0EEC">
            <w:pPr>
              <w:jc w:val="right"/>
              <w:rPr>
                <w:rFonts w:ascii="Calibri" w:hAnsi="Calibri"/>
                <w:lang w:eastAsia="en-US"/>
              </w:rPr>
            </w:pPr>
            <w:r>
              <w:rPr>
                <w:lang w:eastAsia="en-US"/>
              </w:rPr>
              <w:t>1 4</w:t>
            </w:r>
            <w:r w:rsidR="000A7585" w:rsidRPr="00AE6EDB">
              <w:rPr>
                <w:lang w:eastAsia="en-US"/>
              </w:rPr>
              <w:t>7</w:t>
            </w:r>
            <w:r w:rsidR="00AC44CB">
              <w:rPr>
                <w:lang w:eastAsia="en-US"/>
              </w:rPr>
              <w:t>6 0</w:t>
            </w:r>
            <w:r w:rsidR="000A7585" w:rsidRPr="00AE6EDB">
              <w:rPr>
                <w:lang w:eastAsia="en-US"/>
              </w:rPr>
              <w:t>17</w:t>
            </w:r>
          </w:p>
        </w:tc>
        <w:tc>
          <w:tcPr>
            <w:tcW w:w="1068" w:type="dxa"/>
            <w:tcMar>
              <w:top w:w="0" w:type="dxa"/>
              <w:left w:w="70" w:type="dxa"/>
              <w:bottom w:w="0" w:type="dxa"/>
              <w:right w:w="70" w:type="dxa"/>
            </w:tcMar>
            <w:vAlign w:val="center"/>
          </w:tcPr>
          <w:p w:rsidR="000A7585" w:rsidRPr="00AE6EDB" w:rsidRDefault="0054295F" w:rsidP="00DE0EEC">
            <w:pPr>
              <w:jc w:val="right"/>
              <w:rPr>
                <w:lang w:eastAsia="en-US"/>
              </w:rPr>
            </w:pPr>
            <w:r>
              <w:rPr>
                <w:lang w:eastAsia="en-US"/>
              </w:rPr>
              <w:t>1 5</w:t>
            </w:r>
            <w:r w:rsidR="000A7585" w:rsidRPr="00AE6EDB">
              <w:rPr>
                <w:lang w:eastAsia="en-US"/>
              </w:rPr>
              <w:t>6</w:t>
            </w:r>
            <w:r>
              <w:rPr>
                <w:lang w:eastAsia="en-US"/>
              </w:rPr>
              <w:t>1 7</w:t>
            </w:r>
            <w:r w:rsidR="000A7585" w:rsidRPr="00AE6EDB">
              <w:rPr>
                <w:lang w:eastAsia="en-US"/>
              </w:rPr>
              <w:t>00</w:t>
            </w:r>
          </w:p>
        </w:tc>
        <w:tc>
          <w:tcPr>
            <w:tcW w:w="1082"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105,8</w:t>
            </w:r>
          </w:p>
        </w:tc>
        <w:tc>
          <w:tcPr>
            <w:tcW w:w="11" w:type="dxa"/>
            <w:vAlign w:val="center"/>
          </w:tcPr>
          <w:p w:rsidR="000A7585" w:rsidRPr="00AE6EDB" w:rsidRDefault="000A7585" w:rsidP="00DE0EEC">
            <w:pPr>
              <w:rPr>
                <w:color w:val="000000"/>
              </w:rPr>
            </w:pPr>
          </w:p>
        </w:tc>
      </w:tr>
      <w:tr w:rsidR="000A7585" w:rsidRPr="00AE6EDB" w:rsidTr="00DE0EEC">
        <w:trPr>
          <w:trHeight w:val="234"/>
          <w:jc w:val="center"/>
        </w:trPr>
        <w:tc>
          <w:tcPr>
            <w:tcW w:w="2271" w:type="dxa"/>
            <w:vAlign w:val="center"/>
          </w:tcPr>
          <w:p w:rsidR="000A7585" w:rsidRPr="00AE6EDB" w:rsidRDefault="000A7585" w:rsidP="00DE0EEC">
            <w:pPr>
              <w:rPr>
                <w:color w:val="000000"/>
                <w:sz w:val="20"/>
                <w:szCs w:val="20"/>
                <w:lang w:eastAsia="en-US"/>
              </w:rPr>
            </w:pPr>
            <w:r w:rsidRPr="00AE6EDB">
              <w:rPr>
                <w:color w:val="000000"/>
              </w:rPr>
              <w:t>–</w:t>
            </w:r>
            <w:r w:rsidRPr="00AE6EDB">
              <w:rPr>
                <w:color w:val="000000"/>
                <w:sz w:val="20"/>
                <w:szCs w:val="20"/>
                <w:lang w:eastAsia="en-US"/>
              </w:rPr>
              <w:t xml:space="preserve"> na podporu rekondičných aktivít, členstva v medzi</w:t>
            </w:r>
            <w:r w:rsidRPr="00AE6EDB">
              <w:rPr>
                <w:color w:val="000000"/>
                <w:sz w:val="20"/>
                <w:szCs w:val="20"/>
                <w:lang w:eastAsia="en-US"/>
              </w:rPr>
              <w:softHyphen/>
              <w:t>národných organizáciách, podporu edičnej činnosti a humanitárnej pomoci právnickým osobám</w:t>
            </w:r>
          </w:p>
        </w:tc>
        <w:tc>
          <w:tcPr>
            <w:tcW w:w="1257" w:type="dxa"/>
            <w:noWrap/>
            <w:vAlign w:val="center"/>
          </w:tcPr>
          <w:p w:rsidR="000A7585" w:rsidRPr="00AE6EDB" w:rsidRDefault="000A7585" w:rsidP="00DE0EEC">
            <w:pPr>
              <w:jc w:val="right"/>
              <w:rPr>
                <w:lang w:eastAsia="en-US"/>
              </w:rPr>
            </w:pPr>
            <w:r w:rsidRPr="00AE6EDB">
              <w:rPr>
                <w:lang w:eastAsia="en-US"/>
              </w:rPr>
              <w:t>70</w:t>
            </w:r>
          </w:p>
        </w:tc>
        <w:tc>
          <w:tcPr>
            <w:tcW w:w="1044" w:type="dxa"/>
            <w:noWrap/>
            <w:vAlign w:val="center"/>
          </w:tcPr>
          <w:p w:rsidR="000A7585" w:rsidRPr="00AE6EDB" w:rsidRDefault="000A7585" w:rsidP="00DE0EEC">
            <w:pPr>
              <w:jc w:val="right"/>
              <w:rPr>
                <w:lang w:eastAsia="en-US"/>
              </w:rPr>
            </w:pPr>
            <w:r w:rsidRPr="00AE6EDB">
              <w:rPr>
                <w:lang w:eastAsia="en-US"/>
              </w:rPr>
              <w:t>69</w:t>
            </w:r>
          </w:p>
        </w:tc>
        <w:tc>
          <w:tcPr>
            <w:tcW w:w="1119"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98,6</w:t>
            </w:r>
          </w:p>
        </w:tc>
        <w:tc>
          <w:tcPr>
            <w:tcW w:w="1261"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73</w:t>
            </w:r>
            <w:r w:rsidR="0054295F">
              <w:rPr>
                <w:lang w:eastAsia="en-US"/>
              </w:rPr>
              <w:t>2 9</w:t>
            </w:r>
            <w:r w:rsidRPr="00AE6EDB">
              <w:rPr>
                <w:lang w:eastAsia="en-US"/>
              </w:rPr>
              <w:t>35</w:t>
            </w:r>
          </w:p>
        </w:tc>
        <w:tc>
          <w:tcPr>
            <w:tcW w:w="1068"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81</w:t>
            </w:r>
            <w:r w:rsidR="00AC44CB">
              <w:rPr>
                <w:lang w:eastAsia="en-US"/>
              </w:rPr>
              <w:t>6 2</w:t>
            </w:r>
            <w:r w:rsidRPr="00AE6EDB">
              <w:rPr>
                <w:lang w:eastAsia="en-US"/>
              </w:rPr>
              <w:t>23</w:t>
            </w:r>
          </w:p>
        </w:tc>
        <w:tc>
          <w:tcPr>
            <w:tcW w:w="1082"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111,4</w:t>
            </w:r>
          </w:p>
        </w:tc>
        <w:tc>
          <w:tcPr>
            <w:tcW w:w="11" w:type="dxa"/>
            <w:vAlign w:val="center"/>
          </w:tcPr>
          <w:p w:rsidR="000A7585" w:rsidRPr="00AE6EDB" w:rsidRDefault="000A7585" w:rsidP="00DE0EEC">
            <w:pPr>
              <w:rPr>
                <w:color w:val="000000"/>
              </w:rPr>
            </w:pPr>
          </w:p>
        </w:tc>
      </w:tr>
      <w:tr w:rsidR="000A7585" w:rsidRPr="00AE6EDB" w:rsidTr="00DE0EEC">
        <w:trPr>
          <w:trHeight w:val="234"/>
          <w:jc w:val="center"/>
        </w:trPr>
        <w:tc>
          <w:tcPr>
            <w:tcW w:w="2271" w:type="dxa"/>
            <w:vAlign w:val="center"/>
          </w:tcPr>
          <w:p w:rsidR="000A7585" w:rsidRPr="00AE6EDB" w:rsidRDefault="000A7585" w:rsidP="00DE0EEC">
            <w:pPr>
              <w:rPr>
                <w:rFonts w:ascii="Calibri" w:hAnsi="Calibri"/>
                <w:color w:val="000000"/>
                <w:sz w:val="20"/>
                <w:szCs w:val="20"/>
                <w:lang w:eastAsia="en-US"/>
              </w:rPr>
            </w:pPr>
            <w:r w:rsidRPr="00AE6EDB">
              <w:rPr>
                <w:color w:val="000000"/>
              </w:rPr>
              <w:t>–</w:t>
            </w:r>
            <w:r w:rsidRPr="00AE6EDB">
              <w:rPr>
                <w:color w:val="000000"/>
                <w:sz w:val="20"/>
                <w:szCs w:val="20"/>
                <w:lang w:eastAsia="en-US"/>
              </w:rPr>
              <w:t xml:space="preserve"> na podporu humanitárnej pomoci (fyzické osoby)</w:t>
            </w:r>
          </w:p>
        </w:tc>
        <w:tc>
          <w:tcPr>
            <w:tcW w:w="1257" w:type="dxa"/>
            <w:noWrap/>
            <w:vAlign w:val="center"/>
          </w:tcPr>
          <w:p w:rsidR="000A7585" w:rsidRPr="00AE6EDB" w:rsidRDefault="000A7585" w:rsidP="00DE0EEC">
            <w:pPr>
              <w:jc w:val="right"/>
              <w:rPr>
                <w:lang w:eastAsia="en-US"/>
              </w:rPr>
            </w:pPr>
            <w:r w:rsidRPr="00AE6EDB">
              <w:rPr>
                <w:lang w:eastAsia="en-US"/>
              </w:rPr>
              <w:t>459</w:t>
            </w:r>
          </w:p>
        </w:tc>
        <w:tc>
          <w:tcPr>
            <w:tcW w:w="1044" w:type="dxa"/>
            <w:noWrap/>
            <w:vAlign w:val="center"/>
          </w:tcPr>
          <w:p w:rsidR="000A7585" w:rsidRPr="00AE6EDB" w:rsidRDefault="000A7585" w:rsidP="00DE0EEC">
            <w:pPr>
              <w:jc w:val="right"/>
              <w:rPr>
                <w:lang w:eastAsia="en-US"/>
              </w:rPr>
            </w:pPr>
            <w:r w:rsidRPr="00AE6EDB">
              <w:rPr>
                <w:lang w:eastAsia="en-US"/>
              </w:rPr>
              <w:t>455</w:t>
            </w:r>
          </w:p>
        </w:tc>
        <w:tc>
          <w:tcPr>
            <w:tcW w:w="1119"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99,1</w:t>
            </w:r>
          </w:p>
        </w:tc>
        <w:tc>
          <w:tcPr>
            <w:tcW w:w="1261"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15</w:t>
            </w:r>
            <w:r w:rsidR="00AC44CB">
              <w:rPr>
                <w:lang w:eastAsia="en-US"/>
              </w:rPr>
              <w:t>9 7</w:t>
            </w:r>
            <w:r w:rsidRPr="00AE6EDB">
              <w:rPr>
                <w:lang w:eastAsia="en-US"/>
              </w:rPr>
              <w:t>60</w:t>
            </w:r>
          </w:p>
        </w:tc>
        <w:tc>
          <w:tcPr>
            <w:tcW w:w="1068"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16</w:t>
            </w:r>
            <w:r w:rsidR="0054295F">
              <w:rPr>
                <w:lang w:eastAsia="en-US"/>
              </w:rPr>
              <w:t>4 0</w:t>
            </w:r>
            <w:r w:rsidRPr="00AE6EDB">
              <w:rPr>
                <w:lang w:eastAsia="en-US"/>
              </w:rPr>
              <w:t>39</w:t>
            </w:r>
          </w:p>
        </w:tc>
        <w:tc>
          <w:tcPr>
            <w:tcW w:w="1082" w:type="dxa"/>
            <w:noWrap/>
            <w:tcMar>
              <w:top w:w="0" w:type="dxa"/>
              <w:left w:w="70" w:type="dxa"/>
              <w:bottom w:w="0" w:type="dxa"/>
              <w:right w:w="70" w:type="dxa"/>
            </w:tcMar>
            <w:vAlign w:val="center"/>
          </w:tcPr>
          <w:p w:rsidR="000A7585" w:rsidRPr="00AE6EDB" w:rsidRDefault="000A7585" w:rsidP="00DE0EEC">
            <w:pPr>
              <w:jc w:val="right"/>
              <w:rPr>
                <w:lang w:eastAsia="en-US"/>
              </w:rPr>
            </w:pPr>
            <w:r w:rsidRPr="00AE6EDB">
              <w:rPr>
                <w:lang w:eastAsia="en-US"/>
              </w:rPr>
              <w:t>102,7</w:t>
            </w:r>
          </w:p>
        </w:tc>
        <w:tc>
          <w:tcPr>
            <w:tcW w:w="11" w:type="dxa"/>
            <w:vAlign w:val="center"/>
          </w:tcPr>
          <w:p w:rsidR="000A7585" w:rsidRPr="00AE6EDB" w:rsidRDefault="000A7585" w:rsidP="00DE0EEC">
            <w:pPr>
              <w:rPr>
                <w:color w:val="000000"/>
              </w:rPr>
            </w:pPr>
          </w:p>
        </w:tc>
      </w:tr>
    </w:tbl>
    <w:p w:rsidR="000A7585" w:rsidRPr="00AE6EDB" w:rsidRDefault="000A7585" w:rsidP="000A7585">
      <w:pPr>
        <w:pStyle w:val="zdroj"/>
      </w:pPr>
      <w:r w:rsidRPr="00AE6EDB">
        <w:t>Zdroj: Návrh záverečného účtu za rok 2015</w:t>
      </w:r>
    </w:p>
    <w:p w:rsidR="000A7585" w:rsidRPr="00AE6EDB" w:rsidRDefault="000A7585" w:rsidP="000A7585">
      <w:pPr>
        <w:jc w:val="left"/>
        <w:rPr>
          <w:rFonts w:ascii="Times New Roman Bold" w:hAnsi="Times New Roman Bold"/>
          <w:b/>
          <w:color w:val="D83E2C" w:themeColor="accent2"/>
          <w:sz w:val="24"/>
          <w:szCs w:val="20"/>
          <w:highlight w:val="cyan"/>
          <w:lang w:eastAsia="cs-CZ"/>
        </w:rPr>
      </w:pPr>
      <w:bookmarkStart w:id="704" w:name="_Toc356482748"/>
      <w:bookmarkStart w:id="705" w:name="_Toc422233440"/>
      <w:bookmarkEnd w:id="695"/>
      <w:r w:rsidRPr="00AE6EDB">
        <w:rPr>
          <w:highlight w:val="cyan"/>
        </w:rPr>
        <w:br w:type="page"/>
      </w:r>
    </w:p>
    <w:p w:rsidR="000A7585" w:rsidRPr="00AE6EDB" w:rsidRDefault="000A7585" w:rsidP="00BD5893">
      <w:pPr>
        <w:pStyle w:val="Nadpis6"/>
        <w:spacing w:before="120"/>
      </w:pPr>
      <w:bookmarkStart w:id="706" w:name="_Toc452469897"/>
      <w:r w:rsidRPr="00AE6EDB">
        <w:t>Európsky integrovaný systém štatistiky sociálnej ochrany (Metodika ESSPROS)</w:t>
      </w:r>
      <w:bookmarkEnd w:id="704"/>
      <w:bookmarkEnd w:id="705"/>
      <w:bookmarkEnd w:id="706"/>
    </w:p>
    <w:p w:rsidR="000A7585" w:rsidRPr="00AE6EDB" w:rsidRDefault="000A7585" w:rsidP="000A7585">
      <w:pPr>
        <w:ind w:firstLine="431"/>
        <w:rPr>
          <w:color w:val="000000" w:themeColor="text1"/>
          <w:szCs w:val="22"/>
        </w:rPr>
      </w:pPr>
      <w:r w:rsidRPr="00AE6EDB">
        <w:rPr>
          <w:color w:val="000000" w:themeColor="text1"/>
          <w:szCs w:val="22"/>
        </w:rPr>
        <w:t>V zmysle platnej Lisabonskej zmluvy sú členské štáty EÚ a Európska únia ako celok povinné pri</w:t>
      </w:r>
      <w:r w:rsidR="001110A1">
        <w:rPr>
          <w:color w:val="000000" w:themeColor="text1"/>
          <w:szCs w:val="22"/>
        </w:rPr>
        <w:t> </w:t>
      </w:r>
      <w:r w:rsidRPr="00AE6EDB">
        <w:rPr>
          <w:color w:val="000000" w:themeColor="text1"/>
          <w:szCs w:val="22"/>
        </w:rPr>
        <w:t xml:space="preserve">definovaní a implementovaní svojich politík klásť dôraz na plnú zamestnanosť, sociálnu ochranu pre všetkých občanov a boj proti sociálnej </w:t>
      </w:r>
      <w:proofErr w:type="spellStart"/>
      <w:r w:rsidRPr="00AE6EDB">
        <w:rPr>
          <w:color w:val="000000" w:themeColor="text1"/>
          <w:szCs w:val="22"/>
        </w:rPr>
        <w:t>exklúzii</w:t>
      </w:r>
      <w:proofErr w:type="spellEnd"/>
      <w:r w:rsidRPr="00AE6EDB">
        <w:rPr>
          <w:color w:val="000000" w:themeColor="text1"/>
          <w:szCs w:val="22"/>
        </w:rPr>
        <w:t>.</w:t>
      </w:r>
    </w:p>
    <w:p w:rsidR="000A7585" w:rsidRPr="00AE6EDB" w:rsidRDefault="000A7585" w:rsidP="000A7585">
      <w:pPr>
        <w:ind w:firstLine="431"/>
        <w:rPr>
          <w:bCs/>
          <w:highlight w:val="cyan"/>
        </w:rPr>
      </w:pPr>
      <w:r w:rsidRPr="00AE6EDB">
        <w:t xml:space="preserve">Z dôvodu monitorovania vývoja sociálnej ochrany v členských štátoch EÚ vyžaduje Európska komisia (EK) prístup k aktuálnym a podrobným údajom a informáciám o systémoch, súčasnom stave a rozvoji sociálnej ochrany v členských štátoch. Jedným zo základných nástrojov štatistického sledovania sociálnej ochrany je </w:t>
      </w:r>
      <w:r w:rsidRPr="00AE6EDB">
        <w:rPr>
          <w:b/>
        </w:rPr>
        <w:t>Európsky systém jednotných štatistík sociálnej ochrany (Metodika ESSPROS</w:t>
      </w:r>
      <w:r w:rsidRPr="00AE6EDB">
        <w:rPr>
          <w:rStyle w:val="Odkaznapoznmkupodiarou"/>
          <w:b/>
          <w:color w:val="333300"/>
        </w:rPr>
        <w:footnoteReference w:id="55"/>
      </w:r>
      <w:r w:rsidRPr="00AE6EDB">
        <w:rPr>
          <w:b/>
        </w:rPr>
        <w:t xml:space="preserve">). </w:t>
      </w:r>
      <w:r w:rsidRPr="00AE6EDB">
        <w:t xml:space="preserve">Počnúc rokom 2008 (referenčný rok 2006) poskytujú členské štáty EÚ údaje na základe </w:t>
      </w:r>
      <w:r w:rsidRPr="00AE6EDB">
        <w:rPr>
          <w:bCs/>
        </w:rPr>
        <w:t xml:space="preserve">Nariadenia </w:t>
      </w:r>
      <w:r w:rsidRPr="00AE6EDB">
        <w:t xml:space="preserve">Európskeho parlamentu a Rady (ES) </w:t>
      </w:r>
      <w:r w:rsidRPr="00AE6EDB">
        <w:rPr>
          <w:bCs/>
        </w:rPr>
        <w:t>č. 458/2007</w:t>
      </w:r>
      <w:r w:rsidRPr="00AE6EDB">
        <w:rPr>
          <w:rStyle w:val="Odkaznapoznmkupodiarou"/>
          <w:bCs/>
          <w:color w:val="333300"/>
        </w:rPr>
        <w:footnoteReference w:id="56"/>
      </w:r>
      <w:r w:rsidRPr="00AE6EDB">
        <w:rPr>
          <w:bCs/>
        </w:rPr>
        <w:t xml:space="preserve"> </w:t>
      </w:r>
      <w:r w:rsidRPr="00AE6EDB">
        <w:t>o</w:t>
      </w:r>
      <w:r w:rsidR="0054295F">
        <w:t> eur</w:t>
      </w:r>
      <w:r w:rsidRPr="00AE6EDB">
        <w:t>ópskom systéme integrovanej štatistiky sociálnej ochrany (ESSPROS)</w:t>
      </w:r>
      <w:r w:rsidRPr="00AE6EDB">
        <w:rPr>
          <w:bCs/>
        </w:rPr>
        <w:t xml:space="preserve"> so štyrmi implementačnými nariadeniami Komisie</w:t>
      </w:r>
      <w:r w:rsidRPr="00AE6EDB">
        <w:rPr>
          <w:noProof/>
        </w:rPr>
        <w:t xml:space="preserve"> č. 1322/2007</w:t>
      </w:r>
      <w:r w:rsidRPr="00AE6EDB">
        <w:rPr>
          <w:rStyle w:val="Odkaznapoznmkupodiarou"/>
          <w:noProof/>
          <w:color w:val="333300"/>
        </w:rPr>
        <w:footnoteReference w:id="57"/>
      </w:r>
      <w:r w:rsidRPr="00AE6EDB">
        <w:rPr>
          <w:noProof/>
        </w:rPr>
        <w:t>, č. 10/2008</w:t>
      </w:r>
      <w:r w:rsidRPr="00AE6EDB">
        <w:rPr>
          <w:rStyle w:val="Odkaznapoznmkupodiarou"/>
          <w:noProof/>
          <w:color w:val="333300"/>
        </w:rPr>
        <w:footnoteReference w:id="58"/>
      </w:r>
      <w:r w:rsidRPr="00AE6EDB">
        <w:rPr>
          <w:noProof/>
        </w:rPr>
        <w:t>, č. 110/2011</w:t>
      </w:r>
      <w:r w:rsidRPr="00AE6EDB">
        <w:rPr>
          <w:rStyle w:val="Odkaznapoznmkupodiarou"/>
          <w:noProof/>
          <w:color w:val="333300"/>
        </w:rPr>
        <w:footnoteReference w:id="59"/>
      </w:r>
      <w:r w:rsidRPr="00AE6EDB">
        <w:rPr>
          <w:noProof/>
        </w:rPr>
        <w:t xml:space="preserve"> a č. 263/2011</w:t>
      </w:r>
      <w:r w:rsidRPr="00AE6EDB">
        <w:rPr>
          <w:rStyle w:val="Odkaznapoznmkupodiarou"/>
          <w:noProof/>
          <w:color w:val="333300"/>
        </w:rPr>
        <w:footnoteReference w:id="60"/>
      </w:r>
      <w:r w:rsidRPr="00AE6EDB">
        <w:rPr>
          <w:noProof/>
        </w:rPr>
        <w:t>.</w:t>
      </w:r>
    </w:p>
    <w:p w:rsidR="000A7585" w:rsidRPr="00AE6EDB" w:rsidRDefault="000A7585" w:rsidP="000A7585">
      <w:pPr>
        <w:ind w:firstLine="431"/>
        <w:rPr>
          <w:bCs/>
        </w:rPr>
      </w:pPr>
      <w:r w:rsidRPr="00AE6EDB">
        <w:rPr>
          <w:bCs/>
        </w:rPr>
        <w:t xml:space="preserve">Štatistický systém ESSPROS pozostáva z nasledovných modulov: </w:t>
      </w:r>
    </w:p>
    <w:p w:rsidR="000A7585" w:rsidRPr="00AE6EDB" w:rsidRDefault="000A7585" w:rsidP="000A7585">
      <w:pPr>
        <w:pStyle w:val="Odsekzoznamu"/>
        <w:ind w:firstLine="431"/>
      </w:pPr>
      <w:r w:rsidRPr="00AE6EDB">
        <w:t>Príjmy a výdavky na sociálnu ochranu</w:t>
      </w:r>
    </w:p>
    <w:p w:rsidR="000A7585" w:rsidRPr="00AE6EDB" w:rsidRDefault="000A7585" w:rsidP="000A7585">
      <w:pPr>
        <w:pStyle w:val="Odsekzoznamu"/>
        <w:ind w:firstLine="431"/>
      </w:pPr>
      <w:r w:rsidRPr="00AE6EDB">
        <w:t>Kvalitatívne informácie</w:t>
      </w:r>
    </w:p>
    <w:p w:rsidR="000A7585" w:rsidRPr="00AE6EDB" w:rsidRDefault="000A7585" w:rsidP="000A7585">
      <w:pPr>
        <w:pStyle w:val="Odsekzoznamu"/>
        <w:ind w:firstLine="431"/>
      </w:pPr>
      <w:r w:rsidRPr="00AE6EDB">
        <w:t>Počet poberateľov dôchodkov s elimináciou duplicity</w:t>
      </w:r>
    </w:p>
    <w:p w:rsidR="000A7585" w:rsidRPr="00AE6EDB" w:rsidRDefault="000A7585" w:rsidP="000A7585">
      <w:pPr>
        <w:pStyle w:val="Odsekzoznamu"/>
        <w:ind w:firstLine="431"/>
      </w:pPr>
      <w:r w:rsidRPr="00AE6EDB">
        <w:t>Čisté výdavky na dávky.</w:t>
      </w:r>
    </w:p>
    <w:p w:rsidR="000A7585" w:rsidRPr="00AE6EDB" w:rsidRDefault="000A7585" w:rsidP="00BD5893">
      <w:pPr>
        <w:pStyle w:val="Subtheme"/>
        <w:spacing w:before="60" w:after="0"/>
        <w:ind w:firstLine="431"/>
        <w:rPr>
          <w:b w:val="0"/>
          <w:noProof w:val="0"/>
          <w:color w:val="000000" w:themeColor="text1"/>
          <w:szCs w:val="22"/>
          <w:lang w:val="sk-SK" w:eastAsia="cs-CZ"/>
        </w:rPr>
      </w:pPr>
      <w:r w:rsidRPr="00AE6EDB">
        <w:rPr>
          <w:b w:val="0"/>
          <w:noProof w:val="0"/>
          <w:color w:val="000000" w:themeColor="text1"/>
          <w:szCs w:val="22"/>
          <w:lang w:val="sk-SK" w:eastAsia="cs-CZ"/>
        </w:rPr>
        <w:t xml:space="preserve">Medzinárodne porovnateľné údaje o príjmoch a výdavkoch na sociálnu ochranu sú dostupné na webovej stránke </w:t>
      </w:r>
      <w:proofErr w:type="spellStart"/>
      <w:r w:rsidRPr="00AE6EDB">
        <w:rPr>
          <w:b w:val="0"/>
          <w:noProof w:val="0"/>
          <w:color w:val="000000" w:themeColor="text1"/>
          <w:szCs w:val="22"/>
          <w:lang w:val="sk-SK" w:eastAsia="cs-CZ"/>
        </w:rPr>
        <w:t>Eurostat-u</w:t>
      </w:r>
      <w:proofErr w:type="spellEnd"/>
      <w:r w:rsidRPr="00AE6EDB">
        <w:rPr>
          <w:b w:val="0"/>
          <w:noProof w:val="0"/>
          <w:color w:val="000000" w:themeColor="text1"/>
          <w:szCs w:val="22"/>
          <w:lang w:val="sk-SK" w:eastAsia="cs-CZ"/>
        </w:rPr>
        <w:t xml:space="preserve"> (EK) za členské štáty EÚ a v publikáciách ŠÚ SR</w:t>
      </w:r>
      <w:r w:rsidR="00BD5893" w:rsidRPr="00AE6EDB">
        <w:rPr>
          <w:rStyle w:val="Odkaznapoznmkupodiarou"/>
          <w:b w:val="0"/>
          <w:noProof w:val="0"/>
          <w:color w:val="000000" w:themeColor="text1"/>
          <w:szCs w:val="22"/>
          <w:lang w:val="sk-SK" w:eastAsia="cs-CZ"/>
        </w:rPr>
        <w:footnoteReference w:id="61"/>
      </w:r>
      <w:r w:rsidRPr="00AE6EDB">
        <w:rPr>
          <w:b w:val="0"/>
          <w:noProof w:val="0"/>
          <w:color w:val="000000" w:themeColor="text1"/>
          <w:szCs w:val="22"/>
          <w:lang w:val="sk-SK" w:eastAsia="cs-CZ"/>
        </w:rPr>
        <w:t>. Najnovšie údaje sú za rok 201</w:t>
      </w:r>
      <w:r w:rsidR="001E0EFB" w:rsidRPr="00AE6EDB">
        <w:rPr>
          <w:b w:val="0"/>
          <w:noProof w:val="0"/>
          <w:color w:val="000000" w:themeColor="text1"/>
          <w:szCs w:val="22"/>
          <w:lang w:val="sk-SK" w:eastAsia="cs-CZ"/>
        </w:rPr>
        <w:t>3</w:t>
      </w:r>
      <w:r w:rsidR="0038746C" w:rsidRPr="00AE6EDB">
        <w:rPr>
          <w:b w:val="0"/>
          <w:noProof w:val="0"/>
          <w:color w:val="000000" w:themeColor="text1"/>
          <w:szCs w:val="22"/>
          <w:lang w:val="sk-SK" w:eastAsia="cs-CZ"/>
        </w:rPr>
        <w:t>,</w:t>
      </w:r>
      <w:r w:rsidR="00BD5893" w:rsidRPr="00AE6EDB">
        <w:rPr>
          <w:b w:val="0"/>
          <w:noProof w:val="0"/>
          <w:color w:val="000000" w:themeColor="text1"/>
          <w:szCs w:val="22"/>
          <w:lang w:val="sk-SK" w:eastAsia="cs-CZ"/>
        </w:rPr>
        <w:t xml:space="preserve"> avšak vzhľadom na to, že</w:t>
      </w:r>
      <w:r w:rsidR="00C103F0" w:rsidRPr="00AE6EDB">
        <w:rPr>
          <w:b w:val="0"/>
          <w:noProof w:val="0"/>
          <w:color w:val="000000" w:themeColor="text1"/>
          <w:szCs w:val="22"/>
          <w:lang w:val="sk-SK" w:eastAsia="cs-CZ"/>
        </w:rPr>
        <w:t xml:space="preserve"> údaje za niektoré členské štáty chýbajú, </w:t>
      </w:r>
      <w:r w:rsidR="00C103F0" w:rsidRPr="00865C19">
        <w:rPr>
          <w:noProof w:val="0"/>
          <w:color w:val="000000" w:themeColor="text1"/>
          <w:szCs w:val="22"/>
          <w:lang w:val="sk-SK" w:eastAsia="cs-CZ"/>
        </w:rPr>
        <w:t>v tejto kapitole uvádzame len údaje o</w:t>
      </w:r>
      <w:r w:rsidR="00BD5893" w:rsidRPr="00865C19">
        <w:rPr>
          <w:noProof w:val="0"/>
          <w:color w:val="000000" w:themeColor="text1"/>
          <w:szCs w:val="22"/>
          <w:lang w:val="sk-SK" w:eastAsia="cs-CZ"/>
        </w:rPr>
        <w:t> </w:t>
      </w:r>
      <w:r w:rsidR="00C103F0" w:rsidRPr="00865C19">
        <w:rPr>
          <w:noProof w:val="0"/>
          <w:color w:val="000000" w:themeColor="text1"/>
          <w:szCs w:val="22"/>
          <w:lang w:val="sk-SK" w:eastAsia="cs-CZ"/>
        </w:rPr>
        <w:t>Slovensku</w:t>
      </w:r>
      <w:r w:rsidR="00BD5893" w:rsidRPr="00865C19">
        <w:rPr>
          <w:noProof w:val="0"/>
          <w:color w:val="000000" w:themeColor="text1"/>
          <w:szCs w:val="22"/>
          <w:lang w:val="sk-SK" w:eastAsia="cs-CZ"/>
        </w:rPr>
        <w:t xml:space="preserve"> </w:t>
      </w:r>
      <w:r w:rsidR="00BD5893" w:rsidRPr="00AE6EDB">
        <w:rPr>
          <w:b w:val="0"/>
          <w:noProof w:val="0"/>
          <w:color w:val="000000" w:themeColor="text1"/>
          <w:szCs w:val="22"/>
          <w:lang w:val="sk-SK" w:eastAsia="cs-CZ"/>
        </w:rPr>
        <w:t>(dostupné údaje za členské štáty sú uvedené v tabuľkách 31 – 35 v prílohe ku kapitole 3)</w:t>
      </w:r>
      <w:r w:rsidR="00C103F0" w:rsidRPr="00AE6EDB">
        <w:rPr>
          <w:b w:val="0"/>
          <w:noProof w:val="0"/>
          <w:color w:val="000000" w:themeColor="text1"/>
          <w:szCs w:val="22"/>
          <w:lang w:val="sk-SK" w:eastAsia="cs-CZ"/>
        </w:rPr>
        <w:t>.</w:t>
      </w:r>
    </w:p>
    <w:p w:rsidR="000A7585" w:rsidRPr="00AE6EDB" w:rsidRDefault="000A7585" w:rsidP="000A7585">
      <w:pPr>
        <w:ind w:firstLine="431"/>
        <w:rPr>
          <w:color w:val="000000" w:themeColor="text1"/>
          <w:szCs w:val="22"/>
        </w:rPr>
      </w:pPr>
      <w:r w:rsidRPr="00AE6EDB">
        <w:rPr>
          <w:b/>
          <w:bCs/>
          <w:color w:val="000000" w:themeColor="text1"/>
          <w:szCs w:val="22"/>
        </w:rPr>
        <w:t>Príjmy programov sociálnej ochrany</w:t>
      </w:r>
      <w:r w:rsidRPr="00AE6EDB">
        <w:rPr>
          <w:color w:val="000000" w:themeColor="text1"/>
          <w:szCs w:val="22"/>
        </w:rPr>
        <w:t xml:space="preserve"> 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p>
    <w:p w:rsidR="000A7585" w:rsidRPr="00AE6EDB" w:rsidRDefault="000A7585" w:rsidP="000A7585">
      <w:pPr>
        <w:ind w:firstLine="431"/>
        <w:rPr>
          <w:b/>
          <w:color w:val="000000" w:themeColor="text1"/>
          <w:szCs w:val="22"/>
          <w:lang w:eastAsia="cs-CZ"/>
        </w:rPr>
      </w:pPr>
      <w:r w:rsidRPr="00AE6EDB">
        <w:rPr>
          <w:b/>
          <w:bCs/>
          <w:color w:val="000000" w:themeColor="text1"/>
          <w:szCs w:val="22"/>
        </w:rPr>
        <w:t>Výdavky</w:t>
      </w:r>
      <w:r w:rsidRPr="00AE6EDB">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je oslobodiť domácnosti a jednotlivcov od bremien definovaných rizík alebo potrieb za predpokladu, že neexistuje ani simultánna a ani individuálna dohoda.</w:t>
      </w:r>
    </w:p>
    <w:p w:rsidR="000A7585" w:rsidRPr="00AE6EDB" w:rsidRDefault="000A7585" w:rsidP="000A7585">
      <w:pPr>
        <w:rPr>
          <w:color w:val="000000" w:themeColor="text1"/>
          <w:szCs w:val="22"/>
        </w:rPr>
      </w:pPr>
      <w:r w:rsidRPr="00AE6EDB">
        <w:rPr>
          <w:color w:val="000000" w:themeColor="text1"/>
          <w:szCs w:val="22"/>
        </w:rPr>
        <w:t xml:space="preserve">Manuál ESSPROS klasifikuje sociálne dávky podľa </w:t>
      </w:r>
      <w:r w:rsidRPr="00AE6EDB">
        <w:rPr>
          <w:color w:val="000000" w:themeColor="text1"/>
          <w:szCs w:val="22"/>
          <w:u w:val="single"/>
        </w:rPr>
        <w:t>8 nasledovných účelov</w:t>
      </w:r>
      <w:r w:rsidRPr="00AE6EDB">
        <w:rPr>
          <w:color w:val="000000" w:themeColor="text1"/>
          <w:szCs w:val="22"/>
        </w:rPr>
        <w:t xml:space="preserve">: </w:t>
      </w:r>
    </w:p>
    <w:p w:rsidR="000A7585" w:rsidRPr="00AE6EDB" w:rsidRDefault="000A7585" w:rsidP="000A7585">
      <w:pPr>
        <w:pStyle w:val="Odsekzoznamu"/>
        <w:ind w:left="1134"/>
      </w:pPr>
      <w:r w:rsidRPr="00AE6EDB">
        <w:t>choroba/zdravotná starostlivosť</w:t>
      </w:r>
    </w:p>
    <w:p w:rsidR="000A7585" w:rsidRPr="00AE6EDB" w:rsidRDefault="000A7585" w:rsidP="000A7585">
      <w:pPr>
        <w:pStyle w:val="Odsekzoznamu"/>
        <w:ind w:left="1134"/>
      </w:pPr>
      <w:r w:rsidRPr="00AE6EDB">
        <w:t xml:space="preserve">invalidita </w:t>
      </w:r>
    </w:p>
    <w:p w:rsidR="000A7585" w:rsidRPr="00AE6EDB" w:rsidRDefault="000A7585" w:rsidP="000A7585">
      <w:pPr>
        <w:pStyle w:val="Odsekzoznamu"/>
        <w:ind w:left="1134"/>
      </w:pPr>
      <w:r w:rsidRPr="00AE6EDB">
        <w:t xml:space="preserve">staroba </w:t>
      </w:r>
    </w:p>
    <w:p w:rsidR="000A7585" w:rsidRPr="00AE6EDB" w:rsidRDefault="000A7585" w:rsidP="000A7585">
      <w:pPr>
        <w:pStyle w:val="Odsekzoznamu"/>
        <w:ind w:left="1134"/>
      </w:pPr>
      <w:r w:rsidRPr="00AE6EDB">
        <w:t xml:space="preserve">pozostalí </w:t>
      </w:r>
    </w:p>
    <w:p w:rsidR="000A7585" w:rsidRPr="00AE6EDB" w:rsidRDefault="000A7585" w:rsidP="000A7585">
      <w:pPr>
        <w:pStyle w:val="Odsekzoznamu"/>
        <w:ind w:left="1134"/>
      </w:pPr>
      <w:r w:rsidRPr="00AE6EDB">
        <w:t xml:space="preserve">rodina/deti </w:t>
      </w:r>
    </w:p>
    <w:p w:rsidR="000A7585" w:rsidRPr="00AE6EDB" w:rsidRDefault="000A7585" w:rsidP="000A7585">
      <w:pPr>
        <w:pStyle w:val="Odsekzoznamu"/>
        <w:ind w:left="1134"/>
      </w:pPr>
      <w:r w:rsidRPr="00AE6EDB">
        <w:t xml:space="preserve">nezamestnanosť </w:t>
      </w:r>
    </w:p>
    <w:p w:rsidR="000A7585" w:rsidRPr="00AE6EDB" w:rsidRDefault="000A7585" w:rsidP="000A7585">
      <w:pPr>
        <w:pStyle w:val="Odsekzoznamu"/>
        <w:ind w:left="1134"/>
      </w:pPr>
      <w:r w:rsidRPr="00AE6EDB">
        <w:t>bývanie</w:t>
      </w:r>
    </w:p>
    <w:p w:rsidR="000A7585" w:rsidRPr="00AE6EDB" w:rsidRDefault="000A7585" w:rsidP="0038746C">
      <w:pPr>
        <w:pStyle w:val="Odsekzoznamu"/>
        <w:spacing w:after="60"/>
        <w:ind w:left="1134" w:hanging="357"/>
      </w:pPr>
      <w:r w:rsidRPr="00AE6EDB">
        <w:t>sociálne vylúčenie</w:t>
      </w:r>
      <w:r w:rsidR="001E0EFB" w:rsidRPr="00AE6EDB">
        <w:t xml:space="preserve"> inde nezaradené</w:t>
      </w:r>
      <w:r w:rsidRPr="00AE6EDB">
        <w:t xml:space="preserve">. </w:t>
      </w:r>
    </w:p>
    <w:p w:rsidR="000A7585" w:rsidRPr="00AE6EDB" w:rsidRDefault="000A7585" w:rsidP="000A7585">
      <w:pPr>
        <w:ind w:firstLine="431"/>
        <w:rPr>
          <w:color w:val="000000" w:themeColor="text1"/>
          <w:szCs w:val="22"/>
        </w:rPr>
      </w:pPr>
      <w:r w:rsidRPr="00AE6EDB">
        <w:rPr>
          <w:b/>
          <w:color w:val="000000" w:themeColor="text1"/>
          <w:szCs w:val="22"/>
        </w:rPr>
        <w:t xml:space="preserve">Výdavky na sociálne </w:t>
      </w:r>
      <w:r w:rsidRPr="00AE6EDB">
        <w:rPr>
          <w:b/>
          <w:color w:val="000000"/>
        </w:rPr>
        <w:t>dávky (hrubé)</w:t>
      </w:r>
      <w:r w:rsidRPr="00AE6EDB">
        <w:rPr>
          <w:rStyle w:val="Odkaznapoznmkupodiarou"/>
          <w:b/>
          <w:color w:val="000000"/>
        </w:rPr>
        <w:footnoteReference w:id="62"/>
      </w:r>
      <w:r w:rsidRPr="00AE6EDB">
        <w:rPr>
          <w:color w:val="000000"/>
        </w:rPr>
        <w:t xml:space="preserve"> </w:t>
      </w:r>
      <w:r w:rsidRPr="00AE6EDB">
        <w:rPr>
          <w:color w:val="000000" w:themeColor="text1"/>
          <w:szCs w:val="22"/>
        </w:rPr>
        <w:t xml:space="preserve">sú zapísané bez odčítania daní alebo iných povinných poplatkov platených poberateľom (napr. sociálne príspevky). </w:t>
      </w:r>
    </w:p>
    <w:p w:rsidR="000A7585" w:rsidRPr="00AE6EDB" w:rsidRDefault="000A7585" w:rsidP="000A7585">
      <w:pPr>
        <w:jc w:val="left"/>
        <w:rPr>
          <w:b/>
          <w:color w:val="000000" w:themeColor="text1"/>
          <w:lang w:eastAsia="cs-CZ"/>
        </w:rPr>
      </w:pPr>
      <w:bookmarkStart w:id="707" w:name="_Toc356482749"/>
      <w:r w:rsidRPr="00AE6EDB">
        <w:rPr>
          <w:color w:val="000000" w:themeColor="text1"/>
          <w:lang w:eastAsia="cs-CZ"/>
        </w:rPr>
        <w:br w:type="page"/>
      </w:r>
    </w:p>
    <w:bookmarkEnd w:id="707"/>
    <w:p w:rsidR="000A7585" w:rsidRPr="00AE6EDB" w:rsidRDefault="001E0EFB" w:rsidP="00024F6E">
      <w:pPr>
        <w:spacing w:before="120"/>
        <w:ind w:firstLine="431"/>
        <w:rPr>
          <w:color w:val="000000" w:themeColor="text1"/>
          <w:szCs w:val="22"/>
        </w:rPr>
      </w:pPr>
      <w:r w:rsidRPr="00AE6EDB">
        <w:rPr>
          <w:color w:val="000000" w:themeColor="text1"/>
          <w:szCs w:val="22"/>
        </w:rPr>
        <w:t>Príjmy na systém sociálnej ochrany v úhrne v SR v roku 2013 klesli medziročne o 1,9</w:t>
      </w:r>
      <w:r w:rsidR="005676EF">
        <w:rPr>
          <w:color w:val="000000" w:themeColor="text1"/>
          <w:szCs w:val="22"/>
        </w:rPr>
        <w:t> %</w:t>
      </w:r>
      <w:r w:rsidRPr="00AE6EDB">
        <w:rPr>
          <w:color w:val="000000" w:themeColor="text1"/>
          <w:szCs w:val="22"/>
        </w:rPr>
        <w:t xml:space="preserve"> (najmä z dôvodu otvorenia 2. piliera) a dosiahli 1</w:t>
      </w:r>
      <w:r w:rsidR="0054295F">
        <w:rPr>
          <w:color w:val="000000" w:themeColor="text1"/>
          <w:szCs w:val="22"/>
        </w:rPr>
        <w:t>3 9</w:t>
      </w:r>
      <w:r w:rsidRPr="00AE6EDB">
        <w:rPr>
          <w:color w:val="000000" w:themeColor="text1"/>
          <w:szCs w:val="22"/>
        </w:rPr>
        <w:t>85 mil.</w:t>
      </w:r>
      <w:r w:rsidR="0054295F">
        <w:rPr>
          <w:color w:val="000000" w:themeColor="text1"/>
          <w:szCs w:val="22"/>
        </w:rPr>
        <w:t> eur</w:t>
      </w:r>
      <w:r w:rsidRPr="00AE6EDB">
        <w:rPr>
          <w:color w:val="000000" w:themeColor="text1"/>
          <w:szCs w:val="22"/>
        </w:rPr>
        <w:t xml:space="preserve"> (18,9</w:t>
      </w:r>
      <w:r w:rsidR="005676EF">
        <w:rPr>
          <w:color w:val="000000" w:themeColor="text1"/>
          <w:szCs w:val="22"/>
        </w:rPr>
        <w:t> %</w:t>
      </w:r>
      <w:r w:rsidRPr="00AE6EDB">
        <w:rPr>
          <w:color w:val="000000" w:themeColor="text1"/>
          <w:szCs w:val="22"/>
        </w:rPr>
        <w:t xml:space="preserve"> HDP). Štruktúra príjmov na sociálnu ochranu bola nasledovná: sociálne príspevky </w:t>
      </w:r>
      <w:r w:rsidR="00D0309C" w:rsidRPr="00AE6EDB">
        <w:rPr>
          <w:color w:val="000000" w:themeColor="text1"/>
          <w:szCs w:val="22"/>
        </w:rPr>
        <w:t>64,9</w:t>
      </w:r>
      <w:r w:rsidR="005676EF">
        <w:rPr>
          <w:color w:val="000000" w:themeColor="text1"/>
          <w:szCs w:val="22"/>
        </w:rPr>
        <w:t> %</w:t>
      </w:r>
      <w:r w:rsidR="00D0309C" w:rsidRPr="00AE6EDB">
        <w:rPr>
          <w:color w:val="000000" w:themeColor="text1"/>
          <w:szCs w:val="22"/>
        </w:rPr>
        <w:t>, príspevky verejnej správy 33,1</w:t>
      </w:r>
      <w:r w:rsidR="005676EF">
        <w:rPr>
          <w:color w:val="000000" w:themeColor="text1"/>
          <w:szCs w:val="22"/>
        </w:rPr>
        <w:t> %</w:t>
      </w:r>
      <w:r w:rsidR="00D0309C" w:rsidRPr="00AE6EDB">
        <w:rPr>
          <w:color w:val="000000" w:themeColor="text1"/>
          <w:szCs w:val="22"/>
        </w:rPr>
        <w:t xml:space="preserve"> a iné príjmy 2,1</w:t>
      </w:r>
      <w:r w:rsidR="005676EF">
        <w:rPr>
          <w:color w:val="000000" w:themeColor="text1"/>
          <w:szCs w:val="22"/>
        </w:rPr>
        <w:t> %</w:t>
      </w:r>
      <w:r w:rsidR="00D0309C" w:rsidRPr="00AE6EDB">
        <w:rPr>
          <w:color w:val="000000" w:themeColor="text1"/>
          <w:szCs w:val="22"/>
        </w:rPr>
        <w:t>.</w:t>
      </w:r>
    </w:p>
    <w:p w:rsidR="000A7585" w:rsidRPr="00AE6EDB" w:rsidRDefault="000A7585" w:rsidP="000A7585">
      <w:pPr>
        <w:pStyle w:val="Nadpis7"/>
      </w:pPr>
      <w:r w:rsidRPr="00AE6EDB">
        <w:t>Graf 3.18 Štruktúra príjmov na sociálnu ochranu v SR, 201</w:t>
      </w:r>
      <w:r w:rsidR="00D0309C" w:rsidRPr="00AE6EDB">
        <w:t>3</w:t>
      </w:r>
    </w:p>
    <w:p w:rsidR="000A7585" w:rsidRPr="00AE6EDB" w:rsidRDefault="000A7585" w:rsidP="000A7585">
      <w:pPr>
        <w:jc w:val="center"/>
      </w:pPr>
      <w:r w:rsidRPr="00AE6EDB">
        <w:rPr>
          <w:noProof/>
        </w:rPr>
        <w:t xml:space="preserve"> </w:t>
      </w:r>
      <w:r w:rsidR="00D0309C" w:rsidRPr="00AE6EDB">
        <w:rPr>
          <w:noProof/>
        </w:rPr>
        <w:drawing>
          <wp:inline distT="0" distB="0" distL="0" distR="0" wp14:anchorId="356D479F" wp14:editId="3C616E43">
            <wp:extent cx="4572000" cy="27432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A7585" w:rsidRPr="00AE6EDB" w:rsidRDefault="000A7585" w:rsidP="000C611B">
      <w:pPr>
        <w:pStyle w:val="zdroj"/>
        <w:ind w:left="1843" w:hanging="1276"/>
      </w:pPr>
      <w:r w:rsidRPr="00AE6EDB">
        <w:t xml:space="preserve">Zdroj: </w:t>
      </w:r>
      <w:r w:rsidR="000C611B" w:rsidRPr="00AE6EDB">
        <w:t xml:space="preserve">ŠÚ SR; </w:t>
      </w:r>
      <w:r w:rsidRPr="00AE6EDB">
        <w:t>ESSPROS</w:t>
      </w:r>
      <w:r w:rsidR="00D0309C" w:rsidRPr="00AE6EDB">
        <w:t xml:space="preserve"> – Výdavky a príjmy na sociálnu ochranu a počet poberateľov dôchodkov </w:t>
      </w:r>
      <w:r w:rsidR="000C611B" w:rsidRPr="00AE6EDB">
        <w:br/>
      </w:r>
      <w:r w:rsidR="00D0309C" w:rsidRPr="00AE6EDB">
        <w:t>v roku 2013</w:t>
      </w:r>
    </w:p>
    <w:p w:rsidR="00024F6E" w:rsidRPr="00AE6EDB" w:rsidRDefault="00024F6E" w:rsidP="00024F6E">
      <w:pPr>
        <w:spacing w:before="120"/>
        <w:ind w:firstLine="431"/>
        <w:rPr>
          <w:color w:val="000000" w:themeColor="text1"/>
          <w:szCs w:val="22"/>
        </w:rPr>
      </w:pPr>
      <w:r w:rsidRPr="00AE6EDB">
        <w:rPr>
          <w:color w:val="000000" w:themeColor="text1"/>
          <w:szCs w:val="22"/>
        </w:rPr>
        <w:t xml:space="preserve">Celkové príjmy na </w:t>
      </w:r>
      <w:r w:rsidR="00F45681" w:rsidRPr="00AE6EDB">
        <w:rPr>
          <w:color w:val="000000" w:themeColor="text1"/>
          <w:szCs w:val="22"/>
        </w:rPr>
        <w:t>sociálnu</w:t>
      </w:r>
      <w:r w:rsidRPr="00AE6EDB">
        <w:rPr>
          <w:color w:val="000000" w:themeColor="text1"/>
          <w:szCs w:val="22"/>
        </w:rPr>
        <w:t xml:space="preserve"> ochranu vzrástli od roku 1995 (najstaršie dáta v systéme ESSPROS pre S</w:t>
      </w:r>
      <w:r w:rsidR="00B432FC" w:rsidRPr="00AE6EDB">
        <w:rPr>
          <w:color w:val="000000" w:themeColor="text1"/>
          <w:szCs w:val="22"/>
        </w:rPr>
        <w:t>lovenskú republiku</w:t>
      </w:r>
      <w:r w:rsidR="00CC0632" w:rsidRPr="00AE6EDB">
        <w:rPr>
          <w:color w:val="000000" w:themeColor="text1"/>
          <w:szCs w:val="22"/>
        </w:rPr>
        <w:t xml:space="preserve">, </w:t>
      </w:r>
      <w:r w:rsidR="0054295F">
        <w:rPr>
          <w:color w:val="000000" w:themeColor="text1"/>
          <w:szCs w:val="22"/>
        </w:rPr>
        <w:t>3 7</w:t>
      </w:r>
      <w:r w:rsidR="00CC0632" w:rsidRPr="00AE6EDB">
        <w:rPr>
          <w:color w:val="000000" w:themeColor="text1"/>
          <w:szCs w:val="22"/>
        </w:rPr>
        <w:t>50,4 mil</w:t>
      </w:r>
      <w:r w:rsidR="00B432FC" w:rsidRPr="00AE6EDB">
        <w:rPr>
          <w:color w:val="000000" w:themeColor="text1"/>
          <w:szCs w:val="22"/>
        </w:rPr>
        <w:t>.</w:t>
      </w:r>
      <w:r w:rsidR="0054295F">
        <w:rPr>
          <w:color w:val="000000" w:themeColor="text1"/>
          <w:szCs w:val="22"/>
        </w:rPr>
        <w:t> eur</w:t>
      </w:r>
      <w:r w:rsidRPr="00AE6EDB">
        <w:rPr>
          <w:color w:val="000000" w:themeColor="text1"/>
          <w:szCs w:val="22"/>
        </w:rPr>
        <w:t xml:space="preserve">) </w:t>
      </w:r>
      <w:r w:rsidR="00CC0632" w:rsidRPr="00AE6EDB">
        <w:rPr>
          <w:color w:val="000000" w:themeColor="text1"/>
          <w:szCs w:val="22"/>
        </w:rPr>
        <w:t>do roku 2013 (1</w:t>
      </w:r>
      <w:r w:rsidR="0054295F">
        <w:rPr>
          <w:color w:val="000000" w:themeColor="text1"/>
          <w:szCs w:val="22"/>
        </w:rPr>
        <w:t>3 9</w:t>
      </w:r>
      <w:r w:rsidR="00CC0632" w:rsidRPr="00AE6EDB">
        <w:rPr>
          <w:color w:val="000000" w:themeColor="text1"/>
          <w:szCs w:val="22"/>
        </w:rPr>
        <w:t>85,3 mil.</w:t>
      </w:r>
      <w:r w:rsidR="0054295F">
        <w:rPr>
          <w:color w:val="000000" w:themeColor="text1"/>
          <w:szCs w:val="22"/>
        </w:rPr>
        <w:t> eur</w:t>
      </w:r>
      <w:r w:rsidR="00CC0632" w:rsidRPr="00AE6EDB">
        <w:rPr>
          <w:color w:val="000000" w:themeColor="text1"/>
          <w:szCs w:val="22"/>
        </w:rPr>
        <w:t>) 3,7 násobne.</w:t>
      </w:r>
      <w:r w:rsidR="00B432FC" w:rsidRPr="00AE6EDB">
        <w:rPr>
          <w:color w:val="000000" w:themeColor="text1"/>
          <w:szCs w:val="22"/>
        </w:rPr>
        <w:t xml:space="preserve"> Na</w:t>
      </w:r>
      <w:r w:rsidR="001110A1">
        <w:rPr>
          <w:color w:val="000000" w:themeColor="text1"/>
          <w:szCs w:val="22"/>
        </w:rPr>
        <w:t> </w:t>
      </w:r>
      <w:r w:rsidR="00B432FC" w:rsidRPr="00AE6EDB">
        <w:rPr>
          <w:color w:val="000000" w:themeColor="text1"/>
          <w:szCs w:val="22"/>
        </w:rPr>
        <w:t>celkových príjmoch na sociálnu ochranu sa v priebehu celého obdobia najviac podieľali svojimi príspevkami zamestnávatelia, verejná správa a zamestnanci.</w:t>
      </w:r>
    </w:p>
    <w:p w:rsidR="00024F6E" w:rsidRPr="00AE6EDB" w:rsidRDefault="00024F6E" w:rsidP="00024F6E">
      <w:pPr>
        <w:pStyle w:val="Nadpis7"/>
      </w:pPr>
      <w:r w:rsidRPr="00AE6EDB">
        <w:t>Graf 3.1</w:t>
      </w:r>
      <w:r w:rsidR="00B432FC" w:rsidRPr="00AE6EDB">
        <w:t>9</w:t>
      </w:r>
      <w:r w:rsidRPr="00AE6EDB">
        <w:t xml:space="preserve"> Prehľad štruktúry príjmov na sociálnu ochranu podľa platiteľov, 1995 – 2013</w:t>
      </w:r>
    </w:p>
    <w:p w:rsidR="00024F6E" w:rsidRPr="00AE6EDB" w:rsidRDefault="00024F6E" w:rsidP="00024F6E">
      <w:pPr>
        <w:jc w:val="center"/>
      </w:pPr>
      <w:r w:rsidRPr="00AE6EDB">
        <w:rPr>
          <w:noProof/>
        </w:rPr>
        <w:t xml:space="preserve"> </w:t>
      </w:r>
      <w:r w:rsidR="00CC0632" w:rsidRPr="00AE6EDB">
        <w:rPr>
          <w:noProof/>
        </w:rPr>
        <w:drawing>
          <wp:inline distT="0" distB="0" distL="0" distR="0" wp14:anchorId="00CFCF78" wp14:editId="3F56DAE0">
            <wp:extent cx="5400675" cy="3405188"/>
            <wp:effectExtent l="0" t="0" r="0" b="508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24F6E" w:rsidRPr="00AE6EDB" w:rsidRDefault="00024F6E" w:rsidP="00024F6E">
      <w:pPr>
        <w:pStyle w:val="zdroj"/>
        <w:ind w:left="1843" w:hanging="1276"/>
      </w:pPr>
      <w:r w:rsidRPr="00AE6EDB">
        <w:t xml:space="preserve">Zdroj: </w:t>
      </w:r>
      <w:proofErr w:type="spellStart"/>
      <w:r w:rsidRPr="00AE6EDB">
        <w:t>Eurostat</w:t>
      </w:r>
      <w:proofErr w:type="spellEnd"/>
      <w:r w:rsidRPr="00AE6EDB">
        <w:t xml:space="preserve"> - ESSPROS</w:t>
      </w:r>
    </w:p>
    <w:p w:rsidR="000A7585" w:rsidRPr="00AE6EDB" w:rsidRDefault="005F2654" w:rsidP="000A7585">
      <w:pPr>
        <w:ind w:firstLine="567"/>
      </w:pPr>
      <w:r w:rsidRPr="00AE6EDB">
        <w:t>Celkové hrubé výdavky (bez odpočítania daní a sociálnych príspevkov platených poberateľmi dávok) na sociálnu ochranu v roku 2013 vzrástli medziročne o 3,6</w:t>
      </w:r>
      <w:r w:rsidR="005676EF">
        <w:t> %</w:t>
      </w:r>
      <w:r w:rsidRPr="00AE6EDB">
        <w:t xml:space="preserve"> a dosiahli 1</w:t>
      </w:r>
      <w:r w:rsidR="0054295F">
        <w:t>3 5</w:t>
      </w:r>
      <w:r w:rsidRPr="00AE6EDB">
        <w:t>56 mil</w:t>
      </w:r>
      <w:r w:rsidR="00F45681">
        <w:t>.</w:t>
      </w:r>
      <w:r w:rsidR="0054295F">
        <w:t> eur</w:t>
      </w:r>
      <w:r w:rsidRPr="00AE6EDB">
        <w:t xml:space="preserve"> (18,4</w:t>
      </w:r>
      <w:r w:rsidR="005676EF">
        <w:t> %</w:t>
      </w:r>
      <w:r w:rsidRPr="00AE6EDB">
        <w:t xml:space="preserve"> HDP). Štruktúra výdavkov na sociálnu ochranu v SR bola nasledovná: sociálne dávky tvorili 97,3</w:t>
      </w:r>
      <w:r w:rsidR="005676EF">
        <w:t> %</w:t>
      </w:r>
      <w:r w:rsidRPr="00AE6EDB">
        <w:t>, administratívne náklady 2,6</w:t>
      </w:r>
      <w:r w:rsidR="005676EF">
        <w:t> %</w:t>
      </w:r>
      <w:r w:rsidRPr="00AE6EDB">
        <w:t xml:space="preserve"> a iné výdavky 0,2</w:t>
      </w:r>
      <w:r w:rsidR="005676EF">
        <w:t> %</w:t>
      </w:r>
      <w:r w:rsidRPr="00AE6EDB">
        <w:t>. Štruktúra sociálnych dávok podľa jednotlivých účelov je znázornená v nasledujúcom grafe.</w:t>
      </w:r>
    </w:p>
    <w:p w:rsidR="000A7585" w:rsidRPr="00AE6EDB" w:rsidRDefault="000A7585" w:rsidP="000A7585">
      <w:pPr>
        <w:pStyle w:val="Nadpis7"/>
        <w:rPr>
          <w:rFonts w:cs="Arial"/>
          <w:i/>
          <w:iCs/>
          <w:szCs w:val="22"/>
        </w:rPr>
      </w:pPr>
      <w:bookmarkStart w:id="708" w:name="_Toc356482751"/>
      <w:r w:rsidRPr="00AE6EDB">
        <w:t>Graf 3.</w:t>
      </w:r>
      <w:r w:rsidR="00830CA6" w:rsidRPr="00AE6EDB">
        <w:t>20</w:t>
      </w:r>
      <w:r w:rsidRPr="00AE6EDB">
        <w:t xml:space="preserve"> Hrubé výdavky na sociálnu ochranu v</w:t>
      </w:r>
      <w:r w:rsidR="005F2654" w:rsidRPr="00AE6EDB">
        <w:t> SR v roku</w:t>
      </w:r>
      <w:r w:rsidRPr="00AE6EDB">
        <w:t xml:space="preserve"> 201</w:t>
      </w:r>
      <w:bookmarkEnd w:id="708"/>
      <w:r w:rsidR="005F2654" w:rsidRPr="00AE6EDB">
        <w:t>3</w:t>
      </w:r>
    </w:p>
    <w:p w:rsidR="000A7585" w:rsidRPr="00AE6EDB" w:rsidRDefault="000C611B" w:rsidP="000A7585">
      <w:pPr>
        <w:ind w:left="142"/>
        <w:jc w:val="center"/>
        <w:rPr>
          <w:rFonts w:cs="Arial"/>
          <w:i/>
          <w:iCs/>
          <w:color w:val="333300"/>
          <w:sz w:val="20"/>
          <w:szCs w:val="18"/>
        </w:rPr>
      </w:pPr>
      <w:r w:rsidRPr="00AE6EDB">
        <w:rPr>
          <w:noProof/>
        </w:rPr>
        <w:drawing>
          <wp:inline distT="0" distB="0" distL="0" distR="0" wp14:anchorId="0217AAA2" wp14:editId="60F9ACF7">
            <wp:extent cx="5600700" cy="25527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C611B" w:rsidRPr="00AE6EDB" w:rsidRDefault="000A7585" w:rsidP="000C611B">
      <w:pPr>
        <w:pStyle w:val="zdroj"/>
        <w:ind w:left="1843" w:hanging="1276"/>
      </w:pPr>
      <w:r w:rsidRPr="00AE6EDB">
        <w:t xml:space="preserve">Zdroj: </w:t>
      </w:r>
      <w:r w:rsidR="000C611B" w:rsidRPr="00AE6EDB">
        <w:t xml:space="preserve">ŠÚ SR; ESSPROS – Výdavky a príjmy na sociálnu ochranu a počet poberateľov dôchodkov </w:t>
      </w:r>
      <w:r w:rsidR="000C611B" w:rsidRPr="00AE6EDB">
        <w:br/>
        <w:t>v roku 2013</w:t>
      </w:r>
    </w:p>
    <w:p w:rsidR="00B80F85" w:rsidRPr="00AE6EDB" w:rsidRDefault="00B432FC" w:rsidP="00B432FC">
      <w:pPr>
        <w:ind w:firstLine="567"/>
      </w:pPr>
      <w:r w:rsidRPr="00AE6EDB">
        <w:t>Celkové výdavky na sociálnu ochranu vzrástli od roku 1995 (</w:t>
      </w:r>
      <w:r w:rsidR="0054295F">
        <w:t>3 5</w:t>
      </w:r>
      <w:r w:rsidRPr="00AE6EDB">
        <w:t>75,3 mil.</w:t>
      </w:r>
      <w:r w:rsidR="0054295F">
        <w:t> eur</w:t>
      </w:r>
      <w:r w:rsidRPr="00AE6EDB">
        <w:t>) do roku 2013 (1</w:t>
      </w:r>
      <w:r w:rsidR="0054295F">
        <w:t>3 5</w:t>
      </w:r>
      <w:r w:rsidRPr="00AE6EDB">
        <w:t>56,3 mil.</w:t>
      </w:r>
      <w:r w:rsidR="0054295F">
        <w:t> eur</w:t>
      </w:r>
      <w:r w:rsidRPr="00AE6EDB">
        <w:t xml:space="preserve">) </w:t>
      </w:r>
      <w:r w:rsidR="003A038C" w:rsidRPr="00AE6EDB">
        <w:t>3,8 násobne.</w:t>
      </w:r>
      <w:r w:rsidR="008C5282" w:rsidRPr="00AE6EDB">
        <w:t xml:space="preserve"> Z pohľadu štruktúry sociálnych dávok podľa účelov, výdavky na účel choroba, zdravotná starostlivosť dosiahli najnižší podiel v roku 2005 (29,9</w:t>
      </w:r>
      <w:r w:rsidR="005676EF">
        <w:t> %</w:t>
      </w:r>
      <w:r w:rsidR="008C5282" w:rsidRPr="00AE6EDB">
        <w:t>) a najvyšší v roku 1996 (37,5</w:t>
      </w:r>
      <w:r w:rsidR="005676EF">
        <w:t> %</w:t>
      </w:r>
      <w:r w:rsidR="008C5282" w:rsidRPr="00AE6EDB">
        <w:t>). Podiel výdavkov na účel invalidita</w:t>
      </w:r>
      <w:r w:rsidR="00D011B7" w:rsidRPr="00AE6EDB">
        <w:t xml:space="preserve"> dosiahol minimum v roku 1996 (6,4</w:t>
      </w:r>
      <w:r w:rsidR="005676EF">
        <w:t> %</w:t>
      </w:r>
      <w:r w:rsidR="00D011B7" w:rsidRPr="00AE6EDB">
        <w:t>) a maximum v rokoch 2008, 2012 a 2013 (9,0</w:t>
      </w:r>
      <w:r w:rsidR="005676EF">
        <w:t> %</w:t>
      </w:r>
      <w:r w:rsidR="00D011B7" w:rsidRPr="00AE6EDB">
        <w:t>). Výdavky na dávky na účel staroba sa pohybovali v rozmedzí od 31,0</w:t>
      </w:r>
      <w:r w:rsidR="005676EF">
        <w:t> %</w:t>
      </w:r>
      <w:r w:rsidR="00D011B7" w:rsidRPr="00AE6EDB">
        <w:t xml:space="preserve"> v roku 1996 po 39,3</w:t>
      </w:r>
      <w:r w:rsidR="005676EF">
        <w:t> %</w:t>
      </w:r>
      <w:r w:rsidR="00D011B7" w:rsidRPr="00AE6EDB">
        <w:t xml:space="preserve"> v roku 2013. Dávky na účel pozostalí mali najmenší podiel v roku 2003 (4,9</w:t>
      </w:r>
      <w:r w:rsidR="005676EF">
        <w:t> %</w:t>
      </w:r>
      <w:r w:rsidR="00D011B7" w:rsidRPr="00AE6EDB">
        <w:t>) a najväčší v roku 1995 (5,8</w:t>
      </w:r>
      <w:r w:rsidR="005676EF">
        <w:t> %</w:t>
      </w:r>
      <w:r w:rsidR="00D011B7" w:rsidRPr="00AE6EDB">
        <w:t>). Podiel výdavkov na účel rodina, deti dosiahol maximum v roku 1995 (14,0</w:t>
      </w:r>
      <w:r w:rsidR="005676EF">
        <w:t> %</w:t>
      </w:r>
      <w:r w:rsidR="00D011B7" w:rsidRPr="00AE6EDB">
        <w:t>) a minimum v roku 2002 (8,1</w:t>
      </w:r>
      <w:r w:rsidR="005676EF">
        <w:t> %</w:t>
      </w:r>
      <w:r w:rsidR="00D011B7" w:rsidRPr="00AE6EDB">
        <w:t>).Podiel výdavkov na účel nezamestnanosť sa pohyboval od 3,4</w:t>
      </w:r>
      <w:r w:rsidR="005676EF">
        <w:t> %</w:t>
      </w:r>
      <w:r w:rsidR="00D011B7" w:rsidRPr="00AE6EDB">
        <w:t xml:space="preserve"> (2006, 2013) po 6,8</w:t>
      </w:r>
      <w:r w:rsidR="005676EF">
        <w:t> %</w:t>
      </w:r>
      <w:r w:rsidR="00D011B7" w:rsidRPr="00AE6EDB">
        <w:t xml:space="preserve"> (1999) a podiel výdavkov na účely bývanie a sociálne vylúčenie od 2,5</w:t>
      </w:r>
      <w:r w:rsidR="005676EF">
        <w:t> %</w:t>
      </w:r>
      <w:r w:rsidR="00D011B7" w:rsidRPr="00AE6EDB">
        <w:t xml:space="preserve"> (2009, 2013) po 6,8</w:t>
      </w:r>
      <w:r w:rsidR="005676EF">
        <w:t> %</w:t>
      </w:r>
      <w:r w:rsidR="00D011B7" w:rsidRPr="00AE6EDB">
        <w:t xml:space="preserve"> (2001).</w:t>
      </w:r>
    </w:p>
    <w:p w:rsidR="00D011B7" w:rsidRPr="00AE6EDB" w:rsidRDefault="00D011B7" w:rsidP="00D011B7">
      <w:pPr>
        <w:pStyle w:val="Nadpis7"/>
      </w:pPr>
      <w:r w:rsidRPr="00AE6EDB">
        <w:t>Graf 3.</w:t>
      </w:r>
      <w:r w:rsidR="00830CA6" w:rsidRPr="00AE6EDB">
        <w:t>21</w:t>
      </w:r>
      <w:r w:rsidRPr="00AE6EDB">
        <w:t xml:space="preserve"> Štruktúra výdavkov na sociálne dávky podľa účelov v SR, 1995 – 2013</w:t>
      </w:r>
    </w:p>
    <w:p w:rsidR="00B432FC" w:rsidRPr="00AE6EDB" w:rsidRDefault="008C5282" w:rsidP="00DF4275">
      <w:pPr>
        <w:jc w:val="center"/>
      </w:pPr>
      <w:r w:rsidRPr="00AE6EDB">
        <w:rPr>
          <w:noProof/>
        </w:rPr>
        <w:drawing>
          <wp:inline distT="0" distB="0" distL="0" distR="0" wp14:anchorId="656D6EB3" wp14:editId="323CBA3F">
            <wp:extent cx="5362575" cy="2238375"/>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011B7" w:rsidRPr="00AE6EDB" w:rsidRDefault="00D011B7" w:rsidP="00D011B7">
      <w:pPr>
        <w:pStyle w:val="zdroj"/>
        <w:ind w:left="1843" w:hanging="1276"/>
      </w:pPr>
      <w:r w:rsidRPr="00AE6EDB">
        <w:t xml:space="preserve">Zdroj: ŠÚ SR; ESSPROS – Výdavky a príjmy na sociálnu ochranu a počet poberateľov dôchodkov </w:t>
      </w:r>
      <w:r w:rsidRPr="00AE6EDB">
        <w:br/>
        <w:t>v roku 2013</w:t>
      </w:r>
    </w:p>
    <w:p w:rsidR="00D011B7" w:rsidRPr="00AE6EDB" w:rsidRDefault="00D011B7" w:rsidP="00D011B7">
      <w:pPr>
        <w:ind w:firstLine="567"/>
      </w:pPr>
      <w:r w:rsidRPr="00AE6EDB">
        <w:t>V roku 2013 bolo v SR 5,1</w:t>
      </w:r>
      <w:r w:rsidR="005676EF">
        <w:t> %</w:t>
      </w:r>
      <w:r w:rsidR="00C0413A" w:rsidRPr="00AE6EDB">
        <w:t xml:space="preserve"> všetkých vyplatených dávok testovaných na príjem, resp. výšku majetku. Nulový podiel testovaných dávok bol vykázaný v účele choroba, zdravotná starostlivosť, pretože refundované výdavky na lieky a zdravotnú starostlivosť pre starobných a invalidných dôchodcov boli nevýznamné. V roku 2013 testované dávky predstavovali v účele invalidita 12,4</w:t>
      </w:r>
      <w:r w:rsidR="005676EF">
        <w:t> %</w:t>
      </w:r>
      <w:r w:rsidR="00C0413A" w:rsidRPr="00AE6EDB">
        <w:t>, v účele staroba 3,6</w:t>
      </w:r>
      <w:r w:rsidR="005676EF">
        <w:t> %</w:t>
      </w:r>
      <w:r w:rsidR="00C0413A" w:rsidRPr="00AE6EDB">
        <w:t xml:space="preserve"> a v účele pozostalí 0,7</w:t>
      </w:r>
      <w:r w:rsidR="005676EF">
        <w:t> %</w:t>
      </w:r>
      <w:r w:rsidR="00C0413A" w:rsidRPr="00AE6EDB">
        <w:t xml:space="preserve"> (napr. vianočný príspevok k dôchodkom). V účele rodina, deti sa testovalo na príjem 2,3</w:t>
      </w:r>
      <w:r w:rsidR="005676EF">
        <w:t> %</w:t>
      </w:r>
      <w:r w:rsidR="00C0413A" w:rsidRPr="00AE6EDB">
        <w:t xml:space="preserve"> výdavkov na dávky, v účele nezamestnanosť 0,3</w:t>
      </w:r>
      <w:r w:rsidR="005676EF">
        <w:t> %</w:t>
      </w:r>
      <w:r w:rsidR="00C0413A" w:rsidRPr="00AE6EDB">
        <w:t xml:space="preserve"> a v účeloch bývanie a sociálne vylúčenie až 90,4</w:t>
      </w:r>
      <w:r w:rsidR="005676EF">
        <w:t> %</w:t>
      </w:r>
      <w:r w:rsidR="00C0413A" w:rsidRPr="00AE6EDB">
        <w:t xml:space="preserve"> výdavkov na dávky.</w:t>
      </w:r>
    </w:p>
    <w:p w:rsidR="00C0413A" w:rsidRPr="00AE6EDB" w:rsidRDefault="00C0413A" w:rsidP="00D011B7">
      <w:pPr>
        <w:ind w:firstLine="567"/>
      </w:pPr>
      <w:r w:rsidRPr="00AE6EDB">
        <w:t>Najv</w:t>
      </w:r>
      <w:r w:rsidR="000F2951" w:rsidRPr="00AE6EDB">
        <w:t>yšší podiel</w:t>
      </w:r>
      <w:r w:rsidRPr="00AE6EDB">
        <w:t xml:space="preserve"> z vyplatených dávok bol testovaných na príjem v roku 1995 (15,3</w:t>
      </w:r>
      <w:r w:rsidR="005676EF">
        <w:t> %</w:t>
      </w:r>
      <w:r w:rsidR="000F2951" w:rsidRPr="00AE6EDB">
        <w:t>) a najnižší v rokoch 2004, 2008, 2009 a 2013 (5,1</w:t>
      </w:r>
      <w:r w:rsidR="005676EF">
        <w:t> %</w:t>
      </w:r>
      <w:r w:rsidR="000F2951" w:rsidRPr="00AE6EDB">
        <w:t>). V účele choroba, zdravotná starostlivosť bol po celú dobu podiel testovaných dávok nulový a v účeloch bývanie a sociálne vylúčenie neklesol pod 90</w:t>
      </w:r>
      <w:r w:rsidR="005676EF">
        <w:t> %</w:t>
      </w:r>
      <w:r w:rsidR="000F2951" w:rsidRPr="00AE6EDB">
        <w:t>.</w:t>
      </w:r>
    </w:p>
    <w:p w:rsidR="00C0413A" w:rsidRPr="00AE6EDB" w:rsidRDefault="00C0413A" w:rsidP="00C0413A">
      <w:pPr>
        <w:pStyle w:val="Nadpis7"/>
      </w:pPr>
      <w:bookmarkStart w:id="709" w:name="_Toc356482753"/>
      <w:r w:rsidRPr="00AE6EDB">
        <w:t>Graf 3.2</w:t>
      </w:r>
      <w:r w:rsidR="00830CA6" w:rsidRPr="00AE6EDB">
        <w:t>2</w:t>
      </w:r>
      <w:r w:rsidRPr="00AE6EDB">
        <w:t xml:space="preserve"> Test</w:t>
      </w:r>
      <w:r w:rsidR="0057513C" w:rsidRPr="00AE6EDB">
        <w:t xml:space="preserve">ované dávky sociálnej ochrany </w:t>
      </w:r>
      <w:r w:rsidR="00C25322" w:rsidRPr="00AE6EDB">
        <w:t xml:space="preserve">v SR </w:t>
      </w:r>
      <w:r w:rsidR="0057513C" w:rsidRPr="00AE6EDB">
        <w:t>(</w:t>
      </w:r>
      <w:r w:rsidRPr="00AE6EDB">
        <w:t xml:space="preserve">% zo všetkých sociálnych dávok), </w:t>
      </w:r>
      <w:r w:rsidR="00C25322" w:rsidRPr="00AE6EDB">
        <w:br/>
      </w:r>
      <w:r w:rsidRPr="00AE6EDB">
        <w:t>1995 – 2013</w:t>
      </w:r>
    </w:p>
    <w:p w:rsidR="00C0413A" w:rsidRPr="00AE6EDB" w:rsidRDefault="00C0413A" w:rsidP="00C0413A">
      <w:pPr>
        <w:jc w:val="center"/>
        <w:rPr>
          <w:i/>
          <w:iCs/>
          <w:color w:val="333300"/>
          <w:sz w:val="18"/>
          <w:szCs w:val="18"/>
        </w:rPr>
      </w:pPr>
      <w:r w:rsidRPr="00AE6EDB">
        <w:rPr>
          <w:noProof/>
        </w:rPr>
        <w:drawing>
          <wp:inline distT="0" distB="0" distL="0" distR="0" wp14:anchorId="5EC1C7F8" wp14:editId="4B216111">
            <wp:extent cx="5760720" cy="1734463"/>
            <wp:effectExtent l="0" t="0" r="0" b="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0413A" w:rsidRPr="00AE6EDB" w:rsidRDefault="00C0413A" w:rsidP="00C0413A">
      <w:pPr>
        <w:pStyle w:val="zdroj"/>
        <w:rPr>
          <w:iCs/>
          <w:color w:val="000000" w:themeColor="text1"/>
          <w:szCs w:val="22"/>
        </w:rPr>
      </w:pPr>
      <w:r w:rsidRPr="00AE6EDB">
        <w:t xml:space="preserve">Zdroj: </w:t>
      </w:r>
      <w:proofErr w:type="spellStart"/>
      <w:r w:rsidRPr="00AE6EDB">
        <w:t>Eurostat</w:t>
      </w:r>
      <w:proofErr w:type="spellEnd"/>
      <w:r w:rsidRPr="00AE6EDB">
        <w:t xml:space="preserve"> </w:t>
      </w:r>
      <w:r w:rsidRPr="00AE6EDB">
        <w:rPr>
          <w:color w:val="000000" w:themeColor="text1"/>
        </w:rPr>
        <w:t xml:space="preserve">– </w:t>
      </w:r>
      <w:r w:rsidRPr="00AE6EDB">
        <w:t>ESSPROS</w:t>
      </w:r>
      <w:r w:rsidRPr="00AE6EDB">
        <w:rPr>
          <w:iCs/>
          <w:color w:val="000000" w:themeColor="text1"/>
          <w:szCs w:val="22"/>
        </w:rPr>
        <w:t xml:space="preserve"> </w:t>
      </w:r>
    </w:p>
    <w:p w:rsidR="00DF4275" w:rsidRPr="00AE6EDB" w:rsidRDefault="00DF4275" w:rsidP="00C0413A">
      <w:pPr>
        <w:ind w:firstLine="431"/>
        <w:rPr>
          <w:iCs/>
          <w:color w:val="000000" w:themeColor="text1"/>
          <w:szCs w:val="22"/>
        </w:rPr>
      </w:pPr>
      <w:r w:rsidRPr="00AE6EDB">
        <w:rPr>
          <w:iCs/>
          <w:color w:val="000000" w:themeColor="text1"/>
          <w:szCs w:val="22"/>
        </w:rPr>
        <w:t xml:space="preserve">Celkové hrubé výdavky na dôchodky v roku 2013 dosiahli </w:t>
      </w:r>
      <w:r w:rsidR="00AC44CB">
        <w:rPr>
          <w:iCs/>
          <w:color w:val="000000" w:themeColor="text1"/>
          <w:szCs w:val="22"/>
        </w:rPr>
        <w:t>6 2</w:t>
      </w:r>
      <w:r w:rsidRPr="00AE6EDB">
        <w:rPr>
          <w:iCs/>
          <w:color w:val="000000" w:themeColor="text1"/>
          <w:szCs w:val="22"/>
        </w:rPr>
        <w:t>64,62 mil</w:t>
      </w:r>
      <w:r w:rsidR="00F45681">
        <w:rPr>
          <w:iCs/>
          <w:color w:val="000000" w:themeColor="text1"/>
          <w:szCs w:val="22"/>
        </w:rPr>
        <w:t>.</w:t>
      </w:r>
      <w:r w:rsidR="0054295F">
        <w:rPr>
          <w:iCs/>
          <w:color w:val="000000" w:themeColor="text1"/>
          <w:szCs w:val="22"/>
        </w:rPr>
        <w:t> eur</w:t>
      </w:r>
      <w:r w:rsidRPr="00AE6EDB">
        <w:rPr>
          <w:iCs/>
          <w:color w:val="000000" w:themeColor="text1"/>
          <w:szCs w:val="22"/>
        </w:rPr>
        <w:t>, resp. 8,5</w:t>
      </w:r>
      <w:r w:rsidR="005676EF">
        <w:rPr>
          <w:iCs/>
          <w:color w:val="000000" w:themeColor="text1"/>
          <w:szCs w:val="22"/>
        </w:rPr>
        <w:t> %</w:t>
      </w:r>
      <w:r w:rsidRPr="00AE6EDB">
        <w:rPr>
          <w:iCs/>
          <w:color w:val="000000" w:themeColor="text1"/>
          <w:szCs w:val="22"/>
        </w:rPr>
        <w:t xml:space="preserve"> HDP. Na</w:t>
      </w:r>
      <w:r w:rsidR="00830CA6" w:rsidRPr="00AE6EDB">
        <w:rPr>
          <w:iCs/>
          <w:color w:val="000000" w:themeColor="text1"/>
          <w:szCs w:val="22"/>
        </w:rPr>
        <w:t> </w:t>
      </w:r>
      <w:r w:rsidRPr="00AE6EDB">
        <w:rPr>
          <w:iCs/>
          <w:color w:val="000000" w:themeColor="text1"/>
          <w:szCs w:val="22"/>
        </w:rPr>
        <w:t>jedného obyvateľa to v stálych cenách roku 2005 predstavovalo 730,12</w:t>
      </w:r>
      <w:r w:rsidR="0054295F">
        <w:rPr>
          <w:iCs/>
          <w:color w:val="000000" w:themeColor="text1"/>
          <w:szCs w:val="22"/>
        </w:rPr>
        <w:t> eur</w:t>
      </w:r>
      <w:r w:rsidRPr="00AE6EDB">
        <w:rPr>
          <w:iCs/>
          <w:color w:val="000000" w:themeColor="text1"/>
          <w:szCs w:val="22"/>
        </w:rPr>
        <w:t>a.</w:t>
      </w:r>
      <w:r w:rsidR="00830CA6" w:rsidRPr="00AE6EDB">
        <w:rPr>
          <w:iCs/>
          <w:color w:val="000000" w:themeColor="text1"/>
          <w:szCs w:val="22"/>
        </w:rPr>
        <w:t xml:space="preserve"> Najväčšiu časť výdavkov na dôchodky tvoria výdavky na starobné dôchodky (minimálne 69,2</w:t>
      </w:r>
      <w:r w:rsidR="005676EF">
        <w:rPr>
          <w:iCs/>
          <w:color w:val="000000" w:themeColor="text1"/>
          <w:szCs w:val="22"/>
        </w:rPr>
        <w:t> %</w:t>
      </w:r>
      <w:r w:rsidR="00830CA6" w:rsidRPr="00AE6EDB">
        <w:rPr>
          <w:iCs/>
          <w:color w:val="000000" w:themeColor="text1"/>
          <w:szCs w:val="22"/>
        </w:rPr>
        <w:t xml:space="preserve"> v roku 2009, maximálne 75,8</w:t>
      </w:r>
      <w:r w:rsidR="005676EF">
        <w:rPr>
          <w:iCs/>
          <w:color w:val="000000" w:themeColor="text1"/>
          <w:szCs w:val="22"/>
        </w:rPr>
        <w:t> %</w:t>
      </w:r>
      <w:r w:rsidR="00830CA6" w:rsidRPr="00AE6EDB">
        <w:rPr>
          <w:iCs/>
          <w:color w:val="000000" w:themeColor="text1"/>
          <w:szCs w:val="22"/>
        </w:rPr>
        <w:t xml:space="preserve"> v roku 2003; v roku 2013 starobné dôchodky predstavovali 71,8</w:t>
      </w:r>
      <w:r w:rsidR="005676EF">
        <w:rPr>
          <w:iCs/>
          <w:color w:val="000000" w:themeColor="text1"/>
          <w:szCs w:val="22"/>
        </w:rPr>
        <w:t> %</w:t>
      </w:r>
      <w:r w:rsidR="00830CA6" w:rsidRPr="00AE6EDB">
        <w:rPr>
          <w:iCs/>
          <w:color w:val="000000" w:themeColor="text1"/>
          <w:szCs w:val="22"/>
        </w:rPr>
        <w:t xml:space="preserve"> všetkých dôchodkových výdavkov), invalidné dôchodky (minimálne 11,5</w:t>
      </w:r>
      <w:r w:rsidR="005676EF">
        <w:rPr>
          <w:iCs/>
          <w:color w:val="000000" w:themeColor="text1"/>
          <w:szCs w:val="22"/>
        </w:rPr>
        <w:t> %</w:t>
      </w:r>
      <w:r w:rsidR="00830CA6" w:rsidRPr="00AE6EDB">
        <w:rPr>
          <w:iCs/>
          <w:color w:val="000000" w:themeColor="text1"/>
          <w:szCs w:val="22"/>
        </w:rPr>
        <w:t xml:space="preserve"> v roku 2005, maximálne 12,7</w:t>
      </w:r>
      <w:r w:rsidR="005676EF">
        <w:rPr>
          <w:iCs/>
          <w:color w:val="000000" w:themeColor="text1"/>
          <w:szCs w:val="22"/>
        </w:rPr>
        <w:t> %</w:t>
      </w:r>
      <w:r w:rsidR="00830CA6" w:rsidRPr="00AE6EDB">
        <w:rPr>
          <w:iCs/>
          <w:color w:val="000000" w:themeColor="text1"/>
          <w:szCs w:val="22"/>
        </w:rPr>
        <w:t xml:space="preserve"> v roku 1995; v roku 2013 invalidné dôchodky predstavovali 12,4</w:t>
      </w:r>
      <w:r w:rsidR="005676EF">
        <w:rPr>
          <w:iCs/>
          <w:color w:val="000000" w:themeColor="text1"/>
          <w:szCs w:val="22"/>
        </w:rPr>
        <w:t> %</w:t>
      </w:r>
      <w:r w:rsidR="00830CA6" w:rsidRPr="00AE6EDB">
        <w:rPr>
          <w:iCs/>
          <w:color w:val="000000" w:themeColor="text1"/>
          <w:szCs w:val="22"/>
        </w:rPr>
        <w:t xml:space="preserve"> všetkých dôchodkových výdavkov) a</w:t>
      </w:r>
      <w:r w:rsidR="00400DC8" w:rsidRPr="00AE6EDB">
        <w:rPr>
          <w:iCs/>
          <w:color w:val="000000" w:themeColor="text1"/>
          <w:szCs w:val="22"/>
        </w:rPr>
        <w:t> pozostalostné dôchodky (minimálne 10,6</w:t>
      </w:r>
      <w:r w:rsidR="005676EF">
        <w:rPr>
          <w:iCs/>
          <w:color w:val="000000" w:themeColor="text1"/>
          <w:szCs w:val="22"/>
        </w:rPr>
        <w:t> %</w:t>
      </w:r>
      <w:r w:rsidR="00400DC8" w:rsidRPr="00AE6EDB">
        <w:rPr>
          <w:iCs/>
          <w:color w:val="000000" w:themeColor="text1"/>
          <w:szCs w:val="22"/>
        </w:rPr>
        <w:t xml:space="preserve"> v roku 2013, maximálne 14,1</w:t>
      </w:r>
      <w:r w:rsidR="005676EF">
        <w:rPr>
          <w:iCs/>
          <w:color w:val="000000" w:themeColor="text1"/>
          <w:szCs w:val="22"/>
        </w:rPr>
        <w:t> %</w:t>
      </w:r>
      <w:r w:rsidR="00400DC8" w:rsidRPr="00AE6EDB">
        <w:rPr>
          <w:iCs/>
          <w:color w:val="000000" w:themeColor="text1"/>
          <w:szCs w:val="22"/>
        </w:rPr>
        <w:t xml:space="preserve"> v roku 1995).</w:t>
      </w:r>
    </w:p>
    <w:p w:rsidR="000A7585" w:rsidRPr="00AE6EDB" w:rsidRDefault="000A7585" w:rsidP="000A7585">
      <w:pPr>
        <w:pStyle w:val="Nadpis7"/>
        <w:rPr>
          <w:i/>
          <w:color w:val="333300"/>
          <w:sz w:val="18"/>
          <w:szCs w:val="18"/>
        </w:rPr>
      </w:pPr>
      <w:bookmarkStart w:id="710" w:name="_Toc356482754"/>
      <w:bookmarkEnd w:id="709"/>
      <w:r w:rsidRPr="00AE6EDB">
        <w:t>Graf 3.2</w:t>
      </w:r>
      <w:r w:rsidR="00C25322" w:rsidRPr="00AE6EDB">
        <w:t>3</w:t>
      </w:r>
      <w:r w:rsidRPr="00AE6EDB">
        <w:t xml:space="preserve"> Výdavky na dôchodky, </w:t>
      </w:r>
      <w:r w:rsidR="00DF4275" w:rsidRPr="00AE6EDB">
        <w:t xml:space="preserve">1995 – </w:t>
      </w:r>
      <w:r w:rsidRPr="00AE6EDB">
        <w:t>201</w:t>
      </w:r>
      <w:bookmarkEnd w:id="710"/>
      <w:r w:rsidR="00DF4275" w:rsidRPr="00AE6EDB">
        <w:t xml:space="preserve">3 </w:t>
      </w:r>
    </w:p>
    <w:p w:rsidR="000A7585" w:rsidRPr="00AE6EDB" w:rsidRDefault="00DF4275" w:rsidP="000A7585">
      <w:pPr>
        <w:rPr>
          <w:lang w:eastAsia="cs-CZ"/>
        </w:rPr>
      </w:pPr>
      <w:r w:rsidRPr="00AE6EDB">
        <w:rPr>
          <w:noProof/>
        </w:rPr>
        <w:drawing>
          <wp:inline distT="0" distB="0" distL="0" distR="0" wp14:anchorId="5A959933" wp14:editId="38231311">
            <wp:extent cx="5876925" cy="2085975"/>
            <wp:effectExtent l="0" t="0" r="0" b="0"/>
            <wp:docPr id="2275" name="Graf 2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A7585" w:rsidRPr="00AE6EDB" w:rsidRDefault="000A7585" w:rsidP="000A7585">
      <w:pPr>
        <w:pStyle w:val="zdroj"/>
      </w:pPr>
      <w:r w:rsidRPr="00AE6EDB">
        <w:t xml:space="preserve">Zdroj </w:t>
      </w:r>
      <w:proofErr w:type="spellStart"/>
      <w:r w:rsidRPr="00AE6EDB">
        <w:t>Eurostat</w:t>
      </w:r>
      <w:proofErr w:type="spellEnd"/>
      <w:r w:rsidRPr="00AE6EDB">
        <w:t xml:space="preserve"> </w:t>
      </w:r>
      <w:r w:rsidRPr="00AE6EDB">
        <w:rPr>
          <w:color w:val="000000" w:themeColor="text1"/>
        </w:rPr>
        <w:t xml:space="preserve">– </w:t>
      </w:r>
      <w:r w:rsidRPr="00AE6EDB">
        <w:t>ESSPROS</w:t>
      </w:r>
    </w:p>
    <w:p w:rsidR="000A7585" w:rsidRPr="00AE6EDB" w:rsidRDefault="000A7585" w:rsidP="000A7585">
      <w:pPr>
        <w:ind w:firstLine="431"/>
        <w:rPr>
          <w:iCs/>
          <w:color w:val="000000" w:themeColor="text1"/>
          <w:szCs w:val="22"/>
        </w:rPr>
      </w:pPr>
      <w:r w:rsidRPr="00AE6EDB">
        <w:rPr>
          <w:iCs/>
          <w:color w:val="000000" w:themeColor="text1"/>
          <w:szCs w:val="22"/>
        </w:rPr>
        <w:t xml:space="preserve">Podľa údajov z modulu „Počet poberateľov dôchodkov“ (bez dvojitého narátavania) </w:t>
      </w:r>
      <w:r w:rsidR="00562882" w:rsidRPr="00AE6EDB">
        <w:rPr>
          <w:iCs/>
          <w:color w:val="000000" w:themeColor="text1"/>
          <w:szCs w:val="22"/>
        </w:rPr>
        <w:t>bolo v SR ku koncu roka 2013 spolu 25,5</w:t>
      </w:r>
      <w:r w:rsidR="005676EF">
        <w:rPr>
          <w:iCs/>
          <w:color w:val="000000" w:themeColor="text1"/>
          <w:szCs w:val="22"/>
        </w:rPr>
        <w:t> %</w:t>
      </w:r>
      <w:r w:rsidRPr="00AE6EDB">
        <w:rPr>
          <w:iCs/>
          <w:color w:val="000000" w:themeColor="text1"/>
          <w:szCs w:val="22"/>
        </w:rPr>
        <w:t xml:space="preserve"> poberateľov dôchodkov v</w:t>
      </w:r>
      <w:r w:rsidR="00562882" w:rsidRPr="00AE6EDB">
        <w:rPr>
          <w:iCs/>
          <w:color w:val="000000" w:themeColor="text1"/>
          <w:szCs w:val="22"/>
        </w:rPr>
        <w:t> </w:t>
      </w:r>
      <w:r w:rsidRPr="00AE6EDB">
        <w:rPr>
          <w:iCs/>
          <w:color w:val="000000" w:themeColor="text1"/>
          <w:szCs w:val="22"/>
        </w:rPr>
        <w:t>populácii</w:t>
      </w:r>
      <w:r w:rsidR="00562882" w:rsidRPr="00AE6EDB">
        <w:rPr>
          <w:iCs/>
          <w:color w:val="000000" w:themeColor="text1"/>
          <w:szCs w:val="22"/>
        </w:rPr>
        <w:t>, čo predstavuje nárast o 0,1 p.</w:t>
      </w:r>
      <w:r w:rsidR="00F45681">
        <w:rPr>
          <w:iCs/>
          <w:color w:val="000000" w:themeColor="text1"/>
          <w:szCs w:val="22"/>
        </w:rPr>
        <w:t> </w:t>
      </w:r>
      <w:r w:rsidR="00562882" w:rsidRPr="00AE6EDB">
        <w:rPr>
          <w:iCs/>
          <w:color w:val="000000" w:themeColor="text1"/>
          <w:szCs w:val="22"/>
        </w:rPr>
        <w:t>b. oproti roku 2012</w:t>
      </w:r>
      <w:r w:rsidRPr="00AE6EDB">
        <w:rPr>
          <w:iCs/>
          <w:color w:val="000000" w:themeColor="text1"/>
          <w:szCs w:val="22"/>
        </w:rPr>
        <w:t xml:space="preserve">. </w:t>
      </w:r>
    </w:p>
    <w:p w:rsidR="000A7585" w:rsidRPr="00AE6EDB" w:rsidRDefault="000A7585" w:rsidP="000A7585">
      <w:pPr>
        <w:ind w:firstLine="567"/>
        <w:rPr>
          <w:rFonts w:ascii="Times New Roman Bold" w:hAnsi="Times New Roman Bold"/>
          <w:b/>
          <w:bCs/>
          <w:iCs/>
          <w:color w:val="365F91"/>
          <w:sz w:val="28"/>
          <w:szCs w:val="22"/>
          <w:highlight w:val="cyan"/>
          <w:lang w:eastAsia="cs-CZ"/>
        </w:rPr>
      </w:pPr>
      <w:bookmarkStart w:id="711" w:name="_Toc356482756"/>
      <w:bookmarkStart w:id="712" w:name="_Toc356482818"/>
      <w:bookmarkStart w:id="713" w:name="_Toc325438268"/>
      <w:r w:rsidRPr="00AE6EDB">
        <w:rPr>
          <w:highlight w:val="cyan"/>
        </w:rPr>
        <w:br w:type="page"/>
      </w:r>
    </w:p>
    <w:p w:rsidR="000A7585" w:rsidRPr="00AE6EDB" w:rsidRDefault="000A7585" w:rsidP="000A7585">
      <w:pPr>
        <w:pStyle w:val="nadpis2"/>
      </w:pPr>
      <w:bookmarkStart w:id="714" w:name="_Toc357174523"/>
      <w:bookmarkStart w:id="715" w:name="_Toc422233441"/>
      <w:bookmarkStart w:id="716" w:name="_Toc452469898"/>
      <w:bookmarkStart w:id="717" w:name="_Toc325438278"/>
      <w:bookmarkStart w:id="718" w:name="_Toc356482765"/>
      <w:bookmarkStart w:id="719" w:name="_Toc356482821"/>
      <w:bookmarkEnd w:id="711"/>
      <w:bookmarkEnd w:id="712"/>
      <w:bookmarkEnd w:id="713"/>
      <w:r w:rsidRPr="00AE6EDB">
        <w:t>Európsky sociálny fond</w:t>
      </w:r>
      <w:bookmarkEnd w:id="714"/>
      <w:bookmarkEnd w:id="715"/>
      <w:bookmarkEnd w:id="716"/>
      <w:r w:rsidRPr="00AE6EDB">
        <w:t xml:space="preserve"> </w:t>
      </w:r>
    </w:p>
    <w:p w:rsidR="000A7585" w:rsidRPr="00AE6EDB" w:rsidRDefault="000A7585" w:rsidP="000A7585">
      <w:pPr>
        <w:rPr>
          <w:lang w:eastAsia="cs-CZ"/>
        </w:rPr>
      </w:pPr>
      <w:bookmarkStart w:id="720" w:name="_Toc325438269"/>
      <w:bookmarkStart w:id="721" w:name="_Toc325441012"/>
      <w:bookmarkStart w:id="722" w:name="_Toc325626824"/>
      <w:bookmarkStart w:id="723" w:name="_Toc326217085"/>
      <w:bookmarkStart w:id="724" w:name="_Toc356482757"/>
      <w:r w:rsidRPr="00AE6EDB">
        <w:rPr>
          <w:lang w:eastAsia="cs-CZ"/>
        </w:rPr>
        <w:t xml:space="preserve">V roku 2015 boli ukončené projekty programového obdobia 2007-2013 v rámci Operačného programu Zamestnanosť a sociálna inklúzia (ďalej len „OP </w:t>
      </w:r>
      <w:proofErr w:type="spellStart"/>
      <w:r w:rsidRPr="00AE6EDB">
        <w:rPr>
          <w:lang w:eastAsia="cs-CZ"/>
        </w:rPr>
        <w:t>ZaSI</w:t>
      </w:r>
      <w:proofErr w:type="spellEnd"/>
      <w:r w:rsidRPr="00AE6EDB">
        <w:rPr>
          <w:lang w:eastAsia="cs-CZ"/>
        </w:rPr>
        <w:t>“) a zároveň sa začalo s realizáciou a </w:t>
      </w:r>
      <w:proofErr w:type="spellStart"/>
      <w:r w:rsidRPr="00AE6EDB">
        <w:rPr>
          <w:lang w:eastAsia="cs-CZ"/>
        </w:rPr>
        <w:t>zazmluvňovaním</w:t>
      </w:r>
      <w:proofErr w:type="spellEnd"/>
      <w:r w:rsidRPr="00AE6EDB">
        <w:rPr>
          <w:lang w:eastAsia="cs-CZ"/>
        </w:rPr>
        <w:t xml:space="preserve"> projektov nového programového obdobia 2014-2020, v rámci Operačného programu Ľudské zdroje (ďalej len „OP ĽZ“).</w:t>
      </w:r>
    </w:p>
    <w:p w:rsidR="000A7585" w:rsidRPr="00AE6EDB" w:rsidRDefault="000A7585" w:rsidP="000A7585">
      <w:pPr>
        <w:pStyle w:val="Nadpis6"/>
      </w:pPr>
      <w:bookmarkStart w:id="725" w:name="_Toc448846134"/>
      <w:bookmarkStart w:id="726" w:name="_Toc452469899"/>
      <w:r w:rsidRPr="00AE6EDB">
        <w:t>Operačný program Zamestnanosť a sociálna inklúzia</w:t>
      </w:r>
      <w:bookmarkEnd w:id="725"/>
      <w:bookmarkEnd w:id="726"/>
    </w:p>
    <w:p w:rsidR="000A7585" w:rsidRPr="00AE6EDB" w:rsidRDefault="000A7585" w:rsidP="000A7585">
      <w:pPr>
        <w:ind w:firstLine="431"/>
        <w:rPr>
          <w:color w:val="000000"/>
        </w:rPr>
      </w:pPr>
      <w:r w:rsidRPr="00AE6EDB">
        <w:rPr>
          <w:color w:val="000000"/>
        </w:rPr>
        <w:t xml:space="preserve">V rámci OP </w:t>
      </w:r>
      <w:proofErr w:type="spellStart"/>
      <w:r w:rsidRPr="00AE6EDB">
        <w:rPr>
          <w:color w:val="000000"/>
        </w:rPr>
        <w:t>ZaSI</w:t>
      </w:r>
      <w:proofErr w:type="spellEnd"/>
      <w:r w:rsidRPr="00AE6EDB">
        <w:rPr>
          <w:color w:val="000000"/>
        </w:rPr>
        <w:t xml:space="preserve"> sa v programovom období 2007 </w:t>
      </w:r>
      <w:r w:rsidRPr="00AE6EDB">
        <w:rPr>
          <w:color w:val="000000" w:themeColor="text1"/>
        </w:rPr>
        <w:t xml:space="preserve">– </w:t>
      </w:r>
      <w:r w:rsidRPr="00AE6EDB">
        <w:rPr>
          <w:color w:val="000000"/>
        </w:rPr>
        <w:t xml:space="preserve">2013 poskytla podpora v oblasti </w:t>
      </w:r>
      <w:r w:rsidRPr="00AE6EDB">
        <w:rPr>
          <w:i/>
          <w:color w:val="000000"/>
        </w:rPr>
        <w:t>rozvoja ľudských zdrojov, zvyšovania zamestnanosti, zvyšovania sociálnej inklúzie a budovania kapacít</w:t>
      </w:r>
      <w:r w:rsidRPr="00AE6EDB">
        <w:rPr>
          <w:color w:val="000000"/>
        </w:rPr>
        <w:t>. Globálnym cieľom operačného programu je rast zamestnanosti, pokles nezamestnanosti, sociálna inklúzia a budovanie kapacít. Pre jeho dosiahnutie boli stanovené tri hlavné ciele:</w:t>
      </w:r>
    </w:p>
    <w:p w:rsidR="000A7585" w:rsidRPr="00AE6EDB" w:rsidRDefault="000A7585" w:rsidP="000A7585">
      <w:pPr>
        <w:pStyle w:val="Odsekzoznamu"/>
      </w:pPr>
      <w:r w:rsidRPr="00AE6EDB">
        <w:t>zvyšovanie zamestnanosti a adaptability a znižovanie nezamestnanosti</w:t>
      </w:r>
    </w:p>
    <w:p w:rsidR="000A7585" w:rsidRPr="00AE6EDB" w:rsidRDefault="000A7585" w:rsidP="000A7585">
      <w:pPr>
        <w:pStyle w:val="Odsekzoznamu"/>
      </w:pPr>
      <w:r w:rsidRPr="00AE6EDB">
        <w:t>posilnenie integrácie osôb ohrozených sociálnym vylúčením alebo sociálne vylúčených a podpora zosúladenia rodinného a pracovného života</w:t>
      </w:r>
    </w:p>
    <w:p w:rsidR="000A7585" w:rsidRPr="00AE6EDB" w:rsidRDefault="000A7585" w:rsidP="000A7585">
      <w:pPr>
        <w:pStyle w:val="Odsekzoznamu"/>
      </w:pPr>
      <w:r w:rsidRPr="00AE6EDB">
        <w:t>zvyšovanie kvality ľudských zdrojov a ich riadenia v oblasti verejnej politiky.</w:t>
      </w:r>
    </w:p>
    <w:p w:rsidR="000A7585" w:rsidRPr="00AE6EDB" w:rsidRDefault="000A7585" w:rsidP="000A7585">
      <w:pPr>
        <w:rPr>
          <w:color w:val="000000"/>
        </w:rPr>
      </w:pPr>
    </w:p>
    <w:p w:rsidR="000A7585" w:rsidRPr="00AE6EDB" w:rsidRDefault="000A7585" w:rsidP="000A7585">
      <w:pPr>
        <w:rPr>
          <w:color w:val="000000"/>
        </w:rPr>
      </w:pPr>
      <w:r w:rsidRPr="00AE6EDB">
        <w:rPr>
          <w:color w:val="000000"/>
        </w:rPr>
        <w:t>Hlavné ciele sú zamerané na prevenciu a riešenie hlavných problémov na trhu práce. Ich vzájomná synergia a nadväznosť je obsiahnutá v 5 prioritných osiach:</w:t>
      </w:r>
    </w:p>
    <w:p w:rsidR="000A7585" w:rsidRPr="00AE6EDB" w:rsidRDefault="000A7585" w:rsidP="000A7585">
      <w:pPr>
        <w:pStyle w:val="Odsekzoznamu"/>
      </w:pPr>
      <w:r w:rsidRPr="00AE6EDB">
        <w:t>podpora rastu zamestnanosti</w:t>
      </w:r>
    </w:p>
    <w:p w:rsidR="000A7585" w:rsidRPr="00AE6EDB" w:rsidRDefault="000A7585" w:rsidP="000A7585">
      <w:pPr>
        <w:pStyle w:val="Odsekzoznamu"/>
      </w:pPr>
      <w:r w:rsidRPr="00AE6EDB">
        <w:t>podpora sociálnej inklúzie</w:t>
      </w:r>
    </w:p>
    <w:p w:rsidR="000A7585" w:rsidRPr="00AE6EDB" w:rsidRDefault="000A7585" w:rsidP="000A7585">
      <w:pPr>
        <w:pStyle w:val="Odsekzoznamu"/>
      </w:pPr>
      <w:r w:rsidRPr="00AE6EDB">
        <w:t xml:space="preserve">podpora zamestnanosti, sociálnej inklúzie a budovanie kapacít v Bratislavskom samosprávnom kraji </w:t>
      </w:r>
    </w:p>
    <w:p w:rsidR="000A7585" w:rsidRPr="00AE6EDB" w:rsidRDefault="000A7585" w:rsidP="000A7585">
      <w:pPr>
        <w:pStyle w:val="Odsekzoznamu"/>
      </w:pPr>
      <w:r w:rsidRPr="00AE6EDB">
        <w:t>budovanie kapacít a zlepšenie kvality verejnej správy</w:t>
      </w:r>
    </w:p>
    <w:p w:rsidR="000A7585" w:rsidRPr="00AE6EDB" w:rsidRDefault="000A7585" w:rsidP="000A7585">
      <w:pPr>
        <w:pStyle w:val="Odsekzoznamu"/>
      </w:pPr>
      <w:r w:rsidRPr="00AE6EDB">
        <w:t>technická pomoc</w:t>
      </w:r>
    </w:p>
    <w:p w:rsidR="000A7585" w:rsidRPr="00AE6EDB" w:rsidRDefault="000A7585" w:rsidP="000A7585">
      <w:pPr>
        <w:rPr>
          <w:color w:val="000000"/>
          <w:highlight w:val="cyan"/>
        </w:rPr>
      </w:pPr>
    </w:p>
    <w:p w:rsidR="000A7585" w:rsidRPr="00AE6EDB" w:rsidRDefault="000A7585" w:rsidP="000A7585">
      <w:pPr>
        <w:ind w:firstLine="431"/>
        <w:rPr>
          <w:color w:val="000000"/>
          <w:lang w:eastAsia="en-GB"/>
        </w:rPr>
      </w:pPr>
      <w:r w:rsidRPr="00AE6EDB">
        <w:rPr>
          <w:color w:val="000000"/>
        </w:rPr>
        <w:t xml:space="preserve">Prioritné osi sú rozpracované do 11 opatrení; v rámci opatrenia technickej pomoci sú uplatňované dve prioritné témy. Podpora je distribuovaná prostredníctvom dvoch cieľov: </w:t>
      </w:r>
      <w:r w:rsidRPr="00AE6EDB">
        <w:rPr>
          <w:i/>
          <w:color w:val="000000"/>
        </w:rPr>
        <w:t>Konvergencia</w:t>
      </w:r>
      <w:r w:rsidRPr="00AE6EDB">
        <w:rPr>
          <w:color w:val="000000"/>
        </w:rPr>
        <w:t xml:space="preserve"> a </w:t>
      </w:r>
      <w:r w:rsidRPr="00AE6EDB">
        <w:rPr>
          <w:i/>
          <w:color w:val="000000"/>
        </w:rPr>
        <w:t>Regionálna konkurencieschopnosť a zamestnanosť</w:t>
      </w:r>
      <w:r w:rsidRPr="00AE6EDB">
        <w:rPr>
          <w:color w:val="000000"/>
        </w:rPr>
        <w:t xml:space="preserve"> medzi regióny podľa ich ekonomickej výkonnosti. OP </w:t>
      </w:r>
      <w:proofErr w:type="spellStart"/>
      <w:r w:rsidRPr="00AE6EDB">
        <w:rPr>
          <w:color w:val="000000"/>
        </w:rPr>
        <w:t>ZaSI</w:t>
      </w:r>
      <w:proofErr w:type="spellEnd"/>
      <w:r w:rsidRPr="00AE6EDB">
        <w:rPr>
          <w:color w:val="000000"/>
        </w:rPr>
        <w:t xml:space="preserve"> je operačný program financovaný z prostriedkov Európskeho sociálneho fondu (ďalej aj „ESF“) v celkovom objeme </w:t>
      </w:r>
      <w:r w:rsidR="0054295F">
        <w:rPr>
          <w:b/>
          <w:color w:val="000000"/>
        </w:rPr>
        <w:t>1 1</w:t>
      </w:r>
      <w:r w:rsidRPr="00AE6EDB">
        <w:rPr>
          <w:b/>
          <w:color w:val="000000"/>
        </w:rPr>
        <w:t>0</w:t>
      </w:r>
      <w:r w:rsidR="00AC44CB">
        <w:rPr>
          <w:b/>
          <w:color w:val="000000"/>
        </w:rPr>
        <w:t>7 4</w:t>
      </w:r>
      <w:r w:rsidRPr="00AE6EDB">
        <w:rPr>
          <w:b/>
          <w:color w:val="000000"/>
        </w:rPr>
        <w:t>1</w:t>
      </w:r>
      <w:r w:rsidR="0054295F">
        <w:rPr>
          <w:b/>
          <w:color w:val="000000"/>
        </w:rPr>
        <w:t>3 6</w:t>
      </w:r>
      <w:r w:rsidRPr="00AE6EDB">
        <w:rPr>
          <w:b/>
          <w:color w:val="000000"/>
        </w:rPr>
        <w:t>23</w:t>
      </w:r>
      <w:r w:rsidR="0054295F">
        <w:rPr>
          <w:b/>
          <w:color w:val="000000"/>
        </w:rPr>
        <w:t> eur</w:t>
      </w:r>
      <w:r w:rsidRPr="00AE6EDB">
        <w:rPr>
          <w:color w:val="000000"/>
        </w:rPr>
        <w:t>. Príspevok Európskeho spoločenstva predstavuje sumu 94</w:t>
      </w:r>
      <w:r w:rsidR="0054295F">
        <w:rPr>
          <w:color w:val="000000"/>
        </w:rPr>
        <w:t>1 3</w:t>
      </w:r>
      <w:r w:rsidRPr="00AE6EDB">
        <w:rPr>
          <w:color w:val="000000"/>
        </w:rPr>
        <w:t>0</w:t>
      </w:r>
      <w:r w:rsidR="0054295F">
        <w:rPr>
          <w:color w:val="000000"/>
        </w:rPr>
        <w:t>1 5</w:t>
      </w:r>
      <w:r w:rsidRPr="00AE6EDB">
        <w:rPr>
          <w:color w:val="000000"/>
        </w:rPr>
        <w:t>78</w:t>
      </w:r>
      <w:r w:rsidR="0054295F">
        <w:rPr>
          <w:color w:val="000000"/>
        </w:rPr>
        <w:t> eur</w:t>
      </w:r>
      <w:r w:rsidRPr="00AE6EDB">
        <w:rPr>
          <w:color w:val="000000"/>
        </w:rPr>
        <w:t xml:space="preserve"> (v roku 2012 bola </w:t>
      </w:r>
      <w:proofErr w:type="spellStart"/>
      <w:r w:rsidRPr="00AE6EDB">
        <w:rPr>
          <w:color w:val="000000"/>
        </w:rPr>
        <w:t>realokáciou</w:t>
      </w:r>
      <w:proofErr w:type="spellEnd"/>
      <w:r w:rsidRPr="00AE6EDB">
        <w:rPr>
          <w:color w:val="000000"/>
        </w:rPr>
        <w:t xml:space="preserve"> zvýšená suma pre OP </w:t>
      </w:r>
      <w:proofErr w:type="spellStart"/>
      <w:r w:rsidRPr="00AE6EDB">
        <w:rPr>
          <w:color w:val="000000"/>
        </w:rPr>
        <w:t>ZaSI</w:t>
      </w:r>
      <w:proofErr w:type="spellEnd"/>
      <w:r w:rsidRPr="00AE6EDB">
        <w:rPr>
          <w:color w:val="000000"/>
        </w:rPr>
        <w:t xml:space="preserve"> o</w:t>
      </w:r>
      <w:r w:rsidR="0054295F">
        <w:rPr>
          <w:color w:val="000000"/>
        </w:rPr>
        <w:t> </w:t>
      </w:r>
      <w:r w:rsidRPr="00AE6EDB">
        <w:rPr>
          <w:color w:val="000000"/>
        </w:rPr>
        <w:t>70</w:t>
      </w:r>
      <w:r w:rsidR="0054295F">
        <w:rPr>
          <w:color w:val="000000"/>
        </w:rPr>
        <w:t> </w:t>
      </w:r>
      <w:r w:rsidRPr="00AE6EDB">
        <w:rPr>
          <w:color w:val="000000"/>
        </w:rPr>
        <w:t>mil.</w:t>
      </w:r>
      <w:r w:rsidR="0054295F">
        <w:rPr>
          <w:color w:val="000000"/>
        </w:rPr>
        <w:t> eur</w:t>
      </w:r>
      <w:r w:rsidRPr="00AE6EDB">
        <w:rPr>
          <w:color w:val="000000"/>
        </w:rPr>
        <w:t xml:space="preserve"> z Operačného programu Vzdelávanie), štátny rozpočet prispieva čiastkou 16</w:t>
      </w:r>
      <w:r w:rsidR="00AC44CB">
        <w:rPr>
          <w:color w:val="000000"/>
        </w:rPr>
        <w:t>6 1</w:t>
      </w:r>
      <w:r w:rsidRPr="00AE6EDB">
        <w:rPr>
          <w:color w:val="000000"/>
        </w:rPr>
        <w:t>1</w:t>
      </w:r>
      <w:r w:rsidR="0054295F">
        <w:rPr>
          <w:color w:val="000000"/>
        </w:rPr>
        <w:t>2 0</w:t>
      </w:r>
      <w:r w:rsidRPr="00AE6EDB">
        <w:rPr>
          <w:color w:val="000000"/>
        </w:rPr>
        <w:t>45</w:t>
      </w:r>
      <w:r w:rsidR="0054295F">
        <w:rPr>
          <w:color w:val="000000"/>
        </w:rPr>
        <w:t> eur</w:t>
      </w:r>
      <w:r w:rsidRPr="00AE6EDB">
        <w:rPr>
          <w:color w:val="000000"/>
        </w:rPr>
        <w:t xml:space="preserve">. </w:t>
      </w:r>
      <w:r w:rsidRPr="00AE6EDB">
        <w:rPr>
          <w:color w:val="000000"/>
          <w:lang w:eastAsia="en-GB"/>
        </w:rPr>
        <w:t xml:space="preserve">Implementácia OP </w:t>
      </w:r>
      <w:proofErr w:type="spellStart"/>
      <w:r w:rsidRPr="00AE6EDB">
        <w:rPr>
          <w:color w:val="000000"/>
          <w:lang w:eastAsia="en-GB"/>
        </w:rPr>
        <w:t>ZaSI</w:t>
      </w:r>
      <w:proofErr w:type="spellEnd"/>
      <w:r w:rsidRPr="00AE6EDB">
        <w:rPr>
          <w:color w:val="000000"/>
          <w:lang w:eastAsia="en-GB"/>
        </w:rPr>
        <w:t xml:space="preserve"> spadá do obdobia oprávnenosti 01. 01. 2007 </w:t>
      </w:r>
      <w:r w:rsidRPr="00AE6EDB">
        <w:rPr>
          <w:color w:val="000000" w:themeColor="text1"/>
        </w:rPr>
        <w:t>–</w:t>
      </w:r>
      <w:r w:rsidRPr="00AE6EDB">
        <w:rPr>
          <w:color w:val="000000"/>
          <w:lang w:eastAsia="en-GB"/>
        </w:rPr>
        <w:t xml:space="preserve"> 31. 12. 2015. </w:t>
      </w:r>
    </w:p>
    <w:p w:rsidR="000A7585" w:rsidRPr="00AE6EDB" w:rsidRDefault="000A7585" w:rsidP="000A7585">
      <w:pPr>
        <w:jc w:val="left"/>
        <w:rPr>
          <w:b/>
        </w:rPr>
      </w:pPr>
      <w:bookmarkStart w:id="727" w:name="_Toc325438270"/>
      <w:bookmarkStart w:id="728" w:name="_Toc325441013"/>
      <w:bookmarkStart w:id="729" w:name="_Toc325626825"/>
      <w:bookmarkStart w:id="730" w:name="_Toc326217086"/>
      <w:bookmarkStart w:id="731" w:name="_Toc356482758"/>
      <w:bookmarkEnd w:id="720"/>
      <w:bookmarkEnd w:id="721"/>
      <w:bookmarkEnd w:id="722"/>
      <w:bookmarkEnd w:id="723"/>
      <w:bookmarkEnd w:id="724"/>
      <w:r w:rsidRPr="00AE6EDB">
        <w:br w:type="page"/>
      </w:r>
    </w:p>
    <w:p w:rsidR="000A7585" w:rsidRPr="00AE6EDB" w:rsidRDefault="000A7585" w:rsidP="000A7585">
      <w:pPr>
        <w:pStyle w:val="Nadpis7"/>
      </w:pPr>
      <w:r w:rsidRPr="00AE6EDB">
        <w:t>Tabuľka 3.</w:t>
      </w:r>
      <w:r w:rsidR="004A57BA" w:rsidRPr="00AE6EDB">
        <w:t>2</w:t>
      </w:r>
      <w:r w:rsidR="00D26D30" w:rsidRPr="00AE6EDB">
        <w:t>9</w:t>
      </w:r>
      <w:r w:rsidRPr="00AE6EDB">
        <w:t xml:space="preserve"> Stav </w:t>
      </w:r>
      <w:proofErr w:type="spellStart"/>
      <w:r w:rsidRPr="00AE6EDB">
        <w:t>zazmluvnenia</w:t>
      </w:r>
      <w:proofErr w:type="spellEnd"/>
      <w:r w:rsidRPr="00AE6EDB">
        <w:t xml:space="preserve"> a čerpania OP </w:t>
      </w:r>
      <w:proofErr w:type="spellStart"/>
      <w:r w:rsidRPr="00AE6EDB">
        <w:t>ZaSI</w:t>
      </w:r>
      <w:proofErr w:type="spellEnd"/>
      <w:r w:rsidRPr="00AE6EDB">
        <w:t xml:space="preserve"> k 31.12.2015</w:t>
      </w:r>
    </w:p>
    <w:tbl>
      <w:tblPr>
        <w:tblW w:w="872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CellMar>
          <w:left w:w="57" w:type="dxa"/>
          <w:right w:w="57" w:type="dxa"/>
        </w:tblCellMar>
        <w:tblLook w:val="00A0" w:firstRow="1" w:lastRow="0" w:firstColumn="1" w:lastColumn="0" w:noHBand="0" w:noVBand="0"/>
      </w:tblPr>
      <w:tblGrid>
        <w:gridCol w:w="1921"/>
        <w:gridCol w:w="1308"/>
        <w:gridCol w:w="1810"/>
        <w:gridCol w:w="1843"/>
        <w:gridCol w:w="1843"/>
      </w:tblGrid>
      <w:tr w:rsidR="000A7585" w:rsidRPr="00AE6EDB" w:rsidTr="00BC0D6C">
        <w:trPr>
          <w:trHeight w:val="1191"/>
          <w:jc w:val="center"/>
        </w:trPr>
        <w:tc>
          <w:tcPr>
            <w:tcW w:w="1921" w:type="dxa"/>
            <w:shd w:val="clear" w:color="auto" w:fill="BF0000" w:themeFill="accent3" w:themeFillShade="BF"/>
            <w:vAlign w:val="center"/>
          </w:tcPr>
          <w:p w:rsidR="000A7585" w:rsidRPr="00AE6EDB" w:rsidRDefault="000A7585" w:rsidP="00DE0EEC">
            <w:pPr>
              <w:jc w:val="center"/>
              <w:rPr>
                <w:b/>
                <w:sz w:val="20"/>
                <w:szCs w:val="20"/>
              </w:rPr>
            </w:pPr>
            <w:r w:rsidRPr="00AE6EDB">
              <w:rPr>
                <w:b/>
                <w:sz w:val="20"/>
                <w:szCs w:val="20"/>
              </w:rPr>
              <w:t>Prioritná os</w:t>
            </w:r>
          </w:p>
        </w:tc>
        <w:tc>
          <w:tcPr>
            <w:tcW w:w="1308" w:type="dxa"/>
            <w:shd w:val="clear" w:color="auto" w:fill="BF0000" w:themeFill="accent3" w:themeFillShade="BF"/>
            <w:vAlign w:val="bottom"/>
          </w:tcPr>
          <w:p w:rsidR="000A7585" w:rsidRPr="00AE6EDB" w:rsidRDefault="000A7585" w:rsidP="00BC0D6C">
            <w:pPr>
              <w:jc w:val="center"/>
              <w:rPr>
                <w:b/>
                <w:sz w:val="20"/>
                <w:szCs w:val="20"/>
              </w:rPr>
            </w:pPr>
            <w:r w:rsidRPr="00AE6EDB">
              <w:rPr>
                <w:b/>
                <w:sz w:val="20"/>
                <w:szCs w:val="20"/>
              </w:rPr>
              <w:t>Celková alokácia pre os mil.</w:t>
            </w:r>
            <w:r w:rsidR="0054295F">
              <w:rPr>
                <w:b/>
                <w:sz w:val="20"/>
                <w:szCs w:val="20"/>
              </w:rPr>
              <w:t> eur</w:t>
            </w:r>
          </w:p>
        </w:tc>
        <w:tc>
          <w:tcPr>
            <w:tcW w:w="1810" w:type="dxa"/>
            <w:shd w:val="clear" w:color="auto" w:fill="BF0000" w:themeFill="accent3" w:themeFillShade="BF"/>
            <w:vAlign w:val="bottom"/>
          </w:tcPr>
          <w:p w:rsidR="000A7585" w:rsidRPr="00AE6EDB" w:rsidRDefault="000A7585" w:rsidP="00BC0D6C">
            <w:pPr>
              <w:jc w:val="center"/>
              <w:rPr>
                <w:b/>
                <w:sz w:val="20"/>
                <w:szCs w:val="20"/>
              </w:rPr>
            </w:pPr>
            <w:r w:rsidRPr="00AE6EDB">
              <w:rPr>
                <w:b/>
                <w:sz w:val="20"/>
                <w:szCs w:val="20"/>
              </w:rPr>
              <w:t xml:space="preserve">Počet </w:t>
            </w:r>
            <w:proofErr w:type="spellStart"/>
            <w:r w:rsidRPr="00AE6EDB">
              <w:rPr>
                <w:b/>
                <w:sz w:val="20"/>
                <w:szCs w:val="20"/>
              </w:rPr>
              <w:t>zazmluvnených</w:t>
            </w:r>
            <w:proofErr w:type="spellEnd"/>
            <w:r w:rsidRPr="00AE6EDB">
              <w:rPr>
                <w:b/>
                <w:sz w:val="20"/>
                <w:szCs w:val="20"/>
              </w:rPr>
              <w:t xml:space="preserve"> projektov **</w:t>
            </w:r>
          </w:p>
        </w:tc>
        <w:tc>
          <w:tcPr>
            <w:tcW w:w="1843" w:type="dxa"/>
            <w:shd w:val="clear" w:color="auto" w:fill="BF0000" w:themeFill="accent3" w:themeFillShade="BF"/>
            <w:vAlign w:val="bottom"/>
          </w:tcPr>
          <w:p w:rsidR="000A7585" w:rsidRPr="00AE6EDB" w:rsidRDefault="000A7585" w:rsidP="00BC0D6C">
            <w:pPr>
              <w:jc w:val="center"/>
              <w:rPr>
                <w:b/>
                <w:sz w:val="20"/>
                <w:szCs w:val="20"/>
              </w:rPr>
            </w:pPr>
            <w:r w:rsidRPr="00AE6EDB">
              <w:rPr>
                <w:b/>
                <w:sz w:val="20"/>
                <w:szCs w:val="20"/>
              </w:rPr>
              <w:t xml:space="preserve">Výška </w:t>
            </w:r>
            <w:proofErr w:type="spellStart"/>
            <w:r w:rsidRPr="00AE6EDB">
              <w:rPr>
                <w:b/>
                <w:sz w:val="20"/>
                <w:szCs w:val="20"/>
              </w:rPr>
              <w:t>zazmluvnených</w:t>
            </w:r>
            <w:proofErr w:type="spellEnd"/>
            <w:r w:rsidRPr="00AE6EDB">
              <w:rPr>
                <w:b/>
                <w:sz w:val="20"/>
                <w:szCs w:val="20"/>
              </w:rPr>
              <w:t xml:space="preserve"> finančných prostriedkov v mil.</w:t>
            </w:r>
            <w:r w:rsidR="0054295F">
              <w:rPr>
                <w:b/>
                <w:sz w:val="20"/>
                <w:szCs w:val="20"/>
              </w:rPr>
              <w:t> eur</w:t>
            </w:r>
            <w:r w:rsidRPr="00AE6EDB">
              <w:rPr>
                <w:b/>
                <w:sz w:val="20"/>
                <w:szCs w:val="20"/>
              </w:rPr>
              <w:t xml:space="preserve"> *</w:t>
            </w:r>
          </w:p>
        </w:tc>
        <w:tc>
          <w:tcPr>
            <w:tcW w:w="1843" w:type="dxa"/>
            <w:shd w:val="clear" w:color="auto" w:fill="BF0000" w:themeFill="accent3" w:themeFillShade="BF"/>
            <w:vAlign w:val="bottom"/>
          </w:tcPr>
          <w:p w:rsidR="000A7585" w:rsidRPr="00AE6EDB" w:rsidRDefault="000A7585" w:rsidP="00BC0D6C">
            <w:pPr>
              <w:jc w:val="center"/>
              <w:rPr>
                <w:b/>
                <w:sz w:val="20"/>
                <w:szCs w:val="20"/>
              </w:rPr>
            </w:pPr>
            <w:r w:rsidRPr="00AE6EDB">
              <w:rPr>
                <w:b/>
                <w:sz w:val="20"/>
                <w:szCs w:val="20"/>
              </w:rPr>
              <w:t>Výška čerpaných finančných prostriedkov v mil.</w:t>
            </w:r>
            <w:r w:rsidR="0054295F">
              <w:rPr>
                <w:b/>
                <w:sz w:val="20"/>
                <w:szCs w:val="20"/>
              </w:rPr>
              <w:t> eur</w:t>
            </w:r>
          </w:p>
        </w:tc>
      </w:tr>
      <w:tr w:rsidR="000A7585" w:rsidRPr="00AE6EDB" w:rsidTr="00DE0EEC">
        <w:trPr>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1.Podpora zamestnanosti</w:t>
            </w:r>
          </w:p>
        </w:tc>
        <w:tc>
          <w:tcPr>
            <w:tcW w:w="1308" w:type="dxa"/>
            <w:vAlign w:val="center"/>
          </w:tcPr>
          <w:p w:rsidR="000A7585" w:rsidRPr="00AE6EDB" w:rsidRDefault="000A7585" w:rsidP="00DE0EEC">
            <w:pPr>
              <w:ind w:right="226"/>
              <w:jc w:val="right"/>
              <w:rPr>
                <w:sz w:val="20"/>
                <w:szCs w:val="20"/>
              </w:rPr>
            </w:pPr>
            <w:r w:rsidRPr="00AE6EDB">
              <w:rPr>
                <w:sz w:val="20"/>
                <w:szCs w:val="20"/>
              </w:rPr>
              <w:t>770,45</w:t>
            </w:r>
          </w:p>
        </w:tc>
        <w:tc>
          <w:tcPr>
            <w:tcW w:w="1810" w:type="dxa"/>
            <w:vAlign w:val="center"/>
          </w:tcPr>
          <w:p w:rsidR="000A7585" w:rsidRPr="00AE6EDB" w:rsidRDefault="000A7585" w:rsidP="00DE0EEC">
            <w:pPr>
              <w:ind w:right="226"/>
              <w:jc w:val="right"/>
              <w:rPr>
                <w:sz w:val="20"/>
                <w:szCs w:val="20"/>
              </w:rPr>
            </w:pPr>
            <w:r w:rsidRPr="00AE6EDB">
              <w:rPr>
                <w:sz w:val="20"/>
                <w:szCs w:val="20"/>
              </w:rPr>
              <w:t>517</w:t>
            </w:r>
          </w:p>
        </w:tc>
        <w:tc>
          <w:tcPr>
            <w:tcW w:w="1843" w:type="dxa"/>
            <w:vAlign w:val="center"/>
          </w:tcPr>
          <w:p w:rsidR="000A7585" w:rsidRPr="00AE6EDB" w:rsidRDefault="000A7585" w:rsidP="00DE0EEC">
            <w:pPr>
              <w:ind w:right="226"/>
              <w:jc w:val="right"/>
              <w:rPr>
                <w:sz w:val="20"/>
                <w:szCs w:val="20"/>
              </w:rPr>
            </w:pPr>
            <w:r w:rsidRPr="00AE6EDB">
              <w:rPr>
                <w:sz w:val="20"/>
                <w:szCs w:val="20"/>
              </w:rPr>
              <w:t>871,3</w:t>
            </w:r>
          </w:p>
        </w:tc>
        <w:tc>
          <w:tcPr>
            <w:tcW w:w="1843" w:type="dxa"/>
            <w:vAlign w:val="center"/>
          </w:tcPr>
          <w:p w:rsidR="000A7585" w:rsidRPr="00AE6EDB" w:rsidRDefault="000A7585" w:rsidP="00DE0EEC">
            <w:pPr>
              <w:ind w:right="226"/>
              <w:jc w:val="right"/>
              <w:rPr>
                <w:sz w:val="20"/>
                <w:szCs w:val="20"/>
              </w:rPr>
            </w:pPr>
            <w:r w:rsidRPr="00AE6EDB">
              <w:rPr>
                <w:sz w:val="20"/>
                <w:szCs w:val="20"/>
              </w:rPr>
              <w:t>806,7</w:t>
            </w:r>
          </w:p>
        </w:tc>
      </w:tr>
      <w:tr w:rsidR="000A7585" w:rsidRPr="00AE6EDB" w:rsidTr="00DE0EEC">
        <w:trPr>
          <w:trHeight w:val="283"/>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2. Sociálna inklúzia</w:t>
            </w:r>
          </w:p>
        </w:tc>
        <w:tc>
          <w:tcPr>
            <w:tcW w:w="1308" w:type="dxa"/>
            <w:vAlign w:val="center"/>
          </w:tcPr>
          <w:p w:rsidR="000A7585" w:rsidRPr="00AE6EDB" w:rsidRDefault="000A7585" w:rsidP="00DE0EEC">
            <w:pPr>
              <w:ind w:right="226"/>
              <w:jc w:val="right"/>
              <w:rPr>
                <w:sz w:val="20"/>
                <w:szCs w:val="20"/>
              </w:rPr>
            </w:pPr>
            <w:r w:rsidRPr="00AE6EDB">
              <w:rPr>
                <w:sz w:val="20"/>
                <w:szCs w:val="20"/>
              </w:rPr>
              <w:t>204,94</w:t>
            </w:r>
          </w:p>
        </w:tc>
        <w:tc>
          <w:tcPr>
            <w:tcW w:w="1810" w:type="dxa"/>
            <w:vAlign w:val="center"/>
          </w:tcPr>
          <w:p w:rsidR="000A7585" w:rsidRPr="00AE6EDB" w:rsidRDefault="000A7585" w:rsidP="00DE0EEC">
            <w:pPr>
              <w:ind w:right="226"/>
              <w:jc w:val="right"/>
              <w:rPr>
                <w:sz w:val="20"/>
                <w:szCs w:val="20"/>
              </w:rPr>
            </w:pPr>
            <w:r w:rsidRPr="00AE6EDB">
              <w:rPr>
                <w:sz w:val="20"/>
                <w:szCs w:val="20"/>
              </w:rPr>
              <w:t>758</w:t>
            </w:r>
          </w:p>
        </w:tc>
        <w:tc>
          <w:tcPr>
            <w:tcW w:w="1843" w:type="dxa"/>
            <w:vAlign w:val="center"/>
          </w:tcPr>
          <w:p w:rsidR="000A7585" w:rsidRPr="00AE6EDB" w:rsidRDefault="000A7585" w:rsidP="00DE0EEC">
            <w:pPr>
              <w:ind w:right="226"/>
              <w:jc w:val="right"/>
              <w:rPr>
                <w:sz w:val="20"/>
                <w:szCs w:val="20"/>
              </w:rPr>
            </w:pPr>
            <w:r w:rsidRPr="00AE6EDB">
              <w:rPr>
                <w:sz w:val="20"/>
                <w:szCs w:val="20"/>
              </w:rPr>
              <w:t>201,9</w:t>
            </w:r>
          </w:p>
        </w:tc>
        <w:tc>
          <w:tcPr>
            <w:tcW w:w="1843" w:type="dxa"/>
            <w:vAlign w:val="center"/>
          </w:tcPr>
          <w:p w:rsidR="000A7585" w:rsidRPr="00AE6EDB" w:rsidRDefault="000A7585" w:rsidP="00DE0EEC">
            <w:pPr>
              <w:ind w:right="226"/>
              <w:jc w:val="right"/>
              <w:rPr>
                <w:sz w:val="20"/>
                <w:szCs w:val="20"/>
              </w:rPr>
            </w:pPr>
            <w:r w:rsidRPr="00AE6EDB">
              <w:rPr>
                <w:sz w:val="20"/>
                <w:szCs w:val="20"/>
              </w:rPr>
              <w:t>135,5</w:t>
            </w:r>
          </w:p>
        </w:tc>
      </w:tr>
      <w:tr w:rsidR="000A7585" w:rsidRPr="00AE6EDB" w:rsidTr="00DE0EEC">
        <w:trPr>
          <w:trHeight w:val="283"/>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3. BSK (vrátane TA)</w:t>
            </w:r>
          </w:p>
        </w:tc>
        <w:tc>
          <w:tcPr>
            <w:tcW w:w="1308" w:type="dxa"/>
            <w:vAlign w:val="center"/>
          </w:tcPr>
          <w:p w:rsidR="000A7585" w:rsidRPr="00AE6EDB" w:rsidRDefault="000A7585" w:rsidP="00DE0EEC">
            <w:pPr>
              <w:ind w:right="226"/>
              <w:jc w:val="right"/>
              <w:rPr>
                <w:sz w:val="20"/>
                <w:szCs w:val="20"/>
              </w:rPr>
            </w:pPr>
            <w:r w:rsidRPr="00AE6EDB">
              <w:rPr>
                <w:sz w:val="20"/>
                <w:szCs w:val="20"/>
              </w:rPr>
              <w:t>20,94</w:t>
            </w:r>
          </w:p>
        </w:tc>
        <w:tc>
          <w:tcPr>
            <w:tcW w:w="1810" w:type="dxa"/>
            <w:vAlign w:val="center"/>
          </w:tcPr>
          <w:p w:rsidR="000A7585" w:rsidRPr="00AE6EDB" w:rsidRDefault="000A7585" w:rsidP="00DE0EEC">
            <w:pPr>
              <w:ind w:right="226"/>
              <w:jc w:val="right"/>
              <w:rPr>
                <w:sz w:val="20"/>
                <w:szCs w:val="20"/>
              </w:rPr>
            </w:pPr>
            <w:r w:rsidRPr="00AE6EDB">
              <w:rPr>
                <w:sz w:val="20"/>
                <w:szCs w:val="20"/>
              </w:rPr>
              <w:t>89</w:t>
            </w:r>
          </w:p>
        </w:tc>
        <w:tc>
          <w:tcPr>
            <w:tcW w:w="1843" w:type="dxa"/>
            <w:vAlign w:val="center"/>
          </w:tcPr>
          <w:p w:rsidR="000A7585" w:rsidRPr="00AE6EDB" w:rsidRDefault="000A7585" w:rsidP="00DE0EEC">
            <w:pPr>
              <w:ind w:right="226"/>
              <w:jc w:val="right"/>
              <w:rPr>
                <w:sz w:val="20"/>
                <w:szCs w:val="20"/>
              </w:rPr>
            </w:pPr>
            <w:r w:rsidRPr="00AE6EDB">
              <w:rPr>
                <w:sz w:val="20"/>
                <w:szCs w:val="20"/>
              </w:rPr>
              <w:t>21,4</w:t>
            </w:r>
          </w:p>
        </w:tc>
        <w:tc>
          <w:tcPr>
            <w:tcW w:w="1843" w:type="dxa"/>
            <w:vAlign w:val="center"/>
          </w:tcPr>
          <w:p w:rsidR="000A7585" w:rsidRPr="00AE6EDB" w:rsidRDefault="000A7585" w:rsidP="00DE0EEC">
            <w:pPr>
              <w:ind w:right="226"/>
              <w:jc w:val="right"/>
              <w:rPr>
                <w:sz w:val="20"/>
                <w:szCs w:val="20"/>
              </w:rPr>
            </w:pPr>
            <w:r w:rsidRPr="00AE6EDB">
              <w:rPr>
                <w:sz w:val="20"/>
                <w:szCs w:val="20"/>
              </w:rPr>
              <w:t>18,4</w:t>
            </w:r>
          </w:p>
        </w:tc>
      </w:tr>
      <w:tr w:rsidR="000A7585" w:rsidRPr="00AE6EDB" w:rsidTr="00DE0EEC">
        <w:trPr>
          <w:trHeight w:val="283"/>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4. Budovanie kapacít</w:t>
            </w:r>
          </w:p>
        </w:tc>
        <w:tc>
          <w:tcPr>
            <w:tcW w:w="1308" w:type="dxa"/>
            <w:vAlign w:val="center"/>
          </w:tcPr>
          <w:p w:rsidR="000A7585" w:rsidRPr="00AE6EDB" w:rsidRDefault="000A7585" w:rsidP="00DE0EEC">
            <w:pPr>
              <w:ind w:right="226"/>
              <w:jc w:val="right"/>
              <w:rPr>
                <w:sz w:val="20"/>
                <w:szCs w:val="20"/>
              </w:rPr>
            </w:pPr>
            <w:r w:rsidRPr="00AE6EDB">
              <w:rPr>
                <w:sz w:val="20"/>
                <w:szCs w:val="20"/>
              </w:rPr>
              <w:t>67,61</w:t>
            </w:r>
          </w:p>
        </w:tc>
        <w:tc>
          <w:tcPr>
            <w:tcW w:w="1810" w:type="dxa"/>
            <w:vAlign w:val="center"/>
          </w:tcPr>
          <w:p w:rsidR="000A7585" w:rsidRPr="00AE6EDB" w:rsidRDefault="000A7585" w:rsidP="00DE0EEC">
            <w:pPr>
              <w:ind w:right="226"/>
              <w:jc w:val="right"/>
              <w:rPr>
                <w:sz w:val="20"/>
                <w:szCs w:val="20"/>
              </w:rPr>
            </w:pPr>
            <w:r w:rsidRPr="00AE6EDB">
              <w:rPr>
                <w:sz w:val="20"/>
                <w:szCs w:val="20"/>
              </w:rPr>
              <w:t>156</w:t>
            </w:r>
          </w:p>
        </w:tc>
        <w:tc>
          <w:tcPr>
            <w:tcW w:w="1843" w:type="dxa"/>
            <w:vAlign w:val="center"/>
          </w:tcPr>
          <w:p w:rsidR="000A7585" w:rsidRPr="00AE6EDB" w:rsidRDefault="000A7585" w:rsidP="00DE0EEC">
            <w:pPr>
              <w:ind w:right="226"/>
              <w:jc w:val="right"/>
              <w:rPr>
                <w:sz w:val="20"/>
                <w:szCs w:val="20"/>
              </w:rPr>
            </w:pPr>
            <w:r w:rsidRPr="00AE6EDB">
              <w:rPr>
                <w:sz w:val="20"/>
                <w:szCs w:val="20"/>
              </w:rPr>
              <w:t>61,0</w:t>
            </w:r>
          </w:p>
        </w:tc>
        <w:tc>
          <w:tcPr>
            <w:tcW w:w="1843" w:type="dxa"/>
            <w:vAlign w:val="center"/>
          </w:tcPr>
          <w:p w:rsidR="000A7585" w:rsidRPr="00AE6EDB" w:rsidRDefault="000A7585" w:rsidP="00DE0EEC">
            <w:pPr>
              <w:ind w:right="226"/>
              <w:jc w:val="right"/>
              <w:rPr>
                <w:sz w:val="20"/>
                <w:szCs w:val="20"/>
              </w:rPr>
            </w:pPr>
            <w:r w:rsidRPr="00AE6EDB">
              <w:rPr>
                <w:sz w:val="20"/>
                <w:szCs w:val="20"/>
              </w:rPr>
              <w:t>42,6</w:t>
            </w:r>
          </w:p>
        </w:tc>
      </w:tr>
      <w:tr w:rsidR="000A7585" w:rsidRPr="00AE6EDB" w:rsidTr="00DE0EEC">
        <w:trPr>
          <w:trHeight w:val="283"/>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5.Technická asistencia (TA)</w:t>
            </w:r>
          </w:p>
        </w:tc>
        <w:tc>
          <w:tcPr>
            <w:tcW w:w="1308" w:type="dxa"/>
            <w:vAlign w:val="center"/>
          </w:tcPr>
          <w:p w:rsidR="000A7585" w:rsidRPr="00AE6EDB" w:rsidRDefault="000A7585" w:rsidP="00DE0EEC">
            <w:pPr>
              <w:ind w:right="226"/>
              <w:jc w:val="right"/>
              <w:rPr>
                <w:sz w:val="20"/>
                <w:szCs w:val="20"/>
              </w:rPr>
            </w:pPr>
            <w:r w:rsidRPr="00AE6EDB">
              <w:rPr>
                <w:sz w:val="20"/>
                <w:szCs w:val="20"/>
              </w:rPr>
              <w:t>43,46</w:t>
            </w:r>
          </w:p>
        </w:tc>
        <w:tc>
          <w:tcPr>
            <w:tcW w:w="1810" w:type="dxa"/>
            <w:vAlign w:val="center"/>
          </w:tcPr>
          <w:p w:rsidR="000A7585" w:rsidRPr="00AE6EDB" w:rsidRDefault="000A7585" w:rsidP="00DE0EEC">
            <w:pPr>
              <w:ind w:right="226"/>
              <w:jc w:val="right"/>
              <w:rPr>
                <w:sz w:val="20"/>
                <w:szCs w:val="20"/>
              </w:rPr>
            </w:pPr>
            <w:r w:rsidRPr="00AE6EDB">
              <w:rPr>
                <w:sz w:val="20"/>
                <w:szCs w:val="20"/>
              </w:rPr>
              <w:t>40</w:t>
            </w:r>
          </w:p>
        </w:tc>
        <w:tc>
          <w:tcPr>
            <w:tcW w:w="1843" w:type="dxa"/>
            <w:vAlign w:val="center"/>
          </w:tcPr>
          <w:p w:rsidR="000A7585" w:rsidRPr="00AE6EDB" w:rsidRDefault="000A7585" w:rsidP="00DE0EEC">
            <w:pPr>
              <w:ind w:right="226"/>
              <w:jc w:val="right"/>
              <w:rPr>
                <w:sz w:val="20"/>
                <w:szCs w:val="20"/>
              </w:rPr>
            </w:pPr>
            <w:r w:rsidRPr="00AE6EDB">
              <w:rPr>
                <w:sz w:val="20"/>
                <w:szCs w:val="20"/>
              </w:rPr>
              <w:t>43,8</w:t>
            </w:r>
          </w:p>
        </w:tc>
        <w:tc>
          <w:tcPr>
            <w:tcW w:w="1843" w:type="dxa"/>
            <w:vAlign w:val="center"/>
          </w:tcPr>
          <w:p w:rsidR="000A7585" w:rsidRPr="00AE6EDB" w:rsidRDefault="000A7585" w:rsidP="00DE0EEC">
            <w:pPr>
              <w:ind w:right="226"/>
              <w:jc w:val="right"/>
              <w:rPr>
                <w:sz w:val="20"/>
                <w:szCs w:val="20"/>
              </w:rPr>
            </w:pPr>
            <w:r w:rsidRPr="00AE6EDB">
              <w:rPr>
                <w:sz w:val="20"/>
                <w:szCs w:val="20"/>
              </w:rPr>
              <w:t>42,3</w:t>
            </w:r>
          </w:p>
        </w:tc>
      </w:tr>
      <w:tr w:rsidR="000A7585" w:rsidRPr="00AE6EDB" w:rsidTr="00DE0EEC">
        <w:trPr>
          <w:trHeight w:val="283"/>
          <w:jc w:val="center"/>
        </w:trPr>
        <w:tc>
          <w:tcPr>
            <w:tcW w:w="1921" w:type="dxa"/>
            <w:shd w:val="clear" w:color="auto" w:fill="auto"/>
            <w:vAlign w:val="center"/>
          </w:tcPr>
          <w:p w:rsidR="000A7585" w:rsidRPr="00AE6EDB" w:rsidRDefault="000A7585" w:rsidP="00DE0EEC">
            <w:pPr>
              <w:rPr>
                <w:b/>
                <w:sz w:val="20"/>
                <w:szCs w:val="20"/>
              </w:rPr>
            </w:pPr>
            <w:r w:rsidRPr="00AE6EDB">
              <w:rPr>
                <w:b/>
                <w:sz w:val="20"/>
                <w:szCs w:val="20"/>
              </w:rPr>
              <w:t>Spolu</w:t>
            </w:r>
          </w:p>
        </w:tc>
        <w:tc>
          <w:tcPr>
            <w:tcW w:w="1308" w:type="dxa"/>
            <w:vAlign w:val="center"/>
          </w:tcPr>
          <w:p w:rsidR="000A7585" w:rsidRPr="00AE6EDB" w:rsidRDefault="000A7585" w:rsidP="00DE0EEC">
            <w:pPr>
              <w:ind w:right="226"/>
              <w:jc w:val="right"/>
              <w:rPr>
                <w:sz w:val="20"/>
                <w:szCs w:val="20"/>
              </w:rPr>
            </w:pPr>
            <w:r w:rsidRPr="00AE6EDB">
              <w:rPr>
                <w:sz w:val="20"/>
                <w:szCs w:val="20"/>
              </w:rPr>
              <w:t>1107,40</w:t>
            </w:r>
          </w:p>
        </w:tc>
        <w:tc>
          <w:tcPr>
            <w:tcW w:w="1810" w:type="dxa"/>
            <w:vAlign w:val="center"/>
          </w:tcPr>
          <w:p w:rsidR="000A7585" w:rsidRPr="00AE6EDB" w:rsidRDefault="0054295F" w:rsidP="00DE0EEC">
            <w:pPr>
              <w:ind w:right="226"/>
              <w:jc w:val="right"/>
              <w:rPr>
                <w:sz w:val="20"/>
                <w:szCs w:val="20"/>
              </w:rPr>
            </w:pPr>
            <w:r>
              <w:rPr>
                <w:sz w:val="20"/>
                <w:szCs w:val="20"/>
              </w:rPr>
              <w:t>1 5</w:t>
            </w:r>
            <w:r w:rsidR="000A7585" w:rsidRPr="00AE6EDB">
              <w:rPr>
                <w:sz w:val="20"/>
                <w:szCs w:val="20"/>
              </w:rPr>
              <w:t>60</w:t>
            </w:r>
          </w:p>
        </w:tc>
        <w:tc>
          <w:tcPr>
            <w:tcW w:w="1843" w:type="dxa"/>
            <w:vAlign w:val="center"/>
          </w:tcPr>
          <w:p w:rsidR="000A7585" w:rsidRPr="00AE6EDB" w:rsidRDefault="0054295F" w:rsidP="00DE0EEC">
            <w:pPr>
              <w:ind w:right="226"/>
              <w:jc w:val="right"/>
              <w:rPr>
                <w:sz w:val="20"/>
                <w:szCs w:val="20"/>
              </w:rPr>
            </w:pPr>
            <w:r>
              <w:rPr>
                <w:sz w:val="20"/>
                <w:szCs w:val="20"/>
              </w:rPr>
              <w:t>1 1</w:t>
            </w:r>
            <w:r w:rsidR="000A7585" w:rsidRPr="00AE6EDB">
              <w:rPr>
                <w:sz w:val="20"/>
                <w:szCs w:val="20"/>
              </w:rPr>
              <w:t>99,40</w:t>
            </w:r>
          </w:p>
        </w:tc>
        <w:tc>
          <w:tcPr>
            <w:tcW w:w="1843" w:type="dxa"/>
            <w:vAlign w:val="center"/>
          </w:tcPr>
          <w:p w:rsidR="000A7585" w:rsidRPr="00AE6EDB" w:rsidRDefault="0054295F" w:rsidP="00DE0EEC">
            <w:pPr>
              <w:ind w:right="226"/>
              <w:jc w:val="right"/>
              <w:rPr>
                <w:sz w:val="20"/>
                <w:szCs w:val="20"/>
              </w:rPr>
            </w:pPr>
            <w:r>
              <w:rPr>
                <w:sz w:val="20"/>
                <w:szCs w:val="20"/>
              </w:rPr>
              <w:t>1 0</w:t>
            </w:r>
            <w:r w:rsidR="000A7585" w:rsidRPr="00AE6EDB">
              <w:rPr>
                <w:sz w:val="20"/>
                <w:szCs w:val="20"/>
              </w:rPr>
              <w:t>45,50</w:t>
            </w:r>
          </w:p>
        </w:tc>
      </w:tr>
    </w:tbl>
    <w:p w:rsidR="000A7585" w:rsidRPr="00AE6EDB" w:rsidRDefault="000A7585" w:rsidP="000A7585">
      <w:pPr>
        <w:pStyle w:val="zdroj"/>
        <w:spacing w:after="0"/>
      </w:pPr>
      <w:r w:rsidRPr="00AE6EDB">
        <w:t xml:space="preserve">Zdroj: RO pre OP </w:t>
      </w:r>
      <w:proofErr w:type="spellStart"/>
      <w:r w:rsidRPr="00AE6EDB">
        <w:t>ZaSI</w:t>
      </w:r>
      <w:proofErr w:type="spellEnd"/>
      <w:r w:rsidRPr="00AE6EDB">
        <w:t>/ ITMS</w:t>
      </w:r>
    </w:p>
    <w:p w:rsidR="000A7585" w:rsidRPr="00AE6EDB" w:rsidRDefault="000A7585" w:rsidP="000A7585">
      <w:pPr>
        <w:pStyle w:val="zdroj"/>
        <w:spacing w:before="0" w:after="0"/>
        <w:ind w:left="567" w:firstLine="0"/>
      </w:pPr>
      <w:r w:rsidRPr="00AE6EDB">
        <w:t xml:space="preserve">* mimoriadne ukončené projekty nie </w:t>
      </w:r>
      <w:r w:rsidR="00F45681" w:rsidRPr="00AE6EDB">
        <w:t>sú</w:t>
      </w:r>
      <w:r w:rsidRPr="00AE6EDB">
        <w:t xml:space="preserve"> zahrnuté medzi </w:t>
      </w:r>
      <w:proofErr w:type="spellStart"/>
      <w:r w:rsidRPr="00AE6EDB">
        <w:t>zazmluvnenými</w:t>
      </w:r>
      <w:proofErr w:type="spellEnd"/>
      <w:r w:rsidRPr="00AE6EDB">
        <w:t xml:space="preserve"> prostriedkami, šetrenia z riadne ukončených projektov sú odpočítané od kontrahov</w:t>
      </w:r>
      <w:r w:rsidR="00F45681">
        <w:t>an</w:t>
      </w:r>
      <w:r w:rsidRPr="00AE6EDB">
        <w:t>ej sumy a čerpanie mimoriadne ukončených projektov je pripočítané k reálnemu kontrahovaniu</w:t>
      </w:r>
    </w:p>
    <w:p w:rsidR="000A7585" w:rsidRPr="00AE6EDB" w:rsidRDefault="000A7585" w:rsidP="000A7585">
      <w:pPr>
        <w:pStyle w:val="zdroj"/>
        <w:spacing w:before="0"/>
      </w:pPr>
      <w:r w:rsidRPr="00AE6EDB">
        <w:t>**počty obsahujú a j projekty s následníkmi, mimoriadne ukončené projekty nie sú zahrnuté</w:t>
      </w:r>
    </w:p>
    <w:p w:rsidR="000A7585" w:rsidRPr="00AE6EDB" w:rsidRDefault="000A7585" w:rsidP="000A7585">
      <w:pPr>
        <w:spacing w:before="120"/>
        <w:ind w:firstLine="567"/>
      </w:pPr>
      <w:r w:rsidRPr="00AE6EDB">
        <w:t xml:space="preserve">K 31.12.2015 bolo v rámci OP </w:t>
      </w:r>
      <w:proofErr w:type="spellStart"/>
      <w:r w:rsidRPr="00AE6EDB">
        <w:t>ZaSI</w:t>
      </w:r>
      <w:proofErr w:type="spellEnd"/>
      <w:r w:rsidRPr="00AE6EDB">
        <w:t xml:space="preserve"> podporených </w:t>
      </w:r>
      <w:r w:rsidR="0054295F">
        <w:t>1 9</w:t>
      </w:r>
      <w:r w:rsidRPr="00AE6EDB">
        <w:t xml:space="preserve">32 projektov (vrátane projektov v rámci prioritnej osi Technická pomoc, projektov mimoriadne ukončených a projektov s následníkmi) v celkovej </w:t>
      </w:r>
      <w:proofErr w:type="spellStart"/>
      <w:r w:rsidRPr="00AE6EDB">
        <w:t>zazmluvnenej</w:t>
      </w:r>
      <w:proofErr w:type="spellEnd"/>
      <w:r w:rsidRPr="00AE6EDB">
        <w:t xml:space="preserve"> hodnote </w:t>
      </w:r>
      <w:r w:rsidR="0054295F">
        <w:t>1 4</w:t>
      </w:r>
      <w:r w:rsidRPr="00AE6EDB">
        <w:t>58,5 mil.</w:t>
      </w:r>
      <w:r w:rsidR="0054295F">
        <w:t> eur</w:t>
      </w:r>
      <w:r w:rsidRPr="00AE6EDB">
        <w:t>.</w:t>
      </w:r>
    </w:p>
    <w:p w:rsidR="000A7585" w:rsidRPr="00AE6EDB" w:rsidRDefault="000A7585" w:rsidP="000A7585">
      <w:pPr>
        <w:ind w:firstLine="567"/>
      </w:pPr>
      <w:r w:rsidRPr="00AE6EDB">
        <w:t xml:space="preserve">K 31.12.2015 bolo od začiatku programového </w:t>
      </w:r>
      <w:r w:rsidR="00F45681" w:rsidRPr="00AE6EDB">
        <w:t>obdobia</w:t>
      </w:r>
      <w:r w:rsidRPr="00AE6EDB">
        <w:t xml:space="preserve"> ukončených </w:t>
      </w:r>
      <w:r w:rsidR="0054295F">
        <w:t>1 4</w:t>
      </w:r>
      <w:r w:rsidRPr="00AE6EDB">
        <w:t xml:space="preserve">82 projektov, z čoho bolo </w:t>
      </w:r>
      <w:r w:rsidR="0054295F">
        <w:t>1 1</w:t>
      </w:r>
      <w:r w:rsidRPr="00AE6EDB">
        <w:t>10 ukončených riadne (v sume 811,3 mil.</w:t>
      </w:r>
      <w:r w:rsidR="0054295F">
        <w:t> eur</w:t>
      </w:r>
      <w:r w:rsidRPr="00AE6EDB">
        <w:t>) a 372 mimoriadne alebo na základe odstúpenia od zmluvy o nenávratnom finančnom príspevku (v sume 167,2 mil.</w:t>
      </w:r>
      <w:r w:rsidR="0054295F">
        <w:t> eur</w:t>
      </w:r>
      <w:r w:rsidRPr="00AE6EDB">
        <w:t>).</w:t>
      </w:r>
    </w:p>
    <w:p w:rsidR="000A7585" w:rsidRPr="00AE6EDB" w:rsidRDefault="000A7585" w:rsidP="000A7585">
      <w:pPr>
        <w:ind w:firstLine="567"/>
      </w:pPr>
      <w:r w:rsidRPr="00AE6EDB">
        <w:t xml:space="preserve">Celková miera čerpania predstavuje sumu </w:t>
      </w:r>
      <w:r w:rsidR="0054295F">
        <w:t>1 0</w:t>
      </w:r>
      <w:r w:rsidRPr="00AE6EDB">
        <w:t>45,5 mil.</w:t>
      </w:r>
      <w:r w:rsidR="0054295F">
        <w:t> eur</w:t>
      </w:r>
      <w:r w:rsidRPr="00AE6EDB">
        <w:t>, teda 94,4</w:t>
      </w:r>
      <w:r w:rsidR="005676EF">
        <w:t> %</w:t>
      </w:r>
      <w:r w:rsidRPr="00AE6EDB">
        <w:rPr>
          <w:color w:val="FF0000"/>
        </w:rPr>
        <w:t xml:space="preserve"> </w:t>
      </w:r>
      <w:r w:rsidRPr="00AE6EDB">
        <w:t>celkovej alokácie. Táto čiastka predstavuje sumu schválenú Certifikačným orgánom (Ministerstvom financií SR) zníženú o nezrovnalosti uplatnené v žiadostiach o platbu na Európsku komisiu.</w:t>
      </w:r>
    </w:p>
    <w:p w:rsidR="000A7585" w:rsidRPr="00AE6EDB" w:rsidRDefault="000A7585" w:rsidP="000A7585">
      <w:pPr>
        <w:ind w:firstLine="431"/>
        <w:rPr>
          <w:color w:val="000000"/>
        </w:rPr>
      </w:pPr>
      <w:r w:rsidRPr="00AE6EDB">
        <w:t xml:space="preserve">OP </w:t>
      </w:r>
      <w:proofErr w:type="spellStart"/>
      <w:r w:rsidRPr="00AE6EDB">
        <w:t>ZaSI</w:t>
      </w:r>
      <w:proofErr w:type="spellEnd"/>
      <w:r w:rsidRPr="00AE6EDB">
        <w:t xml:space="preserve"> je k 31.12.2015 opäť na treťom mieste v čerpaní v porovnaní s ostatnými operačnými programami na Slovensku (priemerné čerpanie je pritom 87,98</w:t>
      </w:r>
      <w:r w:rsidR="00411759">
        <w:t> </w:t>
      </w:r>
      <w:r w:rsidRPr="00AE6EDB">
        <w:t>%).</w:t>
      </w:r>
      <w:r w:rsidRPr="00AE6EDB">
        <w:rPr>
          <w:color w:val="000000"/>
        </w:rPr>
        <w:t xml:space="preserve"> </w:t>
      </w:r>
    </w:p>
    <w:p w:rsidR="000A7585" w:rsidRPr="00AE6EDB" w:rsidRDefault="000A7585" w:rsidP="000A7585">
      <w:pPr>
        <w:ind w:firstLine="567"/>
      </w:pPr>
      <w:r w:rsidRPr="00AE6EDB">
        <w:t xml:space="preserve">Z celkového počtu projektov bolo 185 národných (tieto sú administrované prostredníctvom riadiaceho orgánu – (ďalej </w:t>
      </w:r>
      <w:proofErr w:type="spellStart"/>
      <w:r w:rsidRPr="00AE6EDB">
        <w:t>aj„RO</w:t>
      </w:r>
      <w:proofErr w:type="spellEnd"/>
      <w:r w:rsidRPr="00AE6EDB">
        <w:t xml:space="preserve">“), </w:t>
      </w:r>
      <w:r w:rsidR="0054295F">
        <w:t>1 6</w:t>
      </w:r>
      <w:r w:rsidRPr="00AE6EDB">
        <w:t xml:space="preserve">86 </w:t>
      </w:r>
      <w:proofErr w:type="spellStart"/>
      <w:r w:rsidRPr="00AE6EDB">
        <w:t>dopytovo-orientovaných</w:t>
      </w:r>
      <w:proofErr w:type="spellEnd"/>
      <w:r w:rsidRPr="00AE6EDB">
        <w:t xml:space="preserve"> (administrovaných Implementačnou agentúrou MPSVR SR – (ďalej aj „IA“) a 61 projektov v rámci prioritnej osi Technická pomoc.</w:t>
      </w:r>
    </w:p>
    <w:p w:rsidR="000A7585" w:rsidRPr="00AE6EDB" w:rsidRDefault="000A7585" w:rsidP="000A7585">
      <w:pPr>
        <w:ind w:firstLine="431"/>
        <w:rPr>
          <w:color w:val="000000"/>
          <w:highlight w:val="cyan"/>
        </w:rPr>
      </w:pPr>
      <w:r w:rsidRPr="00AE6EDB">
        <w:t xml:space="preserve">V rámci OP </w:t>
      </w:r>
      <w:proofErr w:type="spellStart"/>
      <w:r w:rsidRPr="00AE6EDB">
        <w:t>ZaSI</w:t>
      </w:r>
      <w:proofErr w:type="spellEnd"/>
      <w:r w:rsidRPr="00AE6EDB">
        <w:t xml:space="preserve"> bolo do 31.12.2015 vyhlásených 41 výziev na predkladanie </w:t>
      </w:r>
      <w:proofErr w:type="spellStart"/>
      <w:r w:rsidRPr="00AE6EDB">
        <w:t>dopytovo-orientovaných</w:t>
      </w:r>
      <w:proofErr w:type="spellEnd"/>
      <w:r w:rsidRPr="00AE6EDB">
        <w:t xml:space="preserve"> projektov a 195 vyzvaní pre národné projekty.</w:t>
      </w:r>
      <w:r w:rsidRPr="00AE6EDB">
        <w:rPr>
          <w:color w:val="000000"/>
          <w:highlight w:val="cyan"/>
        </w:rPr>
        <w:t xml:space="preserve"> </w:t>
      </w:r>
    </w:p>
    <w:p w:rsidR="000A7585" w:rsidRPr="00AE6EDB" w:rsidRDefault="000A7585" w:rsidP="000A7585">
      <w:pPr>
        <w:jc w:val="left"/>
        <w:rPr>
          <w:b/>
          <w:bCs/>
        </w:rPr>
      </w:pPr>
      <w:r w:rsidRPr="00AE6EDB">
        <w:rPr>
          <w:bCs/>
        </w:rPr>
        <w:br w:type="page"/>
      </w:r>
    </w:p>
    <w:p w:rsidR="000A7585" w:rsidRPr="00AE6EDB" w:rsidRDefault="000A7585" w:rsidP="000A7585">
      <w:pPr>
        <w:pStyle w:val="Nadpis7"/>
        <w:rPr>
          <w:bCs/>
        </w:rPr>
      </w:pPr>
      <w:r w:rsidRPr="00AE6EDB">
        <w:rPr>
          <w:bCs/>
        </w:rPr>
        <w:t>Graf 3.24 Čerpanie prostriedkov Národného strategického referenčného rámca k 31.12.2015</w:t>
      </w:r>
    </w:p>
    <w:p w:rsidR="000A7585" w:rsidRPr="00AE6EDB" w:rsidRDefault="000A7585" w:rsidP="000A7585">
      <w:pPr>
        <w:ind w:left="-567" w:right="-284"/>
        <w:jc w:val="center"/>
      </w:pPr>
      <w:r w:rsidRPr="00AE6EDB">
        <w:rPr>
          <w:noProof/>
        </w:rPr>
        <w:drawing>
          <wp:inline distT="0" distB="0" distL="0" distR="0" wp14:anchorId="349F4F57" wp14:editId="5EB3801D">
            <wp:extent cx="6685808" cy="3562597"/>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A7585" w:rsidRPr="00AE6EDB" w:rsidRDefault="000A7585" w:rsidP="000A7585">
      <w:pPr>
        <w:pStyle w:val="zdroj"/>
        <w:rPr>
          <w:lang w:eastAsia="cs-CZ"/>
        </w:rPr>
      </w:pPr>
      <w:r w:rsidRPr="00AE6EDB">
        <w:rPr>
          <w:lang w:eastAsia="cs-CZ"/>
        </w:rPr>
        <w:t>Zdroj: MF SR</w:t>
      </w:r>
    </w:p>
    <w:p w:rsidR="000A7585" w:rsidRPr="00AE6EDB" w:rsidRDefault="000A7585" w:rsidP="000A7585">
      <w:pPr>
        <w:jc w:val="left"/>
        <w:rPr>
          <w:bCs/>
          <w:i/>
          <w:iCs/>
          <w:color w:val="000000"/>
          <w:sz w:val="20"/>
          <w:szCs w:val="20"/>
          <w:highlight w:val="cyan"/>
          <w:lang w:eastAsia="cs-CZ"/>
        </w:rPr>
      </w:pPr>
    </w:p>
    <w:bookmarkEnd w:id="727"/>
    <w:bookmarkEnd w:id="728"/>
    <w:bookmarkEnd w:id="729"/>
    <w:bookmarkEnd w:id="730"/>
    <w:bookmarkEnd w:id="731"/>
    <w:p w:rsidR="000A7585" w:rsidRPr="00AE6EDB" w:rsidRDefault="000A7585" w:rsidP="000A7585">
      <w:pPr>
        <w:pStyle w:val="Nadpis7"/>
      </w:pPr>
      <w:r w:rsidRPr="00AE6EDB">
        <w:rPr>
          <w:bCs/>
          <w:iCs/>
          <w:lang w:eastAsia="cs-CZ"/>
        </w:rPr>
        <w:t>Tabuľka 3.</w:t>
      </w:r>
      <w:r w:rsidR="00D26D30" w:rsidRPr="00AE6EDB">
        <w:rPr>
          <w:bCs/>
          <w:iCs/>
          <w:lang w:eastAsia="cs-CZ"/>
        </w:rPr>
        <w:t>30</w:t>
      </w:r>
      <w:r w:rsidRPr="00AE6EDB">
        <w:rPr>
          <w:bCs/>
          <w:iCs/>
          <w:lang w:eastAsia="cs-CZ"/>
        </w:rPr>
        <w:t xml:space="preserve"> </w:t>
      </w:r>
      <w:proofErr w:type="spellStart"/>
      <w:r w:rsidRPr="00AE6EDB">
        <w:rPr>
          <w:bCs/>
          <w:iCs/>
          <w:lang w:eastAsia="cs-CZ"/>
        </w:rPr>
        <w:t>Zazmluvnené</w:t>
      </w:r>
      <w:proofErr w:type="spellEnd"/>
      <w:r w:rsidRPr="00AE6EDB">
        <w:rPr>
          <w:bCs/>
          <w:iCs/>
          <w:lang w:eastAsia="cs-CZ"/>
        </w:rPr>
        <w:t xml:space="preserve"> projekty OP </w:t>
      </w:r>
      <w:proofErr w:type="spellStart"/>
      <w:r w:rsidRPr="00AE6EDB">
        <w:rPr>
          <w:bCs/>
          <w:iCs/>
          <w:lang w:eastAsia="cs-CZ"/>
        </w:rPr>
        <w:t>ZaSI</w:t>
      </w:r>
      <w:proofErr w:type="spellEnd"/>
      <w:r w:rsidRPr="00AE6EDB">
        <w:rPr>
          <w:bCs/>
          <w:iCs/>
          <w:lang w:eastAsia="cs-CZ"/>
        </w:rPr>
        <w:t xml:space="preserve"> v roku 2015</w:t>
      </w:r>
      <w:r w:rsidRPr="00AE6EDB">
        <w:t xml:space="preserve"> podľa prioritných osí </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57" w:type="dxa"/>
          <w:right w:w="57" w:type="dxa"/>
        </w:tblCellMar>
        <w:tblLook w:val="00A0" w:firstRow="1" w:lastRow="0" w:firstColumn="1" w:lastColumn="0" w:noHBand="0" w:noVBand="0"/>
      </w:tblPr>
      <w:tblGrid>
        <w:gridCol w:w="1776"/>
        <w:gridCol w:w="1108"/>
        <w:gridCol w:w="1314"/>
        <w:gridCol w:w="1183"/>
        <w:gridCol w:w="1444"/>
        <w:gridCol w:w="1183"/>
        <w:gridCol w:w="1178"/>
      </w:tblGrid>
      <w:tr w:rsidR="000A7585" w:rsidRPr="00AE6EDB" w:rsidTr="00DE0EEC">
        <w:trPr>
          <w:trHeight w:val="600"/>
          <w:jc w:val="center"/>
        </w:trPr>
        <w:tc>
          <w:tcPr>
            <w:tcW w:w="1776" w:type="dxa"/>
            <w:vMerge w:val="restart"/>
            <w:shd w:val="clear" w:color="auto" w:fill="BF0000" w:themeFill="accent3" w:themeFillShade="BF"/>
            <w:vAlign w:val="center"/>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Prioritná os</w:t>
            </w:r>
          </w:p>
        </w:tc>
        <w:tc>
          <w:tcPr>
            <w:tcW w:w="2422" w:type="dxa"/>
            <w:gridSpan w:val="2"/>
            <w:shd w:val="clear" w:color="auto" w:fill="BF0000" w:themeFill="accent3" w:themeFillShade="BF"/>
            <w:vAlign w:val="center"/>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 xml:space="preserve">Počet </w:t>
            </w:r>
            <w:proofErr w:type="spellStart"/>
            <w:r w:rsidRPr="00AE6EDB">
              <w:rPr>
                <w:b/>
                <w:color w:val="FFFFFF" w:themeColor="background1"/>
                <w:sz w:val="20"/>
                <w:szCs w:val="20"/>
              </w:rPr>
              <w:t>zazmluvnených</w:t>
            </w:r>
            <w:proofErr w:type="spellEnd"/>
            <w:r w:rsidRPr="00AE6EDB">
              <w:rPr>
                <w:b/>
                <w:color w:val="FFFFFF" w:themeColor="background1"/>
                <w:sz w:val="20"/>
                <w:szCs w:val="20"/>
              </w:rPr>
              <w:t xml:space="preserve"> projektov v roku 2015</w:t>
            </w:r>
          </w:p>
        </w:tc>
        <w:tc>
          <w:tcPr>
            <w:tcW w:w="2627" w:type="dxa"/>
            <w:gridSpan w:val="2"/>
            <w:shd w:val="clear" w:color="auto" w:fill="BF0000" w:themeFill="accent3" w:themeFillShade="BF"/>
            <w:vAlign w:val="center"/>
          </w:tcPr>
          <w:p w:rsidR="000A7585" w:rsidRPr="00AE6EDB" w:rsidRDefault="000A7585" w:rsidP="001C72AB">
            <w:pPr>
              <w:jc w:val="center"/>
              <w:rPr>
                <w:b/>
                <w:color w:val="FFFFFF" w:themeColor="background1"/>
                <w:sz w:val="20"/>
                <w:szCs w:val="20"/>
              </w:rPr>
            </w:pPr>
            <w:r w:rsidRPr="00AE6EDB">
              <w:rPr>
                <w:b/>
                <w:color w:val="FFFFFF" w:themeColor="background1"/>
                <w:sz w:val="20"/>
                <w:szCs w:val="20"/>
              </w:rPr>
              <w:t xml:space="preserve">Výška </w:t>
            </w:r>
            <w:proofErr w:type="spellStart"/>
            <w:r w:rsidRPr="00AE6EDB">
              <w:rPr>
                <w:b/>
                <w:color w:val="FFFFFF" w:themeColor="background1"/>
                <w:sz w:val="20"/>
                <w:szCs w:val="20"/>
              </w:rPr>
              <w:t>zazmluvnených</w:t>
            </w:r>
            <w:proofErr w:type="spellEnd"/>
            <w:r w:rsidRPr="00AE6EDB">
              <w:rPr>
                <w:b/>
                <w:color w:val="FFFFFF" w:themeColor="background1"/>
                <w:sz w:val="20"/>
                <w:szCs w:val="20"/>
              </w:rPr>
              <w:t xml:space="preserve"> finančných prostriedkov v</w:t>
            </w:r>
            <w:r w:rsidR="0054295F">
              <w:rPr>
                <w:b/>
                <w:color w:val="FFFFFF" w:themeColor="background1"/>
                <w:sz w:val="20"/>
                <w:szCs w:val="20"/>
              </w:rPr>
              <w:t> eur</w:t>
            </w:r>
            <w:r w:rsidR="001C72AB" w:rsidRPr="00AE6EDB">
              <w:rPr>
                <w:b/>
                <w:color w:val="FFFFFF" w:themeColor="background1"/>
                <w:sz w:val="20"/>
                <w:szCs w:val="20"/>
              </w:rPr>
              <w:t>ách</w:t>
            </w:r>
            <w:r w:rsidRPr="00AE6EDB">
              <w:rPr>
                <w:b/>
                <w:color w:val="FFFFFF" w:themeColor="background1"/>
                <w:sz w:val="20"/>
                <w:szCs w:val="20"/>
              </w:rPr>
              <w:t xml:space="preserve"> v roku 2015</w:t>
            </w:r>
          </w:p>
        </w:tc>
        <w:tc>
          <w:tcPr>
            <w:tcW w:w="2361" w:type="dxa"/>
            <w:gridSpan w:val="2"/>
            <w:shd w:val="clear" w:color="auto" w:fill="BF0000" w:themeFill="accent3" w:themeFillShade="BF"/>
          </w:tcPr>
          <w:p w:rsidR="000A7585" w:rsidRPr="00AE6EDB" w:rsidRDefault="000A7585" w:rsidP="001C72AB">
            <w:pPr>
              <w:jc w:val="center"/>
              <w:rPr>
                <w:b/>
                <w:color w:val="FFFFFF" w:themeColor="background1"/>
                <w:sz w:val="20"/>
                <w:szCs w:val="20"/>
              </w:rPr>
            </w:pPr>
            <w:r w:rsidRPr="00AE6EDB">
              <w:rPr>
                <w:b/>
                <w:color w:val="FFFFFF" w:themeColor="background1"/>
                <w:sz w:val="20"/>
                <w:szCs w:val="20"/>
              </w:rPr>
              <w:t>Výška čerpa</w:t>
            </w:r>
            <w:r w:rsidR="001C72AB" w:rsidRPr="00AE6EDB">
              <w:rPr>
                <w:b/>
                <w:color w:val="FFFFFF" w:themeColor="background1"/>
                <w:sz w:val="20"/>
                <w:szCs w:val="20"/>
              </w:rPr>
              <w:t>ných finančných prostriedkov v</w:t>
            </w:r>
            <w:r w:rsidR="0054295F">
              <w:rPr>
                <w:b/>
                <w:color w:val="FFFFFF" w:themeColor="background1"/>
                <w:sz w:val="20"/>
                <w:szCs w:val="20"/>
              </w:rPr>
              <w:t> eur</w:t>
            </w:r>
            <w:r w:rsidR="001C72AB" w:rsidRPr="00AE6EDB">
              <w:rPr>
                <w:b/>
                <w:color w:val="FFFFFF" w:themeColor="background1"/>
                <w:sz w:val="20"/>
                <w:szCs w:val="20"/>
              </w:rPr>
              <w:t>ách</w:t>
            </w:r>
            <w:r w:rsidRPr="00AE6EDB">
              <w:rPr>
                <w:b/>
                <w:color w:val="FFFFFF" w:themeColor="background1"/>
                <w:sz w:val="20"/>
                <w:szCs w:val="20"/>
              </w:rPr>
              <w:t xml:space="preserve"> v roku 2015</w:t>
            </w:r>
          </w:p>
        </w:tc>
      </w:tr>
      <w:tr w:rsidR="000A7585" w:rsidRPr="00AE6EDB" w:rsidTr="00DE0EEC">
        <w:trPr>
          <w:trHeight w:val="294"/>
          <w:jc w:val="center"/>
        </w:trPr>
        <w:tc>
          <w:tcPr>
            <w:tcW w:w="1776" w:type="dxa"/>
            <w:vMerge/>
            <w:shd w:val="clear" w:color="auto" w:fill="BF0000" w:themeFill="accent3" w:themeFillShade="BF"/>
            <w:vAlign w:val="center"/>
          </w:tcPr>
          <w:p w:rsidR="000A7585" w:rsidRPr="00AE6EDB" w:rsidRDefault="000A7585" w:rsidP="00DE0EEC">
            <w:pPr>
              <w:jc w:val="center"/>
              <w:rPr>
                <w:b/>
                <w:color w:val="FFFFFF" w:themeColor="background1"/>
                <w:sz w:val="20"/>
                <w:szCs w:val="20"/>
              </w:rPr>
            </w:pPr>
          </w:p>
        </w:tc>
        <w:tc>
          <w:tcPr>
            <w:tcW w:w="1108"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DOP</w:t>
            </w:r>
          </w:p>
        </w:tc>
        <w:tc>
          <w:tcPr>
            <w:tcW w:w="1314"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NP</w:t>
            </w:r>
          </w:p>
        </w:tc>
        <w:tc>
          <w:tcPr>
            <w:tcW w:w="1183"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DOP</w:t>
            </w:r>
          </w:p>
        </w:tc>
        <w:tc>
          <w:tcPr>
            <w:tcW w:w="1444"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NP</w:t>
            </w:r>
          </w:p>
        </w:tc>
        <w:tc>
          <w:tcPr>
            <w:tcW w:w="1183"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DOP</w:t>
            </w:r>
          </w:p>
        </w:tc>
        <w:tc>
          <w:tcPr>
            <w:tcW w:w="1178" w:type="dxa"/>
            <w:shd w:val="clear" w:color="auto" w:fill="BF0000" w:themeFill="accent3" w:themeFillShade="BF"/>
          </w:tcPr>
          <w:p w:rsidR="000A7585" w:rsidRPr="00AE6EDB" w:rsidRDefault="000A7585" w:rsidP="00DE0EEC">
            <w:pPr>
              <w:jc w:val="center"/>
              <w:rPr>
                <w:b/>
                <w:color w:val="FFFFFF" w:themeColor="background1"/>
                <w:sz w:val="20"/>
                <w:szCs w:val="20"/>
              </w:rPr>
            </w:pPr>
            <w:r w:rsidRPr="00AE6EDB">
              <w:rPr>
                <w:b/>
                <w:color w:val="FFFFFF" w:themeColor="background1"/>
                <w:sz w:val="20"/>
                <w:szCs w:val="20"/>
              </w:rPr>
              <w:t>NP</w:t>
            </w:r>
          </w:p>
        </w:tc>
      </w:tr>
      <w:tr w:rsidR="000A7585" w:rsidRPr="00AE6EDB" w:rsidTr="00DE0EEC">
        <w:trPr>
          <w:trHeight w:val="405"/>
          <w:jc w:val="center"/>
        </w:trPr>
        <w:tc>
          <w:tcPr>
            <w:tcW w:w="1776" w:type="dxa"/>
            <w:shd w:val="clear" w:color="auto" w:fill="auto"/>
            <w:vAlign w:val="center"/>
          </w:tcPr>
          <w:p w:rsidR="000A7585" w:rsidRPr="00AE6EDB" w:rsidRDefault="000A7585" w:rsidP="00DE0EEC">
            <w:pPr>
              <w:rPr>
                <w:b/>
                <w:sz w:val="20"/>
                <w:szCs w:val="20"/>
              </w:rPr>
            </w:pPr>
            <w:r w:rsidRPr="00AE6EDB">
              <w:rPr>
                <w:b/>
                <w:sz w:val="20"/>
                <w:szCs w:val="20"/>
              </w:rPr>
              <w:t>1.Podpora zamestnanosti</w:t>
            </w:r>
          </w:p>
        </w:tc>
        <w:tc>
          <w:tcPr>
            <w:tcW w:w="1108" w:type="dxa"/>
            <w:vAlign w:val="center"/>
          </w:tcPr>
          <w:p w:rsidR="000A7585" w:rsidRPr="00AE6EDB" w:rsidRDefault="000A7585" w:rsidP="00DE0EEC">
            <w:pPr>
              <w:jc w:val="center"/>
              <w:rPr>
                <w:sz w:val="20"/>
                <w:szCs w:val="20"/>
              </w:rPr>
            </w:pPr>
            <w:r w:rsidRPr="00AE6EDB">
              <w:rPr>
                <w:sz w:val="20"/>
                <w:szCs w:val="20"/>
              </w:rPr>
              <w:t>2</w:t>
            </w:r>
          </w:p>
        </w:tc>
        <w:tc>
          <w:tcPr>
            <w:tcW w:w="1314" w:type="dxa"/>
            <w:vAlign w:val="center"/>
          </w:tcPr>
          <w:p w:rsidR="000A7585" w:rsidRPr="00AE6EDB" w:rsidRDefault="000A7585" w:rsidP="00DE0EEC">
            <w:pPr>
              <w:jc w:val="center"/>
              <w:rPr>
                <w:sz w:val="20"/>
                <w:szCs w:val="20"/>
              </w:rPr>
            </w:pPr>
            <w:r w:rsidRPr="00AE6EDB">
              <w:rPr>
                <w:sz w:val="20"/>
                <w:szCs w:val="20"/>
              </w:rPr>
              <w:t>5*</w:t>
            </w:r>
          </w:p>
        </w:tc>
        <w:tc>
          <w:tcPr>
            <w:tcW w:w="1183" w:type="dxa"/>
            <w:vAlign w:val="center"/>
          </w:tcPr>
          <w:p w:rsidR="000A7585" w:rsidRPr="00AE6EDB" w:rsidRDefault="000A7585" w:rsidP="00DE0EEC">
            <w:pPr>
              <w:jc w:val="right"/>
              <w:rPr>
                <w:sz w:val="20"/>
                <w:szCs w:val="20"/>
              </w:rPr>
            </w:pPr>
            <w:r w:rsidRPr="00AE6EDB">
              <w:rPr>
                <w:sz w:val="20"/>
                <w:szCs w:val="20"/>
              </w:rPr>
              <w:t>40</w:t>
            </w:r>
            <w:r w:rsidR="00AC44CB">
              <w:rPr>
                <w:sz w:val="20"/>
                <w:szCs w:val="20"/>
              </w:rPr>
              <w:t>9 9</w:t>
            </w:r>
            <w:r w:rsidRPr="00AE6EDB">
              <w:rPr>
                <w:sz w:val="20"/>
                <w:szCs w:val="20"/>
              </w:rPr>
              <w:t>52</w:t>
            </w:r>
          </w:p>
        </w:tc>
        <w:tc>
          <w:tcPr>
            <w:tcW w:w="1444" w:type="dxa"/>
            <w:vAlign w:val="center"/>
          </w:tcPr>
          <w:p w:rsidR="000A7585" w:rsidRPr="00AE6EDB" w:rsidRDefault="000A7585" w:rsidP="00DE0EEC">
            <w:pPr>
              <w:jc w:val="right"/>
              <w:rPr>
                <w:sz w:val="20"/>
                <w:szCs w:val="20"/>
              </w:rPr>
            </w:pPr>
            <w:r w:rsidRPr="00AE6EDB">
              <w:rPr>
                <w:sz w:val="20"/>
                <w:szCs w:val="20"/>
              </w:rPr>
              <w:t>8</w:t>
            </w:r>
            <w:r w:rsidR="0054295F">
              <w:rPr>
                <w:sz w:val="20"/>
                <w:szCs w:val="20"/>
              </w:rPr>
              <w:t>0 5</w:t>
            </w:r>
            <w:r w:rsidRPr="00AE6EDB">
              <w:rPr>
                <w:sz w:val="20"/>
                <w:szCs w:val="20"/>
              </w:rPr>
              <w:t>8</w:t>
            </w:r>
            <w:r w:rsidR="0054295F">
              <w:rPr>
                <w:sz w:val="20"/>
                <w:szCs w:val="20"/>
              </w:rPr>
              <w:t>3 6</w:t>
            </w:r>
            <w:r w:rsidRPr="00AE6EDB">
              <w:rPr>
                <w:sz w:val="20"/>
                <w:szCs w:val="20"/>
              </w:rPr>
              <w:t>35</w:t>
            </w:r>
          </w:p>
        </w:tc>
        <w:tc>
          <w:tcPr>
            <w:tcW w:w="1183" w:type="dxa"/>
            <w:vAlign w:val="center"/>
          </w:tcPr>
          <w:p w:rsidR="000A7585" w:rsidRPr="00AE6EDB" w:rsidRDefault="000A7585" w:rsidP="00DE0EEC">
            <w:pPr>
              <w:jc w:val="right"/>
              <w:rPr>
                <w:sz w:val="20"/>
                <w:szCs w:val="20"/>
              </w:rPr>
            </w:pPr>
            <w:r w:rsidRPr="00AE6EDB">
              <w:rPr>
                <w:sz w:val="20"/>
                <w:szCs w:val="20"/>
              </w:rPr>
              <w:t>7</w:t>
            </w:r>
            <w:r w:rsidR="0054295F">
              <w:rPr>
                <w:sz w:val="20"/>
                <w:szCs w:val="20"/>
              </w:rPr>
              <w:t>0 3</w:t>
            </w:r>
            <w:r w:rsidRPr="00AE6EDB">
              <w:rPr>
                <w:sz w:val="20"/>
                <w:szCs w:val="20"/>
              </w:rPr>
              <w:t>16</w:t>
            </w:r>
          </w:p>
        </w:tc>
        <w:tc>
          <w:tcPr>
            <w:tcW w:w="1178" w:type="dxa"/>
            <w:vAlign w:val="center"/>
          </w:tcPr>
          <w:p w:rsidR="000A7585" w:rsidRPr="00AE6EDB" w:rsidRDefault="000A7585" w:rsidP="00DE0EEC">
            <w:pPr>
              <w:jc w:val="right"/>
              <w:rPr>
                <w:sz w:val="20"/>
                <w:szCs w:val="20"/>
              </w:rPr>
            </w:pPr>
            <w:r w:rsidRPr="00AE6EDB">
              <w:rPr>
                <w:sz w:val="20"/>
                <w:szCs w:val="20"/>
              </w:rPr>
              <w:t>13</w:t>
            </w:r>
            <w:r w:rsidR="0054295F">
              <w:rPr>
                <w:sz w:val="20"/>
                <w:szCs w:val="20"/>
              </w:rPr>
              <w:t>4 1</w:t>
            </w:r>
            <w:r w:rsidRPr="00AE6EDB">
              <w:rPr>
                <w:sz w:val="20"/>
                <w:szCs w:val="20"/>
              </w:rPr>
              <w:t>0</w:t>
            </w:r>
            <w:r w:rsidR="00AC44CB">
              <w:rPr>
                <w:sz w:val="20"/>
                <w:szCs w:val="20"/>
              </w:rPr>
              <w:t>6 9</w:t>
            </w:r>
            <w:r w:rsidRPr="00AE6EDB">
              <w:rPr>
                <w:sz w:val="20"/>
                <w:szCs w:val="20"/>
              </w:rPr>
              <w:t>38</w:t>
            </w:r>
          </w:p>
        </w:tc>
      </w:tr>
      <w:tr w:rsidR="000A7585" w:rsidRPr="00AE6EDB" w:rsidTr="00DE0EEC">
        <w:trPr>
          <w:trHeight w:val="247"/>
          <w:jc w:val="center"/>
        </w:trPr>
        <w:tc>
          <w:tcPr>
            <w:tcW w:w="1776" w:type="dxa"/>
            <w:shd w:val="clear" w:color="auto" w:fill="auto"/>
            <w:vAlign w:val="center"/>
          </w:tcPr>
          <w:p w:rsidR="000A7585" w:rsidRPr="00AE6EDB" w:rsidRDefault="000A7585" w:rsidP="00DE0EEC">
            <w:pPr>
              <w:rPr>
                <w:b/>
                <w:sz w:val="20"/>
                <w:szCs w:val="20"/>
              </w:rPr>
            </w:pPr>
            <w:r w:rsidRPr="00AE6EDB">
              <w:rPr>
                <w:b/>
                <w:sz w:val="20"/>
                <w:szCs w:val="20"/>
              </w:rPr>
              <w:t>2. Sociálna inklúzia</w:t>
            </w:r>
          </w:p>
        </w:tc>
        <w:tc>
          <w:tcPr>
            <w:tcW w:w="1108" w:type="dxa"/>
            <w:vAlign w:val="center"/>
          </w:tcPr>
          <w:p w:rsidR="000A7585" w:rsidRPr="00AE6EDB" w:rsidRDefault="000A7585" w:rsidP="00DE0EEC">
            <w:pPr>
              <w:jc w:val="center"/>
              <w:rPr>
                <w:sz w:val="20"/>
                <w:szCs w:val="20"/>
              </w:rPr>
            </w:pPr>
            <w:r w:rsidRPr="00AE6EDB">
              <w:rPr>
                <w:sz w:val="20"/>
                <w:szCs w:val="20"/>
              </w:rPr>
              <w:t>0</w:t>
            </w:r>
          </w:p>
        </w:tc>
        <w:tc>
          <w:tcPr>
            <w:tcW w:w="1314" w:type="dxa"/>
            <w:vAlign w:val="center"/>
          </w:tcPr>
          <w:p w:rsidR="000A7585" w:rsidRPr="00AE6EDB" w:rsidRDefault="000A7585" w:rsidP="00DE0EEC">
            <w:pPr>
              <w:jc w:val="center"/>
              <w:rPr>
                <w:sz w:val="20"/>
                <w:szCs w:val="20"/>
              </w:rPr>
            </w:pPr>
            <w:r w:rsidRPr="00AE6EDB">
              <w:rPr>
                <w:sz w:val="20"/>
                <w:szCs w:val="20"/>
              </w:rPr>
              <w:t>2</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444" w:type="dxa"/>
            <w:vAlign w:val="center"/>
          </w:tcPr>
          <w:p w:rsidR="000A7585" w:rsidRPr="00AE6EDB" w:rsidRDefault="0054295F" w:rsidP="00DE0EEC">
            <w:pPr>
              <w:jc w:val="right"/>
              <w:rPr>
                <w:sz w:val="20"/>
                <w:szCs w:val="20"/>
              </w:rPr>
            </w:pPr>
            <w:r>
              <w:rPr>
                <w:sz w:val="20"/>
                <w:szCs w:val="20"/>
              </w:rPr>
              <w:t>4 5</w:t>
            </w:r>
            <w:r w:rsidR="000A7585" w:rsidRPr="00AE6EDB">
              <w:rPr>
                <w:sz w:val="20"/>
                <w:szCs w:val="20"/>
              </w:rPr>
              <w:t>0</w:t>
            </w:r>
            <w:r>
              <w:rPr>
                <w:sz w:val="20"/>
                <w:szCs w:val="20"/>
              </w:rPr>
              <w:t>2 6</w:t>
            </w:r>
            <w:r w:rsidR="000A7585" w:rsidRPr="00AE6EDB">
              <w:rPr>
                <w:sz w:val="20"/>
                <w:szCs w:val="20"/>
              </w:rPr>
              <w:t>17</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178" w:type="dxa"/>
            <w:vAlign w:val="center"/>
          </w:tcPr>
          <w:p w:rsidR="000A7585" w:rsidRPr="00AE6EDB" w:rsidRDefault="0054295F" w:rsidP="00DE0EEC">
            <w:pPr>
              <w:jc w:val="right"/>
              <w:rPr>
                <w:sz w:val="20"/>
                <w:szCs w:val="20"/>
              </w:rPr>
            </w:pPr>
            <w:r>
              <w:rPr>
                <w:sz w:val="20"/>
                <w:szCs w:val="20"/>
              </w:rPr>
              <w:t>3 2</w:t>
            </w:r>
            <w:r w:rsidR="000A7585" w:rsidRPr="00AE6EDB">
              <w:rPr>
                <w:sz w:val="20"/>
                <w:szCs w:val="20"/>
              </w:rPr>
              <w:t>3</w:t>
            </w:r>
            <w:r w:rsidR="00AC44CB">
              <w:rPr>
                <w:sz w:val="20"/>
                <w:szCs w:val="20"/>
              </w:rPr>
              <w:t>7 2</w:t>
            </w:r>
            <w:r w:rsidR="000A7585" w:rsidRPr="00AE6EDB">
              <w:rPr>
                <w:sz w:val="20"/>
                <w:szCs w:val="20"/>
              </w:rPr>
              <w:t>08</w:t>
            </w:r>
          </w:p>
        </w:tc>
      </w:tr>
      <w:tr w:rsidR="000A7585" w:rsidRPr="00AE6EDB" w:rsidTr="00DE0EEC">
        <w:trPr>
          <w:trHeight w:val="247"/>
          <w:jc w:val="center"/>
        </w:trPr>
        <w:tc>
          <w:tcPr>
            <w:tcW w:w="1776" w:type="dxa"/>
            <w:shd w:val="clear" w:color="auto" w:fill="auto"/>
            <w:vAlign w:val="center"/>
          </w:tcPr>
          <w:p w:rsidR="000A7585" w:rsidRPr="00AE6EDB" w:rsidRDefault="000A7585" w:rsidP="00DE0EEC">
            <w:pPr>
              <w:rPr>
                <w:b/>
                <w:sz w:val="20"/>
                <w:szCs w:val="20"/>
              </w:rPr>
            </w:pPr>
            <w:r w:rsidRPr="00AE6EDB">
              <w:rPr>
                <w:b/>
                <w:sz w:val="20"/>
                <w:szCs w:val="20"/>
              </w:rPr>
              <w:t>3.BSK(vrátane TA)</w:t>
            </w:r>
          </w:p>
        </w:tc>
        <w:tc>
          <w:tcPr>
            <w:tcW w:w="1108" w:type="dxa"/>
            <w:vAlign w:val="center"/>
          </w:tcPr>
          <w:p w:rsidR="000A7585" w:rsidRPr="00AE6EDB" w:rsidRDefault="000A7585" w:rsidP="00DE0EEC">
            <w:pPr>
              <w:jc w:val="center"/>
              <w:rPr>
                <w:sz w:val="20"/>
                <w:szCs w:val="20"/>
              </w:rPr>
            </w:pPr>
            <w:r w:rsidRPr="00AE6EDB">
              <w:rPr>
                <w:sz w:val="20"/>
                <w:szCs w:val="20"/>
              </w:rPr>
              <w:t>0</w:t>
            </w:r>
          </w:p>
        </w:tc>
        <w:tc>
          <w:tcPr>
            <w:tcW w:w="1314" w:type="dxa"/>
            <w:vAlign w:val="center"/>
          </w:tcPr>
          <w:p w:rsidR="000A7585" w:rsidRPr="00AE6EDB" w:rsidRDefault="000A7585" w:rsidP="00DE0EEC">
            <w:pPr>
              <w:jc w:val="center"/>
              <w:rPr>
                <w:sz w:val="20"/>
                <w:szCs w:val="20"/>
              </w:rPr>
            </w:pPr>
            <w:r w:rsidRPr="00AE6EDB">
              <w:rPr>
                <w:sz w:val="20"/>
                <w:szCs w:val="20"/>
              </w:rPr>
              <w:t>8</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444" w:type="dxa"/>
            <w:vAlign w:val="center"/>
          </w:tcPr>
          <w:p w:rsidR="000A7585" w:rsidRPr="00AE6EDB" w:rsidRDefault="0054295F" w:rsidP="00DE0EEC">
            <w:pPr>
              <w:jc w:val="right"/>
              <w:rPr>
                <w:sz w:val="20"/>
                <w:szCs w:val="20"/>
              </w:rPr>
            </w:pPr>
            <w:r>
              <w:rPr>
                <w:sz w:val="20"/>
                <w:szCs w:val="20"/>
              </w:rPr>
              <w:t>2 6</w:t>
            </w:r>
            <w:r w:rsidR="000A7585" w:rsidRPr="00AE6EDB">
              <w:rPr>
                <w:sz w:val="20"/>
                <w:szCs w:val="20"/>
              </w:rPr>
              <w:t>9</w:t>
            </w:r>
            <w:r>
              <w:rPr>
                <w:sz w:val="20"/>
                <w:szCs w:val="20"/>
              </w:rPr>
              <w:t>1 6</w:t>
            </w:r>
            <w:r w:rsidR="000A7585" w:rsidRPr="00AE6EDB">
              <w:rPr>
                <w:sz w:val="20"/>
                <w:szCs w:val="20"/>
              </w:rPr>
              <w:t>73</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178" w:type="dxa"/>
            <w:vAlign w:val="center"/>
          </w:tcPr>
          <w:p w:rsidR="000A7585" w:rsidRPr="00AE6EDB" w:rsidRDefault="0054295F" w:rsidP="00DE0EEC">
            <w:pPr>
              <w:jc w:val="right"/>
              <w:rPr>
                <w:sz w:val="20"/>
                <w:szCs w:val="20"/>
              </w:rPr>
            </w:pPr>
            <w:r>
              <w:rPr>
                <w:sz w:val="20"/>
                <w:szCs w:val="20"/>
              </w:rPr>
              <w:t>2 3</w:t>
            </w:r>
            <w:r w:rsidR="000A7585" w:rsidRPr="00AE6EDB">
              <w:rPr>
                <w:sz w:val="20"/>
                <w:szCs w:val="20"/>
              </w:rPr>
              <w:t>3</w:t>
            </w:r>
            <w:r w:rsidR="00AC44CB">
              <w:rPr>
                <w:sz w:val="20"/>
                <w:szCs w:val="20"/>
              </w:rPr>
              <w:t>5 1</w:t>
            </w:r>
            <w:r w:rsidR="000A7585" w:rsidRPr="00AE6EDB">
              <w:rPr>
                <w:sz w:val="20"/>
                <w:szCs w:val="20"/>
              </w:rPr>
              <w:t>46</w:t>
            </w:r>
          </w:p>
        </w:tc>
      </w:tr>
      <w:tr w:rsidR="000A7585" w:rsidRPr="00AE6EDB" w:rsidTr="00DE0EEC">
        <w:trPr>
          <w:trHeight w:val="247"/>
          <w:jc w:val="center"/>
        </w:trPr>
        <w:tc>
          <w:tcPr>
            <w:tcW w:w="1776" w:type="dxa"/>
            <w:shd w:val="clear" w:color="auto" w:fill="auto"/>
            <w:vAlign w:val="center"/>
          </w:tcPr>
          <w:p w:rsidR="000A7585" w:rsidRPr="00AE6EDB" w:rsidRDefault="000A7585" w:rsidP="00DE0EEC">
            <w:pPr>
              <w:rPr>
                <w:b/>
                <w:sz w:val="20"/>
                <w:szCs w:val="20"/>
              </w:rPr>
            </w:pPr>
            <w:r w:rsidRPr="00AE6EDB">
              <w:rPr>
                <w:b/>
                <w:sz w:val="20"/>
                <w:szCs w:val="20"/>
              </w:rPr>
              <w:t>4.Budovanie kapacít</w:t>
            </w:r>
          </w:p>
        </w:tc>
        <w:tc>
          <w:tcPr>
            <w:tcW w:w="1108" w:type="dxa"/>
            <w:vAlign w:val="center"/>
          </w:tcPr>
          <w:p w:rsidR="000A7585" w:rsidRPr="00AE6EDB" w:rsidRDefault="000A7585" w:rsidP="00DE0EEC">
            <w:pPr>
              <w:jc w:val="center"/>
              <w:rPr>
                <w:sz w:val="20"/>
                <w:szCs w:val="20"/>
              </w:rPr>
            </w:pPr>
            <w:r w:rsidRPr="00AE6EDB">
              <w:rPr>
                <w:sz w:val="20"/>
                <w:szCs w:val="20"/>
              </w:rPr>
              <w:t>0</w:t>
            </w:r>
          </w:p>
        </w:tc>
        <w:tc>
          <w:tcPr>
            <w:tcW w:w="1314" w:type="dxa"/>
            <w:vAlign w:val="center"/>
          </w:tcPr>
          <w:p w:rsidR="000A7585" w:rsidRPr="00AE6EDB" w:rsidRDefault="000A7585" w:rsidP="00DE0EEC">
            <w:pPr>
              <w:jc w:val="center"/>
              <w:rPr>
                <w:sz w:val="20"/>
                <w:szCs w:val="20"/>
              </w:rPr>
            </w:pPr>
            <w:r w:rsidRPr="00AE6EDB">
              <w:rPr>
                <w:sz w:val="20"/>
                <w:szCs w:val="20"/>
              </w:rPr>
              <w:t>4</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444" w:type="dxa"/>
            <w:vAlign w:val="center"/>
          </w:tcPr>
          <w:p w:rsidR="000A7585" w:rsidRPr="00AE6EDB" w:rsidRDefault="0054295F" w:rsidP="00DE0EEC">
            <w:pPr>
              <w:jc w:val="right"/>
              <w:rPr>
                <w:sz w:val="20"/>
                <w:szCs w:val="20"/>
              </w:rPr>
            </w:pPr>
            <w:r>
              <w:rPr>
                <w:sz w:val="20"/>
                <w:szCs w:val="20"/>
              </w:rPr>
              <w:t>1 8</w:t>
            </w:r>
            <w:r w:rsidR="000A7585" w:rsidRPr="00AE6EDB">
              <w:rPr>
                <w:sz w:val="20"/>
                <w:szCs w:val="20"/>
              </w:rPr>
              <w:t>4</w:t>
            </w:r>
            <w:r>
              <w:rPr>
                <w:sz w:val="20"/>
                <w:szCs w:val="20"/>
              </w:rPr>
              <w:t>0 4</w:t>
            </w:r>
            <w:r w:rsidR="000A7585" w:rsidRPr="00AE6EDB">
              <w:rPr>
                <w:sz w:val="20"/>
                <w:szCs w:val="20"/>
              </w:rPr>
              <w:t>29</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178" w:type="dxa"/>
            <w:vAlign w:val="center"/>
          </w:tcPr>
          <w:p w:rsidR="000A7585" w:rsidRPr="00AE6EDB" w:rsidRDefault="000A7585" w:rsidP="00DE0EEC">
            <w:pPr>
              <w:jc w:val="right"/>
              <w:rPr>
                <w:sz w:val="20"/>
                <w:szCs w:val="20"/>
              </w:rPr>
            </w:pPr>
            <w:r w:rsidRPr="00AE6EDB">
              <w:rPr>
                <w:sz w:val="20"/>
                <w:szCs w:val="20"/>
              </w:rPr>
              <w:t>72</w:t>
            </w:r>
            <w:r w:rsidR="00AC44CB">
              <w:rPr>
                <w:sz w:val="20"/>
                <w:szCs w:val="20"/>
              </w:rPr>
              <w:t>9 7</w:t>
            </w:r>
            <w:r w:rsidRPr="00AE6EDB">
              <w:rPr>
                <w:sz w:val="20"/>
                <w:szCs w:val="20"/>
              </w:rPr>
              <w:t>75</w:t>
            </w:r>
          </w:p>
        </w:tc>
      </w:tr>
      <w:tr w:rsidR="000A7585" w:rsidRPr="00AE6EDB" w:rsidTr="00DE0EEC">
        <w:trPr>
          <w:trHeight w:val="247"/>
          <w:jc w:val="center"/>
        </w:trPr>
        <w:tc>
          <w:tcPr>
            <w:tcW w:w="1776" w:type="dxa"/>
            <w:shd w:val="clear" w:color="auto" w:fill="auto"/>
            <w:vAlign w:val="center"/>
          </w:tcPr>
          <w:p w:rsidR="000A7585" w:rsidRPr="00AE6EDB" w:rsidRDefault="000A7585" w:rsidP="00DE0EEC">
            <w:pPr>
              <w:rPr>
                <w:b/>
                <w:sz w:val="20"/>
                <w:szCs w:val="20"/>
              </w:rPr>
            </w:pPr>
            <w:r w:rsidRPr="00AE6EDB">
              <w:rPr>
                <w:b/>
                <w:sz w:val="20"/>
                <w:szCs w:val="20"/>
              </w:rPr>
              <w:t>5.Technická asistencia (TA)</w:t>
            </w:r>
          </w:p>
        </w:tc>
        <w:tc>
          <w:tcPr>
            <w:tcW w:w="1108" w:type="dxa"/>
            <w:vAlign w:val="center"/>
          </w:tcPr>
          <w:p w:rsidR="000A7585" w:rsidRPr="00AE6EDB" w:rsidRDefault="000A7585" w:rsidP="00DE0EEC">
            <w:pPr>
              <w:jc w:val="center"/>
              <w:rPr>
                <w:sz w:val="20"/>
                <w:szCs w:val="20"/>
              </w:rPr>
            </w:pPr>
            <w:r w:rsidRPr="00AE6EDB">
              <w:rPr>
                <w:sz w:val="20"/>
                <w:szCs w:val="20"/>
              </w:rPr>
              <w:t>0</w:t>
            </w:r>
          </w:p>
        </w:tc>
        <w:tc>
          <w:tcPr>
            <w:tcW w:w="1314" w:type="dxa"/>
            <w:vAlign w:val="center"/>
          </w:tcPr>
          <w:p w:rsidR="000A7585" w:rsidRPr="00AE6EDB" w:rsidRDefault="000A7585" w:rsidP="00DE0EEC">
            <w:pPr>
              <w:jc w:val="center"/>
              <w:rPr>
                <w:sz w:val="20"/>
                <w:szCs w:val="20"/>
              </w:rPr>
            </w:pPr>
            <w:r w:rsidRPr="00AE6EDB">
              <w:rPr>
                <w:sz w:val="20"/>
                <w:szCs w:val="20"/>
              </w:rPr>
              <w:t>2</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444" w:type="dxa"/>
            <w:vAlign w:val="center"/>
          </w:tcPr>
          <w:p w:rsidR="000A7585" w:rsidRPr="00AE6EDB" w:rsidRDefault="000A7585" w:rsidP="00DE0EEC">
            <w:pPr>
              <w:jc w:val="right"/>
              <w:rPr>
                <w:sz w:val="20"/>
                <w:szCs w:val="20"/>
              </w:rPr>
            </w:pPr>
            <w:r w:rsidRPr="00AE6EDB">
              <w:rPr>
                <w:sz w:val="20"/>
                <w:szCs w:val="20"/>
              </w:rPr>
              <w:t>65</w:t>
            </w:r>
            <w:r w:rsidR="0054295F">
              <w:rPr>
                <w:sz w:val="20"/>
                <w:szCs w:val="20"/>
              </w:rPr>
              <w:t>4 4</w:t>
            </w:r>
            <w:r w:rsidRPr="00AE6EDB">
              <w:rPr>
                <w:sz w:val="20"/>
                <w:szCs w:val="20"/>
              </w:rPr>
              <w:t>45</w:t>
            </w:r>
          </w:p>
        </w:tc>
        <w:tc>
          <w:tcPr>
            <w:tcW w:w="1183" w:type="dxa"/>
            <w:vAlign w:val="center"/>
          </w:tcPr>
          <w:p w:rsidR="000A7585" w:rsidRPr="00AE6EDB" w:rsidRDefault="000A7585" w:rsidP="00DE0EEC">
            <w:pPr>
              <w:jc w:val="right"/>
              <w:rPr>
                <w:sz w:val="20"/>
                <w:szCs w:val="20"/>
              </w:rPr>
            </w:pPr>
            <w:r w:rsidRPr="00AE6EDB">
              <w:rPr>
                <w:sz w:val="20"/>
                <w:szCs w:val="20"/>
              </w:rPr>
              <w:t>0</w:t>
            </w:r>
          </w:p>
        </w:tc>
        <w:tc>
          <w:tcPr>
            <w:tcW w:w="1178" w:type="dxa"/>
            <w:vAlign w:val="center"/>
          </w:tcPr>
          <w:p w:rsidR="000A7585" w:rsidRPr="00AE6EDB" w:rsidRDefault="000A7585" w:rsidP="00DE0EEC">
            <w:pPr>
              <w:jc w:val="right"/>
              <w:rPr>
                <w:sz w:val="20"/>
                <w:szCs w:val="20"/>
              </w:rPr>
            </w:pPr>
            <w:r w:rsidRPr="00AE6EDB">
              <w:rPr>
                <w:sz w:val="20"/>
                <w:szCs w:val="20"/>
              </w:rPr>
              <w:t>61</w:t>
            </w:r>
            <w:r w:rsidR="0054295F">
              <w:rPr>
                <w:sz w:val="20"/>
                <w:szCs w:val="20"/>
              </w:rPr>
              <w:t>0 4</w:t>
            </w:r>
            <w:r w:rsidRPr="00AE6EDB">
              <w:rPr>
                <w:sz w:val="20"/>
                <w:szCs w:val="20"/>
              </w:rPr>
              <w:t>40</w:t>
            </w:r>
          </w:p>
        </w:tc>
      </w:tr>
    </w:tbl>
    <w:p w:rsidR="000A7585" w:rsidRPr="00AE6EDB" w:rsidRDefault="000A7585" w:rsidP="000A7585">
      <w:pPr>
        <w:pStyle w:val="zdroj"/>
        <w:spacing w:after="0"/>
        <w:ind w:left="142" w:firstLine="0"/>
      </w:pPr>
      <w:r w:rsidRPr="00AE6EDB">
        <w:t xml:space="preserve">Zdroj: RO pre OP </w:t>
      </w:r>
      <w:proofErr w:type="spellStart"/>
      <w:r w:rsidRPr="00AE6EDB">
        <w:t>ZaSI</w:t>
      </w:r>
      <w:proofErr w:type="spellEnd"/>
      <w:r w:rsidRPr="00AE6EDB">
        <w:t xml:space="preserve">/ ITMS </w:t>
      </w:r>
    </w:p>
    <w:p w:rsidR="000A7585" w:rsidRPr="00AE6EDB" w:rsidRDefault="000A7585" w:rsidP="000A7585">
      <w:pPr>
        <w:pStyle w:val="zdroj"/>
        <w:spacing w:before="0"/>
        <w:ind w:left="142" w:firstLine="0"/>
      </w:pPr>
      <w:r w:rsidRPr="00AE6EDB">
        <w:t>*</w:t>
      </w:r>
      <w:proofErr w:type="spellStart"/>
      <w:r w:rsidRPr="00AE6EDB">
        <w:t>zazmluvnenie</w:t>
      </w:r>
      <w:proofErr w:type="spellEnd"/>
      <w:r w:rsidRPr="00AE6EDB">
        <w:t xml:space="preserve"> následníka </w:t>
      </w:r>
      <w:proofErr w:type="spellStart"/>
      <w:r w:rsidRPr="00AE6EDB">
        <w:t>nenavyšuje</w:t>
      </w:r>
      <w:proofErr w:type="spellEnd"/>
      <w:r w:rsidRPr="00AE6EDB">
        <w:t xml:space="preserve"> počet projektov</w:t>
      </w:r>
    </w:p>
    <w:p w:rsidR="000A7585" w:rsidRPr="00AE6EDB" w:rsidRDefault="000A7585" w:rsidP="000A7585">
      <w:pPr>
        <w:jc w:val="left"/>
        <w:rPr>
          <w:b/>
        </w:rPr>
      </w:pPr>
      <w:r w:rsidRPr="00AE6EDB">
        <w:br w:type="page"/>
      </w:r>
    </w:p>
    <w:p w:rsidR="000A7585" w:rsidRPr="00AE6EDB" w:rsidRDefault="000A7585" w:rsidP="000A7585">
      <w:pPr>
        <w:pStyle w:val="Nadpis7"/>
      </w:pPr>
      <w:r w:rsidRPr="00AE6EDB">
        <w:t xml:space="preserve">Graf 3.25 Stav </w:t>
      </w:r>
      <w:proofErr w:type="spellStart"/>
      <w:r w:rsidRPr="00AE6EDB">
        <w:t>zazmluvnenia</w:t>
      </w:r>
      <w:proofErr w:type="spellEnd"/>
      <w:r w:rsidRPr="00AE6EDB">
        <w:t xml:space="preserve"> projektov OP </w:t>
      </w:r>
      <w:proofErr w:type="spellStart"/>
      <w:r w:rsidRPr="00AE6EDB">
        <w:t>ZaSI</w:t>
      </w:r>
      <w:proofErr w:type="spellEnd"/>
      <w:r w:rsidRPr="00AE6EDB">
        <w:t xml:space="preserve"> podľa samosprávnych krajov </w:t>
      </w:r>
      <w:r w:rsidRPr="00AE6EDB">
        <w:br/>
        <w:t>k 31.12.2015 za EÚ zdroje</w:t>
      </w:r>
    </w:p>
    <w:p w:rsidR="000A7585" w:rsidRPr="00AE6EDB" w:rsidRDefault="000A7585" w:rsidP="00C25322">
      <w:pPr>
        <w:ind w:left="-851"/>
        <w:jc w:val="center"/>
        <w:rPr>
          <w:i/>
          <w:color w:val="00B050"/>
        </w:rPr>
      </w:pPr>
      <w:r w:rsidRPr="00AE6EDB">
        <w:rPr>
          <w:noProof/>
        </w:rPr>
        <w:drawing>
          <wp:inline distT="0" distB="0" distL="0" distR="0" wp14:anchorId="2746CBA0" wp14:editId="61FE92F6">
            <wp:extent cx="6796800" cy="3200036"/>
            <wp:effectExtent l="0" t="0" r="4445" b="63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17725" t="19648" r="16535" b="24888"/>
                    <a:stretch/>
                  </pic:blipFill>
                  <pic:spPr bwMode="auto">
                    <a:xfrm>
                      <a:off x="0" y="0"/>
                      <a:ext cx="6796800" cy="3200036"/>
                    </a:xfrm>
                    <a:prstGeom prst="rect">
                      <a:avLst/>
                    </a:prstGeom>
                    <a:ln>
                      <a:noFill/>
                    </a:ln>
                    <a:extLst>
                      <a:ext uri="{53640926-AAD7-44D8-BBD7-CCE9431645EC}">
                        <a14:shadowObscured xmlns:a14="http://schemas.microsoft.com/office/drawing/2010/main"/>
                      </a:ext>
                    </a:extLst>
                  </pic:spPr>
                </pic:pic>
              </a:graphicData>
            </a:graphic>
          </wp:inline>
        </w:drawing>
      </w:r>
    </w:p>
    <w:p w:rsidR="000A7585" w:rsidRPr="00AE6EDB" w:rsidRDefault="000A7585" w:rsidP="000A7585">
      <w:pPr>
        <w:pStyle w:val="zdroj"/>
        <w:spacing w:before="0" w:after="0"/>
      </w:pPr>
      <w:r w:rsidRPr="00AE6EDB">
        <w:t xml:space="preserve">Zdroj: RO pre OP </w:t>
      </w:r>
      <w:proofErr w:type="spellStart"/>
      <w:r w:rsidRPr="00AE6EDB">
        <w:t>ZaSI</w:t>
      </w:r>
      <w:proofErr w:type="spellEnd"/>
      <w:r w:rsidRPr="00AE6EDB">
        <w:t>/ ITMS</w:t>
      </w:r>
    </w:p>
    <w:p w:rsidR="000A7585" w:rsidRPr="00AE6EDB" w:rsidRDefault="000A7585" w:rsidP="000A7585">
      <w:pPr>
        <w:pStyle w:val="zdroj"/>
        <w:spacing w:before="0"/>
      </w:pPr>
      <w:r w:rsidRPr="00AE6EDB">
        <w:t>(po odrátaní mimoriadne ukončených projektov a zdvojených dát projektov s následníkom)</w:t>
      </w:r>
    </w:p>
    <w:p w:rsidR="000A7585" w:rsidRPr="00AE6EDB" w:rsidRDefault="000A7585" w:rsidP="000A7585">
      <w:pPr>
        <w:rPr>
          <w:color w:val="000000"/>
          <w:highlight w:val="cyan"/>
        </w:rPr>
      </w:pPr>
    </w:p>
    <w:p w:rsidR="000A7585" w:rsidRPr="00AE6EDB" w:rsidRDefault="000A7585" w:rsidP="000A7585">
      <w:pPr>
        <w:rPr>
          <w:color w:val="000000"/>
          <w:highlight w:val="cyan"/>
        </w:rPr>
      </w:pPr>
    </w:p>
    <w:p w:rsidR="000A7585" w:rsidRPr="00AE6EDB" w:rsidRDefault="000A7585" w:rsidP="000A7585">
      <w:pPr>
        <w:ind w:firstLine="431"/>
        <w:rPr>
          <w:color w:val="000000"/>
        </w:rPr>
      </w:pPr>
      <w:r w:rsidRPr="00AE6EDB">
        <w:rPr>
          <w:color w:val="000000"/>
        </w:rPr>
        <w:t xml:space="preserve">K zlepšovaniu kvality života a sociálnej situácie obyvateľstva prispieva OP </w:t>
      </w:r>
      <w:proofErr w:type="spellStart"/>
      <w:r w:rsidRPr="00AE6EDB">
        <w:rPr>
          <w:color w:val="000000"/>
        </w:rPr>
        <w:t>ZaSI</w:t>
      </w:r>
      <w:proofErr w:type="spellEnd"/>
      <w:r w:rsidRPr="00AE6EDB">
        <w:rPr>
          <w:color w:val="000000"/>
        </w:rPr>
        <w:t xml:space="preserve"> najmä prostredníctvom implementácie prioritnej osi 1, 2 a 3, konkrétne prostredníctvom opatrení:</w:t>
      </w:r>
    </w:p>
    <w:p w:rsidR="000A7585" w:rsidRPr="00AE6EDB" w:rsidRDefault="000A7585" w:rsidP="000A7585">
      <w:pPr>
        <w:rPr>
          <w:color w:val="000000"/>
        </w:rPr>
      </w:pPr>
    </w:p>
    <w:p w:rsidR="000A7585" w:rsidRPr="00AE6EDB" w:rsidRDefault="000A7585" w:rsidP="000A7585">
      <w:pPr>
        <w:ind w:left="728" w:hanging="364"/>
        <w:rPr>
          <w:color w:val="000000"/>
        </w:rPr>
      </w:pPr>
      <w:r w:rsidRPr="00AE6EDB">
        <w:rPr>
          <w:color w:val="000000"/>
        </w:rPr>
        <w:t>1.1 Podpora programov v oblasti podpory zamestnanosti a riešenia nezamestnanosti a dlhodobej nezamestnanosti</w:t>
      </w:r>
    </w:p>
    <w:p w:rsidR="000A7585" w:rsidRPr="00AE6EDB" w:rsidRDefault="000A7585" w:rsidP="000A7585">
      <w:pPr>
        <w:ind w:left="728" w:hanging="364"/>
        <w:rPr>
          <w:color w:val="000000"/>
        </w:rPr>
      </w:pPr>
      <w:r w:rsidRPr="00AE6EDB">
        <w:rPr>
          <w:color w:val="000000"/>
        </w:rPr>
        <w:t>1.2 Podpora tvorby a udržania pracovných miest prostredníctvom zvýšenia adaptability pracovníkov, podnikov a podpory podnikania</w:t>
      </w:r>
    </w:p>
    <w:p w:rsidR="000A7585" w:rsidRPr="00AE6EDB" w:rsidRDefault="000A7585" w:rsidP="000A7585">
      <w:pPr>
        <w:ind w:left="728" w:hanging="364"/>
        <w:rPr>
          <w:color w:val="000000"/>
        </w:rPr>
      </w:pPr>
      <w:r w:rsidRPr="00AE6EDB">
        <w:rPr>
          <w:color w:val="000000"/>
        </w:rPr>
        <w:t>2.1</w:t>
      </w:r>
      <w:r w:rsidRPr="00AE6EDB">
        <w:rPr>
          <w:color w:val="000000"/>
        </w:rPr>
        <w:tab/>
        <w:t>Podpora sociálnej inklúzie osôb ohrozených sociálnym vylúčením alebo sociálne vylúčených prostredníctvom rozvoja služieb starostlivosti s osobitným zreteľom na marginalizované rómske komunity</w:t>
      </w:r>
    </w:p>
    <w:p w:rsidR="000A7585" w:rsidRPr="00AE6EDB" w:rsidRDefault="000A7585" w:rsidP="000A7585">
      <w:pPr>
        <w:ind w:left="728" w:hanging="364"/>
        <w:rPr>
          <w:color w:val="000000"/>
        </w:rPr>
      </w:pPr>
      <w:r w:rsidRPr="00AE6EDB">
        <w:rPr>
          <w:color w:val="000000"/>
        </w:rPr>
        <w:t>2.2</w:t>
      </w:r>
      <w:r w:rsidRPr="00AE6EDB">
        <w:rPr>
          <w:color w:val="000000"/>
        </w:rPr>
        <w:tab/>
        <w:t>Podpora vytvárania rovnosti príležitostí v prístupe na trh práce a podpora integrácie znevýhodnených skupín na trh práce s osobitným zreteľom na marginalizované rómske komunity</w:t>
      </w:r>
    </w:p>
    <w:p w:rsidR="000A7585" w:rsidRPr="00AE6EDB" w:rsidRDefault="000A7585" w:rsidP="000A7585">
      <w:pPr>
        <w:ind w:left="728" w:hanging="364"/>
        <w:rPr>
          <w:color w:val="000000"/>
        </w:rPr>
      </w:pPr>
      <w:r w:rsidRPr="00AE6EDB">
        <w:rPr>
          <w:color w:val="000000"/>
        </w:rPr>
        <w:t>2.3</w:t>
      </w:r>
      <w:r w:rsidRPr="00AE6EDB">
        <w:rPr>
          <w:color w:val="000000"/>
        </w:rPr>
        <w:tab/>
        <w:t>Podpora zosúladenia rodinného a pracovného života</w:t>
      </w:r>
    </w:p>
    <w:p w:rsidR="000A7585" w:rsidRPr="00AE6EDB" w:rsidRDefault="005F3324" w:rsidP="000A7585">
      <w:pPr>
        <w:ind w:left="728" w:hanging="364"/>
        <w:rPr>
          <w:color w:val="000000"/>
        </w:rPr>
      </w:pPr>
      <w:r w:rsidRPr="00AE6EDB">
        <w:rPr>
          <w:color w:val="000000"/>
        </w:rPr>
        <w:t>3.1</w:t>
      </w:r>
      <w:r w:rsidRPr="00AE6EDB">
        <w:rPr>
          <w:color w:val="000000"/>
        </w:rPr>
        <w:tab/>
      </w:r>
      <w:r w:rsidR="000A7585" w:rsidRPr="00AE6EDB">
        <w:rPr>
          <w:color w:val="000000"/>
        </w:rPr>
        <w:t xml:space="preserve">Podpora rastu zamestnanosti a zlepšenia </w:t>
      </w:r>
      <w:proofErr w:type="spellStart"/>
      <w:r w:rsidR="000A7585" w:rsidRPr="00AE6EDB">
        <w:rPr>
          <w:color w:val="000000"/>
        </w:rPr>
        <w:t>zamestnateľnosti</w:t>
      </w:r>
      <w:proofErr w:type="spellEnd"/>
      <w:r w:rsidR="000A7585" w:rsidRPr="00AE6EDB">
        <w:rPr>
          <w:color w:val="000000"/>
        </w:rPr>
        <w:t xml:space="preserve"> s osobitným zreteľom na vzdelanostnú spoločnosť</w:t>
      </w:r>
    </w:p>
    <w:p w:rsidR="000A7585" w:rsidRPr="00AE6EDB" w:rsidRDefault="000A7585" w:rsidP="000A7585">
      <w:pPr>
        <w:ind w:left="728" w:hanging="364"/>
        <w:rPr>
          <w:color w:val="000000"/>
        </w:rPr>
      </w:pPr>
      <w:r w:rsidRPr="00AE6EDB">
        <w:rPr>
          <w:color w:val="000000"/>
        </w:rPr>
        <w:t>3.2</w:t>
      </w:r>
      <w:r w:rsidRPr="00AE6EDB">
        <w:rPr>
          <w:color w:val="000000"/>
        </w:rPr>
        <w:tab/>
        <w:t>Podpora sociálnej inklúzie, rodovej rovnosti a zosúladenie pracovného a rodinného života v BSK</w:t>
      </w:r>
    </w:p>
    <w:p w:rsidR="000A7585" w:rsidRPr="00AE6EDB" w:rsidRDefault="000A7585" w:rsidP="000A7585">
      <w:pPr>
        <w:ind w:left="728" w:hanging="364"/>
        <w:rPr>
          <w:color w:val="000000"/>
          <w:highlight w:val="cyan"/>
        </w:rPr>
      </w:pPr>
    </w:p>
    <w:p w:rsidR="000A7585" w:rsidRPr="00AE6EDB" w:rsidRDefault="000A7585" w:rsidP="000A7585">
      <w:pPr>
        <w:ind w:firstLine="364"/>
        <w:rPr>
          <w:color w:val="1F497D"/>
        </w:rPr>
      </w:pPr>
      <w:r w:rsidRPr="00AE6EDB">
        <w:rPr>
          <w:color w:val="000000" w:themeColor="text1"/>
        </w:rPr>
        <w:t xml:space="preserve">V prioritnej osi 4 a v opatrení 3.3 – </w:t>
      </w:r>
      <w:r w:rsidRPr="00AE6EDB">
        <w:rPr>
          <w:i/>
          <w:color w:val="000000" w:themeColor="text1"/>
        </w:rPr>
        <w:t>Budovanie kapacít a zlepšenie kvality verejnej správy</w:t>
      </w:r>
      <w:r w:rsidRPr="00AE6EDB">
        <w:rPr>
          <w:color w:val="000000" w:themeColor="text1"/>
        </w:rPr>
        <w:t xml:space="preserve"> sú finančné prostriedky vynakladané na zvyšovanie kvality ľudských zdrojov a zlepšenie kvality verejnej správy a mimovládnych organizácií. Príspevok týchto prostriedkov k politike zamestnanosti a sociálnej inklúzie je teda sprostredkovaný a až nárastom kvality menovaných organizácií sa prejaví ich vplyv na spomínané politiky</w:t>
      </w:r>
      <w:r w:rsidRPr="00AE6EDB">
        <w:rPr>
          <w:color w:val="1F497D"/>
        </w:rPr>
        <w:t>.</w:t>
      </w:r>
    </w:p>
    <w:p w:rsidR="000A7585" w:rsidRPr="00AE6EDB" w:rsidRDefault="000A7585" w:rsidP="000A7585">
      <w:pPr>
        <w:ind w:left="728" w:hanging="364"/>
        <w:rPr>
          <w:color w:val="000000"/>
        </w:rPr>
      </w:pPr>
    </w:p>
    <w:p w:rsidR="000A7585" w:rsidRPr="00AE6EDB" w:rsidRDefault="000A7585" w:rsidP="000A7585">
      <w:pPr>
        <w:ind w:firstLine="431"/>
        <w:rPr>
          <w:color w:val="000000"/>
        </w:rPr>
      </w:pPr>
      <w:r w:rsidRPr="00AE6EDB">
        <w:rPr>
          <w:color w:val="000000"/>
        </w:rPr>
        <w:t xml:space="preserve">Opatrenia sa napĺňajú implementáciou národných projektov (vyzvania na NP vyhlasuje Riadiaci orgán, teda MPSVR SR) a prostredníctvom výziev na predkladanie </w:t>
      </w:r>
      <w:proofErr w:type="spellStart"/>
      <w:r w:rsidRPr="00AE6EDB">
        <w:rPr>
          <w:color w:val="000000"/>
        </w:rPr>
        <w:t>dopytovo-orientovaných</w:t>
      </w:r>
      <w:proofErr w:type="spellEnd"/>
      <w:r w:rsidRPr="00AE6EDB">
        <w:rPr>
          <w:color w:val="000000"/>
        </w:rPr>
        <w:t xml:space="preserve"> projektov, ktoré boli vyhlasované Fondom sociálneho rozvoja a Sociálnou implementačnou agentúrou (právnymi predchodcami IA) ako sprostredkovateľským orgánom. </w:t>
      </w:r>
    </w:p>
    <w:p w:rsidR="000A7585" w:rsidRPr="00AE6EDB" w:rsidRDefault="000A7585" w:rsidP="000A7585">
      <w:pPr>
        <w:spacing w:before="120"/>
        <w:rPr>
          <w:rFonts w:ascii="Arial Narrow" w:hAnsi="Arial Narrow"/>
        </w:rPr>
      </w:pPr>
      <w:r w:rsidRPr="00AE6EDB">
        <w:t xml:space="preserve">V období medzi 1.1.2015 a 31.12.2015 bolo zrealizovaných 18 písomných vyzvaní pre národné projekty, 2 </w:t>
      </w:r>
      <w:proofErr w:type="spellStart"/>
      <w:r w:rsidRPr="00AE6EDB">
        <w:t>dopytovo-orientované</w:t>
      </w:r>
      <w:proofErr w:type="spellEnd"/>
      <w:r w:rsidRPr="00AE6EDB">
        <w:t xml:space="preserve"> projekty a 3 projekty na technickú pomoc,</w:t>
      </w:r>
      <w:r w:rsidR="001C72AB" w:rsidRPr="00AE6EDB">
        <w:t xml:space="preserve"> </w:t>
      </w:r>
      <w:r w:rsidRPr="00AE6EDB">
        <w:t xml:space="preserve">na základe ktorých bola </w:t>
      </w:r>
      <w:proofErr w:type="spellStart"/>
      <w:r w:rsidRPr="00AE6EDB">
        <w:t>zazmluvnená</w:t>
      </w:r>
      <w:proofErr w:type="spellEnd"/>
      <w:r w:rsidRPr="00AE6EDB">
        <w:t xml:space="preserve"> suma</w:t>
      </w:r>
      <w:r w:rsidRPr="00AE6EDB">
        <w:rPr>
          <w:color w:val="FF0000"/>
        </w:rPr>
        <w:t xml:space="preserve"> </w:t>
      </w:r>
      <w:r w:rsidRPr="00AE6EDB">
        <w:t>90,7 mil.</w:t>
      </w:r>
      <w:r w:rsidR="0054295F">
        <w:t> eur</w:t>
      </w:r>
      <w:r w:rsidRPr="00AE6EDB">
        <w:t>. V roku 2015 boli zo strany certifikačného orgánu schválené súhrnné žiadosti o platbu v hodnote 237,1 mil.</w:t>
      </w:r>
      <w:r w:rsidR="0054295F">
        <w:t> eur</w:t>
      </w:r>
      <w:r w:rsidRPr="00AE6EDB">
        <w:t xml:space="preserve"> a čerpanie bolo zvýšené o 20,5 p</w:t>
      </w:r>
      <w:r w:rsidR="00CF1D2F" w:rsidRPr="00AE6EDB">
        <w:t>. b.</w:t>
      </w:r>
      <w:r w:rsidRPr="00AE6EDB">
        <w:t xml:space="preserve"> oproti stavu k 31.12.2014. </w:t>
      </w:r>
    </w:p>
    <w:p w:rsidR="000A7585" w:rsidRPr="00AE6EDB" w:rsidRDefault="000A7585" w:rsidP="000A7585">
      <w:pPr>
        <w:rPr>
          <w:highlight w:val="cyan"/>
        </w:rPr>
      </w:pPr>
      <w:r w:rsidRPr="00AE6EDB">
        <w:t xml:space="preserve">Prehľad projektov </w:t>
      </w:r>
      <w:proofErr w:type="spellStart"/>
      <w:r w:rsidRPr="00AE6EDB">
        <w:t>zazmluvnených</w:t>
      </w:r>
      <w:proofErr w:type="spellEnd"/>
      <w:r w:rsidRPr="00AE6EDB">
        <w:t xml:space="preserve"> počas roka 2015 sa nachádza v prílohe ku kapitole 3, tabuľka 36a</w:t>
      </w:r>
      <w:bookmarkStart w:id="732" w:name="_Toc394062789"/>
      <w:bookmarkStart w:id="733" w:name="_Toc410238611"/>
      <w:bookmarkStart w:id="734" w:name="_Toc394062799"/>
      <w:bookmarkStart w:id="735" w:name="_Toc410238621"/>
      <w:bookmarkStart w:id="736" w:name="_Toc394062790"/>
      <w:bookmarkEnd w:id="732"/>
      <w:bookmarkEnd w:id="733"/>
      <w:bookmarkEnd w:id="734"/>
      <w:bookmarkEnd w:id="735"/>
      <w:bookmarkEnd w:id="736"/>
      <w:r w:rsidRPr="00AE6EDB">
        <w:t>.</w:t>
      </w:r>
    </w:p>
    <w:p w:rsidR="000A7585" w:rsidRPr="00AE6EDB" w:rsidRDefault="000A7585" w:rsidP="000A7585">
      <w:pPr>
        <w:rPr>
          <w:highlight w:val="cyan"/>
        </w:rPr>
      </w:pPr>
    </w:p>
    <w:p w:rsidR="000A7585" w:rsidRPr="00AE6EDB" w:rsidRDefault="000A7585" w:rsidP="000A7585">
      <w:r w:rsidRPr="00AE6EDB">
        <w:t xml:space="preserve">Podrobnejšie informácie o jednotlivých projektoch a o priebehu implementácie sú zverejňované vo výročných správach OP </w:t>
      </w:r>
      <w:proofErr w:type="spellStart"/>
      <w:r w:rsidRPr="00AE6EDB">
        <w:t>ZaSI</w:t>
      </w:r>
      <w:proofErr w:type="spellEnd"/>
      <w:r w:rsidRPr="00AE6EDB">
        <w:rPr>
          <w:color w:val="7F2016" w:themeColor="accent1"/>
        </w:rPr>
        <w:t>. (</w:t>
      </w:r>
      <w:hyperlink r:id="rId76" w:history="1">
        <w:r w:rsidRPr="00AE6EDB">
          <w:rPr>
            <w:rStyle w:val="Hypertextovprepojenie"/>
            <w:color w:val="7F2016" w:themeColor="accent1"/>
          </w:rPr>
          <w:t>http://www1.employment.gov.sk/ESF/new/index8d93.html?id=3394</w:t>
        </w:r>
      </w:hyperlink>
      <w:r w:rsidRPr="00AE6EDB">
        <w:rPr>
          <w:color w:val="7F2016" w:themeColor="accent1"/>
        </w:rPr>
        <w:t>)</w:t>
      </w:r>
    </w:p>
    <w:p w:rsidR="000A7585" w:rsidRPr="00AE6EDB" w:rsidRDefault="000A7585" w:rsidP="000A7585"/>
    <w:p w:rsidR="000A7585" w:rsidRPr="00AE6EDB" w:rsidRDefault="000A7585" w:rsidP="000A7585">
      <w:pPr>
        <w:pStyle w:val="Nadpis6"/>
      </w:pPr>
      <w:bookmarkStart w:id="737" w:name="_Toc448846135"/>
      <w:bookmarkStart w:id="738" w:name="_Toc452469900"/>
      <w:r w:rsidRPr="00AE6EDB">
        <w:t>Operačný program Ľudské zdroje</w:t>
      </w:r>
      <w:bookmarkEnd w:id="737"/>
      <w:bookmarkEnd w:id="738"/>
    </w:p>
    <w:p w:rsidR="000A7585" w:rsidRPr="00AE6EDB" w:rsidRDefault="000A7585" w:rsidP="000A7585">
      <w:pPr>
        <w:pStyle w:val="Default"/>
        <w:ind w:firstLine="360"/>
        <w:jc w:val="both"/>
        <w:rPr>
          <w:rFonts w:ascii="Times New Roman" w:hAnsi="Times New Roman" w:cs="Times New Roman"/>
          <w:sz w:val="22"/>
        </w:rPr>
      </w:pPr>
      <w:r w:rsidRPr="00AE6EDB">
        <w:rPr>
          <w:rFonts w:ascii="Times New Roman" w:hAnsi="Times New Roman" w:cs="Times New Roman"/>
          <w:sz w:val="22"/>
        </w:rPr>
        <w:t xml:space="preserve">V rámci OP ĽZ sa má poskytnúť podpora v oblasti rozvoja ľudských zdrojov, zvyšovania zamestnanosti a zamestnanosti mladých ľudí po skončení školy, v oblasti integrácie </w:t>
      </w:r>
      <w:proofErr w:type="spellStart"/>
      <w:r w:rsidRPr="00AE6EDB">
        <w:rPr>
          <w:rFonts w:ascii="Times New Roman" w:hAnsi="Times New Roman" w:cs="Times New Roman"/>
          <w:sz w:val="22"/>
        </w:rPr>
        <w:t>marginalizovaných</w:t>
      </w:r>
      <w:proofErr w:type="spellEnd"/>
      <w:r w:rsidRPr="00AE6EDB">
        <w:rPr>
          <w:rFonts w:ascii="Times New Roman" w:hAnsi="Times New Roman" w:cs="Times New Roman"/>
          <w:sz w:val="22"/>
        </w:rPr>
        <w:t xml:space="preserve"> rómskych komunít (ďalej len „MRK“) a technickej vybavenosti v obciach s prítomnosťou MRK. Globálnym cieľom OP ĽZ pre oblasť vzdelávania, zamestnanosti a sociálnej inklúzie je podporiť rozvoj ľudských </w:t>
      </w:r>
      <w:r w:rsidR="00F45681" w:rsidRPr="00AE6EDB">
        <w:rPr>
          <w:rFonts w:ascii="Times New Roman" w:hAnsi="Times New Roman" w:cs="Times New Roman"/>
          <w:sz w:val="22"/>
        </w:rPr>
        <w:t>zdrojov</w:t>
      </w:r>
      <w:r w:rsidRPr="00AE6EDB">
        <w:rPr>
          <w:rFonts w:ascii="Times New Roman" w:hAnsi="Times New Roman" w:cs="Times New Roman"/>
          <w:sz w:val="22"/>
        </w:rPr>
        <w:t>, celoživotného učenia, plnohodnotné začlenenie nezamestnaných na trh práce a zlepšenie ich sociálnej situácie. D</w:t>
      </w:r>
      <w:r w:rsidR="001110A1">
        <w:rPr>
          <w:rFonts w:ascii="Times New Roman" w:hAnsi="Times New Roman" w:cs="Times New Roman"/>
          <w:sz w:val="22"/>
        </w:rPr>
        <w:t>osahovanie globálneho cieľa OP ĽZ</w:t>
      </w:r>
      <w:r w:rsidR="001C72AB" w:rsidRPr="00AE6EDB">
        <w:rPr>
          <w:rFonts w:ascii="Times New Roman" w:hAnsi="Times New Roman" w:cs="Times New Roman"/>
          <w:sz w:val="22"/>
        </w:rPr>
        <w:t xml:space="preserve"> </w:t>
      </w:r>
      <w:r w:rsidRPr="00AE6EDB">
        <w:rPr>
          <w:rFonts w:ascii="Times New Roman" w:hAnsi="Times New Roman" w:cs="Times New Roman"/>
          <w:sz w:val="22"/>
        </w:rPr>
        <w:t>v súlade so Stratégiou Európa 2020, s cieľmi národného programu reforiem a v nadväznosti na</w:t>
      </w:r>
      <w:r w:rsidR="001110A1">
        <w:rPr>
          <w:rFonts w:ascii="Times New Roman" w:hAnsi="Times New Roman" w:cs="Times New Roman"/>
          <w:sz w:val="22"/>
        </w:rPr>
        <w:t> </w:t>
      </w:r>
      <w:r w:rsidRPr="00AE6EDB">
        <w:rPr>
          <w:rFonts w:ascii="Times New Roman" w:hAnsi="Times New Roman" w:cs="Times New Roman"/>
          <w:sz w:val="22"/>
        </w:rPr>
        <w:t>partnerskú dohodu sa bude realizovať pomocou mäkkých a tvrdých (investičných) opatrení v siedmich prioritných osiach:</w:t>
      </w:r>
    </w:p>
    <w:p w:rsidR="000A7585" w:rsidRPr="00AE6EDB" w:rsidRDefault="000A7585" w:rsidP="000A7585">
      <w:pPr>
        <w:pStyle w:val="Odsekzoznamu"/>
      </w:pPr>
      <w:r w:rsidRPr="00AE6EDB">
        <w:t>Vzdelávanie</w:t>
      </w:r>
    </w:p>
    <w:p w:rsidR="000A7585" w:rsidRPr="00AE6EDB" w:rsidRDefault="000A7585" w:rsidP="000A7585">
      <w:pPr>
        <w:pStyle w:val="Odsekzoznamu"/>
      </w:pPr>
      <w:r w:rsidRPr="00AE6EDB">
        <w:t>Iniciatíva na podporu zamestnanosti mladých ľudí</w:t>
      </w:r>
    </w:p>
    <w:p w:rsidR="000A7585" w:rsidRPr="00AE6EDB" w:rsidRDefault="000A7585" w:rsidP="000A7585">
      <w:pPr>
        <w:pStyle w:val="Odsekzoznamu"/>
      </w:pPr>
      <w:r w:rsidRPr="00AE6EDB">
        <w:t>Zamestnanosť</w:t>
      </w:r>
    </w:p>
    <w:p w:rsidR="000A7585" w:rsidRPr="00AE6EDB" w:rsidRDefault="000A7585" w:rsidP="000A7585">
      <w:pPr>
        <w:pStyle w:val="Odsekzoznamu"/>
      </w:pPr>
      <w:r w:rsidRPr="00AE6EDB">
        <w:t>Sociálne začlenenie</w:t>
      </w:r>
    </w:p>
    <w:p w:rsidR="000A7585" w:rsidRPr="00AE6EDB" w:rsidRDefault="00F45681" w:rsidP="000A7585">
      <w:pPr>
        <w:pStyle w:val="Odsekzoznamu"/>
      </w:pPr>
      <w:r w:rsidRPr="00AE6EDB">
        <w:t>Integrácia</w:t>
      </w:r>
      <w:r w:rsidR="000A7585" w:rsidRPr="00AE6EDB">
        <w:t xml:space="preserve"> </w:t>
      </w:r>
      <w:proofErr w:type="spellStart"/>
      <w:r w:rsidR="000A7585" w:rsidRPr="00AE6EDB">
        <w:t>marginalizovaných</w:t>
      </w:r>
      <w:proofErr w:type="spellEnd"/>
      <w:r w:rsidR="000A7585" w:rsidRPr="00AE6EDB">
        <w:t xml:space="preserve"> rómskych komunít</w:t>
      </w:r>
    </w:p>
    <w:p w:rsidR="000A7585" w:rsidRPr="00AE6EDB" w:rsidRDefault="000A7585" w:rsidP="000A7585">
      <w:pPr>
        <w:pStyle w:val="Odsekzoznamu"/>
      </w:pPr>
      <w:r w:rsidRPr="00AE6EDB">
        <w:t xml:space="preserve">Technická vybavenosť v obciach s prítomnosťou </w:t>
      </w:r>
      <w:proofErr w:type="spellStart"/>
      <w:r w:rsidRPr="00AE6EDB">
        <w:t>marginalizovaných</w:t>
      </w:r>
      <w:proofErr w:type="spellEnd"/>
      <w:r w:rsidRPr="00AE6EDB">
        <w:t xml:space="preserve"> rómskych komunít / E</w:t>
      </w:r>
      <w:r w:rsidR="00207222" w:rsidRPr="00AE6EDB">
        <w:t>urópsky fond regionálneho rozvoja (E</w:t>
      </w:r>
      <w:r w:rsidRPr="00AE6EDB">
        <w:t>FRR</w:t>
      </w:r>
      <w:r w:rsidR="00207222" w:rsidRPr="00AE6EDB">
        <w:t>)</w:t>
      </w:r>
    </w:p>
    <w:p w:rsidR="000A7585" w:rsidRPr="00AE6EDB" w:rsidRDefault="000A7585" w:rsidP="000A7585">
      <w:pPr>
        <w:pStyle w:val="Odsekzoznamu"/>
      </w:pPr>
      <w:r w:rsidRPr="00AE6EDB">
        <w:t>Technická pomoc</w:t>
      </w:r>
    </w:p>
    <w:p w:rsidR="000A7585" w:rsidRPr="00AE6EDB" w:rsidRDefault="000A7585" w:rsidP="000A7585">
      <w:pPr>
        <w:ind w:firstLine="432"/>
        <w:rPr>
          <w:rStyle w:val="newsname"/>
          <w:color w:val="000000"/>
          <w:szCs w:val="22"/>
          <w:highlight w:val="cyan"/>
        </w:rPr>
      </w:pPr>
    </w:p>
    <w:p w:rsidR="000A7585" w:rsidRPr="00AE6EDB" w:rsidRDefault="000A7585" w:rsidP="000A7585">
      <w:pPr>
        <w:ind w:firstLine="432"/>
        <w:rPr>
          <w:rStyle w:val="newsname"/>
          <w:color w:val="000000"/>
          <w:szCs w:val="22"/>
          <w:highlight w:val="cyan"/>
        </w:rPr>
      </w:pPr>
    </w:p>
    <w:p w:rsidR="000A7585" w:rsidRPr="00AE6EDB" w:rsidRDefault="000A7585" w:rsidP="000A7585">
      <w:pPr>
        <w:autoSpaceDE w:val="0"/>
        <w:autoSpaceDN w:val="0"/>
        <w:adjustRightInd w:val="0"/>
        <w:spacing w:after="100"/>
        <w:ind w:firstLine="360"/>
        <w:rPr>
          <w:color w:val="000000"/>
        </w:rPr>
      </w:pPr>
      <w:r w:rsidRPr="00AE6EDB">
        <w:rPr>
          <w:color w:val="000000"/>
        </w:rPr>
        <w:t>Mäkké opatrenia sa budú vykonávať prostredníctvom ESF v rámci prioritných osí zameraných na</w:t>
      </w:r>
      <w:r w:rsidR="00CF1D2F" w:rsidRPr="00AE6EDB">
        <w:rPr>
          <w:color w:val="000000"/>
        </w:rPr>
        <w:t> </w:t>
      </w:r>
      <w:r w:rsidRPr="00AE6EDB">
        <w:rPr>
          <w:color w:val="000000"/>
        </w:rPr>
        <w:t>vzdelávanie, zamestnanosť, sociálne začlenenie a integráciu MRK. Investičné opatrenia prostredníctvom EFRR bude realizovať prioritná os zameraná na technickú vybavenosť v obciach s</w:t>
      </w:r>
      <w:r w:rsidR="00CF1D2F" w:rsidRPr="00AE6EDB">
        <w:rPr>
          <w:color w:val="000000"/>
        </w:rPr>
        <w:t> </w:t>
      </w:r>
      <w:r w:rsidRPr="00AE6EDB">
        <w:rPr>
          <w:color w:val="000000"/>
        </w:rPr>
        <w:t xml:space="preserve">prítomnosťou </w:t>
      </w:r>
      <w:proofErr w:type="spellStart"/>
      <w:r w:rsidRPr="00AE6EDB">
        <w:rPr>
          <w:color w:val="000000"/>
        </w:rPr>
        <w:t>marginalizovaných</w:t>
      </w:r>
      <w:proofErr w:type="spellEnd"/>
      <w:r w:rsidRPr="00AE6EDB">
        <w:rPr>
          <w:color w:val="000000"/>
        </w:rPr>
        <w:t xml:space="preserve"> rómskych komunít. Samostatná prioritná os Technická pomoc je určená na vykonávanie operačného programu v rámci riadiaceho a sprostredkovateľských orgánov pod riadiacim orgánom a predstavuje podporu z uvedených finančných zdrojov EÚ pre realizáciu ostatných vyššie uvedených prioritných osí. </w:t>
      </w:r>
    </w:p>
    <w:p w:rsidR="000A7585" w:rsidRPr="00AE6EDB" w:rsidRDefault="000A7585" w:rsidP="000A7585">
      <w:pPr>
        <w:autoSpaceDE w:val="0"/>
        <w:autoSpaceDN w:val="0"/>
        <w:adjustRightInd w:val="0"/>
        <w:spacing w:after="100"/>
        <w:jc w:val="left"/>
        <w:rPr>
          <w:color w:val="000000"/>
        </w:rPr>
      </w:pPr>
    </w:p>
    <w:p w:rsidR="000A7585" w:rsidRPr="00AE6EDB" w:rsidRDefault="000A7585" w:rsidP="000A7585">
      <w:pPr>
        <w:autoSpaceDE w:val="0"/>
        <w:autoSpaceDN w:val="0"/>
        <w:adjustRightInd w:val="0"/>
        <w:spacing w:after="100"/>
        <w:ind w:firstLine="360"/>
        <w:rPr>
          <w:color w:val="000000"/>
        </w:rPr>
      </w:pPr>
      <w:r w:rsidRPr="00AE6EDB">
        <w:rPr>
          <w:color w:val="000000"/>
        </w:rPr>
        <w:t>Celková alokácia finančných prostriedkov</w:t>
      </w:r>
      <w:r w:rsidR="001C72AB" w:rsidRPr="00AE6EDB">
        <w:rPr>
          <w:color w:val="000000"/>
        </w:rPr>
        <w:t xml:space="preserve"> </w:t>
      </w:r>
      <w:r w:rsidRPr="00AE6EDB">
        <w:rPr>
          <w:color w:val="000000"/>
        </w:rPr>
        <w:t>pre OP ĽZ</w:t>
      </w:r>
      <w:r w:rsidR="001C72AB" w:rsidRPr="00AE6EDB">
        <w:rPr>
          <w:color w:val="000000"/>
        </w:rPr>
        <w:t xml:space="preserve"> </w:t>
      </w:r>
      <w:r w:rsidRPr="00AE6EDB">
        <w:rPr>
          <w:color w:val="000000"/>
        </w:rPr>
        <w:t xml:space="preserve">je vo výške </w:t>
      </w:r>
      <w:r w:rsidR="0054295F">
        <w:rPr>
          <w:color w:val="000000"/>
        </w:rPr>
        <w:t>2 6</w:t>
      </w:r>
      <w:r w:rsidRPr="00AE6EDB">
        <w:rPr>
          <w:color w:val="000000"/>
        </w:rPr>
        <w:t>28,53 mil.</w:t>
      </w:r>
      <w:r w:rsidR="0054295F">
        <w:rPr>
          <w:color w:val="000000"/>
        </w:rPr>
        <w:t> eur</w:t>
      </w:r>
      <w:r w:rsidRPr="00AE6EDB">
        <w:rPr>
          <w:color w:val="000000"/>
        </w:rPr>
        <w:t xml:space="preserve">, pričom zdroje EÚ sú </w:t>
      </w:r>
      <w:r w:rsidR="0054295F">
        <w:rPr>
          <w:color w:val="000000"/>
        </w:rPr>
        <w:t>2 2</w:t>
      </w:r>
      <w:r w:rsidRPr="00AE6EDB">
        <w:rPr>
          <w:color w:val="000000"/>
        </w:rPr>
        <w:t>04,98 mil.</w:t>
      </w:r>
      <w:r w:rsidR="0054295F">
        <w:rPr>
          <w:color w:val="000000"/>
        </w:rPr>
        <w:t> eur</w:t>
      </w:r>
      <w:r w:rsidRPr="00AE6EDB">
        <w:rPr>
          <w:color w:val="000000"/>
        </w:rPr>
        <w:t xml:space="preserve"> a 423,54 </w:t>
      </w:r>
      <w:r w:rsidR="00F45681" w:rsidRPr="00AE6EDB">
        <w:rPr>
          <w:color w:val="000000"/>
        </w:rPr>
        <w:t>mil.</w:t>
      </w:r>
      <w:r w:rsidR="0054295F">
        <w:rPr>
          <w:color w:val="000000"/>
        </w:rPr>
        <w:t> eur</w:t>
      </w:r>
      <w:r w:rsidR="001C72AB" w:rsidRPr="00AE6EDB">
        <w:rPr>
          <w:color w:val="000000"/>
        </w:rPr>
        <w:t xml:space="preserve"> </w:t>
      </w:r>
      <w:r w:rsidRPr="00AE6EDB">
        <w:rPr>
          <w:color w:val="000000"/>
        </w:rPr>
        <w:t>je zo štátneho rozpočtu.</w:t>
      </w:r>
    </w:p>
    <w:p w:rsidR="000A7585" w:rsidRPr="00AE6EDB" w:rsidRDefault="000A7585" w:rsidP="000A7585">
      <w:pPr>
        <w:autoSpaceDE w:val="0"/>
        <w:autoSpaceDN w:val="0"/>
        <w:adjustRightInd w:val="0"/>
        <w:spacing w:after="100"/>
        <w:jc w:val="left"/>
        <w:rPr>
          <w:color w:val="000000"/>
        </w:rPr>
      </w:pPr>
    </w:p>
    <w:p w:rsidR="000A7585" w:rsidRPr="00AE6EDB" w:rsidRDefault="000A7585" w:rsidP="000A7585">
      <w:pPr>
        <w:ind w:firstLine="360"/>
        <w:rPr>
          <w:color w:val="000000"/>
        </w:rPr>
      </w:pPr>
      <w:r w:rsidRPr="00AE6EDB">
        <w:rPr>
          <w:color w:val="000000"/>
        </w:rPr>
        <w:t>K 31.12.2015 v rámci OP ĽZ bolo pre prioritné osi 2, 3 a 4 vyhlásených spolu 14 vyzvaní na</w:t>
      </w:r>
      <w:r w:rsidR="00CF1D2F" w:rsidRPr="00AE6EDB">
        <w:rPr>
          <w:color w:val="000000"/>
        </w:rPr>
        <w:t> </w:t>
      </w:r>
      <w:r w:rsidRPr="00AE6EDB">
        <w:rPr>
          <w:color w:val="000000"/>
        </w:rPr>
        <w:t>predloženie žiadosti o nenávratný finančný príspevok, ktoré boli zamerané:</w:t>
      </w:r>
    </w:p>
    <w:p w:rsidR="000A7585" w:rsidRPr="00AE6EDB" w:rsidRDefault="000A7585" w:rsidP="000A7585">
      <w:pPr>
        <w:pStyle w:val="Odsekzoznamu"/>
        <w:numPr>
          <w:ilvl w:val="0"/>
          <w:numId w:val="50"/>
        </w:numPr>
        <w:contextualSpacing/>
        <w:rPr>
          <w:szCs w:val="22"/>
        </w:rPr>
      </w:pPr>
      <w:r w:rsidRPr="00AE6EDB">
        <w:rPr>
          <w:szCs w:val="22"/>
        </w:rPr>
        <w:t xml:space="preserve">v rámci prioritnej osi 2 </w:t>
      </w:r>
      <w:r w:rsidRPr="00AE6EDB">
        <w:rPr>
          <w:i/>
          <w:szCs w:val="22"/>
        </w:rPr>
        <w:t>Iniciatíva na podporu zamestnanosti mladých ľudí</w:t>
      </w:r>
      <w:r w:rsidRPr="00AE6EDB">
        <w:rPr>
          <w:szCs w:val="22"/>
        </w:rPr>
        <w:t xml:space="preserve"> - na podporu zamestnávania mladých ľudí do 25 a 29 rokov</w:t>
      </w:r>
    </w:p>
    <w:p w:rsidR="000A7585" w:rsidRPr="00AE6EDB" w:rsidRDefault="000A7585" w:rsidP="000A7585">
      <w:pPr>
        <w:pStyle w:val="Odsekzoznamu"/>
        <w:numPr>
          <w:ilvl w:val="0"/>
          <w:numId w:val="50"/>
        </w:numPr>
        <w:contextualSpacing/>
        <w:rPr>
          <w:szCs w:val="22"/>
        </w:rPr>
      </w:pPr>
      <w:r w:rsidRPr="00AE6EDB">
        <w:rPr>
          <w:szCs w:val="22"/>
        </w:rPr>
        <w:t xml:space="preserve">v rámci prioritnej osi 3 </w:t>
      </w:r>
      <w:r w:rsidRPr="00AE6EDB">
        <w:rPr>
          <w:i/>
          <w:szCs w:val="22"/>
        </w:rPr>
        <w:t>Zamestnanosť</w:t>
      </w:r>
      <w:r w:rsidRPr="00AE6EDB">
        <w:rPr>
          <w:szCs w:val="22"/>
        </w:rPr>
        <w:t xml:space="preserve"> – na podporu zamestnávania najmä znevýhodnených uchádzačov o zamestnanie prostredníctvom vybraných aktívnych opatrení trhu práce a občanov so</w:t>
      </w:r>
      <w:r w:rsidR="00CF1D2F" w:rsidRPr="00AE6EDB">
        <w:rPr>
          <w:szCs w:val="22"/>
        </w:rPr>
        <w:t> </w:t>
      </w:r>
      <w:r w:rsidRPr="00AE6EDB">
        <w:rPr>
          <w:szCs w:val="22"/>
        </w:rPr>
        <w:t xml:space="preserve">zdravotným postihnutím </w:t>
      </w:r>
    </w:p>
    <w:p w:rsidR="000A7585" w:rsidRPr="00AE6EDB" w:rsidRDefault="000A7585" w:rsidP="000A7585">
      <w:pPr>
        <w:pStyle w:val="Odsekzoznamu"/>
        <w:numPr>
          <w:ilvl w:val="0"/>
          <w:numId w:val="50"/>
        </w:numPr>
        <w:spacing w:after="120"/>
        <w:ind w:left="357" w:hanging="357"/>
        <w:contextualSpacing/>
        <w:rPr>
          <w:szCs w:val="22"/>
        </w:rPr>
      </w:pPr>
      <w:r w:rsidRPr="00AE6EDB">
        <w:rPr>
          <w:szCs w:val="22"/>
        </w:rPr>
        <w:t xml:space="preserve">v rámci prioritnej osi 4 </w:t>
      </w:r>
      <w:r w:rsidRPr="00AE6EDB">
        <w:rPr>
          <w:i/>
          <w:szCs w:val="22"/>
        </w:rPr>
        <w:t>Sociálne začlenenie</w:t>
      </w:r>
      <w:r w:rsidRPr="00AE6EDB">
        <w:rPr>
          <w:szCs w:val="22"/>
        </w:rPr>
        <w:t xml:space="preserve"> – na zosúladenie rodinného a pracovného života a zlepšenie zamestnanosti najmä žien starajúcich sa o dieťa do troch rokov, podporu rozvoja sociálnej práce v rodinnom prostredí klientov v oblasti sociálnych vecí a rodiny, podporu vybraných sociálnych služieb krízovej intervencie na komunitnej úrovni, podporu inovácií terénnej sociálnej práce, podporu rozvoja opatrovateľskej služby za účelom predchádzania umiestňovania klientov do pobytových zariadení a podporu deinštitucionalizácie náhradnej starostlivosti.</w:t>
      </w:r>
    </w:p>
    <w:p w:rsidR="000A7585" w:rsidRPr="00AE6EDB" w:rsidRDefault="000A7585" w:rsidP="000A7585">
      <w:pPr>
        <w:ind w:firstLine="357"/>
        <w:rPr>
          <w:szCs w:val="22"/>
        </w:rPr>
      </w:pPr>
      <w:r w:rsidRPr="00AE6EDB">
        <w:rPr>
          <w:szCs w:val="22"/>
        </w:rPr>
        <w:t>Súčasne v sledovanom období bol schválený ministrom a zverejnený na webovom sídle indikatívny harmonogram výziev na predkladanie žiadostí o nenávratný finančný príspevok na</w:t>
      </w:r>
      <w:r w:rsidR="00CF1D2F" w:rsidRPr="00AE6EDB">
        <w:rPr>
          <w:szCs w:val="22"/>
        </w:rPr>
        <w:t> </w:t>
      </w:r>
      <w:r w:rsidRPr="00AE6EDB">
        <w:rPr>
          <w:szCs w:val="22"/>
        </w:rPr>
        <w:t>obdobie marec 20</w:t>
      </w:r>
      <w:r w:rsidR="00CF1D2F" w:rsidRPr="00AE6EDB">
        <w:rPr>
          <w:szCs w:val="22"/>
        </w:rPr>
        <w:t xml:space="preserve">15 až február 2016 pre </w:t>
      </w:r>
      <w:proofErr w:type="spellStart"/>
      <w:r w:rsidR="00CF1D2F" w:rsidRPr="00AE6EDB">
        <w:rPr>
          <w:szCs w:val="22"/>
        </w:rPr>
        <w:t>dopytovo-</w:t>
      </w:r>
      <w:r w:rsidRPr="00AE6EDB">
        <w:rPr>
          <w:szCs w:val="22"/>
        </w:rPr>
        <w:t>orientované</w:t>
      </w:r>
      <w:proofErr w:type="spellEnd"/>
      <w:r w:rsidRPr="00AE6EDB">
        <w:rPr>
          <w:szCs w:val="22"/>
        </w:rPr>
        <w:t xml:space="preserve"> projekty so zameraním:</w:t>
      </w:r>
    </w:p>
    <w:p w:rsidR="000A7585" w:rsidRPr="00AE6EDB" w:rsidRDefault="000A7585" w:rsidP="000A7585">
      <w:pPr>
        <w:pStyle w:val="Odsekzoznamu"/>
        <w:numPr>
          <w:ilvl w:val="0"/>
          <w:numId w:val="50"/>
        </w:numPr>
        <w:contextualSpacing/>
        <w:rPr>
          <w:szCs w:val="22"/>
        </w:rPr>
      </w:pPr>
      <w:r w:rsidRPr="00AE6EDB">
        <w:rPr>
          <w:szCs w:val="22"/>
        </w:rPr>
        <w:t>v rámci prioritnej osi 2 – na podporu vstupu vybraných skupín mladých ľudí na trh práce</w:t>
      </w:r>
    </w:p>
    <w:p w:rsidR="000A7585" w:rsidRPr="00AE6EDB" w:rsidRDefault="000A7585" w:rsidP="000A7585">
      <w:pPr>
        <w:pStyle w:val="Odsekzoznamu"/>
        <w:numPr>
          <w:ilvl w:val="0"/>
          <w:numId w:val="50"/>
        </w:numPr>
        <w:contextualSpacing/>
        <w:rPr>
          <w:szCs w:val="22"/>
        </w:rPr>
      </w:pPr>
      <w:r w:rsidRPr="00AE6EDB">
        <w:rPr>
          <w:szCs w:val="22"/>
        </w:rPr>
        <w:t>v rámci prioritnej osi 3 – na podporu rozvoja regionálnej a miestnej zamestnanosti prostredníctvom subjektov sociálnej ekonomiky</w:t>
      </w:r>
    </w:p>
    <w:p w:rsidR="000A7585" w:rsidRPr="00AE6EDB" w:rsidRDefault="000A7585" w:rsidP="000A7585">
      <w:pPr>
        <w:pStyle w:val="Odsekzoznamu"/>
        <w:numPr>
          <w:ilvl w:val="0"/>
          <w:numId w:val="50"/>
        </w:numPr>
        <w:spacing w:after="120"/>
        <w:ind w:left="357" w:hanging="357"/>
        <w:contextualSpacing/>
        <w:rPr>
          <w:szCs w:val="22"/>
        </w:rPr>
      </w:pPr>
      <w:r w:rsidRPr="00AE6EDB">
        <w:rPr>
          <w:szCs w:val="22"/>
        </w:rPr>
        <w:t>v rámci prioritnej osi 4 – na podporu výkonu opatrení sociálno-právnej ochrany detí a sociálnej kurately (</w:t>
      </w:r>
      <w:proofErr w:type="spellStart"/>
      <w:r w:rsidRPr="00AE6EDB">
        <w:rPr>
          <w:szCs w:val="22"/>
        </w:rPr>
        <w:t>SPODaSK</w:t>
      </w:r>
      <w:proofErr w:type="spellEnd"/>
      <w:r w:rsidRPr="00AE6EDB">
        <w:rPr>
          <w:szCs w:val="22"/>
        </w:rPr>
        <w:t xml:space="preserve">) v otvorenom prostredí a zefektívnenie resocializácie drogových a iných závislostí, podporu výkonu opatrení </w:t>
      </w:r>
      <w:proofErr w:type="spellStart"/>
      <w:r w:rsidRPr="00AE6EDB">
        <w:rPr>
          <w:szCs w:val="22"/>
        </w:rPr>
        <w:t>SPODaSK</w:t>
      </w:r>
      <w:proofErr w:type="spellEnd"/>
      <w:r w:rsidRPr="00AE6EDB">
        <w:rPr>
          <w:szCs w:val="22"/>
        </w:rPr>
        <w:t xml:space="preserve"> v prirodzenom rodinnom prostredí a podporu výkonu opatrení </w:t>
      </w:r>
      <w:proofErr w:type="spellStart"/>
      <w:r w:rsidRPr="00AE6EDB">
        <w:rPr>
          <w:szCs w:val="22"/>
        </w:rPr>
        <w:t>SPODaSK</w:t>
      </w:r>
      <w:proofErr w:type="spellEnd"/>
      <w:r w:rsidRPr="00AE6EDB">
        <w:rPr>
          <w:szCs w:val="22"/>
        </w:rPr>
        <w:t xml:space="preserve"> v náhradnom rodinnom prostredí.</w:t>
      </w:r>
    </w:p>
    <w:p w:rsidR="000A7585" w:rsidRPr="00AE6EDB" w:rsidRDefault="000A7585" w:rsidP="000A7585">
      <w:pPr>
        <w:rPr>
          <w:szCs w:val="22"/>
        </w:rPr>
      </w:pPr>
      <w:r w:rsidRPr="00AE6EDB">
        <w:rPr>
          <w:szCs w:val="22"/>
        </w:rPr>
        <w:t xml:space="preserve">K 31.12.2015 bolo </w:t>
      </w:r>
      <w:proofErr w:type="spellStart"/>
      <w:r w:rsidRPr="00AE6EDB">
        <w:rPr>
          <w:szCs w:val="22"/>
        </w:rPr>
        <w:t>zazmluvnených</w:t>
      </w:r>
      <w:proofErr w:type="spellEnd"/>
      <w:r w:rsidRPr="00AE6EDB">
        <w:rPr>
          <w:szCs w:val="22"/>
        </w:rPr>
        <w:t xml:space="preserve"> 10 národných projektov. </w:t>
      </w:r>
      <w:r w:rsidRPr="00AE6EDB">
        <w:t xml:space="preserve">Prehľad národných projektov </w:t>
      </w:r>
      <w:proofErr w:type="spellStart"/>
      <w:r w:rsidRPr="00AE6EDB">
        <w:t>zazmluvnených</w:t>
      </w:r>
      <w:proofErr w:type="spellEnd"/>
      <w:r w:rsidRPr="00AE6EDB">
        <w:t xml:space="preserve"> počas roka 2015 sa nachádza v prílohe ku kapitole 3, tabuľka 36b</w:t>
      </w:r>
      <w:r w:rsidRPr="00AE6EDB">
        <w:rPr>
          <w:szCs w:val="22"/>
        </w:rPr>
        <w:t>.</w:t>
      </w:r>
    </w:p>
    <w:p w:rsidR="000A7585" w:rsidRPr="00AE6EDB" w:rsidRDefault="000A7585" w:rsidP="000A7585">
      <w:pPr>
        <w:ind w:firstLine="432"/>
        <w:rPr>
          <w:rStyle w:val="newsname"/>
          <w:color w:val="000000"/>
          <w:szCs w:val="22"/>
          <w:highlight w:val="cyan"/>
        </w:rPr>
        <w:sectPr w:rsidR="000A7585" w:rsidRPr="00AE6EDB" w:rsidSect="004F3C97">
          <w:headerReference w:type="even" r:id="rId77"/>
          <w:footerReference w:type="even" r:id="rId78"/>
          <w:pgSz w:w="11906" w:h="16838"/>
          <w:pgMar w:top="1417" w:right="1417" w:bottom="1417" w:left="1417" w:header="708" w:footer="708" w:gutter="0"/>
          <w:cols w:space="708"/>
          <w:docGrid w:linePitch="360"/>
        </w:sectPr>
      </w:pPr>
    </w:p>
    <w:p w:rsidR="000A7585" w:rsidRPr="00AE6EDB" w:rsidRDefault="000A7585" w:rsidP="000A7585">
      <w:pPr>
        <w:pStyle w:val="Nadpis1"/>
      </w:pPr>
      <w:bookmarkStart w:id="739" w:name="_Toc325438274"/>
      <w:bookmarkStart w:id="740" w:name="_Toc356482761"/>
      <w:bookmarkStart w:id="741" w:name="_Toc356482801"/>
      <w:bookmarkStart w:id="742" w:name="_Toc356482819"/>
      <w:bookmarkStart w:id="743" w:name="_Toc422233442"/>
      <w:bookmarkStart w:id="744" w:name="_Toc452469901"/>
      <w:r w:rsidRPr="00AE6EDB">
        <w:t>ŽIVOTNÁ ÚROVEŇ A SOCIÁLNA KOHÉZIA</w:t>
      </w:r>
      <w:bookmarkStart w:id="745" w:name="_Toc325438275"/>
      <w:bookmarkEnd w:id="739"/>
      <w:bookmarkEnd w:id="740"/>
      <w:bookmarkEnd w:id="741"/>
      <w:bookmarkEnd w:id="742"/>
      <w:bookmarkEnd w:id="743"/>
      <w:bookmarkEnd w:id="744"/>
    </w:p>
    <w:p w:rsidR="000A7585" w:rsidRPr="00AE6EDB" w:rsidRDefault="000A7585" w:rsidP="000A7585">
      <w:pPr>
        <w:pStyle w:val="nadpis2"/>
      </w:pPr>
      <w:bookmarkStart w:id="746" w:name="_Toc452469902"/>
      <w:bookmarkEnd w:id="745"/>
      <w:r w:rsidRPr="00AE6EDB">
        <w:t>Chudoba a sociálne vylúčenie</w:t>
      </w:r>
      <w:bookmarkEnd w:id="717"/>
      <w:bookmarkEnd w:id="718"/>
      <w:bookmarkEnd w:id="719"/>
      <w:bookmarkEnd w:id="746"/>
      <w:r w:rsidRPr="00AE6EDB">
        <w:t xml:space="preserve"> </w:t>
      </w:r>
    </w:p>
    <w:p w:rsidR="000A7585" w:rsidRPr="00AE6EDB" w:rsidRDefault="000A7585" w:rsidP="000A7585">
      <w:pPr>
        <w:ind w:firstLine="431"/>
        <w:rPr>
          <w:szCs w:val="22"/>
        </w:rPr>
      </w:pPr>
      <w:r w:rsidRPr="00AE6EDB">
        <w:rPr>
          <w:szCs w:val="22"/>
        </w:rPr>
        <w:t>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z hlavných strategických cieľov EÚ je podstatne zredukovať chudobu a pokračovať v realizácií tohto cieľa aj do roku 2020</w:t>
      </w:r>
      <w:r w:rsidRPr="00AE6EDB">
        <w:rPr>
          <w:rStyle w:val="Odkaznapoznmkupodiarou"/>
          <w:szCs w:val="22"/>
        </w:rPr>
        <w:footnoteReference w:id="63"/>
      </w:r>
      <w:r w:rsidR="000C6E88" w:rsidRPr="00AE6EDB">
        <w:rPr>
          <w:szCs w:val="22"/>
        </w:rPr>
        <w:t>.</w:t>
      </w:r>
      <w:r w:rsidRPr="00AE6EDB">
        <w:rPr>
          <w:szCs w:val="22"/>
        </w:rPr>
        <w:t xml:space="preserve"> </w:t>
      </w:r>
    </w:p>
    <w:p w:rsidR="000A7585" w:rsidRPr="00AE6EDB" w:rsidRDefault="000A7585" w:rsidP="000A7585">
      <w:pPr>
        <w:ind w:firstLine="431"/>
        <w:rPr>
          <w:szCs w:val="22"/>
        </w:rPr>
      </w:pPr>
      <w:r w:rsidRPr="00AE6EDB">
        <w:rPr>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tzv. </w:t>
      </w:r>
      <w:proofErr w:type="spellStart"/>
      <w:r w:rsidRPr="00AE6EDB">
        <w:rPr>
          <w:i/>
          <w:szCs w:val="22"/>
        </w:rPr>
        <w:t>La</w:t>
      </w:r>
      <w:r w:rsidR="0059435A">
        <w:rPr>
          <w:i/>
          <w:szCs w:val="22"/>
        </w:rPr>
        <w:t>e</w:t>
      </w:r>
      <w:r w:rsidRPr="00AE6EDB">
        <w:rPr>
          <w:i/>
          <w:szCs w:val="22"/>
        </w:rPr>
        <w:t>kenské</w:t>
      </w:r>
      <w:proofErr w:type="spellEnd"/>
      <w:r w:rsidRPr="00AE6EDB">
        <w:rPr>
          <w:i/>
          <w:szCs w:val="22"/>
        </w:rPr>
        <w:t xml:space="preserve"> indikátory</w:t>
      </w:r>
      <w:r w:rsidRPr="00AE6EDB">
        <w:rPr>
          <w:szCs w:val="22"/>
        </w:rPr>
        <w:t xml:space="preserve">. Tieto prešli vývojom a v súčasnosti ich nazývame </w:t>
      </w:r>
      <w:r w:rsidRPr="00AE6EDB">
        <w:rPr>
          <w:i/>
          <w:szCs w:val="22"/>
        </w:rPr>
        <w:t>indikátory sociálnej inklúzie OMK</w:t>
      </w:r>
      <w:r w:rsidRPr="00AE6EDB">
        <w:rPr>
          <w:szCs w:val="22"/>
        </w:rPr>
        <w:t xml:space="preserve">. </w:t>
      </w:r>
    </w:p>
    <w:p w:rsidR="000A7585" w:rsidRPr="00AE6EDB" w:rsidRDefault="000A7585" w:rsidP="000A7585">
      <w:pPr>
        <w:ind w:firstLine="431"/>
        <w:rPr>
          <w:szCs w:val="22"/>
        </w:rPr>
      </w:pPr>
      <w:r w:rsidRPr="00AE6EDB">
        <w:rPr>
          <w:szCs w:val="22"/>
        </w:rPr>
        <w:t>Meranie chudoby a sociálneho vylúčenia sa realizuje predovšetkým na základe harmonizovaného štatistického zisťovania EU SILC</w:t>
      </w:r>
      <w:r w:rsidRPr="00AE6EDB">
        <w:rPr>
          <w:rStyle w:val="Odkaznapoznmkupodiarou"/>
          <w:szCs w:val="22"/>
        </w:rPr>
        <w:footnoteReference w:id="64"/>
      </w:r>
      <w:r w:rsidRPr="00AE6EDB">
        <w:rPr>
          <w:szCs w:val="22"/>
        </w:rPr>
        <w:t xml:space="preserve"> o príjmoch a životných podmienkach. Ide o hlavný zdroj, na báze ktorého sa vypočítavajú nielen príjmové indikátory, ako je miera rizika chudoby, ale aj indikátory pre komplexnejšie zhodnotenie chudoby a sociálneho vylúčenia, a to materiálna deprivácia alebo zoskupenie indikátorov na meranie rizika chudoby alebo sociálneho vylúčenia. Zoskupenie indikátorov, t.j. miera rizika chudoby</w:t>
      </w:r>
      <w:r w:rsidRPr="00AE6EDB">
        <w:rPr>
          <w:vertAlign w:val="superscript"/>
        </w:rPr>
        <w:footnoteReference w:id="65"/>
      </w:r>
      <w:r w:rsidRPr="00AE6EDB">
        <w:rPr>
          <w:szCs w:val="22"/>
        </w:rPr>
        <w:t>, závažná materiálna deprivácia</w:t>
      </w:r>
      <w:r w:rsidRPr="00AE6EDB">
        <w:rPr>
          <w:vertAlign w:val="superscript"/>
        </w:rPr>
        <w:footnoteReference w:id="66"/>
      </w:r>
      <w:r w:rsidRPr="00AE6EDB">
        <w:rPr>
          <w:szCs w:val="22"/>
        </w:rPr>
        <w:t xml:space="preserve"> a veľmi nízka intenzita práce</w:t>
      </w:r>
      <w:r w:rsidRPr="00AE6EDB">
        <w:rPr>
          <w:vertAlign w:val="superscript"/>
        </w:rPr>
        <w:footnoteReference w:id="67"/>
      </w:r>
      <w:r w:rsidRPr="00AE6EDB">
        <w:rPr>
          <w:szCs w:val="22"/>
        </w:rPr>
        <w:t>, definuje skupiny ľudí, ktorí žijú v riziku chudoby alebo sociálneho vylúčenia, t. j. ľudí s nízkym príjmom a/alebo tých, ktorí si nemôžu dovoliť niektorú z nevyhnutných potrieb pre svoj život a/alebo žijúci v rodinách, kde nikto nepracuje alebo pracuje iba príležitostne (veľmi nízka pracovná intenzita).</w:t>
      </w:r>
    </w:p>
    <w:p w:rsidR="000A7585" w:rsidRPr="00AE6EDB" w:rsidRDefault="000A7585" w:rsidP="000A7585">
      <w:pPr>
        <w:ind w:firstLine="431"/>
        <w:rPr>
          <w:szCs w:val="22"/>
        </w:rPr>
      </w:pPr>
      <w:r w:rsidRPr="00AE6EDB">
        <w:rPr>
          <w:szCs w:val="22"/>
        </w:rPr>
        <w:t>V roku 201</w:t>
      </w:r>
      <w:r w:rsidR="000C6E88" w:rsidRPr="00AE6EDB">
        <w:rPr>
          <w:szCs w:val="22"/>
        </w:rPr>
        <w:t>4</w:t>
      </w:r>
      <w:r w:rsidRPr="00AE6EDB">
        <w:rPr>
          <w:szCs w:val="22"/>
        </w:rPr>
        <w:t xml:space="preserve"> bolo na Slovensku v riziku chudoby alebo sociálneho vylúčenia </w:t>
      </w:r>
      <w:r w:rsidR="000C6E88" w:rsidRPr="00AE6EDB">
        <w:rPr>
          <w:szCs w:val="22"/>
        </w:rPr>
        <w:t>96</w:t>
      </w:r>
      <w:r w:rsidR="0054295F">
        <w:rPr>
          <w:szCs w:val="22"/>
        </w:rPr>
        <w:t>0 2</w:t>
      </w:r>
      <w:r w:rsidR="000C6E88" w:rsidRPr="00AE6EDB">
        <w:rPr>
          <w:szCs w:val="22"/>
        </w:rPr>
        <w:t>42</w:t>
      </w:r>
      <w:r w:rsidRPr="00AE6EDB">
        <w:rPr>
          <w:szCs w:val="22"/>
        </w:rPr>
        <w:t xml:space="preserve"> ľudí, čo predstavovalo </w:t>
      </w:r>
      <w:r w:rsidR="000C6E88" w:rsidRPr="00AE6EDB">
        <w:rPr>
          <w:szCs w:val="22"/>
        </w:rPr>
        <w:t>18,4</w:t>
      </w:r>
      <w:r w:rsidR="005676EF">
        <w:rPr>
          <w:szCs w:val="22"/>
        </w:rPr>
        <w:t> %</w:t>
      </w:r>
      <w:r w:rsidRPr="00AE6EDB">
        <w:rPr>
          <w:szCs w:val="22"/>
        </w:rPr>
        <w:t xml:space="preserve"> na celkovom počte obyvateľov (pod priemerom EU28 – 24,</w:t>
      </w:r>
      <w:r w:rsidR="00BF00DA" w:rsidRPr="00AE6EDB">
        <w:rPr>
          <w:szCs w:val="22"/>
        </w:rPr>
        <w:t>4</w:t>
      </w:r>
      <w:r w:rsidR="005676EF">
        <w:rPr>
          <w:szCs w:val="22"/>
        </w:rPr>
        <w:t> %</w:t>
      </w:r>
      <w:r w:rsidRPr="00AE6EDB">
        <w:rPr>
          <w:szCs w:val="22"/>
        </w:rPr>
        <w:t>). Pri porovnaní s predchádzajúcim rokom (201</w:t>
      </w:r>
      <w:r w:rsidR="000C6E88" w:rsidRPr="00AE6EDB">
        <w:rPr>
          <w:szCs w:val="22"/>
        </w:rPr>
        <w:t>3</w:t>
      </w:r>
      <w:r w:rsidRPr="00AE6EDB">
        <w:rPr>
          <w:szCs w:val="22"/>
        </w:rPr>
        <w:t xml:space="preserve"> – </w:t>
      </w:r>
      <w:r w:rsidR="000C6E88" w:rsidRPr="00AE6EDB">
        <w:rPr>
          <w:szCs w:val="22"/>
        </w:rPr>
        <w:t>19,8</w:t>
      </w:r>
      <w:r w:rsidR="005676EF">
        <w:rPr>
          <w:szCs w:val="22"/>
        </w:rPr>
        <w:t> %</w:t>
      </w:r>
      <w:r w:rsidRPr="00AE6EDB">
        <w:rPr>
          <w:szCs w:val="22"/>
        </w:rPr>
        <w:t>) je hodnota zoskupenia indikátorov nižšia o</w:t>
      </w:r>
      <w:r w:rsidR="000C6E88" w:rsidRPr="00AE6EDB">
        <w:rPr>
          <w:szCs w:val="22"/>
        </w:rPr>
        <w:t> 1,4</w:t>
      </w:r>
      <w:r w:rsidRPr="00AE6EDB">
        <w:rPr>
          <w:szCs w:val="22"/>
        </w:rPr>
        <w:t xml:space="preserve"> p. b.</w:t>
      </w:r>
      <w:r w:rsidR="000C6E88" w:rsidRPr="00AE6EDB">
        <w:rPr>
          <w:szCs w:val="22"/>
        </w:rPr>
        <w:t>, t.j. znížilo sa riziko chudoby alebo sociálneho vylúčenia u cca 109 tis. ľudí.</w:t>
      </w:r>
      <w:r w:rsidRPr="00AE6EDB">
        <w:rPr>
          <w:szCs w:val="22"/>
        </w:rPr>
        <w:t xml:space="preserve"> V prípade porovnania s východiskovým rokom 2008 pre hodnotenie cieľov Stratégie Európa 2020 (20,6</w:t>
      </w:r>
      <w:r w:rsidR="005676EF">
        <w:rPr>
          <w:szCs w:val="22"/>
        </w:rPr>
        <w:t> %</w:t>
      </w:r>
      <w:r w:rsidRPr="00AE6EDB">
        <w:rPr>
          <w:szCs w:val="22"/>
        </w:rPr>
        <w:t>) v roku 201</w:t>
      </w:r>
      <w:r w:rsidR="000C6E88" w:rsidRPr="00AE6EDB">
        <w:rPr>
          <w:szCs w:val="22"/>
        </w:rPr>
        <w:t>4</w:t>
      </w:r>
      <w:r w:rsidRPr="00AE6EDB">
        <w:rPr>
          <w:szCs w:val="22"/>
        </w:rPr>
        <w:t xml:space="preserve"> bola hodnota nižšia o</w:t>
      </w:r>
      <w:r w:rsidR="000C6E88" w:rsidRPr="00AE6EDB">
        <w:rPr>
          <w:szCs w:val="22"/>
        </w:rPr>
        <w:t> 2,2</w:t>
      </w:r>
      <w:r w:rsidRPr="00AE6EDB">
        <w:rPr>
          <w:szCs w:val="22"/>
        </w:rPr>
        <w:t xml:space="preserve"> p. b.</w:t>
      </w:r>
      <w:r w:rsidR="008C34B8" w:rsidRPr="00AE6EDB">
        <w:rPr>
          <w:szCs w:val="22"/>
        </w:rPr>
        <w:t>, znížilo sa riziko chudoby alebo sociálneho vylúčenia u cca 151 tis. ľudí.</w:t>
      </w:r>
      <w:r w:rsidRPr="00AE6EDB">
        <w:rPr>
          <w:szCs w:val="22"/>
        </w:rPr>
        <w:t xml:space="preserve"> Podrobnejšie rozdelenie tejto skupiny je možné vidieť na graf</w:t>
      </w:r>
      <w:r w:rsidR="008C34B8" w:rsidRPr="00AE6EDB">
        <w:rPr>
          <w:szCs w:val="22"/>
        </w:rPr>
        <w:t>e</w:t>
      </w:r>
      <w:r w:rsidRPr="00AE6EDB">
        <w:rPr>
          <w:szCs w:val="22"/>
        </w:rPr>
        <w:t xml:space="preserve"> 4.1, ktor</w:t>
      </w:r>
      <w:r w:rsidR="008C34B8" w:rsidRPr="00AE6EDB">
        <w:rPr>
          <w:szCs w:val="22"/>
        </w:rPr>
        <w:t>ý</w:t>
      </w:r>
      <w:r w:rsidRPr="00AE6EDB">
        <w:rPr>
          <w:szCs w:val="22"/>
        </w:rPr>
        <w:t xml:space="preserve"> znázorňuj</w:t>
      </w:r>
      <w:r w:rsidR="008C34B8" w:rsidRPr="00AE6EDB">
        <w:rPr>
          <w:szCs w:val="22"/>
        </w:rPr>
        <w:t>e</w:t>
      </w:r>
      <w:r w:rsidRPr="00AE6EDB">
        <w:rPr>
          <w:szCs w:val="22"/>
        </w:rPr>
        <w:t xml:space="preserve"> zloženie cieľovej skupiny podľa vyššie uvedených troch indikátorov.</w:t>
      </w:r>
    </w:p>
    <w:p w:rsidR="000A7585" w:rsidRPr="00AE6EDB" w:rsidRDefault="000A7585" w:rsidP="000A7585">
      <w:pPr>
        <w:jc w:val="left"/>
        <w:rPr>
          <w:b/>
          <w:highlight w:val="cyan"/>
        </w:rPr>
      </w:pPr>
      <w:bookmarkStart w:id="747" w:name="_Toc356482766"/>
      <w:r w:rsidRPr="00AE6EDB">
        <w:rPr>
          <w:highlight w:val="cyan"/>
        </w:rPr>
        <w:br w:type="page"/>
      </w:r>
    </w:p>
    <w:bookmarkEnd w:id="747"/>
    <w:p w:rsidR="000A7585" w:rsidRPr="00AE6EDB" w:rsidRDefault="000A7585" w:rsidP="000A7585">
      <w:pPr>
        <w:pStyle w:val="Nadpis7"/>
      </w:pPr>
      <w:r w:rsidRPr="00AE6EDB">
        <w:t>Graf 4.1 Podiel ľudí v riziku chudoby alebo sociálneho vylúčenia, 2014</w:t>
      </w:r>
    </w:p>
    <w:p w:rsidR="000A7585" w:rsidRPr="00AE6EDB" w:rsidRDefault="000A7585" w:rsidP="000A7585">
      <w:pPr>
        <w:jc w:val="center"/>
      </w:pPr>
      <w:r w:rsidRPr="00AE6EDB">
        <w:rPr>
          <w:noProof/>
        </w:rPr>
        <w:drawing>
          <wp:inline distT="0" distB="0" distL="0" distR="0" wp14:anchorId="54B38BDD" wp14:editId="0709806B">
            <wp:extent cx="4939200" cy="301320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ý graf chudob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39200" cy="3013200"/>
                    </a:xfrm>
                    <a:prstGeom prst="rect">
                      <a:avLst/>
                    </a:prstGeom>
                  </pic:spPr>
                </pic:pic>
              </a:graphicData>
            </a:graphic>
          </wp:inline>
        </w:drawing>
      </w:r>
    </w:p>
    <w:p w:rsidR="000A7585" w:rsidRPr="00AE6EDB" w:rsidRDefault="000A7585" w:rsidP="000A7585">
      <w:pPr>
        <w:pStyle w:val="zdroj"/>
      </w:pPr>
      <w:r w:rsidRPr="00AE6EDB">
        <w:t>Zdroj: ŠÚ SR, EU SILC 2014, UDB</w:t>
      </w:r>
    </w:p>
    <w:p w:rsidR="000A7585" w:rsidRPr="00AE6EDB" w:rsidRDefault="000A7585" w:rsidP="000A7585">
      <w:pPr>
        <w:pStyle w:val="Nadpis7"/>
      </w:pPr>
      <w:r w:rsidRPr="00AE6EDB">
        <w:t>Tabuľka 4.1 Vývoj jednotlivých indikátorov tvoriacich zoskupenie indikátorov, ako aj samotnej miery rizika chudoby alebo sociálneho vylúčenia v</w:t>
      </w:r>
      <w:r w:rsidR="005676EF">
        <w:t> %</w:t>
      </w:r>
    </w:p>
    <w:tbl>
      <w:tblPr>
        <w:tblW w:w="811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89"/>
        <w:gridCol w:w="774"/>
        <w:gridCol w:w="775"/>
        <w:gridCol w:w="775"/>
        <w:gridCol w:w="775"/>
        <w:gridCol w:w="775"/>
        <w:gridCol w:w="775"/>
        <w:gridCol w:w="775"/>
      </w:tblGrid>
      <w:tr w:rsidR="000A7585" w:rsidRPr="00AE6EDB" w:rsidTr="00DE0EEC">
        <w:trPr>
          <w:trHeight w:val="255"/>
          <w:jc w:val="center"/>
        </w:trPr>
        <w:tc>
          <w:tcPr>
            <w:tcW w:w="268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rPr>
                <w:sz w:val="20"/>
                <w:szCs w:val="20"/>
              </w:rPr>
            </w:pPr>
          </w:p>
        </w:tc>
        <w:tc>
          <w:tcPr>
            <w:tcW w:w="7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2008</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2009</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2010</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2011</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2012</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0A7585" w:rsidRPr="00AE6EDB" w:rsidRDefault="000A7585" w:rsidP="00DE0EEC">
            <w:pPr>
              <w:jc w:val="center"/>
              <w:rPr>
                <w:b/>
                <w:sz w:val="20"/>
                <w:szCs w:val="20"/>
              </w:rPr>
            </w:pPr>
            <w:r w:rsidRPr="00AE6EDB">
              <w:rPr>
                <w:b/>
                <w:sz w:val="20"/>
                <w:szCs w:val="20"/>
              </w:rPr>
              <w:t>2013</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0A7585" w:rsidRPr="00AE6EDB" w:rsidRDefault="000A7585" w:rsidP="00DE0EEC">
            <w:pPr>
              <w:jc w:val="center"/>
              <w:rPr>
                <w:b/>
                <w:sz w:val="20"/>
                <w:szCs w:val="20"/>
              </w:rPr>
            </w:pPr>
            <w:r w:rsidRPr="00AE6EDB">
              <w:rPr>
                <w:b/>
                <w:sz w:val="20"/>
                <w:szCs w:val="20"/>
              </w:rPr>
              <w:t>2014</w:t>
            </w:r>
          </w:p>
        </w:tc>
      </w:tr>
      <w:tr w:rsidR="000A7585" w:rsidRPr="00AE6EDB" w:rsidTr="00DE0EEC">
        <w:trPr>
          <w:trHeight w:val="255"/>
          <w:jc w:val="center"/>
        </w:trPr>
        <w:tc>
          <w:tcPr>
            <w:tcW w:w="2689" w:type="dxa"/>
            <w:tcBorders>
              <w:top w:val="single" w:sz="6" w:space="0" w:color="BF0000" w:themeColor="accent3" w:themeShade="BF"/>
            </w:tcBorders>
            <w:shd w:val="clear" w:color="auto" w:fill="auto"/>
            <w:noWrap/>
            <w:vAlign w:val="bottom"/>
            <w:hideMark/>
          </w:tcPr>
          <w:p w:rsidR="000A7585" w:rsidRPr="00AE6EDB" w:rsidRDefault="000A7585" w:rsidP="00DE0EEC">
            <w:pPr>
              <w:rPr>
                <w:sz w:val="20"/>
                <w:szCs w:val="20"/>
              </w:rPr>
            </w:pPr>
            <w:r w:rsidRPr="00AE6EDB">
              <w:rPr>
                <w:sz w:val="20"/>
                <w:szCs w:val="20"/>
              </w:rPr>
              <w:t>Miera rizika chudoby</w:t>
            </w:r>
          </w:p>
        </w:tc>
        <w:tc>
          <w:tcPr>
            <w:tcW w:w="774"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10,9</w:t>
            </w:r>
          </w:p>
        </w:tc>
        <w:tc>
          <w:tcPr>
            <w:tcW w:w="775"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11,0</w:t>
            </w:r>
          </w:p>
        </w:tc>
        <w:tc>
          <w:tcPr>
            <w:tcW w:w="775"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12,0</w:t>
            </w:r>
          </w:p>
        </w:tc>
        <w:tc>
          <w:tcPr>
            <w:tcW w:w="775"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13,0</w:t>
            </w:r>
          </w:p>
        </w:tc>
        <w:tc>
          <w:tcPr>
            <w:tcW w:w="775"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13,2</w:t>
            </w:r>
          </w:p>
        </w:tc>
        <w:tc>
          <w:tcPr>
            <w:tcW w:w="775" w:type="dxa"/>
            <w:tcBorders>
              <w:top w:val="single" w:sz="6" w:space="0" w:color="BF0000" w:themeColor="accent3" w:themeShade="BF"/>
            </w:tcBorders>
            <w:shd w:val="clear" w:color="auto" w:fill="auto"/>
            <w:noWrap/>
            <w:vAlign w:val="center"/>
            <w:hideMark/>
          </w:tcPr>
          <w:p w:rsidR="000A7585" w:rsidRPr="00AE6EDB" w:rsidRDefault="000A7585" w:rsidP="00DE0EEC">
            <w:pPr>
              <w:jc w:val="right"/>
              <w:rPr>
                <w:sz w:val="20"/>
                <w:szCs w:val="20"/>
              </w:rPr>
            </w:pPr>
            <w:r w:rsidRPr="00AE6EDB">
              <w:rPr>
                <w:sz w:val="20"/>
                <w:szCs w:val="20"/>
              </w:rPr>
              <w:t>12,8</w:t>
            </w:r>
          </w:p>
        </w:tc>
        <w:tc>
          <w:tcPr>
            <w:tcW w:w="775" w:type="dxa"/>
            <w:tcBorders>
              <w:top w:val="single" w:sz="6" w:space="0" w:color="BF0000" w:themeColor="accent3" w:themeShade="BF"/>
            </w:tcBorders>
            <w:vAlign w:val="center"/>
          </w:tcPr>
          <w:p w:rsidR="000A7585" w:rsidRPr="00AE6EDB" w:rsidRDefault="000A7585" w:rsidP="00DE0EEC">
            <w:pPr>
              <w:jc w:val="right"/>
              <w:rPr>
                <w:sz w:val="20"/>
                <w:szCs w:val="20"/>
              </w:rPr>
            </w:pPr>
            <w:r w:rsidRPr="00AE6EDB">
              <w:rPr>
                <w:sz w:val="20"/>
                <w:szCs w:val="20"/>
              </w:rPr>
              <w:t>12,6</w:t>
            </w:r>
          </w:p>
        </w:tc>
      </w:tr>
      <w:tr w:rsidR="000A7585" w:rsidRPr="00AE6EDB" w:rsidTr="00DE0EEC">
        <w:trPr>
          <w:trHeight w:val="255"/>
          <w:jc w:val="center"/>
        </w:trPr>
        <w:tc>
          <w:tcPr>
            <w:tcW w:w="2689" w:type="dxa"/>
            <w:shd w:val="clear" w:color="auto" w:fill="auto"/>
            <w:noWrap/>
            <w:vAlign w:val="bottom"/>
            <w:hideMark/>
          </w:tcPr>
          <w:p w:rsidR="000A7585" w:rsidRPr="00AE6EDB" w:rsidRDefault="000A7585" w:rsidP="00DE0EEC">
            <w:pPr>
              <w:rPr>
                <w:sz w:val="20"/>
                <w:szCs w:val="20"/>
              </w:rPr>
            </w:pPr>
            <w:r w:rsidRPr="00AE6EDB">
              <w:rPr>
                <w:sz w:val="20"/>
                <w:szCs w:val="20"/>
              </w:rPr>
              <w:t>Závažná materiálna deprivácia</w:t>
            </w:r>
          </w:p>
        </w:tc>
        <w:tc>
          <w:tcPr>
            <w:tcW w:w="774" w:type="dxa"/>
            <w:shd w:val="clear" w:color="auto" w:fill="auto"/>
            <w:noWrap/>
            <w:vAlign w:val="center"/>
            <w:hideMark/>
          </w:tcPr>
          <w:p w:rsidR="000A7585" w:rsidRPr="00AE6EDB" w:rsidRDefault="000A7585" w:rsidP="00DE0EEC">
            <w:pPr>
              <w:jc w:val="right"/>
              <w:rPr>
                <w:sz w:val="20"/>
                <w:szCs w:val="20"/>
              </w:rPr>
            </w:pPr>
            <w:r w:rsidRPr="00AE6EDB">
              <w:rPr>
                <w:sz w:val="20"/>
                <w:szCs w:val="20"/>
              </w:rPr>
              <w:t>11,8</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11,1</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11,4</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10,6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10,5</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10,2</w:t>
            </w:r>
          </w:p>
        </w:tc>
        <w:tc>
          <w:tcPr>
            <w:tcW w:w="775" w:type="dxa"/>
            <w:vAlign w:val="center"/>
          </w:tcPr>
          <w:p w:rsidR="000A7585" w:rsidRPr="00AE6EDB" w:rsidRDefault="000A7585" w:rsidP="00DE0EEC">
            <w:pPr>
              <w:jc w:val="right"/>
              <w:rPr>
                <w:sz w:val="20"/>
                <w:szCs w:val="20"/>
              </w:rPr>
            </w:pPr>
            <w:r w:rsidRPr="00AE6EDB">
              <w:rPr>
                <w:sz w:val="20"/>
                <w:szCs w:val="20"/>
              </w:rPr>
              <w:t>9,9</w:t>
            </w:r>
          </w:p>
        </w:tc>
      </w:tr>
      <w:tr w:rsidR="000A7585" w:rsidRPr="00AE6EDB" w:rsidTr="00DE0EEC">
        <w:trPr>
          <w:trHeight w:val="255"/>
          <w:jc w:val="center"/>
        </w:trPr>
        <w:tc>
          <w:tcPr>
            <w:tcW w:w="2689" w:type="dxa"/>
            <w:shd w:val="clear" w:color="auto" w:fill="auto"/>
            <w:noWrap/>
            <w:vAlign w:val="bottom"/>
            <w:hideMark/>
          </w:tcPr>
          <w:p w:rsidR="000A7585" w:rsidRPr="00AE6EDB" w:rsidRDefault="000A7585" w:rsidP="00DE0EEC">
            <w:pPr>
              <w:rPr>
                <w:sz w:val="20"/>
                <w:szCs w:val="20"/>
              </w:rPr>
            </w:pPr>
            <w:r w:rsidRPr="00AE6EDB">
              <w:rPr>
                <w:sz w:val="20"/>
                <w:szCs w:val="20"/>
              </w:rPr>
              <w:t>Veľmi nízka intenzita práce</w:t>
            </w:r>
          </w:p>
        </w:tc>
        <w:tc>
          <w:tcPr>
            <w:tcW w:w="774" w:type="dxa"/>
            <w:shd w:val="clear" w:color="auto" w:fill="auto"/>
            <w:noWrap/>
            <w:vAlign w:val="center"/>
            <w:hideMark/>
          </w:tcPr>
          <w:p w:rsidR="000A7585" w:rsidRPr="00AE6EDB" w:rsidRDefault="000A7585" w:rsidP="00DE0EEC">
            <w:pPr>
              <w:jc w:val="right"/>
              <w:rPr>
                <w:sz w:val="20"/>
                <w:szCs w:val="20"/>
              </w:rPr>
            </w:pPr>
            <w:r w:rsidRPr="00AE6EDB">
              <w:rPr>
                <w:sz w:val="20"/>
                <w:szCs w:val="20"/>
              </w:rPr>
              <w:t>5,2</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5,6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7,9</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7,7</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7,2</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7,6</w:t>
            </w:r>
          </w:p>
        </w:tc>
        <w:tc>
          <w:tcPr>
            <w:tcW w:w="775" w:type="dxa"/>
            <w:vAlign w:val="center"/>
          </w:tcPr>
          <w:p w:rsidR="000A7585" w:rsidRPr="00AE6EDB" w:rsidRDefault="000A7585" w:rsidP="00DE0EEC">
            <w:pPr>
              <w:jc w:val="right"/>
              <w:rPr>
                <w:sz w:val="20"/>
                <w:szCs w:val="20"/>
              </w:rPr>
            </w:pPr>
            <w:r w:rsidRPr="00AE6EDB">
              <w:rPr>
                <w:sz w:val="20"/>
                <w:szCs w:val="20"/>
              </w:rPr>
              <w:t>7,1</w:t>
            </w:r>
          </w:p>
        </w:tc>
      </w:tr>
      <w:tr w:rsidR="000A7585" w:rsidRPr="00AE6EDB" w:rsidTr="00DE0EEC">
        <w:trPr>
          <w:trHeight w:val="255"/>
          <w:jc w:val="center"/>
        </w:trPr>
        <w:tc>
          <w:tcPr>
            <w:tcW w:w="2689" w:type="dxa"/>
            <w:shd w:val="clear" w:color="auto" w:fill="auto"/>
            <w:noWrap/>
            <w:vAlign w:val="bottom"/>
            <w:hideMark/>
          </w:tcPr>
          <w:p w:rsidR="000A7585" w:rsidRPr="00AE6EDB" w:rsidRDefault="000A7585" w:rsidP="00DE0EEC">
            <w:pPr>
              <w:rPr>
                <w:sz w:val="20"/>
                <w:szCs w:val="20"/>
              </w:rPr>
            </w:pPr>
            <w:r w:rsidRPr="00AE6EDB">
              <w:rPr>
                <w:sz w:val="20"/>
                <w:szCs w:val="20"/>
              </w:rPr>
              <w:t>Miera rizika chudoby alebo sociálneho vylúčenia</w:t>
            </w:r>
          </w:p>
        </w:tc>
        <w:tc>
          <w:tcPr>
            <w:tcW w:w="774" w:type="dxa"/>
            <w:shd w:val="clear" w:color="auto" w:fill="auto"/>
            <w:noWrap/>
            <w:vAlign w:val="center"/>
            <w:hideMark/>
          </w:tcPr>
          <w:p w:rsidR="000A7585" w:rsidRPr="00AE6EDB" w:rsidRDefault="000A7585" w:rsidP="00DE0EEC">
            <w:pPr>
              <w:jc w:val="right"/>
              <w:rPr>
                <w:sz w:val="20"/>
                <w:szCs w:val="20"/>
              </w:rPr>
            </w:pPr>
            <w:r w:rsidRPr="00AE6EDB">
              <w:rPr>
                <w:sz w:val="20"/>
                <w:szCs w:val="20"/>
              </w:rPr>
              <w:t>20,6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19,6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20,6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20,6</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20,5</w:t>
            </w:r>
          </w:p>
        </w:tc>
        <w:tc>
          <w:tcPr>
            <w:tcW w:w="775" w:type="dxa"/>
            <w:shd w:val="clear" w:color="auto" w:fill="auto"/>
            <w:noWrap/>
            <w:vAlign w:val="center"/>
            <w:hideMark/>
          </w:tcPr>
          <w:p w:rsidR="000A7585" w:rsidRPr="00AE6EDB" w:rsidRDefault="000A7585" w:rsidP="00DE0EEC">
            <w:pPr>
              <w:jc w:val="right"/>
              <w:rPr>
                <w:sz w:val="20"/>
                <w:szCs w:val="20"/>
              </w:rPr>
            </w:pPr>
            <w:r w:rsidRPr="00AE6EDB">
              <w:rPr>
                <w:sz w:val="20"/>
                <w:szCs w:val="20"/>
              </w:rPr>
              <w:t>19,8</w:t>
            </w:r>
          </w:p>
        </w:tc>
        <w:tc>
          <w:tcPr>
            <w:tcW w:w="775" w:type="dxa"/>
            <w:vAlign w:val="center"/>
          </w:tcPr>
          <w:p w:rsidR="000A7585" w:rsidRPr="00AE6EDB" w:rsidRDefault="000A7585" w:rsidP="00DE0EEC">
            <w:pPr>
              <w:jc w:val="right"/>
              <w:rPr>
                <w:sz w:val="20"/>
                <w:szCs w:val="20"/>
              </w:rPr>
            </w:pPr>
            <w:r w:rsidRPr="00AE6EDB">
              <w:rPr>
                <w:sz w:val="20"/>
                <w:szCs w:val="20"/>
              </w:rPr>
              <w:t>18,4</w:t>
            </w:r>
          </w:p>
        </w:tc>
      </w:tr>
    </w:tbl>
    <w:p w:rsidR="000A7585" w:rsidRPr="00AE6EDB" w:rsidRDefault="000A7585" w:rsidP="000A7585">
      <w:pPr>
        <w:pStyle w:val="zdroj"/>
      </w:pPr>
      <w:r w:rsidRPr="00AE6EDB">
        <w:t xml:space="preserve">Zdroj: </w:t>
      </w:r>
      <w:proofErr w:type="spellStart"/>
      <w:r w:rsidRPr="00AE6EDB">
        <w:t>Eurostat</w:t>
      </w:r>
      <w:proofErr w:type="spellEnd"/>
    </w:p>
    <w:p w:rsidR="000A7585" w:rsidRPr="00AE6EDB" w:rsidRDefault="000A7585" w:rsidP="000A7585">
      <w:pPr>
        <w:ind w:firstLine="431"/>
        <w:rPr>
          <w:szCs w:val="22"/>
        </w:rPr>
      </w:pPr>
      <w:r w:rsidRPr="00AE6EDB">
        <w:rPr>
          <w:szCs w:val="22"/>
        </w:rPr>
        <w:t>K zmenám došlo v rok</w:t>
      </w:r>
      <w:r w:rsidR="00FB1877" w:rsidRPr="00AE6EDB">
        <w:rPr>
          <w:szCs w:val="22"/>
        </w:rPr>
        <w:t>u</w:t>
      </w:r>
      <w:r w:rsidRPr="00AE6EDB">
        <w:rPr>
          <w:szCs w:val="22"/>
        </w:rPr>
        <w:t xml:space="preserve"> 2014 aj v jednotlivých hodnotách indikátorov tvoriacich zoskupenie indikátorov miery rizika chudoby alebo sociálneho vylúčenia. </w:t>
      </w:r>
      <w:r w:rsidR="00BF00DA" w:rsidRPr="00AE6EDB">
        <w:rPr>
          <w:szCs w:val="22"/>
        </w:rPr>
        <w:t>K medziročnému poklesu došlo vo všetkých komponentoch zoskupenia indikátorov.</w:t>
      </w:r>
      <w:r w:rsidRPr="00AE6EDB">
        <w:rPr>
          <w:szCs w:val="22"/>
        </w:rPr>
        <w:t xml:space="preserve"> Pri porovnaní rokov 201</w:t>
      </w:r>
      <w:r w:rsidR="00FB1877" w:rsidRPr="00AE6EDB">
        <w:rPr>
          <w:szCs w:val="22"/>
        </w:rPr>
        <w:t>3</w:t>
      </w:r>
      <w:r w:rsidRPr="00AE6EDB">
        <w:rPr>
          <w:szCs w:val="22"/>
        </w:rPr>
        <w:t xml:space="preserve"> a 2014 miera rizika chudoby klesla o 0,</w:t>
      </w:r>
      <w:r w:rsidR="00FB1877" w:rsidRPr="00AE6EDB">
        <w:rPr>
          <w:szCs w:val="22"/>
        </w:rPr>
        <w:t>2</w:t>
      </w:r>
      <w:r w:rsidRPr="00AE6EDB">
        <w:rPr>
          <w:szCs w:val="22"/>
        </w:rPr>
        <w:t xml:space="preserve"> p. b., </w:t>
      </w:r>
      <w:r w:rsidR="00A410F2" w:rsidRPr="00AE6EDB">
        <w:rPr>
          <w:szCs w:val="22"/>
        </w:rPr>
        <w:t>miera</w:t>
      </w:r>
      <w:r w:rsidRPr="00AE6EDB">
        <w:rPr>
          <w:szCs w:val="22"/>
        </w:rPr>
        <w:t xml:space="preserve"> závažnej materiálnej deprivácie </w:t>
      </w:r>
      <w:r w:rsidR="00A410F2" w:rsidRPr="00AE6EDB">
        <w:rPr>
          <w:szCs w:val="22"/>
        </w:rPr>
        <w:t>k</w:t>
      </w:r>
      <w:r w:rsidRPr="00AE6EDB">
        <w:rPr>
          <w:szCs w:val="22"/>
        </w:rPr>
        <w:t>les</w:t>
      </w:r>
      <w:r w:rsidR="00A410F2" w:rsidRPr="00AE6EDB">
        <w:rPr>
          <w:szCs w:val="22"/>
        </w:rPr>
        <w:t>la</w:t>
      </w:r>
      <w:r w:rsidRPr="00AE6EDB">
        <w:rPr>
          <w:szCs w:val="22"/>
        </w:rPr>
        <w:t xml:space="preserve"> o 0,</w:t>
      </w:r>
      <w:r w:rsidR="00FB1877" w:rsidRPr="00AE6EDB">
        <w:rPr>
          <w:szCs w:val="22"/>
        </w:rPr>
        <w:t>3</w:t>
      </w:r>
      <w:r w:rsidRPr="00AE6EDB">
        <w:rPr>
          <w:szCs w:val="22"/>
        </w:rPr>
        <w:t xml:space="preserve"> p. b. </w:t>
      </w:r>
      <w:r w:rsidR="00A410F2" w:rsidRPr="00AE6EDB">
        <w:rPr>
          <w:szCs w:val="22"/>
        </w:rPr>
        <w:t>a v</w:t>
      </w:r>
      <w:r w:rsidRPr="00AE6EDB">
        <w:rPr>
          <w:szCs w:val="22"/>
        </w:rPr>
        <w:t xml:space="preserve"> prípade veľmi nízkej intenzity práce bol zaznamenaný </w:t>
      </w:r>
      <w:r w:rsidR="00FB1877" w:rsidRPr="00AE6EDB">
        <w:rPr>
          <w:szCs w:val="22"/>
        </w:rPr>
        <w:t>pokles</w:t>
      </w:r>
      <w:r w:rsidRPr="00AE6EDB">
        <w:rPr>
          <w:szCs w:val="22"/>
        </w:rPr>
        <w:t xml:space="preserve"> o 0,</w:t>
      </w:r>
      <w:r w:rsidR="00FB1877" w:rsidRPr="00AE6EDB">
        <w:rPr>
          <w:szCs w:val="22"/>
        </w:rPr>
        <w:t>5</w:t>
      </w:r>
      <w:r w:rsidRPr="00AE6EDB">
        <w:rPr>
          <w:szCs w:val="22"/>
        </w:rPr>
        <w:t> p. b. Najviac ohrozené rizikom chudoby alebo sociálnym vylúčením sú neúplné rodiny s deťmi – 39,0</w:t>
      </w:r>
      <w:r w:rsidR="005676EF">
        <w:rPr>
          <w:szCs w:val="22"/>
        </w:rPr>
        <w:t> %</w:t>
      </w:r>
      <w:r w:rsidRPr="00AE6EDB">
        <w:rPr>
          <w:szCs w:val="22"/>
        </w:rPr>
        <w:t xml:space="preserve"> </w:t>
      </w:r>
      <w:r w:rsidR="00AB7CA7" w:rsidRPr="00AE6EDB">
        <w:rPr>
          <w:szCs w:val="22"/>
        </w:rPr>
        <w:t>(pod priemerom EU28; 48,3</w:t>
      </w:r>
      <w:r w:rsidR="005676EF">
        <w:rPr>
          <w:szCs w:val="22"/>
        </w:rPr>
        <w:t> %</w:t>
      </w:r>
      <w:r w:rsidR="00AB7CA7" w:rsidRPr="00AE6EDB">
        <w:rPr>
          <w:szCs w:val="22"/>
        </w:rPr>
        <w:t>)</w:t>
      </w:r>
      <w:r w:rsidRPr="00AE6EDB">
        <w:rPr>
          <w:szCs w:val="22"/>
        </w:rPr>
        <w:t>, viacpočetné rodiny s viac ako troma deťmi – 32,0</w:t>
      </w:r>
      <w:r w:rsidR="005676EF">
        <w:rPr>
          <w:szCs w:val="22"/>
        </w:rPr>
        <w:t> %</w:t>
      </w:r>
      <w:r w:rsidRPr="00AE6EDB">
        <w:rPr>
          <w:szCs w:val="22"/>
        </w:rPr>
        <w:t xml:space="preserve"> </w:t>
      </w:r>
      <w:r w:rsidR="00AB7CA7" w:rsidRPr="00AE6EDB">
        <w:rPr>
          <w:szCs w:val="22"/>
        </w:rPr>
        <w:t>(mierne pod priemerom EU28; 32,5</w:t>
      </w:r>
      <w:r w:rsidR="005676EF">
        <w:rPr>
          <w:szCs w:val="22"/>
        </w:rPr>
        <w:t> %</w:t>
      </w:r>
      <w:r w:rsidR="00AB7CA7" w:rsidRPr="00AE6EDB">
        <w:rPr>
          <w:szCs w:val="22"/>
        </w:rPr>
        <w:t>)</w:t>
      </w:r>
      <w:r w:rsidRPr="00AE6EDB">
        <w:rPr>
          <w:szCs w:val="22"/>
        </w:rPr>
        <w:t xml:space="preserve"> a v neposlednom rade aj jednotlivci – 26,1</w:t>
      </w:r>
      <w:r w:rsidR="005676EF">
        <w:rPr>
          <w:szCs w:val="22"/>
        </w:rPr>
        <w:t> %</w:t>
      </w:r>
      <w:r w:rsidRPr="00AE6EDB">
        <w:rPr>
          <w:szCs w:val="22"/>
        </w:rPr>
        <w:t xml:space="preserve"> </w:t>
      </w:r>
      <w:r w:rsidR="00AB7CA7" w:rsidRPr="00AE6EDB">
        <w:rPr>
          <w:szCs w:val="22"/>
        </w:rPr>
        <w:t>(pod priemerom EU28; 33,7</w:t>
      </w:r>
      <w:r w:rsidR="005676EF">
        <w:rPr>
          <w:szCs w:val="22"/>
        </w:rPr>
        <w:t> %</w:t>
      </w:r>
      <w:r w:rsidR="00AB7CA7" w:rsidRPr="00AE6EDB">
        <w:rPr>
          <w:szCs w:val="22"/>
        </w:rPr>
        <w:t>)</w:t>
      </w:r>
      <w:r w:rsidRPr="00AE6EDB">
        <w:rPr>
          <w:szCs w:val="22"/>
        </w:rPr>
        <w:t>. Z hľadiska vekového rozdelenia sú najrizikovejšou skupinou práve deti vo veku 0 – 17 rokov (2</w:t>
      </w:r>
      <w:r w:rsidR="00AB7CA7" w:rsidRPr="00AE6EDB">
        <w:rPr>
          <w:szCs w:val="22"/>
        </w:rPr>
        <w:t>3,6</w:t>
      </w:r>
      <w:r w:rsidR="005676EF">
        <w:rPr>
          <w:szCs w:val="22"/>
        </w:rPr>
        <w:t> %</w:t>
      </w:r>
      <w:r w:rsidRPr="00AE6EDB">
        <w:rPr>
          <w:szCs w:val="22"/>
        </w:rPr>
        <w:t xml:space="preserve"> t. j. </w:t>
      </w:r>
      <w:r w:rsidR="00AB7CA7" w:rsidRPr="00AE6EDB">
        <w:rPr>
          <w:szCs w:val="22"/>
        </w:rPr>
        <w:t xml:space="preserve">na úrovni priemeru </w:t>
      </w:r>
      <w:r w:rsidRPr="00AE6EDB">
        <w:rPr>
          <w:szCs w:val="22"/>
        </w:rPr>
        <w:t>EU28</w:t>
      </w:r>
      <w:r w:rsidR="00AB7CA7" w:rsidRPr="00AE6EDB">
        <w:rPr>
          <w:szCs w:val="22"/>
        </w:rPr>
        <w:t>; 23,7</w:t>
      </w:r>
      <w:r w:rsidR="005676EF">
        <w:rPr>
          <w:szCs w:val="22"/>
        </w:rPr>
        <w:t> %</w:t>
      </w:r>
      <w:r w:rsidRPr="00AE6EDB">
        <w:rPr>
          <w:szCs w:val="22"/>
        </w:rPr>
        <w:t>), resp. deti vo veku 0 – 15 (2</w:t>
      </w:r>
      <w:r w:rsidR="00AB7CA7" w:rsidRPr="00AE6EDB">
        <w:rPr>
          <w:szCs w:val="22"/>
        </w:rPr>
        <w:t>3,4</w:t>
      </w:r>
      <w:r w:rsidR="005676EF">
        <w:rPr>
          <w:szCs w:val="22"/>
        </w:rPr>
        <w:t> %</w:t>
      </w:r>
      <w:r w:rsidRPr="00AE6EDB">
        <w:rPr>
          <w:szCs w:val="22"/>
        </w:rPr>
        <w:t xml:space="preserve"> t. j. pod priemerom EU28</w:t>
      </w:r>
      <w:r w:rsidR="00AB7CA7" w:rsidRPr="00AE6EDB">
        <w:rPr>
          <w:szCs w:val="22"/>
        </w:rPr>
        <w:t>;</w:t>
      </w:r>
      <w:r w:rsidRPr="00AE6EDB">
        <w:rPr>
          <w:szCs w:val="22"/>
        </w:rPr>
        <w:t xml:space="preserve"> 27,</w:t>
      </w:r>
      <w:r w:rsidR="00AB7CA7" w:rsidRPr="00AE6EDB">
        <w:rPr>
          <w:szCs w:val="22"/>
        </w:rPr>
        <w:t>4</w:t>
      </w:r>
      <w:r w:rsidR="005676EF">
        <w:rPr>
          <w:szCs w:val="22"/>
        </w:rPr>
        <w:t> %</w:t>
      </w:r>
      <w:r w:rsidRPr="00AE6EDB">
        <w:rPr>
          <w:szCs w:val="22"/>
        </w:rPr>
        <w:t xml:space="preserve">). </w:t>
      </w:r>
    </w:p>
    <w:p w:rsidR="000A7585" w:rsidRPr="00AE6EDB" w:rsidRDefault="000A7585" w:rsidP="000A7585">
      <w:pPr>
        <w:ind w:firstLine="431"/>
        <w:rPr>
          <w:szCs w:val="22"/>
        </w:rPr>
      </w:pPr>
      <w:r w:rsidRPr="00AE6EDB">
        <w:rPr>
          <w:szCs w:val="22"/>
        </w:rPr>
        <w:t>Vo všeobecnosti pre charakterizovanie chudobnej populácie v spoločnosti bola stanovená hranica rizika chudoby</w:t>
      </w:r>
      <w:r w:rsidRPr="00AE6EDB">
        <w:rPr>
          <w:rStyle w:val="Odkaznapoznmkupodiarou"/>
          <w:szCs w:val="22"/>
        </w:rPr>
        <w:footnoteReference w:id="68"/>
      </w:r>
      <w:r w:rsidRPr="00AE6EDB">
        <w:rPr>
          <w:szCs w:val="22"/>
        </w:rPr>
        <w:t>, pomocou ktorej sa vyjadruje podiel obyvateľstva žijúceho v chudobe. Ide o relatívnu hranicu chudoby, ktorá meria, do akej miery finančné prostriedky domácností klesajú pod stredovú hranicu príjmu spoločnosti. Tento ukazovateľ vyjadruje predovšetkým riziko chudoby a je závislý od sociálno-ekonomického vývoja spoločnosti v danej krajine.</w:t>
      </w:r>
    </w:p>
    <w:p w:rsidR="000A7585" w:rsidRPr="00AE6EDB" w:rsidRDefault="000A7585" w:rsidP="000A7585">
      <w:pPr>
        <w:ind w:firstLine="431"/>
        <w:rPr>
          <w:szCs w:val="22"/>
        </w:rPr>
      </w:pPr>
      <w:r w:rsidRPr="00AE6EDB">
        <w:rPr>
          <w:szCs w:val="22"/>
        </w:rPr>
        <w:t>Na základe EU SILC 201</w:t>
      </w:r>
      <w:r w:rsidR="00AB7CA7" w:rsidRPr="00AE6EDB">
        <w:rPr>
          <w:szCs w:val="22"/>
        </w:rPr>
        <w:t>4</w:t>
      </w:r>
      <w:r w:rsidRPr="00AE6EDB">
        <w:rPr>
          <w:szCs w:val="22"/>
        </w:rPr>
        <w:t xml:space="preserve"> bola miera rizika chudoby v Slovenskej republiky na úrovni 12,</w:t>
      </w:r>
      <w:r w:rsidR="00AB7CA7" w:rsidRPr="00AE6EDB">
        <w:rPr>
          <w:szCs w:val="22"/>
        </w:rPr>
        <w:t>6</w:t>
      </w:r>
      <w:r w:rsidR="005676EF">
        <w:rPr>
          <w:szCs w:val="22"/>
        </w:rPr>
        <w:t> %</w:t>
      </w:r>
      <w:r w:rsidRPr="00AE6EDB">
        <w:rPr>
          <w:szCs w:val="22"/>
        </w:rPr>
        <w:t xml:space="preserve"> (muži – 12,</w:t>
      </w:r>
      <w:r w:rsidR="00AB7CA7" w:rsidRPr="00AE6EDB">
        <w:rPr>
          <w:szCs w:val="22"/>
        </w:rPr>
        <w:t>7</w:t>
      </w:r>
      <w:r w:rsidR="005676EF">
        <w:rPr>
          <w:szCs w:val="22"/>
        </w:rPr>
        <w:t> %</w:t>
      </w:r>
      <w:r w:rsidRPr="00AE6EDB">
        <w:rPr>
          <w:szCs w:val="22"/>
        </w:rPr>
        <w:t>; ženy – 12,</w:t>
      </w:r>
      <w:r w:rsidR="00AB7CA7" w:rsidRPr="00AE6EDB">
        <w:rPr>
          <w:szCs w:val="22"/>
        </w:rPr>
        <w:t>6</w:t>
      </w:r>
      <w:r w:rsidR="005676EF">
        <w:rPr>
          <w:szCs w:val="22"/>
        </w:rPr>
        <w:t> %</w:t>
      </w:r>
      <w:r w:rsidRPr="00AE6EDB">
        <w:rPr>
          <w:szCs w:val="22"/>
        </w:rPr>
        <w:t>), čo je pod priemerom EU28 (1</w:t>
      </w:r>
      <w:r w:rsidR="00AB7CA7" w:rsidRPr="00AE6EDB">
        <w:rPr>
          <w:szCs w:val="22"/>
        </w:rPr>
        <w:t>7,2</w:t>
      </w:r>
      <w:r w:rsidR="005676EF">
        <w:rPr>
          <w:szCs w:val="22"/>
        </w:rPr>
        <w:t> %</w:t>
      </w:r>
      <w:r w:rsidRPr="00AE6EDB">
        <w:rPr>
          <w:szCs w:val="22"/>
        </w:rPr>
        <w:t xml:space="preserve">). </w:t>
      </w:r>
      <w:r w:rsidR="00AB7CA7" w:rsidRPr="00AE6EDB">
        <w:rPr>
          <w:szCs w:val="22"/>
        </w:rPr>
        <w:t>Oproti roku 2013 bol zaznamenaný mierny pokles o 0,2 p.</w:t>
      </w:r>
      <w:r w:rsidR="00F45681">
        <w:rPr>
          <w:szCs w:val="22"/>
        </w:rPr>
        <w:t xml:space="preserve"> </w:t>
      </w:r>
      <w:r w:rsidR="00AB7CA7" w:rsidRPr="00AE6EDB">
        <w:rPr>
          <w:szCs w:val="22"/>
        </w:rPr>
        <w:t xml:space="preserve">b. </w:t>
      </w:r>
      <w:r w:rsidRPr="00AE6EDB">
        <w:rPr>
          <w:szCs w:val="22"/>
        </w:rPr>
        <w:t>Pri porovnávaní jednotlivých krajín EU28 patrí Slovenská republika medzi krajiny s najnižšou mierou rizika chudoby, viď graf 4.2, na ktorú má vplyv nízka nerovnosť príjmov.</w:t>
      </w:r>
    </w:p>
    <w:p w:rsidR="000A7585" w:rsidRPr="00AE6EDB" w:rsidRDefault="000A7585" w:rsidP="000A7585">
      <w:pPr>
        <w:pStyle w:val="Nadpis7"/>
        <w:spacing w:after="0"/>
      </w:pPr>
      <w:r w:rsidRPr="00AE6EDB">
        <w:t>Graf 4.2 Miera rizika chudoby v jednotlivých štátoch EÚ, 201</w:t>
      </w:r>
      <w:r w:rsidR="007F38D4" w:rsidRPr="00AE6EDB">
        <w:t>4</w:t>
      </w:r>
    </w:p>
    <w:p w:rsidR="000A7585" w:rsidRPr="00AE6EDB" w:rsidRDefault="007F38D4" w:rsidP="000A7585">
      <w:pPr>
        <w:jc w:val="center"/>
        <w:rPr>
          <w:b/>
          <w:sz w:val="20"/>
          <w:szCs w:val="20"/>
        </w:rPr>
      </w:pPr>
      <w:r w:rsidRPr="00AE6EDB">
        <w:rPr>
          <w:noProof/>
        </w:rPr>
        <w:drawing>
          <wp:inline distT="0" distB="0" distL="0" distR="0" wp14:anchorId="12904843" wp14:editId="4430FF71">
            <wp:extent cx="4933507" cy="2817628"/>
            <wp:effectExtent l="0" t="0" r="635" b="19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A7585" w:rsidRPr="00AE6EDB" w:rsidRDefault="000A7585" w:rsidP="000A7585">
      <w:pPr>
        <w:pStyle w:val="zdroj"/>
        <w:ind w:left="567"/>
      </w:pPr>
      <w:r w:rsidRPr="00AE6EDB">
        <w:t xml:space="preserve">Zdroj: </w:t>
      </w:r>
      <w:proofErr w:type="spellStart"/>
      <w:r w:rsidRPr="00AE6EDB">
        <w:t>Eurostat</w:t>
      </w:r>
      <w:proofErr w:type="spellEnd"/>
    </w:p>
    <w:p w:rsidR="000A7585" w:rsidRPr="00AE6EDB" w:rsidRDefault="000A7585" w:rsidP="000A7585">
      <w:pPr>
        <w:ind w:firstLine="431"/>
        <w:rPr>
          <w:szCs w:val="22"/>
        </w:rPr>
      </w:pPr>
      <w:r w:rsidRPr="00AE6EDB">
        <w:rPr>
          <w:szCs w:val="22"/>
        </w:rPr>
        <w:t>V roku 201</w:t>
      </w:r>
      <w:r w:rsidR="007F38D4" w:rsidRPr="00AE6EDB">
        <w:rPr>
          <w:szCs w:val="22"/>
        </w:rPr>
        <w:t>4</w:t>
      </w:r>
      <w:r w:rsidRPr="00AE6EDB">
        <w:rPr>
          <w:szCs w:val="22"/>
        </w:rPr>
        <w:t xml:space="preserve"> v porovnaní s predchádzajúcim rokom miera rizika chudoby klesla o 0,</w:t>
      </w:r>
      <w:r w:rsidR="007F38D4" w:rsidRPr="00AE6EDB">
        <w:rPr>
          <w:szCs w:val="22"/>
        </w:rPr>
        <w:t>2</w:t>
      </w:r>
      <w:r w:rsidRPr="00AE6EDB">
        <w:rPr>
          <w:szCs w:val="22"/>
        </w:rPr>
        <w:t xml:space="preserve"> p. b., čo predstavuje cca </w:t>
      </w:r>
      <w:r w:rsidR="007F38D4" w:rsidRPr="00AE6EDB">
        <w:rPr>
          <w:szCs w:val="22"/>
        </w:rPr>
        <w:t>35</w:t>
      </w:r>
      <w:r w:rsidRPr="00AE6EDB">
        <w:rPr>
          <w:szCs w:val="22"/>
        </w:rPr>
        <w:t xml:space="preserve"> tis. ľudí. V rámci vývoja miery rizika chudoby za obdobie 2005 až 201</w:t>
      </w:r>
      <w:r w:rsidR="007F38D4" w:rsidRPr="00AE6EDB">
        <w:rPr>
          <w:szCs w:val="22"/>
        </w:rPr>
        <w:t>4</w:t>
      </w:r>
      <w:r w:rsidRPr="00AE6EDB">
        <w:rPr>
          <w:szCs w:val="22"/>
        </w:rPr>
        <w:t xml:space="preserve"> došlo k jej podstatnému poklesu v roku 2007 (10,5</w:t>
      </w:r>
      <w:r w:rsidR="005676EF">
        <w:rPr>
          <w:szCs w:val="22"/>
        </w:rPr>
        <w:t> %</w:t>
      </w:r>
      <w:r w:rsidRPr="00AE6EDB">
        <w:rPr>
          <w:szCs w:val="22"/>
        </w:rPr>
        <w:t>), následne bol zaznamenaný mierny nárast až do roku 2012 (viď graf 4.3)</w:t>
      </w:r>
      <w:r w:rsidR="007F38D4" w:rsidRPr="00AE6EDB">
        <w:rPr>
          <w:szCs w:val="22"/>
        </w:rPr>
        <w:t xml:space="preserve">, následne </w:t>
      </w:r>
      <w:r w:rsidR="00F45681" w:rsidRPr="00AE6EDB">
        <w:rPr>
          <w:szCs w:val="22"/>
        </w:rPr>
        <w:t>pokračuje</w:t>
      </w:r>
      <w:r w:rsidR="007F38D4" w:rsidRPr="00AE6EDB">
        <w:rPr>
          <w:szCs w:val="22"/>
        </w:rPr>
        <w:t xml:space="preserve"> mierny pokles</w:t>
      </w:r>
      <w:r w:rsidRPr="00AE6EDB">
        <w:rPr>
          <w:szCs w:val="22"/>
        </w:rPr>
        <w:t>. V porovnaní s rokom 2005 (počiatočný rok zisťovania), hodnota zo zisťovania za rok 201</w:t>
      </w:r>
      <w:r w:rsidR="007F38D4" w:rsidRPr="00AE6EDB">
        <w:rPr>
          <w:szCs w:val="22"/>
        </w:rPr>
        <w:t>4</w:t>
      </w:r>
      <w:r w:rsidRPr="00AE6EDB">
        <w:rPr>
          <w:szCs w:val="22"/>
        </w:rPr>
        <w:t xml:space="preserve"> bola nižšia o 0,</w:t>
      </w:r>
      <w:r w:rsidR="007F38D4" w:rsidRPr="00AE6EDB">
        <w:rPr>
          <w:szCs w:val="22"/>
        </w:rPr>
        <w:t>7</w:t>
      </w:r>
      <w:r w:rsidRPr="00AE6EDB">
        <w:rPr>
          <w:szCs w:val="22"/>
        </w:rPr>
        <w:t xml:space="preserve"> p. b. Vývoj miery rizika chudoby je ovplyvnený sociálno-ekonomickou situáciou v krajine a následne vývojom príjmovej situácie v domácnostiach. Pokles miery rizika chudoby v rok</w:t>
      </w:r>
      <w:r w:rsidR="00DC5952" w:rsidRPr="00AE6EDB">
        <w:rPr>
          <w:szCs w:val="22"/>
        </w:rPr>
        <w:t>och</w:t>
      </w:r>
      <w:r w:rsidRPr="00AE6EDB">
        <w:rPr>
          <w:szCs w:val="22"/>
        </w:rPr>
        <w:t xml:space="preserve"> 2013 a 2014 bol spôsobený predovšetkým vyrovnávaním príjmovej nerovnosti práve u domácností v nízkych príjmových pásmach. Tak ako aj v predchádzajúcom roku zisťovania sa rozdiel medzi mužmi a ženami v riziku chudoby vyrovnáva. </w:t>
      </w:r>
    </w:p>
    <w:p w:rsidR="000A7585" w:rsidRPr="00AE6EDB" w:rsidRDefault="000A7585" w:rsidP="000A7585">
      <w:pPr>
        <w:pStyle w:val="Nadpis7"/>
      </w:pPr>
      <w:r w:rsidRPr="00AE6EDB">
        <w:t>Graf 4.3 Vývoj miery rizika chudoby na Slovensku (2005 – 2014)</w:t>
      </w:r>
    </w:p>
    <w:p w:rsidR="000A7585" w:rsidRPr="00AE6EDB" w:rsidRDefault="000A7585" w:rsidP="000A7585">
      <w:pPr>
        <w:jc w:val="center"/>
      </w:pPr>
      <w:r w:rsidRPr="00AE6EDB">
        <w:rPr>
          <w:noProof/>
        </w:rPr>
        <w:drawing>
          <wp:inline distT="0" distB="0" distL="0" distR="0" wp14:anchorId="26C4685F" wp14:editId="57E4C194">
            <wp:extent cx="4465638" cy="2622550"/>
            <wp:effectExtent l="0" t="0" r="0" b="635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A7585" w:rsidRPr="00AE6EDB" w:rsidRDefault="000A7585" w:rsidP="000A7585">
      <w:pPr>
        <w:pStyle w:val="zdroj"/>
      </w:pPr>
      <w:r w:rsidRPr="00AE6EDB">
        <w:t>Zdroj: ŠÚ SR, EU SILC 2005 – 2014, UDB</w:t>
      </w:r>
    </w:p>
    <w:p w:rsidR="000A7585" w:rsidRPr="00AE6EDB" w:rsidRDefault="000A7585" w:rsidP="000A7585">
      <w:pPr>
        <w:ind w:firstLine="431"/>
        <w:rPr>
          <w:szCs w:val="22"/>
        </w:rPr>
      </w:pPr>
      <w:r w:rsidRPr="00AE6EDB">
        <w:rPr>
          <w:szCs w:val="22"/>
        </w:rPr>
        <w:t>Dôležitú úlohu pri redukcii rizika chudoby zohráva nastavenie systému sociálnej ochrany a jej výdavky, t.j. sociálne transfery vrátane starobných a pozostalostných dávok. V prípade neposkytovania sociálnych transferov s výnimkou starobných a pozostalostných dávok v roku 201</w:t>
      </w:r>
      <w:r w:rsidR="00DC5952" w:rsidRPr="00AE6EDB">
        <w:rPr>
          <w:szCs w:val="22"/>
        </w:rPr>
        <w:t>4</w:t>
      </w:r>
      <w:r w:rsidRPr="00AE6EDB">
        <w:rPr>
          <w:szCs w:val="22"/>
        </w:rPr>
        <w:t xml:space="preserve"> by sa miera rizika chudoby zvýšila o 7,</w:t>
      </w:r>
      <w:r w:rsidR="00DC5952" w:rsidRPr="00AE6EDB">
        <w:rPr>
          <w:szCs w:val="22"/>
        </w:rPr>
        <w:t>0</w:t>
      </w:r>
      <w:r w:rsidRPr="00AE6EDB">
        <w:rPr>
          <w:szCs w:val="22"/>
        </w:rPr>
        <w:t xml:space="preserve"> p. b. na </w:t>
      </w:r>
      <w:r w:rsidR="00DC5952" w:rsidRPr="00AE6EDB">
        <w:rPr>
          <w:szCs w:val="22"/>
        </w:rPr>
        <w:t>19,6</w:t>
      </w:r>
      <w:r w:rsidR="005676EF">
        <w:rPr>
          <w:szCs w:val="22"/>
        </w:rPr>
        <w:t> %</w:t>
      </w:r>
      <w:r w:rsidRPr="00AE6EDB">
        <w:rPr>
          <w:szCs w:val="22"/>
        </w:rPr>
        <w:t xml:space="preserve"> a v prípade neposkytovania sociálnych transferov vrátane starobných a pozostalostných dávok by sa miera rizika zvýšila o 25,</w:t>
      </w:r>
      <w:r w:rsidR="00DC5952" w:rsidRPr="00AE6EDB">
        <w:rPr>
          <w:szCs w:val="22"/>
        </w:rPr>
        <w:t>4</w:t>
      </w:r>
      <w:r w:rsidRPr="00AE6EDB">
        <w:rPr>
          <w:szCs w:val="22"/>
        </w:rPr>
        <w:t xml:space="preserve"> p. b. na 38,0</w:t>
      </w:r>
      <w:r w:rsidR="005676EF">
        <w:rPr>
          <w:szCs w:val="22"/>
        </w:rPr>
        <w:t> %</w:t>
      </w:r>
      <w:r w:rsidRPr="00AE6EDB">
        <w:rPr>
          <w:szCs w:val="22"/>
        </w:rPr>
        <w:t xml:space="preserve">. V porovnaní s predchádzajúcim rokom </w:t>
      </w:r>
      <w:r w:rsidR="00DC5952" w:rsidRPr="00AE6EDB">
        <w:rPr>
          <w:szCs w:val="22"/>
        </w:rPr>
        <w:t>nebola zaznamenaná výrazná zmena vplyvu</w:t>
      </w:r>
      <w:r w:rsidRPr="00AE6EDB">
        <w:rPr>
          <w:szCs w:val="22"/>
        </w:rPr>
        <w:t xml:space="preserve"> sociálnych transferov (či už bez alebo vrátane starobných a pozostalostných dávok) na redukciu miery rizika chudoby (</w:t>
      </w:r>
      <w:r w:rsidR="00DC5952" w:rsidRPr="00AE6EDB">
        <w:rPr>
          <w:szCs w:val="22"/>
        </w:rPr>
        <w:t>P</w:t>
      </w:r>
      <w:r w:rsidRPr="00AE6EDB">
        <w:rPr>
          <w:szCs w:val="22"/>
        </w:rPr>
        <w:t xml:space="preserve">ríloha ku kapitole 4). </w:t>
      </w:r>
      <w:r w:rsidR="00DC5952" w:rsidRPr="00AE6EDB">
        <w:rPr>
          <w:szCs w:val="22"/>
        </w:rPr>
        <w:t>Vplyv sociálnych transferov na zníženie rizika chudoby (s výnimkou starobných a pozostalostných dávok) predstavoval 35,7</w:t>
      </w:r>
      <w:r w:rsidR="005676EF">
        <w:rPr>
          <w:szCs w:val="22"/>
        </w:rPr>
        <w:t> %</w:t>
      </w:r>
      <w:r w:rsidR="00DC5952" w:rsidRPr="00AE6EDB">
        <w:rPr>
          <w:szCs w:val="22"/>
        </w:rPr>
        <w:t xml:space="preserve"> a v prípade sociálnych transferov vrátane starobných a pozostalostných dávok ich vplyv na zníženie rizika chudoby predstavoval až 66,8</w:t>
      </w:r>
      <w:r w:rsidR="005676EF">
        <w:rPr>
          <w:szCs w:val="22"/>
        </w:rPr>
        <w:t> %</w:t>
      </w:r>
      <w:r w:rsidR="00DC5952" w:rsidRPr="00AE6EDB">
        <w:rPr>
          <w:szCs w:val="22"/>
        </w:rPr>
        <w:t>.</w:t>
      </w:r>
    </w:p>
    <w:p w:rsidR="000A7585" w:rsidRPr="00AE6EDB" w:rsidRDefault="000A7585" w:rsidP="000A7585">
      <w:pPr>
        <w:ind w:firstLine="431"/>
        <w:rPr>
          <w:szCs w:val="22"/>
        </w:rPr>
      </w:pPr>
      <w:r w:rsidRPr="00AE6EDB">
        <w:rPr>
          <w:szCs w:val="22"/>
        </w:rPr>
        <w:t>Porovnanie hranice rizika chudoby (domácnosť jednotlivca), ktorá mala rastúci trend aj vzhľadom na rast celkových príjmov do roku 2012, je zachytené v tabuľke 4.4. V roku 2014 hranica rizika chudoby (domácnosť jednotlivca) oproti predchádzajúcemu roku vzrástla cca o 1,1</w:t>
      </w:r>
      <w:r w:rsidR="005676EF">
        <w:rPr>
          <w:szCs w:val="22"/>
        </w:rPr>
        <w:t> %</w:t>
      </w:r>
      <w:r w:rsidRPr="00AE6EDB">
        <w:rPr>
          <w:szCs w:val="22"/>
        </w:rPr>
        <w:t xml:space="preserve"> t. j. cca o 3,7</w:t>
      </w:r>
      <w:r w:rsidR="0054295F">
        <w:rPr>
          <w:szCs w:val="22"/>
        </w:rPr>
        <w:t> eur</w:t>
      </w:r>
      <w:r w:rsidRPr="00AE6EDB">
        <w:rPr>
          <w:szCs w:val="22"/>
        </w:rPr>
        <w:t>a, avšak stále nedosiahla hranicu rizika chudoby v roku 2012. Napriek tomu rozdiel medzi hranicami rizika chudoby 2005 a 2014 je výrazný, nárast tvorí až 81,1</w:t>
      </w:r>
      <w:r w:rsidR="005676EF">
        <w:rPr>
          <w:szCs w:val="22"/>
        </w:rPr>
        <w:t> %</w:t>
      </w:r>
      <w:r w:rsidRPr="00AE6EDB">
        <w:rPr>
          <w:szCs w:val="22"/>
        </w:rPr>
        <w:t xml:space="preserve"> z hranice v roku 2005 a v absolútnom vyjadrení až 152,5</w:t>
      </w:r>
      <w:r w:rsidR="0054295F">
        <w:rPr>
          <w:szCs w:val="22"/>
        </w:rPr>
        <w:t> eur</w:t>
      </w:r>
      <w:r w:rsidRPr="00AE6EDB">
        <w:rPr>
          <w:szCs w:val="22"/>
        </w:rPr>
        <w:t xml:space="preserve">a. </w:t>
      </w:r>
    </w:p>
    <w:p w:rsidR="000A7585" w:rsidRPr="00AE6EDB" w:rsidRDefault="000A7585" w:rsidP="000A7585">
      <w:pPr>
        <w:pStyle w:val="Nadpis7"/>
      </w:pPr>
      <w:r w:rsidRPr="00AE6EDB">
        <w:t>Tabuľka 4.2 Vývoj hranice rizika chudoby – domácnosť jednotlivca</w:t>
      </w:r>
    </w:p>
    <w:tbl>
      <w:tblPr>
        <w:tblW w:w="9710"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70" w:type="dxa"/>
          <w:right w:w="70" w:type="dxa"/>
        </w:tblCellMar>
        <w:tblLook w:val="0000" w:firstRow="0" w:lastRow="0" w:firstColumn="0" w:lastColumn="0" w:noHBand="0" w:noVBand="0"/>
      </w:tblPr>
      <w:tblGrid>
        <w:gridCol w:w="964"/>
        <w:gridCol w:w="874"/>
        <w:gridCol w:w="875"/>
        <w:gridCol w:w="874"/>
        <w:gridCol w:w="875"/>
        <w:gridCol w:w="874"/>
        <w:gridCol w:w="875"/>
        <w:gridCol w:w="874"/>
        <w:gridCol w:w="875"/>
        <w:gridCol w:w="875"/>
        <w:gridCol w:w="875"/>
      </w:tblGrid>
      <w:tr w:rsidR="000A7585" w:rsidRPr="00AE6EDB" w:rsidTr="001110A1">
        <w:trPr>
          <w:trHeight w:val="510"/>
          <w:jc w:val="center"/>
        </w:trPr>
        <w:tc>
          <w:tcPr>
            <w:tcW w:w="964" w:type="dxa"/>
            <w:shd w:val="clear" w:color="auto" w:fill="BF0000" w:themeFill="accent3" w:themeFillShade="BF"/>
            <w:vAlign w:val="bottom"/>
          </w:tcPr>
          <w:p w:rsidR="000A7585" w:rsidRPr="00AE6EDB" w:rsidRDefault="000A7585" w:rsidP="00DE0EEC">
            <w:pPr>
              <w:jc w:val="center"/>
              <w:rPr>
                <w:sz w:val="18"/>
                <w:szCs w:val="18"/>
              </w:rPr>
            </w:pPr>
          </w:p>
        </w:tc>
        <w:tc>
          <w:tcPr>
            <w:tcW w:w="874"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2005</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2006</w:t>
            </w:r>
          </w:p>
        </w:tc>
        <w:tc>
          <w:tcPr>
            <w:tcW w:w="874"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2007</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2008</w:t>
            </w:r>
          </w:p>
        </w:tc>
        <w:tc>
          <w:tcPr>
            <w:tcW w:w="874"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2009</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2010</w:t>
            </w:r>
          </w:p>
        </w:tc>
        <w:tc>
          <w:tcPr>
            <w:tcW w:w="874"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2011</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2012</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2013</w:t>
            </w:r>
          </w:p>
        </w:tc>
        <w:tc>
          <w:tcPr>
            <w:tcW w:w="875" w:type="dxa"/>
            <w:shd w:val="clear" w:color="auto" w:fill="BF0000" w:themeFill="accent3" w:themeFillShade="BF"/>
            <w:vAlign w:val="center"/>
          </w:tcPr>
          <w:p w:rsidR="000A7585" w:rsidRPr="00AE6EDB" w:rsidRDefault="000A7585" w:rsidP="00DE0EEC">
            <w:pPr>
              <w:jc w:val="center"/>
              <w:rPr>
                <w:b/>
                <w:sz w:val="18"/>
                <w:szCs w:val="18"/>
              </w:rPr>
            </w:pPr>
            <w:r w:rsidRPr="00AE6EDB">
              <w:rPr>
                <w:b/>
                <w:sz w:val="18"/>
                <w:szCs w:val="18"/>
              </w:rPr>
              <w:t>EU SILC 2014</w:t>
            </w:r>
          </w:p>
        </w:tc>
      </w:tr>
      <w:tr w:rsidR="000A7585" w:rsidRPr="00AE6EDB" w:rsidTr="001110A1">
        <w:trPr>
          <w:trHeight w:val="255"/>
          <w:jc w:val="center"/>
        </w:trPr>
        <w:tc>
          <w:tcPr>
            <w:tcW w:w="964" w:type="dxa"/>
            <w:shd w:val="clear" w:color="auto" w:fill="auto"/>
            <w:noWrap/>
            <w:vAlign w:val="bottom"/>
          </w:tcPr>
          <w:p w:rsidR="000A7585" w:rsidRPr="00AE6EDB" w:rsidRDefault="000A7585" w:rsidP="00DE0EEC">
            <w:pPr>
              <w:rPr>
                <w:sz w:val="18"/>
                <w:szCs w:val="18"/>
              </w:rPr>
            </w:pPr>
            <w:r w:rsidRPr="00AE6EDB">
              <w:rPr>
                <w:sz w:val="18"/>
                <w:szCs w:val="18"/>
              </w:rPr>
              <w:t>rok v €</w:t>
            </w:r>
          </w:p>
        </w:tc>
        <w:tc>
          <w:tcPr>
            <w:tcW w:w="874" w:type="dxa"/>
            <w:shd w:val="clear" w:color="auto" w:fill="auto"/>
            <w:noWrap/>
            <w:vAlign w:val="center"/>
          </w:tcPr>
          <w:p w:rsidR="000A7585" w:rsidRPr="00AE6EDB" w:rsidRDefault="0054295F" w:rsidP="00DE0EEC">
            <w:pPr>
              <w:ind w:right="85"/>
              <w:jc w:val="right"/>
              <w:rPr>
                <w:sz w:val="18"/>
                <w:szCs w:val="18"/>
              </w:rPr>
            </w:pPr>
            <w:r>
              <w:rPr>
                <w:sz w:val="18"/>
                <w:szCs w:val="18"/>
              </w:rPr>
              <w:t>2 2</w:t>
            </w:r>
            <w:r w:rsidR="000A7585" w:rsidRPr="00AE6EDB">
              <w:rPr>
                <w:sz w:val="18"/>
                <w:szCs w:val="18"/>
              </w:rPr>
              <w:t>56</w:t>
            </w:r>
          </w:p>
        </w:tc>
        <w:tc>
          <w:tcPr>
            <w:tcW w:w="875" w:type="dxa"/>
            <w:shd w:val="clear" w:color="auto" w:fill="auto"/>
            <w:noWrap/>
            <w:vAlign w:val="center"/>
          </w:tcPr>
          <w:p w:rsidR="000A7585" w:rsidRPr="00AE6EDB" w:rsidRDefault="0054295F" w:rsidP="00DE0EEC">
            <w:pPr>
              <w:ind w:right="85"/>
              <w:jc w:val="right"/>
              <w:rPr>
                <w:sz w:val="18"/>
                <w:szCs w:val="18"/>
              </w:rPr>
            </w:pPr>
            <w:r>
              <w:rPr>
                <w:sz w:val="18"/>
                <w:szCs w:val="18"/>
              </w:rPr>
              <w:t>2 5</w:t>
            </w:r>
            <w:r w:rsidR="000A7585" w:rsidRPr="00AE6EDB">
              <w:rPr>
                <w:sz w:val="18"/>
                <w:szCs w:val="18"/>
              </w:rPr>
              <w:t>47</w:t>
            </w:r>
          </w:p>
        </w:tc>
        <w:tc>
          <w:tcPr>
            <w:tcW w:w="874" w:type="dxa"/>
            <w:shd w:val="clear" w:color="auto" w:fill="auto"/>
            <w:noWrap/>
            <w:vAlign w:val="center"/>
          </w:tcPr>
          <w:p w:rsidR="000A7585" w:rsidRPr="00AE6EDB" w:rsidRDefault="0054295F" w:rsidP="00DE0EEC">
            <w:pPr>
              <w:ind w:right="85"/>
              <w:jc w:val="right"/>
              <w:rPr>
                <w:sz w:val="18"/>
                <w:szCs w:val="18"/>
              </w:rPr>
            </w:pPr>
            <w:r>
              <w:rPr>
                <w:sz w:val="18"/>
                <w:szCs w:val="18"/>
              </w:rPr>
              <w:t>2 9</w:t>
            </w:r>
            <w:r w:rsidR="000A7585" w:rsidRPr="00AE6EDB">
              <w:rPr>
                <w:sz w:val="18"/>
                <w:szCs w:val="18"/>
              </w:rPr>
              <w:t>45</w:t>
            </w:r>
          </w:p>
        </w:tc>
        <w:tc>
          <w:tcPr>
            <w:tcW w:w="875" w:type="dxa"/>
            <w:shd w:val="clear" w:color="auto" w:fill="auto"/>
            <w:noWrap/>
            <w:vAlign w:val="center"/>
          </w:tcPr>
          <w:p w:rsidR="000A7585" w:rsidRPr="00AE6EDB" w:rsidRDefault="0054295F" w:rsidP="00DE0EEC">
            <w:pPr>
              <w:ind w:right="85"/>
              <w:jc w:val="right"/>
              <w:rPr>
                <w:sz w:val="18"/>
                <w:szCs w:val="18"/>
              </w:rPr>
            </w:pPr>
            <w:r>
              <w:rPr>
                <w:sz w:val="18"/>
                <w:szCs w:val="18"/>
              </w:rPr>
              <w:t>3 2</w:t>
            </w:r>
            <w:r w:rsidR="000A7585" w:rsidRPr="00AE6EDB">
              <w:rPr>
                <w:sz w:val="18"/>
                <w:szCs w:val="18"/>
              </w:rPr>
              <w:t>23</w:t>
            </w:r>
          </w:p>
        </w:tc>
        <w:tc>
          <w:tcPr>
            <w:tcW w:w="874" w:type="dxa"/>
            <w:shd w:val="clear" w:color="auto" w:fill="auto"/>
            <w:noWrap/>
            <w:vAlign w:val="center"/>
          </w:tcPr>
          <w:p w:rsidR="000A7585" w:rsidRPr="00AE6EDB" w:rsidRDefault="0054295F" w:rsidP="00DE0EEC">
            <w:pPr>
              <w:ind w:right="85"/>
              <w:jc w:val="right"/>
              <w:rPr>
                <w:sz w:val="18"/>
                <w:szCs w:val="18"/>
              </w:rPr>
            </w:pPr>
            <w:r>
              <w:rPr>
                <w:sz w:val="18"/>
                <w:szCs w:val="18"/>
              </w:rPr>
              <w:t>3 4</w:t>
            </w:r>
            <w:r w:rsidR="000A7585" w:rsidRPr="00AE6EDB">
              <w:rPr>
                <w:sz w:val="18"/>
                <w:szCs w:val="18"/>
              </w:rPr>
              <w:t>03</w:t>
            </w:r>
          </w:p>
        </w:tc>
        <w:tc>
          <w:tcPr>
            <w:tcW w:w="875" w:type="dxa"/>
            <w:shd w:val="clear" w:color="auto" w:fill="auto"/>
            <w:noWrap/>
            <w:vAlign w:val="center"/>
          </w:tcPr>
          <w:p w:rsidR="000A7585" w:rsidRPr="00AE6EDB" w:rsidRDefault="0054295F" w:rsidP="00DE0EEC">
            <w:pPr>
              <w:ind w:right="85"/>
              <w:jc w:val="right"/>
              <w:rPr>
                <w:sz w:val="18"/>
                <w:szCs w:val="18"/>
              </w:rPr>
            </w:pPr>
            <w:r>
              <w:rPr>
                <w:sz w:val="18"/>
                <w:szCs w:val="18"/>
              </w:rPr>
              <w:t>3 6</w:t>
            </w:r>
            <w:r w:rsidR="000A7585" w:rsidRPr="00AE6EDB">
              <w:rPr>
                <w:sz w:val="18"/>
                <w:szCs w:val="18"/>
              </w:rPr>
              <w:t>70</w:t>
            </w:r>
          </w:p>
        </w:tc>
        <w:tc>
          <w:tcPr>
            <w:tcW w:w="874" w:type="dxa"/>
            <w:vAlign w:val="center"/>
          </w:tcPr>
          <w:p w:rsidR="000A7585" w:rsidRPr="00AE6EDB" w:rsidRDefault="0054295F" w:rsidP="00DE0EEC">
            <w:pPr>
              <w:ind w:right="85"/>
              <w:jc w:val="right"/>
              <w:rPr>
                <w:sz w:val="18"/>
                <w:szCs w:val="18"/>
              </w:rPr>
            </w:pPr>
            <w:r>
              <w:rPr>
                <w:sz w:val="18"/>
                <w:szCs w:val="18"/>
              </w:rPr>
              <w:t>3 7</w:t>
            </w:r>
            <w:r w:rsidR="000A7585" w:rsidRPr="00AE6EDB">
              <w:rPr>
                <w:sz w:val="18"/>
                <w:szCs w:val="18"/>
              </w:rPr>
              <w:t>84</w:t>
            </w:r>
          </w:p>
        </w:tc>
        <w:tc>
          <w:tcPr>
            <w:tcW w:w="875" w:type="dxa"/>
            <w:vAlign w:val="center"/>
          </w:tcPr>
          <w:p w:rsidR="000A7585" w:rsidRPr="00AE6EDB" w:rsidRDefault="0054295F" w:rsidP="00DE0EEC">
            <w:pPr>
              <w:ind w:right="85"/>
              <w:jc w:val="right"/>
              <w:rPr>
                <w:sz w:val="18"/>
                <w:szCs w:val="18"/>
              </w:rPr>
            </w:pPr>
            <w:r>
              <w:rPr>
                <w:sz w:val="18"/>
                <w:szCs w:val="18"/>
              </w:rPr>
              <w:t>4 1</w:t>
            </w:r>
            <w:r w:rsidR="000A7585" w:rsidRPr="00AE6EDB">
              <w:rPr>
                <w:sz w:val="18"/>
                <w:szCs w:val="18"/>
              </w:rPr>
              <w:t>56</w:t>
            </w:r>
          </w:p>
        </w:tc>
        <w:tc>
          <w:tcPr>
            <w:tcW w:w="875" w:type="dxa"/>
            <w:vAlign w:val="center"/>
          </w:tcPr>
          <w:p w:rsidR="000A7585" w:rsidRPr="00AE6EDB" w:rsidRDefault="0054295F" w:rsidP="00DE0EEC">
            <w:pPr>
              <w:ind w:right="85"/>
              <w:jc w:val="right"/>
              <w:rPr>
                <w:sz w:val="18"/>
                <w:szCs w:val="18"/>
              </w:rPr>
            </w:pPr>
            <w:r>
              <w:rPr>
                <w:sz w:val="18"/>
                <w:szCs w:val="18"/>
              </w:rPr>
              <w:t>4 0</w:t>
            </w:r>
            <w:r w:rsidR="000A7585" w:rsidRPr="00AE6EDB">
              <w:rPr>
                <w:sz w:val="18"/>
                <w:szCs w:val="18"/>
              </w:rPr>
              <w:t>42</w:t>
            </w:r>
          </w:p>
        </w:tc>
        <w:tc>
          <w:tcPr>
            <w:tcW w:w="875" w:type="dxa"/>
            <w:vAlign w:val="center"/>
          </w:tcPr>
          <w:p w:rsidR="000A7585" w:rsidRPr="00AE6EDB" w:rsidRDefault="0054295F" w:rsidP="00DE0EEC">
            <w:pPr>
              <w:ind w:right="85"/>
              <w:jc w:val="right"/>
              <w:rPr>
                <w:sz w:val="18"/>
                <w:szCs w:val="18"/>
              </w:rPr>
            </w:pPr>
            <w:r>
              <w:rPr>
                <w:sz w:val="18"/>
                <w:szCs w:val="18"/>
              </w:rPr>
              <w:t>4 0</w:t>
            </w:r>
            <w:r w:rsidR="000A7585" w:rsidRPr="00AE6EDB">
              <w:rPr>
                <w:sz w:val="18"/>
                <w:szCs w:val="18"/>
              </w:rPr>
              <w:t>86</w:t>
            </w:r>
          </w:p>
        </w:tc>
      </w:tr>
      <w:tr w:rsidR="000A7585" w:rsidRPr="00AE6EDB" w:rsidTr="001110A1">
        <w:trPr>
          <w:trHeight w:val="255"/>
          <w:jc w:val="center"/>
        </w:trPr>
        <w:tc>
          <w:tcPr>
            <w:tcW w:w="964" w:type="dxa"/>
            <w:shd w:val="clear" w:color="auto" w:fill="auto"/>
            <w:noWrap/>
            <w:vAlign w:val="bottom"/>
          </w:tcPr>
          <w:p w:rsidR="000A7585" w:rsidRPr="00AE6EDB" w:rsidRDefault="000A7585" w:rsidP="00DE0EEC">
            <w:pPr>
              <w:rPr>
                <w:sz w:val="18"/>
                <w:szCs w:val="18"/>
              </w:rPr>
            </w:pPr>
            <w:r w:rsidRPr="00AE6EDB">
              <w:rPr>
                <w:sz w:val="18"/>
                <w:szCs w:val="18"/>
              </w:rPr>
              <w:t>mesiac v €</w:t>
            </w:r>
          </w:p>
        </w:tc>
        <w:tc>
          <w:tcPr>
            <w:tcW w:w="874" w:type="dxa"/>
            <w:shd w:val="clear" w:color="auto" w:fill="auto"/>
            <w:noWrap/>
            <w:vAlign w:val="center"/>
          </w:tcPr>
          <w:p w:rsidR="000A7585" w:rsidRPr="00AE6EDB" w:rsidRDefault="000A7585" w:rsidP="00DE0EEC">
            <w:pPr>
              <w:ind w:right="85"/>
              <w:jc w:val="right"/>
              <w:rPr>
                <w:sz w:val="18"/>
                <w:szCs w:val="18"/>
              </w:rPr>
            </w:pPr>
            <w:r w:rsidRPr="00AE6EDB">
              <w:rPr>
                <w:sz w:val="18"/>
                <w:szCs w:val="18"/>
              </w:rPr>
              <w:t>188</w:t>
            </w:r>
          </w:p>
        </w:tc>
        <w:tc>
          <w:tcPr>
            <w:tcW w:w="875" w:type="dxa"/>
            <w:shd w:val="clear" w:color="auto" w:fill="auto"/>
            <w:noWrap/>
            <w:vAlign w:val="center"/>
          </w:tcPr>
          <w:p w:rsidR="000A7585" w:rsidRPr="00AE6EDB" w:rsidRDefault="000A7585" w:rsidP="00DE0EEC">
            <w:pPr>
              <w:ind w:right="85"/>
              <w:jc w:val="right"/>
              <w:rPr>
                <w:sz w:val="18"/>
                <w:szCs w:val="18"/>
              </w:rPr>
            </w:pPr>
            <w:r w:rsidRPr="00AE6EDB">
              <w:rPr>
                <w:sz w:val="18"/>
                <w:szCs w:val="18"/>
              </w:rPr>
              <w:t>212</w:t>
            </w:r>
          </w:p>
        </w:tc>
        <w:tc>
          <w:tcPr>
            <w:tcW w:w="874" w:type="dxa"/>
            <w:shd w:val="clear" w:color="auto" w:fill="auto"/>
            <w:noWrap/>
            <w:vAlign w:val="center"/>
          </w:tcPr>
          <w:p w:rsidR="000A7585" w:rsidRPr="00AE6EDB" w:rsidRDefault="000A7585" w:rsidP="00DE0EEC">
            <w:pPr>
              <w:ind w:right="85"/>
              <w:jc w:val="right"/>
              <w:rPr>
                <w:sz w:val="18"/>
                <w:szCs w:val="18"/>
              </w:rPr>
            </w:pPr>
            <w:r w:rsidRPr="00AE6EDB">
              <w:rPr>
                <w:sz w:val="18"/>
                <w:szCs w:val="18"/>
              </w:rPr>
              <w:t>245</w:t>
            </w:r>
          </w:p>
        </w:tc>
        <w:tc>
          <w:tcPr>
            <w:tcW w:w="875" w:type="dxa"/>
            <w:shd w:val="clear" w:color="auto" w:fill="auto"/>
            <w:noWrap/>
            <w:vAlign w:val="center"/>
          </w:tcPr>
          <w:p w:rsidR="000A7585" w:rsidRPr="00AE6EDB" w:rsidRDefault="000A7585" w:rsidP="00DE0EEC">
            <w:pPr>
              <w:ind w:right="85"/>
              <w:jc w:val="right"/>
              <w:rPr>
                <w:sz w:val="18"/>
                <w:szCs w:val="18"/>
              </w:rPr>
            </w:pPr>
            <w:r w:rsidRPr="00AE6EDB">
              <w:rPr>
                <w:sz w:val="18"/>
                <w:szCs w:val="18"/>
              </w:rPr>
              <w:t>269</w:t>
            </w:r>
          </w:p>
        </w:tc>
        <w:tc>
          <w:tcPr>
            <w:tcW w:w="874" w:type="dxa"/>
            <w:shd w:val="clear" w:color="auto" w:fill="auto"/>
            <w:noWrap/>
            <w:vAlign w:val="center"/>
          </w:tcPr>
          <w:p w:rsidR="000A7585" w:rsidRPr="00AE6EDB" w:rsidRDefault="000A7585" w:rsidP="00DE0EEC">
            <w:pPr>
              <w:ind w:right="85"/>
              <w:jc w:val="right"/>
              <w:rPr>
                <w:sz w:val="18"/>
                <w:szCs w:val="18"/>
              </w:rPr>
            </w:pPr>
            <w:r w:rsidRPr="00AE6EDB">
              <w:rPr>
                <w:sz w:val="18"/>
                <w:szCs w:val="18"/>
              </w:rPr>
              <w:t>284</w:t>
            </w:r>
          </w:p>
        </w:tc>
        <w:tc>
          <w:tcPr>
            <w:tcW w:w="875" w:type="dxa"/>
            <w:shd w:val="clear" w:color="auto" w:fill="auto"/>
            <w:noWrap/>
            <w:vAlign w:val="center"/>
          </w:tcPr>
          <w:p w:rsidR="000A7585" w:rsidRPr="00AE6EDB" w:rsidRDefault="000A7585" w:rsidP="00DE0EEC">
            <w:pPr>
              <w:ind w:right="85"/>
              <w:jc w:val="right"/>
              <w:rPr>
                <w:sz w:val="18"/>
                <w:szCs w:val="18"/>
              </w:rPr>
            </w:pPr>
            <w:r w:rsidRPr="00AE6EDB">
              <w:rPr>
                <w:sz w:val="18"/>
                <w:szCs w:val="18"/>
              </w:rPr>
              <w:t>306</w:t>
            </w:r>
          </w:p>
        </w:tc>
        <w:tc>
          <w:tcPr>
            <w:tcW w:w="874" w:type="dxa"/>
            <w:vAlign w:val="center"/>
          </w:tcPr>
          <w:p w:rsidR="000A7585" w:rsidRPr="00AE6EDB" w:rsidRDefault="000A7585" w:rsidP="00DE0EEC">
            <w:pPr>
              <w:ind w:right="85"/>
              <w:jc w:val="right"/>
              <w:rPr>
                <w:sz w:val="18"/>
                <w:szCs w:val="18"/>
              </w:rPr>
            </w:pPr>
            <w:r w:rsidRPr="00AE6EDB">
              <w:rPr>
                <w:sz w:val="18"/>
                <w:szCs w:val="18"/>
              </w:rPr>
              <w:t>315</w:t>
            </w:r>
          </w:p>
        </w:tc>
        <w:tc>
          <w:tcPr>
            <w:tcW w:w="875" w:type="dxa"/>
            <w:vAlign w:val="center"/>
          </w:tcPr>
          <w:p w:rsidR="000A7585" w:rsidRPr="00AE6EDB" w:rsidRDefault="000A7585" w:rsidP="00DE0EEC">
            <w:pPr>
              <w:ind w:right="85"/>
              <w:jc w:val="right"/>
              <w:rPr>
                <w:sz w:val="18"/>
                <w:szCs w:val="18"/>
              </w:rPr>
            </w:pPr>
            <w:r w:rsidRPr="00AE6EDB">
              <w:rPr>
                <w:sz w:val="18"/>
                <w:szCs w:val="18"/>
              </w:rPr>
              <w:t>346</w:t>
            </w:r>
          </w:p>
        </w:tc>
        <w:tc>
          <w:tcPr>
            <w:tcW w:w="875" w:type="dxa"/>
            <w:vAlign w:val="center"/>
          </w:tcPr>
          <w:p w:rsidR="000A7585" w:rsidRPr="00AE6EDB" w:rsidRDefault="000A7585" w:rsidP="00DE0EEC">
            <w:pPr>
              <w:ind w:right="85"/>
              <w:jc w:val="right"/>
              <w:rPr>
                <w:sz w:val="18"/>
                <w:szCs w:val="18"/>
              </w:rPr>
            </w:pPr>
            <w:r w:rsidRPr="00AE6EDB">
              <w:rPr>
                <w:sz w:val="18"/>
                <w:szCs w:val="18"/>
              </w:rPr>
              <w:t>337</w:t>
            </w:r>
          </w:p>
        </w:tc>
        <w:tc>
          <w:tcPr>
            <w:tcW w:w="875" w:type="dxa"/>
            <w:vAlign w:val="center"/>
          </w:tcPr>
          <w:p w:rsidR="000A7585" w:rsidRPr="00AE6EDB" w:rsidRDefault="000A7585" w:rsidP="00DE0EEC">
            <w:pPr>
              <w:ind w:right="85"/>
              <w:jc w:val="right"/>
              <w:rPr>
                <w:sz w:val="18"/>
                <w:szCs w:val="18"/>
              </w:rPr>
            </w:pPr>
            <w:r w:rsidRPr="00AE6EDB">
              <w:rPr>
                <w:sz w:val="18"/>
                <w:szCs w:val="18"/>
              </w:rPr>
              <w:t>341</w:t>
            </w:r>
          </w:p>
        </w:tc>
      </w:tr>
    </w:tbl>
    <w:p w:rsidR="000A7585" w:rsidRPr="00AE6EDB" w:rsidRDefault="000A7585" w:rsidP="000A7585">
      <w:pPr>
        <w:pStyle w:val="zdroj"/>
      </w:pPr>
      <w:r w:rsidRPr="00AE6EDB">
        <w:t xml:space="preserve">Zdroj: </w:t>
      </w:r>
      <w:proofErr w:type="spellStart"/>
      <w:r w:rsidRPr="00AE6EDB">
        <w:t>Eurostat</w:t>
      </w:r>
      <w:proofErr w:type="spellEnd"/>
      <w:r w:rsidRPr="00AE6EDB">
        <w:t>/ŠÚ SR</w:t>
      </w:r>
    </w:p>
    <w:p w:rsidR="000A7585" w:rsidRPr="00AE6EDB" w:rsidRDefault="000A7585" w:rsidP="000A7585">
      <w:pPr>
        <w:ind w:firstLine="431"/>
        <w:rPr>
          <w:szCs w:val="22"/>
        </w:rPr>
      </w:pPr>
      <w:r w:rsidRPr="00AE6EDB">
        <w:rPr>
          <w:szCs w:val="22"/>
        </w:rPr>
        <w:t>Použitím hranice chudoby zakotvenej v čase</w:t>
      </w:r>
      <w:r w:rsidRPr="00AE6EDB">
        <w:rPr>
          <w:vertAlign w:val="superscript"/>
        </w:rPr>
        <w:footnoteReference w:id="69"/>
      </w:r>
      <w:r w:rsidRPr="00AE6EDB">
        <w:rPr>
          <w:szCs w:val="22"/>
        </w:rPr>
        <w:t xml:space="preserve"> je možné zachytiť aspekt absolútnej chudoby. V roku 201</w:t>
      </w:r>
      <w:r w:rsidR="00145719" w:rsidRPr="00AE6EDB">
        <w:rPr>
          <w:szCs w:val="22"/>
        </w:rPr>
        <w:t>4</w:t>
      </w:r>
      <w:r w:rsidRPr="00AE6EDB">
        <w:rPr>
          <w:szCs w:val="22"/>
        </w:rPr>
        <w:t xml:space="preserve"> sa hodnota tohto indikátora (</w:t>
      </w:r>
      <w:r w:rsidR="00145719" w:rsidRPr="00AE6EDB">
        <w:rPr>
          <w:szCs w:val="22"/>
        </w:rPr>
        <w:t>8,1</w:t>
      </w:r>
      <w:r w:rsidR="005676EF">
        <w:rPr>
          <w:szCs w:val="22"/>
        </w:rPr>
        <w:t> %</w:t>
      </w:r>
      <w:r w:rsidRPr="00AE6EDB">
        <w:rPr>
          <w:szCs w:val="22"/>
        </w:rPr>
        <w:t>)</w:t>
      </w:r>
      <w:r w:rsidR="00426B6E" w:rsidRPr="00AE6EDB">
        <w:rPr>
          <w:rStyle w:val="Odkaznapoznmkupodiarou"/>
          <w:szCs w:val="22"/>
        </w:rPr>
        <w:footnoteReference w:id="70"/>
      </w:r>
      <w:r w:rsidRPr="00AE6EDB">
        <w:rPr>
          <w:szCs w:val="22"/>
        </w:rPr>
        <w:t xml:space="preserve"> v porovnaní s predchádzajúcim rokom zvýšila o 0,7 p. b. (muži – </w:t>
      </w:r>
      <w:r w:rsidR="00145719" w:rsidRPr="00AE6EDB">
        <w:rPr>
          <w:szCs w:val="22"/>
        </w:rPr>
        <w:t>8,5</w:t>
      </w:r>
      <w:r w:rsidR="005676EF">
        <w:rPr>
          <w:szCs w:val="22"/>
        </w:rPr>
        <w:t> %</w:t>
      </w:r>
      <w:r w:rsidRPr="00AE6EDB">
        <w:rPr>
          <w:szCs w:val="22"/>
        </w:rPr>
        <w:t xml:space="preserve">, ženy – </w:t>
      </w:r>
      <w:r w:rsidR="00145719" w:rsidRPr="00AE6EDB">
        <w:rPr>
          <w:szCs w:val="22"/>
        </w:rPr>
        <w:t>7,8</w:t>
      </w:r>
      <w:r w:rsidR="005676EF">
        <w:rPr>
          <w:szCs w:val="22"/>
        </w:rPr>
        <w:t> %</w:t>
      </w:r>
      <w:r w:rsidRPr="00AE6EDB">
        <w:rPr>
          <w:szCs w:val="22"/>
        </w:rPr>
        <w:t>) (</w:t>
      </w:r>
      <w:r w:rsidR="00145719" w:rsidRPr="00AE6EDB">
        <w:rPr>
          <w:szCs w:val="22"/>
        </w:rPr>
        <w:t>P</w:t>
      </w:r>
      <w:r w:rsidRPr="00AE6EDB">
        <w:rPr>
          <w:szCs w:val="22"/>
        </w:rPr>
        <w:t xml:space="preserve">ríloha ku kapitole 4). Medziročný nárast bol zaznamenaný v prípade </w:t>
      </w:r>
      <w:r w:rsidR="00145719" w:rsidRPr="00AE6EDB">
        <w:rPr>
          <w:szCs w:val="22"/>
        </w:rPr>
        <w:t>dospelých v produktívnom veku</w:t>
      </w:r>
      <w:r w:rsidR="00873358" w:rsidRPr="00AE6EDB">
        <w:rPr>
          <w:szCs w:val="22"/>
        </w:rPr>
        <w:t xml:space="preserve"> (o 1,1 p. b.)</w:t>
      </w:r>
      <w:r w:rsidR="00145719" w:rsidRPr="00AE6EDB">
        <w:rPr>
          <w:szCs w:val="22"/>
        </w:rPr>
        <w:t>, ako aj starších ľudí</w:t>
      </w:r>
      <w:r w:rsidR="00873358" w:rsidRPr="00AE6EDB">
        <w:rPr>
          <w:szCs w:val="22"/>
        </w:rPr>
        <w:t xml:space="preserve"> (o 0,5 p. b.)</w:t>
      </w:r>
      <w:r w:rsidR="00145719" w:rsidRPr="00AE6EDB">
        <w:rPr>
          <w:szCs w:val="22"/>
        </w:rPr>
        <w:t>.</w:t>
      </w:r>
      <w:r w:rsidRPr="00AE6EDB">
        <w:rPr>
          <w:szCs w:val="22"/>
        </w:rPr>
        <w:t xml:space="preserve"> </w:t>
      </w:r>
      <w:r w:rsidR="00145719" w:rsidRPr="00AE6EDB">
        <w:rPr>
          <w:szCs w:val="22"/>
        </w:rPr>
        <w:t xml:space="preserve">V prípade </w:t>
      </w:r>
      <w:r w:rsidRPr="00AE6EDB">
        <w:rPr>
          <w:szCs w:val="22"/>
        </w:rPr>
        <w:t>detí vo veku 0 – 17 rokov</w:t>
      </w:r>
      <w:r w:rsidR="00145719" w:rsidRPr="00AE6EDB">
        <w:rPr>
          <w:szCs w:val="22"/>
        </w:rPr>
        <w:t xml:space="preserve"> </w:t>
      </w:r>
      <w:r w:rsidR="00873358" w:rsidRPr="00AE6EDB">
        <w:rPr>
          <w:szCs w:val="22"/>
        </w:rPr>
        <w:t>sa</w:t>
      </w:r>
      <w:r w:rsidRPr="00AE6EDB">
        <w:rPr>
          <w:szCs w:val="22"/>
        </w:rPr>
        <w:t xml:space="preserve"> miera rizika chudoby </w:t>
      </w:r>
      <w:r w:rsidR="00C66A16">
        <w:rPr>
          <w:szCs w:val="22"/>
        </w:rPr>
        <w:t xml:space="preserve">zakotvená v čase </w:t>
      </w:r>
      <w:r w:rsidR="00873358" w:rsidRPr="00AE6EDB">
        <w:rPr>
          <w:szCs w:val="22"/>
        </w:rPr>
        <w:t xml:space="preserve">mierne znížila </w:t>
      </w:r>
      <w:r w:rsidRPr="00AE6EDB">
        <w:rPr>
          <w:szCs w:val="22"/>
        </w:rPr>
        <w:t>na úrov</w:t>
      </w:r>
      <w:r w:rsidR="00873358" w:rsidRPr="00AE6EDB">
        <w:rPr>
          <w:szCs w:val="22"/>
        </w:rPr>
        <w:t>eň</w:t>
      </w:r>
      <w:r w:rsidRPr="00AE6EDB">
        <w:rPr>
          <w:szCs w:val="22"/>
        </w:rPr>
        <w:t xml:space="preserve"> </w:t>
      </w:r>
      <w:r w:rsidR="00145719" w:rsidRPr="00AE6EDB">
        <w:rPr>
          <w:szCs w:val="22"/>
        </w:rPr>
        <w:t>13,2</w:t>
      </w:r>
      <w:r w:rsidR="005676EF">
        <w:rPr>
          <w:szCs w:val="22"/>
        </w:rPr>
        <w:t> %</w:t>
      </w:r>
      <w:r w:rsidR="00145719" w:rsidRPr="00AE6EDB">
        <w:rPr>
          <w:szCs w:val="22"/>
        </w:rPr>
        <w:t xml:space="preserve"> (2013</w:t>
      </w:r>
      <w:r w:rsidRPr="00AE6EDB">
        <w:rPr>
          <w:szCs w:val="22"/>
        </w:rPr>
        <w:t xml:space="preserve"> – </w:t>
      </w:r>
      <w:r w:rsidR="00145719" w:rsidRPr="00AE6EDB">
        <w:rPr>
          <w:szCs w:val="22"/>
        </w:rPr>
        <w:t>13,3</w:t>
      </w:r>
      <w:r w:rsidR="005676EF">
        <w:rPr>
          <w:szCs w:val="22"/>
        </w:rPr>
        <w:t> %</w:t>
      </w:r>
      <w:r w:rsidRPr="00AE6EDB">
        <w:rPr>
          <w:szCs w:val="22"/>
        </w:rPr>
        <w:t xml:space="preserve">). V prípade starších ľudí 65 + miera rizika chudoby </w:t>
      </w:r>
      <w:r w:rsidR="00C66A16">
        <w:rPr>
          <w:szCs w:val="22"/>
        </w:rPr>
        <w:t xml:space="preserve">zakotvená v čase </w:t>
      </w:r>
      <w:r w:rsidR="00873358" w:rsidRPr="00AE6EDB">
        <w:rPr>
          <w:szCs w:val="22"/>
        </w:rPr>
        <w:t>dosiahla</w:t>
      </w:r>
      <w:r w:rsidRPr="00AE6EDB">
        <w:rPr>
          <w:szCs w:val="22"/>
        </w:rPr>
        <w:t xml:space="preserve"> </w:t>
      </w:r>
      <w:r w:rsidR="00145719" w:rsidRPr="00AE6EDB">
        <w:rPr>
          <w:szCs w:val="22"/>
        </w:rPr>
        <w:t>1,5</w:t>
      </w:r>
      <w:r w:rsidR="005676EF">
        <w:rPr>
          <w:szCs w:val="22"/>
        </w:rPr>
        <w:t> %</w:t>
      </w:r>
      <w:r w:rsidRPr="00AE6EDB">
        <w:rPr>
          <w:szCs w:val="22"/>
        </w:rPr>
        <w:t xml:space="preserve"> (muži – </w:t>
      </w:r>
      <w:r w:rsidR="00145719" w:rsidRPr="00AE6EDB">
        <w:rPr>
          <w:szCs w:val="22"/>
        </w:rPr>
        <w:t>1</w:t>
      </w:r>
      <w:r w:rsidRPr="00AE6EDB">
        <w:rPr>
          <w:szCs w:val="22"/>
        </w:rPr>
        <w:t>,2</w:t>
      </w:r>
      <w:r w:rsidR="005676EF">
        <w:rPr>
          <w:szCs w:val="22"/>
        </w:rPr>
        <w:t> %</w:t>
      </w:r>
      <w:r w:rsidRPr="00AE6EDB">
        <w:rPr>
          <w:szCs w:val="22"/>
        </w:rPr>
        <w:t xml:space="preserve">, ženy – </w:t>
      </w:r>
      <w:r w:rsidR="00145719" w:rsidRPr="00AE6EDB">
        <w:rPr>
          <w:szCs w:val="22"/>
        </w:rPr>
        <w:t>1,7</w:t>
      </w:r>
      <w:r w:rsidR="005676EF">
        <w:rPr>
          <w:szCs w:val="22"/>
        </w:rPr>
        <w:t> %</w:t>
      </w:r>
      <w:r w:rsidRPr="00AE6EDB">
        <w:rPr>
          <w:szCs w:val="22"/>
        </w:rPr>
        <w:t>)</w:t>
      </w:r>
      <w:r w:rsidR="00873358" w:rsidRPr="00AE6EDB">
        <w:rPr>
          <w:szCs w:val="22"/>
        </w:rPr>
        <w:t xml:space="preserve"> a v prípade dospelých v produktívnom veku 8,2</w:t>
      </w:r>
      <w:r w:rsidR="005676EF">
        <w:rPr>
          <w:szCs w:val="22"/>
        </w:rPr>
        <w:t> %</w:t>
      </w:r>
      <w:r w:rsidR="00873358" w:rsidRPr="00AE6EDB">
        <w:rPr>
          <w:szCs w:val="22"/>
        </w:rPr>
        <w:t xml:space="preserve"> (muži – </w:t>
      </w:r>
      <w:r w:rsidR="00C66A16">
        <w:rPr>
          <w:szCs w:val="22"/>
        </w:rPr>
        <w:t>8,4</w:t>
      </w:r>
      <w:r w:rsidR="005676EF">
        <w:rPr>
          <w:szCs w:val="22"/>
        </w:rPr>
        <w:t> %</w:t>
      </w:r>
      <w:r w:rsidR="00873358" w:rsidRPr="00AE6EDB">
        <w:rPr>
          <w:szCs w:val="22"/>
        </w:rPr>
        <w:t xml:space="preserve">, ženy – </w:t>
      </w:r>
      <w:r w:rsidR="00C66A16">
        <w:rPr>
          <w:szCs w:val="22"/>
        </w:rPr>
        <w:t>8,0</w:t>
      </w:r>
      <w:r w:rsidR="005676EF">
        <w:rPr>
          <w:szCs w:val="22"/>
        </w:rPr>
        <w:t> %</w:t>
      </w:r>
      <w:r w:rsidR="00873358" w:rsidRPr="00AE6EDB">
        <w:rPr>
          <w:szCs w:val="22"/>
        </w:rPr>
        <w:t>)</w:t>
      </w:r>
      <w:r w:rsidRPr="00AE6EDB">
        <w:rPr>
          <w:szCs w:val="22"/>
        </w:rPr>
        <w:t>. Prostredníctvom predmetného indikátora je možné sledovať životnú úroveň obyvateľstva v prepojení na hospodársky rast krajiny. V grafe 4.4 je zachytený vývoj miery rizika chudoby zakotvenej v čase, predovšetkým jej klesajúci trend</w:t>
      </w:r>
      <w:r w:rsidR="00873358" w:rsidRPr="00AE6EDB">
        <w:rPr>
          <w:szCs w:val="22"/>
        </w:rPr>
        <w:t xml:space="preserve"> do roku 2012 (</w:t>
      </w:r>
      <w:r w:rsidR="00DE2A63" w:rsidRPr="00AE6EDB">
        <w:rPr>
          <w:szCs w:val="22"/>
        </w:rPr>
        <w:t>odráža príjmovú situáciu za rok 2011)</w:t>
      </w:r>
      <w:r w:rsidRPr="00AE6EDB">
        <w:rPr>
          <w:szCs w:val="22"/>
        </w:rPr>
        <w:t>.</w:t>
      </w:r>
      <w:r w:rsidR="00DE2A63" w:rsidRPr="00AE6EDB">
        <w:rPr>
          <w:szCs w:val="22"/>
        </w:rPr>
        <w:t xml:space="preserve"> V rokoch </w:t>
      </w:r>
      <w:r w:rsidRPr="00AE6EDB">
        <w:rPr>
          <w:szCs w:val="22"/>
        </w:rPr>
        <w:t>2013</w:t>
      </w:r>
      <w:r w:rsidR="00DE2A63" w:rsidRPr="00AE6EDB">
        <w:rPr>
          <w:szCs w:val="22"/>
        </w:rPr>
        <w:t xml:space="preserve"> a 2014</w:t>
      </w:r>
      <w:r w:rsidRPr="00AE6EDB">
        <w:rPr>
          <w:szCs w:val="22"/>
        </w:rPr>
        <w:t xml:space="preserve"> došlo k miernemu nárastu, ktorý bol ovplyvnený práve vývojom príjmovej situácie obyvateľstva. </w:t>
      </w:r>
    </w:p>
    <w:p w:rsidR="000A7585" w:rsidRPr="00AE6EDB" w:rsidRDefault="000A7585" w:rsidP="000A7585">
      <w:pPr>
        <w:pStyle w:val="Nadpis7"/>
      </w:pPr>
      <w:r w:rsidRPr="00AE6EDB">
        <w:t>Graf 4.4 Vývoj miery rizika chudoby zakotvenej v čase (200</w:t>
      </w:r>
      <w:r w:rsidR="00145719" w:rsidRPr="00AE6EDB">
        <w:t>8</w:t>
      </w:r>
      <w:r w:rsidRPr="00AE6EDB">
        <w:t>)</w:t>
      </w:r>
    </w:p>
    <w:p w:rsidR="000A7585" w:rsidRPr="00AE6EDB" w:rsidRDefault="00145719" w:rsidP="000A7585">
      <w:pPr>
        <w:jc w:val="center"/>
        <w:rPr>
          <w:szCs w:val="22"/>
        </w:rPr>
      </w:pPr>
      <w:r w:rsidRPr="00AE6EDB">
        <w:rPr>
          <w:noProof/>
        </w:rPr>
        <w:drawing>
          <wp:inline distT="0" distB="0" distL="0" distR="0" wp14:anchorId="215A9B64" wp14:editId="2C081A27">
            <wp:extent cx="4860925" cy="2146300"/>
            <wp:effectExtent l="0" t="0" r="0" b="635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A7585" w:rsidRPr="00AE6EDB" w:rsidRDefault="000A7585" w:rsidP="000A7585">
      <w:pPr>
        <w:pStyle w:val="zdroj"/>
      </w:pPr>
      <w:r w:rsidRPr="00AE6EDB">
        <w:t xml:space="preserve">Zdroj: </w:t>
      </w:r>
      <w:proofErr w:type="spellStart"/>
      <w:r w:rsidRPr="00AE6EDB">
        <w:t>Eurostat</w:t>
      </w:r>
      <w:proofErr w:type="spellEnd"/>
    </w:p>
    <w:p w:rsidR="000A7585" w:rsidRPr="00AE6EDB" w:rsidRDefault="000A7585" w:rsidP="000A7585">
      <w:pPr>
        <w:ind w:firstLine="431"/>
        <w:rPr>
          <w:szCs w:val="22"/>
        </w:rPr>
      </w:pPr>
      <w:r w:rsidRPr="00AE6EDB">
        <w:rPr>
          <w:szCs w:val="22"/>
        </w:rPr>
        <w:t>V súvislosti so zachytením rozptylu chudoby okolo hranice chudoby, na základe zisťovania (EU SILC 201</w:t>
      </w:r>
      <w:r w:rsidR="00AC70D2" w:rsidRPr="00AE6EDB">
        <w:rPr>
          <w:szCs w:val="22"/>
        </w:rPr>
        <w:t>4</w:t>
      </w:r>
      <w:r w:rsidRPr="00AE6EDB">
        <w:rPr>
          <w:szCs w:val="22"/>
        </w:rPr>
        <w:t>) malo na Slovensku príjem nižší ako 40</w:t>
      </w:r>
      <w:r w:rsidR="005676EF">
        <w:rPr>
          <w:szCs w:val="22"/>
        </w:rPr>
        <w:t> %</w:t>
      </w:r>
      <w:r w:rsidRPr="00AE6EDB">
        <w:rPr>
          <w:szCs w:val="22"/>
        </w:rPr>
        <w:t xml:space="preserve"> mediánu ekvivalentného disponibilného príjmu </w:t>
      </w:r>
      <w:r w:rsidR="00AC70D2" w:rsidRPr="00AE6EDB">
        <w:rPr>
          <w:szCs w:val="22"/>
        </w:rPr>
        <w:t>5,1</w:t>
      </w:r>
      <w:r w:rsidR="005676EF">
        <w:rPr>
          <w:szCs w:val="22"/>
        </w:rPr>
        <w:t> %</w:t>
      </w:r>
      <w:r w:rsidRPr="00AE6EDB">
        <w:rPr>
          <w:szCs w:val="22"/>
        </w:rPr>
        <w:t xml:space="preserve"> ľudí (medziročný nárast o 0,</w:t>
      </w:r>
      <w:r w:rsidR="00AC70D2" w:rsidRPr="00AE6EDB">
        <w:rPr>
          <w:szCs w:val="22"/>
        </w:rPr>
        <w:t>2</w:t>
      </w:r>
      <w:r w:rsidRPr="00AE6EDB">
        <w:rPr>
          <w:szCs w:val="22"/>
        </w:rPr>
        <w:t xml:space="preserve"> p. b.), pod 50</w:t>
      </w:r>
      <w:r w:rsidR="005676EF">
        <w:rPr>
          <w:szCs w:val="22"/>
        </w:rPr>
        <w:t> %</w:t>
      </w:r>
      <w:r w:rsidRPr="00AE6EDB">
        <w:rPr>
          <w:szCs w:val="22"/>
        </w:rPr>
        <w:t xml:space="preserve"> mediánu ekvivalentného disponibilného príjmu malo príjem </w:t>
      </w:r>
      <w:r w:rsidR="00AC70D2" w:rsidRPr="00AE6EDB">
        <w:rPr>
          <w:szCs w:val="22"/>
        </w:rPr>
        <w:t>8,4</w:t>
      </w:r>
      <w:r w:rsidR="005676EF">
        <w:rPr>
          <w:szCs w:val="22"/>
        </w:rPr>
        <w:t> %</w:t>
      </w:r>
      <w:r w:rsidRPr="00AE6EDB">
        <w:rPr>
          <w:szCs w:val="22"/>
        </w:rPr>
        <w:t xml:space="preserve"> ľudí (</w:t>
      </w:r>
      <w:r w:rsidR="00AC70D2" w:rsidRPr="00AE6EDB">
        <w:rPr>
          <w:szCs w:val="22"/>
        </w:rPr>
        <w:t>medziročný nárast o 0,6 p. b.</w:t>
      </w:r>
      <w:r w:rsidRPr="00AE6EDB">
        <w:rPr>
          <w:szCs w:val="22"/>
        </w:rPr>
        <w:t>) a pod 70</w:t>
      </w:r>
      <w:r w:rsidR="005676EF">
        <w:rPr>
          <w:szCs w:val="22"/>
        </w:rPr>
        <w:t> %</w:t>
      </w:r>
      <w:r w:rsidRPr="00AE6EDB">
        <w:rPr>
          <w:szCs w:val="22"/>
        </w:rPr>
        <w:t xml:space="preserve"> mediánu ekvivalentného disponibilného príjmu až 19,2</w:t>
      </w:r>
      <w:r w:rsidR="005676EF">
        <w:rPr>
          <w:szCs w:val="22"/>
        </w:rPr>
        <w:t> %</w:t>
      </w:r>
      <w:r w:rsidRPr="00AE6EDB">
        <w:rPr>
          <w:szCs w:val="22"/>
        </w:rPr>
        <w:t xml:space="preserve"> ľudí (medziročný </w:t>
      </w:r>
      <w:r w:rsidR="00AC70D2" w:rsidRPr="00AE6EDB">
        <w:rPr>
          <w:szCs w:val="22"/>
        </w:rPr>
        <w:t>nárast</w:t>
      </w:r>
      <w:r w:rsidRPr="00AE6EDB">
        <w:rPr>
          <w:szCs w:val="22"/>
        </w:rPr>
        <w:t xml:space="preserve"> o</w:t>
      </w:r>
      <w:r w:rsidR="00AC70D2" w:rsidRPr="00AE6EDB">
        <w:rPr>
          <w:szCs w:val="22"/>
        </w:rPr>
        <w:t> 0,5</w:t>
      </w:r>
      <w:r w:rsidRPr="00AE6EDB">
        <w:rPr>
          <w:szCs w:val="22"/>
        </w:rPr>
        <w:t xml:space="preserve"> p. b.). </w:t>
      </w:r>
    </w:p>
    <w:p w:rsidR="000A7585" w:rsidRPr="00AE6EDB" w:rsidRDefault="000A7585" w:rsidP="000A7585">
      <w:pPr>
        <w:ind w:firstLine="431"/>
        <w:rPr>
          <w:szCs w:val="22"/>
        </w:rPr>
      </w:pPr>
      <w:r w:rsidRPr="00AE6EDB">
        <w:rPr>
          <w:szCs w:val="22"/>
        </w:rPr>
        <w:t>Relatívny prepad mediánu príjmov v riziku chudoby, ktorý vyjadruje rozdiel medzi mediánom príjmu osôb v riziku chudoby a hranicou chudoby, na</w:t>
      </w:r>
      <w:r w:rsidR="00AC70D2" w:rsidRPr="00AE6EDB">
        <w:rPr>
          <w:szCs w:val="22"/>
        </w:rPr>
        <w:t xml:space="preserve"> základe zisťovania EU SILC 2014 </w:t>
      </w:r>
      <w:r w:rsidRPr="00AE6EDB">
        <w:rPr>
          <w:szCs w:val="22"/>
        </w:rPr>
        <w:t>stúpol o</w:t>
      </w:r>
      <w:r w:rsidR="00AC70D2" w:rsidRPr="00AE6EDB">
        <w:rPr>
          <w:szCs w:val="22"/>
        </w:rPr>
        <w:t> 4,9</w:t>
      </w:r>
      <w:r w:rsidRPr="00AE6EDB">
        <w:rPr>
          <w:szCs w:val="22"/>
        </w:rPr>
        <w:t> p. b. na hodnotu 2</w:t>
      </w:r>
      <w:r w:rsidR="00AC70D2" w:rsidRPr="00AE6EDB">
        <w:rPr>
          <w:szCs w:val="22"/>
        </w:rPr>
        <w:t>9,0</w:t>
      </w:r>
      <w:r w:rsidR="005676EF">
        <w:rPr>
          <w:szCs w:val="22"/>
        </w:rPr>
        <w:t> %</w:t>
      </w:r>
      <w:r w:rsidRPr="00AE6EDB">
        <w:rPr>
          <w:szCs w:val="22"/>
        </w:rPr>
        <w:t>. Vplyv na uvedenú situáciu má predovšetkým príjmové rozdelenie obyvateľstva</w:t>
      </w:r>
      <w:r w:rsidR="00AC70D2" w:rsidRPr="00AE6EDB">
        <w:rPr>
          <w:szCs w:val="22"/>
        </w:rPr>
        <w:t>, čo odzrkadľuje aj nerovnosť distribúcie príjmov (</w:t>
      </w:r>
      <w:proofErr w:type="spellStart"/>
      <w:r w:rsidR="00AC70D2" w:rsidRPr="00AE6EDB">
        <w:rPr>
          <w:szCs w:val="22"/>
        </w:rPr>
        <w:t>Gini</w:t>
      </w:r>
      <w:proofErr w:type="spellEnd"/>
      <w:r w:rsidR="00AC70D2" w:rsidRPr="00AE6EDB">
        <w:rPr>
          <w:szCs w:val="22"/>
        </w:rPr>
        <w:t xml:space="preserve"> koeficient), ktorý vzrástol oproti predchádzajúcemu roku o 1,9 p. b. (na 26,1</w:t>
      </w:r>
      <w:r w:rsidR="005676EF">
        <w:rPr>
          <w:szCs w:val="22"/>
        </w:rPr>
        <w:t> %</w:t>
      </w:r>
      <w:r w:rsidR="00AC70D2" w:rsidRPr="00AE6EDB">
        <w:rPr>
          <w:szCs w:val="22"/>
        </w:rPr>
        <w:t xml:space="preserve"> v roku 2014).</w:t>
      </w:r>
    </w:p>
    <w:p w:rsidR="000A7585" w:rsidRPr="00AE6EDB" w:rsidRDefault="000A7585" w:rsidP="000A7585">
      <w:pPr>
        <w:ind w:firstLine="567"/>
        <w:rPr>
          <w:b/>
          <w:sz w:val="20"/>
          <w:szCs w:val="20"/>
        </w:rPr>
      </w:pPr>
      <w:r w:rsidRPr="00AE6EDB">
        <w:rPr>
          <w:szCs w:val="22"/>
        </w:rPr>
        <w:t>V prípade merania príjmovej nerovnosti v roku 201</w:t>
      </w:r>
      <w:r w:rsidR="0027275B" w:rsidRPr="00AE6EDB">
        <w:rPr>
          <w:szCs w:val="22"/>
        </w:rPr>
        <w:t>4 získalo</w:t>
      </w:r>
      <w:r w:rsidRPr="00AE6EDB">
        <w:rPr>
          <w:szCs w:val="22"/>
        </w:rPr>
        <w:t xml:space="preserve"> 20</w:t>
      </w:r>
      <w:r w:rsidR="005676EF">
        <w:rPr>
          <w:szCs w:val="22"/>
        </w:rPr>
        <w:t> %</w:t>
      </w:r>
      <w:r w:rsidRPr="00AE6EDB">
        <w:rPr>
          <w:szCs w:val="22"/>
        </w:rPr>
        <w:t xml:space="preserve"> osôb s najvyššími príjmami 3,</w:t>
      </w:r>
      <w:r w:rsidR="0027275B" w:rsidRPr="00AE6EDB">
        <w:rPr>
          <w:szCs w:val="22"/>
        </w:rPr>
        <w:t>9</w:t>
      </w:r>
      <w:r w:rsidRPr="00AE6EDB">
        <w:rPr>
          <w:szCs w:val="22"/>
        </w:rPr>
        <w:t xml:space="preserve"> krát viac príjmov ako 20</w:t>
      </w:r>
      <w:r w:rsidR="005676EF">
        <w:rPr>
          <w:szCs w:val="22"/>
        </w:rPr>
        <w:t> %</w:t>
      </w:r>
      <w:r w:rsidRPr="00AE6EDB">
        <w:rPr>
          <w:szCs w:val="22"/>
        </w:rPr>
        <w:t xml:space="preserve"> osôb s najnižšími príjmami. Oproti predchádzajúcemu zisťovaniu (EU SILC 201</w:t>
      </w:r>
      <w:r w:rsidR="0027275B" w:rsidRPr="00AE6EDB">
        <w:rPr>
          <w:szCs w:val="22"/>
        </w:rPr>
        <w:t>3</w:t>
      </w:r>
      <w:r w:rsidRPr="00AE6EDB">
        <w:rPr>
          <w:szCs w:val="22"/>
        </w:rPr>
        <w:t>) došlo k poklesu o 0,</w:t>
      </w:r>
      <w:r w:rsidR="0027275B" w:rsidRPr="00AE6EDB">
        <w:rPr>
          <w:szCs w:val="22"/>
        </w:rPr>
        <w:t>3</w:t>
      </w:r>
      <w:r w:rsidRPr="00AE6EDB">
        <w:rPr>
          <w:szCs w:val="22"/>
        </w:rPr>
        <w:t xml:space="preserve"> p. b.</w:t>
      </w:r>
    </w:p>
    <w:p w:rsidR="000A7585" w:rsidRPr="00AE6EDB" w:rsidRDefault="000A7585" w:rsidP="000A7585">
      <w:pPr>
        <w:spacing w:before="240"/>
        <w:ind w:firstLine="431"/>
        <w:rPr>
          <w:szCs w:val="22"/>
        </w:rPr>
      </w:pPr>
      <w:r w:rsidRPr="00AE6EDB">
        <w:rPr>
          <w:szCs w:val="22"/>
        </w:rPr>
        <w:t>Najohrozenejšou vekovou skupinou z hľadiska príjmovej chudoby sú deti vo veku 0 – 17 rokov (</w:t>
      </w:r>
      <w:r w:rsidR="0027275B" w:rsidRPr="00AE6EDB">
        <w:rPr>
          <w:szCs w:val="22"/>
        </w:rPr>
        <w:t>19,2</w:t>
      </w:r>
      <w:r w:rsidR="005676EF">
        <w:rPr>
          <w:szCs w:val="22"/>
        </w:rPr>
        <w:t> %</w:t>
      </w:r>
      <w:r w:rsidR="0027275B" w:rsidRPr="00AE6EDB">
        <w:rPr>
          <w:szCs w:val="22"/>
        </w:rPr>
        <w:t xml:space="preserve"> v roku 2014</w:t>
      </w:r>
      <w:r w:rsidRPr="00AE6EDB">
        <w:rPr>
          <w:szCs w:val="22"/>
        </w:rPr>
        <w:t xml:space="preserve">) a taktiež mladí ľudia </w:t>
      </w:r>
      <w:r w:rsidR="0027275B" w:rsidRPr="00AE6EDB">
        <w:rPr>
          <w:szCs w:val="22"/>
        </w:rPr>
        <w:t xml:space="preserve">vo veku </w:t>
      </w:r>
      <w:r w:rsidRPr="00AE6EDB">
        <w:rPr>
          <w:szCs w:val="22"/>
        </w:rPr>
        <w:t xml:space="preserve">18 – 24 </w:t>
      </w:r>
      <w:r w:rsidR="0027275B" w:rsidRPr="00AE6EDB">
        <w:rPr>
          <w:szCs w:val="22"/>
        </w:rPr>
        <w:t xml:space="preserve">rokov </w:t>
      </w:r>
      <w:r w:rsidRPr="00AE6EDB">
        <w:rPr>
          <w:szCs w:val="22"/>
        </w:rPr>
        <w:t>(1</w:t>
      </w:r>
      <w:r w:rsidR="0027275B" w:rsidRPr="00AE6EDB">
        <w:rPr>
          <w:szCs w:val="22"/>
        </w:rPr>
        <w:t>4,7</w:t>
      </w:r>
      <w:r w:rsidR="005676EF">
        <w:rPr>
          <w:szCs w:val="22"/>
        </w:rPr>
        <w:t> %</w:t>
      </w:r>
      <w:r w:rsidRPr="00AE6EDB">
        <w:rPr>
          <w:szCs w:val="22"/>
        </w:rPr>
        <w:t>). Najnižšiu mieru rizika chudoby má veková skupina 65+ (6,</w:t>
      </w:r>
      <w:r w:rsidR="0027275B" w:rsidRPr="00AE6EDB">
        <w:rPr>
          <w:szCs w:val="22"/>
        </w:rPr>
        <w:t>2</w:t>
      </w:r>
      <w:r w:rsidR="005676EF">
        <w:rPr>
          <w:szCs w:val="22"/>
        </w:rPr>
        <w:t> %</w:t>
      </w:r>
      <w:r w:rsidRPr="00AE6EDB">
        <w:rPr>
          <w:szCs w:val="22"/>
        </w:rPr>
        <w:t>). V roku 201</w:t>
      </w:r>
      <w:r w:rsidR="0027275B" w:rsidRPr="00AE6EDB">
        <w:rPr>
          <w:szCs w:val="22"/>
        </w:rPr>
        <w:t>4</w:t>
      </w:r>
      <w:r w:rsidRPr="00AE6EDB">
        <w:rPr>
          <w:szCs w:val="22"/>
        </w:rPr>
        <w:t xml:space="preserve"> nastal pokles miery rizika chudoby práve u detí vo veku 0 – 17 (o 1,</w:t>
      </w:r>
      <w:r w:rsidR="0027275B" w:rsidRPr="00AE6EDB">
        <w:rPr>
          <w:szCs w:val="22"/>
        </w:rPr>
        <w:t>1</w:t>
      </w:r>
      <w:r w:rsidRPr="00AE6EDB">
        <w:rPr>
          <w:szCs w:val="22"/>
        </w:rPr>
        <w:t xml:space="preserve"> p. b.), </w:t>
      </w:r>
      <w:r w:rsidR="00DE2A63" w:rsidRPr="00AE6EDB">
        <w:rPr>
          <w:szCs w:val="22"/>
        </w:rPr>
        <w:t xml:space="preserve">rovnako klesla aj miera rizika chudoby mladých ľudí vo veku </w:t>
      </w:r>
      <w:r w:rsidR="001110A1">
        <w:rPr>
          <w:szCs w:val="22"/>
        </w:rPr>
        <w:br/>
      </w:r>
      <w:r w:rsidR="00DE2A63" w:rsidRPr="00AE6EDB">
        <w:rPr>
          <w:szCs w:val="22"/>
        </w:rPr>
        <w:t>18 – 24 rokov (pokles oproti roku 2013 o 0,4 p. b).</w:t>
      </w:r>
      <w:r w:rsidR="0027275B" w:rsidRPr="00AE6EDB">
        <w:rPr>
          <w:szCs w:val="22"/>
        </w:rPr>
        <w:t xml:space="preserve"> </w:t>
      </w:r>
      <w:r w:rsidR="00DE2A63" w:rsidRPr="00AE6EDB">
        <w:rPr>
          <w:szCs w:val="22"/>
        </w:rPr>
        <w:t>M</w:t>
      </w:r>
      <w:r w:rsidR="0027275B" w:rsidRPr="00AE6EDB">
        <w:rPr>
          <w:szCs w:val="22"/>
        </w:rPr>
        <w:t>ierny nárast</w:t>
      </w:r>
      <w:r w:rsidRPr="00AE6EDB">
        <w:rPr>
          <w:szCs w:val="22"/>
        </w:rPr>
        <w:t xml:space="preserve"> miery rizika chudoby </w:t>
      </w:r>
      <w:r w:rsidR="00DE2A63" w:rsidRPr="00AE6EDB">
        <w:rPr>
          <w:szCs w:val="22"/>
        </w:rPr>
        <w:t xml:space="preserve">však nastal </w:t>
      </w:r>
      <w:r w:rsidRPr="00AE6EDB">
        <w:rPr>
          <w:szCs w:val="22"/>
        </w:rPr>
        <w:t>v prípade populácie vo veku 65+ (o </w:t>
      </w:r>
      <w:r w:rsidR="0027275B" w:rsidRPr="00AE6EDB">
        <w:rPr>
          <w:szCs w:val="22"/>
        </w:rPr>
        <w:t>0,2</w:t>
      </w:r>
      <w:r w:rsidRPr="00AE6EDB">
        <w:rPr>
          <w:szCs w:val="22"/>
        </w:rPr>
        <w:t xml:space="preserve"> p. b.).</w:t>
      </w:r>
      <w:r w:rsidR="0027275B" w:rsidRPr="00AE6EDB">
        <w:rPr>
          <w:szCs w:val="22"/>
        </w:rPr>
        <w:t xml:space="preserve"> </w:t>
      </w:r>
    </w:p>
    <w:p w:rsidR="000A7585" w:rsidRPr="00AE6EDB" w:rsidRDefault="000A7585" w:rsidP="000A7585">
      <w:pPr>
        <w:spacing w:before="240"/>
        <w:ind w:firstLine="567"/>
        <w:rPr>
          <w:szCs w:val="22"/>
        </w:rPr>
      </w:pPr>
      <w:r w:rsidRPr="00AE6EDB">
        <w:rPr>
          <w:szCs w:val="22"/>
        </w:rPr>
        <w:t>V podmienkach Slovenskej republiky sa sleduje riziko chudoby u detí vo veku 0 – 15 rokov. Z výsledkov zisťovania v roku 201</w:t>
      </w:r>
      <w:r w:rsidR="0027275B" w:rsidRPr="00AE6EDB">
        <w:rPr>
          <w:szCs w:val="22"/>
        </w:rPr>
        <w:t>4</w:t>
      </w:r>
      <w:r w:rsidRPr="00AE6EDB">
        <w:rPr>
          <w:szCs w:val="22"/>
        </w:rPr>
        <w:t xml:space="preserve"> vyplýva, že v riziku chudoby bolo 19,</w:t>
      </w:r>
      <w:r w:rsidR="0027275B" w:rsidRPr="00AE6EDB">
        <w:rPr>
          <w:szCs w:val="22"/>
        </w:rPr>
        <w:t>1</w:t>
      </w:r>
      <w:r w:rsidR="005676EF">
        <w:rPr>
          <w:szCs w:val="22"/>
        </w:rPr>
        <w:t> %</w:t>
      </w:r>
      <w:r w:rsidRPr="00AE6EDB">
        <w:rPr>
          <w:szCs w:val="22"/>
        </w:rPr>
        <w:t xml:space="preserve"> detí v danom veku a v porovnaní so zisťovaním v roku 201</w:t>
      </w:r>
      <w:r w:rsidR="0027275B" w:rsidRPr="00AE6EDB">
        <w:rPr>
          <w:szCs w:val="22"/>
        </w:rPr>
        <w:t>3 došlo k poklesu o 0</w:t>
      </w:r>
      <w:r w:rsidRPr="00AE6EDB">
        <w:rPr>
          <w:szCs w:val="22"/>
        </w:rPr>
        <w:t>,7 p. b. Riziko chudoby detí súvisí predovšetkým s príjmovou situáciou rodín, a to najmä viacpočetných domácností s deťmi. Z hľadiska globálneho hodnotenia je zrejmé, že dochádza k zmenám v štruktúre populácie v súvislosti s rizikom chudoby, a to v dôsledku zmien v príjmovej situácii obyvateľstva. Z nižšie uveden</w:t>
      </w:r>
      <w:r w:rsidR="0027275B" w:rsidRPr="00AE6EDB">
        <w:rPr>
          <w:szCs w:val="22"/>
        </w:rPr>
        <w:t>ého</w:t>
      </w:r>
      <w:r w:rsidRPr="00AE6EDB">
        <w:rPr>
          <w:szCs w:val="22"/>
        </w:rPr>
        <w:t xml:space="preserve"> graf</w:t>
      </w:r>
      <w:r w:rsidR="0027275B" w:rsidRPr="00AE6EDB">
        <w:rPr>
          <w:szCs w:val="22"/>
        </w:rPr>
        <w:t>u</w:t>
      </w:r>
      <w:r w:rsidRPr="00AE6EDB">
        <w:rPr>
          <w:szCs w:val="22"/>
        </w:rPr>
        <w:t xml:space="preserve"> 4.5 je zrejmá zmena </w:t>
      </w:r>
      <w:r w:rsidR="0027275B" w:rsidRPr="00AE6EDB">
        <w:rPr>
          <w:szCs w:val="22"/>
        </w:rPr>
        <w:t xml:space="preserve">v </w:t>
      </w:r>
      <w:r w:rsidRPr="00AE6EDB">
        <w:rPr>
          <w:szCs w:val="22"/>
        </w:rPr>
        <w:t xml:space="preserve">rozdieloch medzi ženami a mužmi v riziku chudoby v jednotlivých vekových kategóriách. V roku 2014 sa znížil rozdiel v miere rizika chudoby medzi ženami a mužmi vo veku 65+ o 0,9 p. b. proti roku 2013. Rozdiel medzi mierou rizika chudoby žien a mužov vo veku 65+ v roku 2013 bol 4,3 p. b. a v roku 2014 sa znížil na 3,4 p. b. K podobným zmenám došlo aj v iných vekových skupinách. </w:t>
      </w:r>
    </w:p>
    <w:p w:rsidR="000A7585" w:rsidRPr="00AE6EDB" w:rsidRDefault="000A7585" w:rsidP="000A7585">
      <w:pPr>
        <w:pStyle w:val="Nadpis7"/>
      </w:pPr>
      <w:r w:rsidRPr="00AE6EDB">
        <w:t>Graf 4.5 Miera rizika chudoby podľa vekovej štruktúry (2014)</w:t>
      </w:r>
    </w:p>
    <w:p w:rsidR="000A7585" w:rsidRPr="00AE6EDB" w:rsidRDefault="000A7585" w:rsidP="000A7585">
      <w:pPr>
        <w:pStyle w:val="zdroj"/>
        <w:ind w:firstLine="0"/>
        <w:jc w:val="center"/>
        <w:rPr>
          <w:szCs w:val="22"/>
        </w:rPr>
      </w:pPr>
      <w:r w:rsidRPr="00AE6EDB">
        <w:rPr>
          <w:noProof/>
        </w:rPr>
        <w:drawing>
          <wp:inline distT="0" distB="0" distL="0" distR="0" wp14:anchorId="4DE0274E" wp14:editId="2B50ACB6">
            <wp:extent cx="4572000" cy="27432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A7585" w:rsidRPr="00AE6EDB" w:rsidRDefault="000A7585" w:rsidP="000A7585">
      <w:pPr>
        <w:pStyle w:val="zdroj"/>
        <w:rPr>
          <w:szCs w:val="22"/>
        </w:rPr>
      </w:pPr>
      <w:r w:rsidRPr="00AE6EDB">
        <w:t>Zdroj: ŠÚ SR, EU SILC 2014, UDB</w:t>
      </w:r>
    </w:p>
    <w:p w:rsidR="000A7585" w:rsidRPr="00AE6EDB" w:rsidRDefault="000A7585" w:rsidP="000A7585">
      <w:pPr>
        <w:ind w:firstLine="431"/>
        <w:rPr>
          <w:szCs w:val="22"/>
        </w:rPr>
      </w:pPr>
      <w:r w:rsidRPr="00AE6EDB">
        <w:rPr>
          <w:szCs w:val="22"/>
        </w:rPr>
        <w:t>V prípade detí 0 – 17 je možné sledovať aj iný vzťah, a to predmetnú vekovú populáciu žijúcu v domácnostiach bez zamestnania alebo žijúcu v domácnostiach s veľmi nízkou intenzitou práce. V roku 201</w:t>
      </w:r>
      <w:r w:rsidR="00367C01" w:rsidRPr="00AE6EDB">
        <w:rPr>
          <w:szCs w:val="22"/>
        </w:rPr>
        <w:t>4</w:t>
      </w:r>
      <w:r w:rsidRPr="00AE6EDB">
        <w:rPr>
          <w:szCs w:val="22"/>
        </w:rPr>
        <w:t xml:space="preserve"> sa situácia v danej vekovej skupine medziročne zmenila. V prípade detí </w:t>
      </w:r>
      <w:r w:rsidR="00367C01" w:rsidRPr="00AE6EDB">
        <w:rPr>
          <w:szCs w:val="22"/>
        </w:rPr>
        <w:t xml:space="preserve">vo veku </w:t>
      </w:r>
      <w:r w:rsidR="001110A1">
        <w:rPr>
          <w:szCs w:val="22"/>
        </w:rPr>
        <w:br/>
      </w:r>
      <w:r w:rsidRPr="00AE6EDB">
        <w:rPr>
          <w:szCs w:val="22"/>
        </w:rPr>
        <w:t>0 – 17</w:t>
      </w:r>
      <w:r w:rsidR="00367C01" w:rsidRPr="00AE6EDB">
        <w:rPr>
          <w:szCs w:val="22"/>
        </w:rPr>
        <w:t xml:space="preserve"> rokov</w:t>
      </w:r>
      <w:r w:rsidRPr="00AE6EDB">
        <w:rPr>
          <w:szCs w:val="22"/>
        </w:rPr>
        <w:t xml:space="preserve"> žijúcich v domácnostiach bez zamestnania došlo k </w:t>
      </w:r>
      <w:r w:rsidR="00367C01" w:rsidRPr="00AE6EDB">
        <w:rPr>
          <w:szCs w:val="22"/>
        </w:rPr>
        <w:t>poklesu</w:t>
      </w:r>
      <w:r w:rsidRPr="00AE6EDB">
        <w:rPr>
          <w:szCs w:val="22"/>
        </w:rPr>
        <w:t xml:space="preserve"> z</w:t>
      </w:r>
      <w:r w:rsidR="00367C01" w:rsidRPr="00AE6EDB">
        <w:rPr>
          <w:szCs w:val="22"/>
        </w:rPr>
        <w:t> 10,4</w:t>
      </w:r>
      <w:r w:rsidR="005676EF">
        <w:rPr>
          <w:szCs w:val="22"/>
        </w:rPr>
        <w:t> %</w:t>
      </w:r>
      <w:r w:rsidRPr="00AE6EDB">
        <w:rPr>
          <w:szCs w:val="22"/>
        </w:rPr>
        <w:t xml:space="preserve"> na 10,</w:t>
      </w:r>
      <w:r w:rsidR="00367C01" w:rsidRPr="00AE6EDB">
        <w:rPr>
          <w:szCs w:val="22"/>
        </w:rPr>
        <w:t>1</w:t>
      </w:r>
      <w:r w:rsidR="005676EF">
        <w:rPr>
          <w:szCs w:val="22"/>
        </w:rPr>
        <w:t> %</w:t>
      </w:r>
      <w:r w:rsidRPr="00AE6EDB">
        <w:rPr>
          <w:szCs w:val="22"/>
        </w:rPr>
        <w:t xml:space="preserve"> (t. j. o 0,</w:t>
      </w:r>
      <w:r w:rsidR="00367C01" w:rsidRPr="00AE6EDB">
        <w:rPr>
          <w:szCs w:val="22"/>
        </w:rPr>
        <w:t>3</w:t>
      </w:r>
      <w:r w:rsidR="001110A1">
        <w:rPr>
          <w:szCs w:val="22"/>
        </w:rPr>
        <w:t> </w:t>
      </w:r>
      <w:r w:rsidRPr="00AE6EDB">
        <w:rPr>
          <w:szCs w:val="22"/>
        </w:rPr>
        <w:t>p. b.) a </w:t>
      </w:r>
      <w:r w:rsidR="00367C01" w:rsidRPr="00AE6EDB">
        <w:rPr>
          <w:szCs w:val="22"/>
        </w:rPr>
        <w:t>pokles</w:t>
      </w:r>
      <w:r w:rsidRPr="00AE6EDB">
        <w:rPr>
          <w:szCs w:val="22"/>
        </w:rPr>
        <w:t xml:space="preserve"> bol zaznamenaný aj v prípade danej vekovej skupiny žijúcej v domácnostiach s veľmi nízkou intenzitou práce (príležitostné práce) z</w:t>
      </w:r>
      <w:r w:rsidR="00367C01" w:rsidRPr="00AE6EDB">
        <w:rPr>
          <w:szCs w:val="22"/>
        </w:rPr>
        <w:t> 8,4</w:t>
      </w:r>
      <w:r w:rsidR="005676EF">
        <w:rPr>
          <w:szCs w:val="22"/>
        </w:rPr>
        <w:t> %</w:t>
      </w:r>
      <w:r w:rsidRPr="00AE6EDB">
        <w:rPr>
          <w:szCs w:val="22"/>
        </w:rPr>
        <w:t xml:space="preserve"> na 8,</w:t>
      </w:r>
      <w:r w:rsidR="00367C01" w:rsidRPr="00AE6EDB">
        <w:rPr>
          <w:szCs w:val="22"/>
        </w:rPr>
        <w:t>1</w:t>
      </w:r>
      <w:r w:rsidR="005676EF">
        <w:rPr>
          <w:szCs w:val="22"/>
        </w:rPr>
        <w:t> %</w:t>
      </w:r>
      <w:r w:rsidRPr="00AE6EDB">
        <w:rPr>
          <w:szCs w:val="22"/>
        </w:rPr>
        <w:t xml:space="preserve"> (o </w:t>
      </w:r>
      <w:r w:rsidR="00367C01" w:rsidRPr="00AE6EDB">
        <w:rPr>
          <w:szCs w:val="22"/>
        </w:rPr>
        <w:t>0,3</w:t>
      </w:r>
      <w:r w:rsidRPr="00AE6EDB">
        <w:rPr>
          <w:szCs w:val="22"/>
        </w:rPr>
        <w:t xml:space="preserve"> p. b.). Ide o porovnateľné výsledky z výberového zisťovania pracovných síl (VZPS) a EU SILC. </w:t>
      </w:r>
    </w:p>
    <w:p w:rsidR="000A7585" w:rsidRPr="00AE6EDB" w:rsidRDefault="00367C01" w:rsidP="000A7585">
      <w:pPr>
        <w:ind w:firstLine="567"/>
        <w:rPr>
          <w:szCs w:val="22"/>
        </w:rPr>
      </w:pPr>
      <w:r w:rsidRPr="00AE6EDB">
        <w:rPr>
          <w:szCs w:val="22"/>
        </w:rPr>
        <w:t>Pri sledovaní</w:t>
      </w:r>
      <w:r w:rsidR="000A7585" w:rsidRPr="00AE6EDB">
        <w:rPr>
          <w:szCs w:val="22"/>
        </w:rPr>
        <w:t xml:space="preserve"> typu domácností sú v najväčšom riziku chudoby osamelí rodičia s najmenej jedným dieťaťom (30,</w:t>
      </w:r>
      <w:r w:rsidRPr="00AE6EDB">
        <w:rPr>
          <w:szCs w:val="22"/>
        </w:rPr>
        <w:t>6</w:t>
      </w:r>
      <w:r w:rsidR="005676EF">
        <w:rPr>
          <w:szCs w:val="22"/>
        </w:rPr>
        <w:t> %</w:t>
      </w:r>
      <w:r w:rsidR="000A7585" w:rsidRPr="00AE6EDB">
        <w:rPr>
          <w:szCs w:val="22"/>
        </w:rPr>
        <w:t>), rodiny s tromi a viac deťmi (2</w:t>
      </w:r>
      <w:r w:rsidRPr="00AE6EDB">
        <w:rPr>
          <w:szCs w:val="22"/>
        </w:rPr>
        <w:t>8,4</w:t>
      </w:r>
      <w:r w:rsidR="005676EF">
        <w:rPr>
          <w:szCs w:val="22"/>
        </w:rPr>
        <w:t> %</w:t>
      </w:r>
      <w:r w:rsidR="000A7585" w:rsidRPr="00AE6EDB">
        <w:rPr>
          <w:szCs w:val="22"/>
        </w:rPr>
        <w:t>) a jednotlivci mladší ako 65 rokov (2</w:t>
      </w:r>
      <w:r w:rsidRPr="00AE6EDB">
        <w:rPr>
          <w:szCs w:val="22"/>
        </w:rPr>
        <w:t>0,4</w:t>
      </w:r>
      <w:r w:rsidR="005676EF">
        <w:rPr>
          <w:szCs w:val="22"/>
        </w:rPr>
        <w:t> %</w:t>
      </w:r>
      <w:r w:rsidR="000A7585" w:rsidRPr="00AE6EDB">
        <w:rPr>
          <w:szCs w:val="22"/>
        </w:rPr>
        <w:t>). Najnižšie riziko chudoby bolo zaznamenané v prípade domácností s dvomi dospelými, kde aspoň jeden z nich má viac ako 65 rokov (</w:t>
      </w:r>
      <w:r w:rsidRPr="00AE6EDB">
        <w:rPr>
          <w:szCs w:val="22"/>
        </w:rPr>
        <w:t>4,9</w:t>
      </w:r>
      <w:r w:rsidR="005676EF">
        <w:rPr>
          <w:szCs w:val="22"/>
        </w:rPr>
        <w:t> %</w:t>
      </w:r>
      <w:r w:rsidR="000A7585" w:rsidRPr="00AE6EDB">
        <w:rPr>
          <w:szCs w:val="22"/>
        </w:rPr>
        <w:t xml:space="preserve">). Oproti predchádzajúcemu roku došlo k poklesu rizika chudoby u rodín s tromi a viac deťmi (o </w:t>
      </w:r>
      <w:r w:rsidRPr="00AE6EDB">
        <w:rPr>
          <w:szCs w:val="22"/>
        </w:rPr>
        <w:t>1,5</w:t>
      </w:r>
      <w:r w:rsidR="000A7585" w:rsidRPr="00AE6EDB">
        <w:rPr>
          <w:szCs w:val="22"/>
        </w:rPr>
        <w:t xml:space="preserve"> p. b.) </w:t>
      </w:r>
      <w:r w:rsidR="00C66A16">
        <w:rPr>
          <w:szCs w:val="22"/>
        </w:rPr>
        <w:t>ako aj</w:t>
      </w:r>
      <w:r w:rsidR="000A7585" w:rsidRPr="00AE6EDB">
        <w:rPr>
          <w:szCs w:val="22"/>
        </w:rPr>
        <w:t> u jednotlivcov mladších ako 65 rokov (o </w:t>
      </w:r>
      <w:r w:rsidR="00C66A16">
        <w:rPr>
          <w:szCs w:val="22"/>
        </w:rPr>
        <w:t>0,9</w:t>
      </w:r>
      <w:r w:rsidR="000A7585" w:rsidRPr="00AE6EDB">
        <w:rPr>
          <w:szCs w:val="22"/>
        </w:rPr>
        <w:t xml:space="preserve"> p. b.). V prípade jednotlivcov vo veku 65+ (jednej z najrizikovejších skupín podľa zisťovania v roku 2009) došlo k medziročnému </w:t>
      </w:r>
      <w:r w:rsidR="00C66A16">
        <w:rPr>
          <w:szCs w:val="22"/>
        </w:rPr>
        <w:t>nárastu</w:t>
      </w:r>
      <w:r w:rsidR="000A7585" w:rsidRPr="00AE6EDB">
        <w:rPr>
          <w:szCs w:val="22"/>
        </w:rPr>
        <w:t xml:space="preserve"> miery rizika chudoby (o </w:t>
      </w:r>
      <w:r w:rsidR="00C66A16">
        <w:rPr>
          <w:szCs w:val="22"/>
        </w:rPr>
        <w:t>1,1</w:t>
      </w:r>
      <w:r w:rsidR="000A7585" w:rsidRPr="00AE6EDB">
        <w:rPr>
          <w:szCs w:val="22"/>
        </w:rPr>
        <w:t> p. b.</w:t>
      </w:r>
      <w:r w:rsidR="00C66A16">
        <w:rPr>
          <w:szCs w:val="22"/>
        </w:rPr>
        <w:t xml:space="preserve"> na 11,1 %</w:t>
      </w:r>
      <w:r w:rsidR="000A7585" w:rsidRPr="00AE6EDB">
        <w:rPr>
          <w:szCs w:val="22"/>
        </w:rPr>
        <w:t xml:space="preserve">). </w:t>
      </w:r>
      <w:r w:rsidRPr="00AE6EDB">
        <w:rPr>
          <w:szCs w:val="22"/>
        </w:rPr>
        <w:t>Mierny nárast</w:t>
      </w:r>
      <w:r w:rsidR="000A7585" w:rsidRPr="00AE6EDB">
        <w:rPr>
          <w:szCs w:val="22"/>
        </w:rPr>
        <w:t xml:space="preserve"> miery rizika chudoby oproti predchádzajúcemu roku bol zaznamenaný u celkovej skupiny jednotlivcov (o </w:t>
      </w:r>
      <w:r w:rsidRPr="00AE6EDB">
        <w:rPr>
          <w:szCs w:val="22"/>
        </w:rPr>
        <w:t>0,2</w:t>
      </w:r>
      <w:r w:rsidR="000A7585" w:rsidRPr="00AE6EDB">
        <w:rPr>
          <w:szCs w:val="22"/>
        </w:rPr>
        <w:t> p. b.)</w:t>
      </w:r>
      <w:r w:rsidR="00C66A16">
        <w:rPr>
          <w:szCs w:val="22"/>
        </w:rPr>
        <w:t xml:space="preserve"> a u osamelých rodičov s najmenej jedným dieťaťom (o 0,5 p. b.).</w:t>
      </w:r>
      <w:r w:rsidR="000A7585" w:rsidRPr="00AE6EDB">
        <w:rPr>
          <w:szCs w:val="22"/>
        </w:rPr>
        <w:t xml:space="preserve"> </w:t>
      </w:r>
    </w:p>
    <w:p w:rsidR="000A7585" w:rsidRPr="00AE6EDB" w:rsidRDefault="000A7585" w:rsidP="000A7585">
      <w:pPr>
        <w:pStyle w:val="Nadpis7"/>
      </w:pPr>
      <w:r w:rsidRPr="00AE6EDB">
        <w:t>Graf 4.6 Porovnanie miery rizika chudoby podľa typu domácnosti (2013, 2014)</w:t>
      </w:r>
    </w:p>
    <w:p w:rsidR="000A7585" w:rsidRPr="00AE6EDB" w:rsidRDefault="00CD10C3" w:rsidP="000A7585">
      <w:pPr>
        <w:ind w:left="-567"/>
        <w:jc w:val="center"/>
      </w:pPr>
      <w:r w:rsidRPr="00AE6EDB">
        <w:rPr>
          <w:noProof/>
        </w:rPr>
        <w:drawing>
          <wp:inline distT="0" distB="0" distL="0" distR="0" wp14:anchorId="50FE7FA2" wp14:editId="4E73488F">
            <wp:extent cx="6429375" cy="234315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A7585" w:rsidRPr="00AE6EDB" w:rsidRDefault="000A7585" w:rsidP="000A7585">
      <w:pPr>
        <w:pStyle w:val="zdroj"/>
      </w:pPr>
      <w:r w:rsidRPr="00AE6EDB">
        <w:t xml:space="preserve">Zdroj: </w:t>
      </w:r>
      <w:proofErr w:type="spellStart"/>
      <w:r w:rsidRPr="00AE6EDB">
        <w:t>Eurostat</w:t>
      </w:r>
      <w:proofErr w:type="spellEnd"/>
      <w:r w:rsidRPr="00AE6EDB">
        <w:t>, ŠÚ SR, EU SILC 2014, UDB</w:t>
      </w:r>
    </w:p>
    <w:p w:rsidR="000A7585" w:rsidRPr="00AE6EDB" w:rsidRDefault="000A7585" w:rsidP="000A7585">
      <w:pPr>
        <w:ind w:firstLine="567"/>
        <w:rPr>
          <w:szCs w:val="22"/>
        </w:rPr>
      </w:pPr>
      <w:r w:rsidRPr="00AE6EDB">
        <w:rPr>
          <w:szCs w:val="22"/>
        </w:rPr>
        <w:t>Pri sledovaní miery rizika chudoby v nadväznosti na ekonomickú aktivitu, najvyššie riziko chudoby na Slovensku z výsledkov EU SILC 201</w:t>
      </w:r>
      <w:r w:rsidR="00C92966" w:rsidRPr="00AE6EDB">
        <w:rPr>
          <w:szCs w:val="22"/>
        </w:rPr>
        <w:t>4</w:t>
      </w:r>
      <w:r w:rsidRPr="00AE6EDB">
        <w:rPr>
          <w:szCs w:val="22"/>
        </w:rPr>
        <w:t xml:space="preserve"> bolo v prípade nezamestnaných, a to 4</w:t>
      </w:r>
      <w:r w:rsidR="00C92966" w:rsidRPr="00AE6EDB">
        <w:rPr>
          <w:szCs w:val="22"/>
        </w:rPr>
        <w:t>8,7</w:t>
      </w:r>
      <w:r w:rsidR="005676EF">
        <w:rPr>
          <w:szCs w:val="22"/>
        </w:rPr>
        <w:t> %</w:t>
      </w:r>
      <w:r w:rsidRPr="00AE6EDB">
        <w:rPr>
          <w:szCs w:val="22"/>
        </w:rPr>
        <w:t xml:space="preserve"> (pokles oproti roku 2012 o</w:t>
      </w:r>
      <w:r w:rsidR="00C92966" w:rsidRPr="00AE6EDB">
        <w:rPr>
          <w:szCs w:val="22"/>
        </w:rPr>
        <w:t> 4,9</w:t>
      </w:r>
      <w:r w:rsidRPr="00AE6EDB">
        <w:rPr>
          <w:szCs w:val="22"/>
        </w:rPr>
        <w:t xml:space="preserve"> p. b.). V prípade </w:t>
      </w:r>
      <w:r w:rsidR="00C66A16">
        <w:rPr>
          <w:szCs w:val="22"/>
        </w:rPr>
        <w:t>pracujúcich</w:t>
      </w:r>
      <w:r w:rsidRPr="00AE6EDB">
        <w:rPr>
          <w:szCs w:val="22"/>
        </w:rPr>
        <w:t xml:space="preserve"> bolo v riziku chudoby 5,7</w:t>
      </w:r>
      <w:r w:rsidR="005676EF">
        <w:rPr>
          <w:szCs w:val="22"/>
        </w:rPr>
        <w:t> %</w:t>
      </w:r>
      <w:r w:rsidRPr="00AE6EDB">
        <w:rPr>
          <w:szCs w:val="22"/>
        </w:rPr>
        <w:t xml:space="preserve"> ľudí, </w:t>
      </w:r>
      <w:r w:rsidR="00C92966" w:rsidRPr="00AE6EDB">
        <w:rPr>
          <w:szCs w:val="22"/>
        </w:rPr>
        <w:t>oproti</w:t>
      </w:r>
      <w:r w:rsidRPr="00AE6EDB">
        <w:rPr>
          <w:szCs w:val="22"/>
        </w:rPr>
        <w:t xml:space="preserve"> predchádzajúcemu roku </w:t>
      </w:r>
      <w:r w:rsidR="00C92966" w:rsidRPr="00AE6EDB">
        <w:rPr>
          <w:szCs w:val="22"/>
        </w:rPr>
        <w:t>sa situácia nezmenila</w:t>
      </w:r>
      <w:r w:rsidRPr="00AE6EDB">
        <w:rPr>
          <w:szCs w:val="22"/>
        </w:rPr>
        <w:t>. Ak sledujeme pracovnú intenzitu</w:t>
      </w:r>
      <w:r w:rsidRPr="00AE6EDB">
        <w:rPr>
          <w:rStyle w:val="Odkaznapoznmkupodiarou"/>
          <w:szCs w:val="22"/>
        </w:rPr>
        <w:footnoteReference w:id="71"/>
      </w:r>
      <w:r w:rsidRPr="00AE6EDB">
        <w:rPr>
          <w:szCs w:val="22"/>
        </w:rPr>
        <w:t>, riziko chudoby domácnosti sa zvyšuje</w:t>
      </w:r>
      <w:r w:rsidR="00C92966" w:rsidRPr="00AE6EDB">
        <w:rPr>
          <w:szCs w:val="22"/>
        </w:rPr>
        <w:t xml:space="preserve"> s poklesom pracovnej</w:t>
      </w:r>
      <w:r w:rsidRPr="00AE6EDB">
        <w:rPr>
          <w:szCs w:val="22"/>
        </w:rPr>
        <w:t xml:space="preserve"> intenzit</w:t>
      </w:r>
      <w:r w:rsidR="00C92966" w:rsidRPr="00AE6EDB">
        <w:rPr>
          <w:szCs w:val="22"/>
        </w:rPr>
        <w:t>y</w:t>
      </w:r>
      <w:r w:rsidRPr="00AE6EDB">
        <w:rPr>
          <w:szCs w:val="22"/>
        </w:rPr>
        <w:t xml:space="preserve"> členov domácnost</w:t>
      </w:r>
      <w:r w:rsidR="00C92966" w:rsidRPr="00AE6EDB">
        <w:rPr>
          <w:szCs w:val="22"/>
        </w:rPr>
        <w:t>i</w:t>
      </w:r>
      <w:r w:rsidRPr="00AE6EDB">
        <w:rPr>
          <w:szCs w:val="22"/>
        </w:rPr>
        <w:t xml:space="preserve">. V prípade domácností so závislými deťmi sa so zvyšujúcim počtom ľudí, ktorí sú od príjmov domácností závislí, riziko chudoby zvyšuje. V prípade nízkej intenzity práce ako jedného z indikátorov pre definovanie počtu ľudí žijúcich v riziku chudoby alebo sociálneho vylúčenia (v tomto prípade WI&lt;0,2) došlo k miernemu medziročnému </w:t>
      </w:r>
      <w:r w:rsidR="00C92966" w:rsidRPr="00AE6EDB">
        <w:rPr>
          <w:szCs w:val="22"/>
        </w:rPr>
        <w:t>poklesu</w:t>
      </w:r>
      <w:r w:rsidRPr="00AE6EDB">
        <w:rPr>
          <w:szCs w:val="22"/>
        </w:rPr>
        <w:t xml:space="preserve"> o 0,</w:t>
      </w:r>
      <w:r w:rsidR="00C92966" w:rsidRPr="00AE6EDB">
        <w:rPr>
          <w:szCs w:val="22"/>
        </w:rPr>
        <w:t>5</w:t>
      </w:r>
      <w:r w:rsidRPr="00AE6EDB">
        <w:rPr>
          <w:szCs w:val="22"/>
        </w:rPr>
        <w:t xml:space="preserve"> p. b. (7,</w:t>
      </w:r>
      <w:r w:rsidR="00C92966" w:rsidRPr="00AE6EDB">
        <w:rPr>
          <w:szCs w:val="22"/>
        </w:rPr>
        <w:t>1</w:t>
      </w:r>
      <w:r w:rsidR="005676EF">
        <w:rPr>
          <w:szCs w:val="22"/>
        </w:rPr>
        <w:t> %</w:t>
      </w:r>
      <w:r w:rsidRPr="00AE6EDB">
        <w:rPr>
          <w:szCs w:val="22"/>
        </w:rPr>
        <w:t xml:space="preserve">). Bližšie porovnania jednotlivých pásiem pracovnej intenzity u osôb žijúcich v riziku chudoby sú uvedené v prílohe ku kapitole 4. </w:t>
      </w:r>
    </w:p>
    <w:p w:rsidR="000A7585" w:rsidRPr="00AE6EDB" w:rsidRDefault="000A7585" w:rsidP="000A7585">
      <w:pPr>
        <w:ind w:firstLine="431"/>
        <w:rPr>
          <w:szCs w:val="22"/>
          <w:highlight w:val="cyan"/>
        </w:rPr>
      </w:pPr>
    </w:p>
    <w:p w:rsidR="000A7585" w:rsidRPr="00AE6EDB" w:rsidRDefault="000A7585" w:rsidP="000A7585">
      <w:pPr>
        <w:ind w:firstLine="431"/>
        <w:rPr>
          <w:szCs w:val="22"/>
        </w:rPr>
      </w:pPr>
      <w:r w:rsidRPr="00AE6EDB">
        <w:rPr>
          <w:szCs w:val="22"/>
        </w:rPr>
        <w:t>Vplyv na riziko chudoby alebo sociálneho vylúčenia majú aj výdavky na bývanie. Zo zisťovania EU SILC 201</w:t>
      </w:r>
      <w:r w:rsidR="00C92966" w:rsidRPr="00AE6EDB">
        <w:rPr>
          <w:szCs w:val="22"/>
        </w:rPr>
        <w:t>4</w:t>
      </w:r>
      <w:r w:rsidRPr="00AE6EDB">
        <w:rPr>
          <w:szCs w:val="22"/>
        </w:rPr>
        <w:t xml:space="preserve"> bolo preukázané, že u</w:t>
      </w:r>
      <w:r w:rsidR="00C92966" w:rsidRPr="00AE6EDB">
        <w:rPr>
          <w:szCs w:val="22"/>
        </w:rPr>
        <w:t> 9,0</w:t>
      </w:r>
      <w:r w:rsidR="005676EF">
        <w:rPr>
          <w:szCs w:val="22"/>
        </w:rPr>
        <w:t> %</w:t>
      </w:r>
      <w:r w:rsidRPr="00AE6EDB">
        <w:rPr>
          <w:szCs w:val="22"/>
        </w:rPr>
        <w:t xml:space="preserve"> populácie tvoria výdavky na bývanie viac ako 40</w:t>
      </w:r>
      <w:r w:rsidR="005676EF">
        <w:rPr>
          <w:szCs w:val="22"/>
        </w:rPr>
        <w:t> %</w:t>
      </w:r>
      <w:r w:rsidRPr="00AE6EDB">
        <w:rPr>
          <w:szCs w:val="22"/>
        </w:rPr>
        <w:t xml:space="preserve"> disponibilného príjmu domácnosti. V prípade ľudí v riziku chudoby je situácia závažnejšia, nakoľko až 36,</w:t>
      </w:r>
      <w:r w:rsidR="00C92966" w:rsidRPr="00AE6EDB">
        <w:rPr>
          <w:szCs w:val="22"/>
        </w:rPr>
        <w:t>4</w:t>
      </w:r>
      <w:r w:rsidR="005676EF">
        <w:rPr>
          <w:szCs w:val="22"/>
        </w:rPr>
        <w:t> %</w:t>
      </w:r>
      <w:r w:rsidRPr="00AE6EDB">
        <w:rPr>
          <w:szCs w:val="22"/>
        </w:rPr>
        <w:t xml:space="preserve"> z nich žije v domácnostiach s výdavkami na bývanie vo výške viac ako 40</w:t>
      </w:r>
      <w:r w:rsidR="005676EF">
        <w:rPr>
          <w:szCs w:val="22"/>
        </w:rPr>
        <w:t> %</w:t>
      </w:r>
      <w:r w:rsidRPr="00AE6EDB">
        <w:rPr>
          <w:szCs w:val="22"/>
        </w:rPr>
        <w:t xml:space="preserve"> disponibilného príjmu domácností. Oproti predchádzajúcemu zisťovaniu došlo v prípade tejto skupiny </w:t>
      </w:r>
      <w:r w:rsidR="00C92966" w:rsidRPr="00AE6EDB">
        <w:rPr>
          <w:szCs w:val="22"/>
        </w:rPr>
        <w:t>k nárastu</w:t>
      </w:r>
      <w:r w:rsidRPr="00AE6EDB">
        <w:rPr>
          <w:szCs w:val="22"/>
        </w:rPr>
        <w:t xml:space="preserve"> o 0,2 p. b. Podľa typu vlastníctva bývania najväčšia skupina domácností preťažená nákladmi na bývanie sú vlastníci bytu s hypotékou alebo úverom na bývanie, ktorí prestavovali 26,</w:t>
      </w:r>
      <w:r w:rsidR="00C92966" w:rsidRPr="00AE6EDB">
        <w:rPr>
          <w:szCs w:val="22"/>
        </w:rPr>
        <w:t>2</w:t>
      </w:r>
      <w:r w:rsidR="005676EF">
        <w:rPr>
          <w:szCs w:val="22"/>
        </w:rPr>
        <w:t> %</w:t>
      </w:r>
      <w:r w:rsidRPr="00AE6EDB">
        <w:rPr>
          <w:szCs w:val="22"/>
        </w:rPr>
        <w:t xml:space="preserve"> takýchto domácností. V preplnených bytoch a domoch</w:t>
      </w:r>
      <w:r w:rsidRPr="00AE6EDB">
        <w:rPr>
          <w:rStyle w:val="Odkaznapoznmkupodiarou"/>
          <w:szCs w:val="22"/>
        </w:rPr>
        <w:footnoteReference w:id="72"/>
      </w:r>
      <w:r w:rsidRPr="00AE6EDB">
        <w:rPr>
          <w:szCs w:val="22"/>
        </w:rPr>
        <w:t xml:space="preserve"> bolo až 3</w:t>
      </w:r>
      <w:r w:rsidR="004D7D9D" w:rsidRPr="00AE6EDB">
        <w:rPr>
          <w:szCs w:val="22"/>
        </w:rPr>
        <w:t>8,6</w:t>
      </w:r>
      <w:r w:rsidR="005676EF">
        <w:rPr>
          <w:szCs w:val="22"/>
        </w:rPr>
        <w:t> %</w:t>
      </w:r>
      <w:r w:rsidRPr="00AE6EDB">
        <w:rPr>
          <w:szCs w:val="22"/>
        </w:rPr>
        <w:t xml:space="preserve"> osôb na Slovensku, čo je vysoko nad priemerom EU28 (1</w:t>
      </w:r>
      <w:r w:rsidR="004D7D9D" w:rsidRPr="00AE6EDB">
        <w:rPr>
          <w:szCs w:val="22"/>
        </w:rPr>
        <w:t>6,9</w:t>
      </w:r>
      <w:r w:rsidR="005676EF">
        <w:rPr>
          <w:szCs w:val="22"/>
        </w:rPr>
        <w:t> %</w:t>
      </w:r>
      <w:r w:rsidRPr="00AE6EDB">
        <w:rPr>
          <w:szCs w:val="22"/>
        </w:rPr>
        <w:t>). Najčastejšie sú týmto zasiahnuté domácnosti s tromi a viac deťmi (68,</w:t>
      </w:r>
      <w:r w:rsidR="004D7D9D" w:rsidRPr="00AE6EDB">
        <w:rPr>
          <w:szCs w:val="22"/>
        </w:rPr>
        <w:t>8</w:t>
      </w:r>
      <w:r w:rsidR="005676EF">
        <w:rPr>
          <w:szCs w:val="22"/>
        </w:rPr>
        <w:t> %</w:t>
      </w:r>
      <w:r w:rsidRPr="00AE6EDB">
        <w:rPr>
          <w:szCs w:val="22"/>
        </w:rPr>
        <w:t>). Taktiež významným faktorom je vlastnícky vzťah k bývaniu, nakoľko v preplnených obydliach žij</w:t>
      </w:r>
      <w:r w:rsidR="00C66A16">
        <w:rPr>
          <w:szCs w:val="22"/>
        </w:rPr>
        <w:t>e viac ako polovica ľudí bývajúcich</w:t>
      </w:r>
      <w:r w:rsidRPr="00AE6EDB">
        <w:rPr>
          <w:szCs w:val="22"/>
        </w:rPr>
        <w:t xml:space="preserve"> v podnájmoch, poskytovaných za trhovú cenu (65,</w:t>
      </w:r>
      <w:r w:rsidR="004D7D9D" w:rsidRPr="00AE6EDB">
        <w:rPr>
          <w:szCs w:val="22"/>
        </w:rPr>
        <w:t>3</w:t>
      </w:r>
      <w:r w:rsidR="005676EF">
        <w:rPr>
          <w:szCs w:val="22"/>
        </w:rPr>
        <w:t> %</w:t>
      </w:r>
      <w:r w:rsidRPr="00AE6EDB">
        <w:rPr>
          <w:szCs w:val="22"/>
        </w:rPr>
        <w:t>), ako aj za zníženú cenu alebo zadarmo (</w:t>
      </w:r>
      <w:r w:rsidR="004D7D9D" w:rsidRPr="00AE6EDB">
        <w:rPr>
          <w:szCs w:val="22"/>
        </w:rPr>
        <w:t>58,9</w:t>
      </w:r>
      <w:r w:rsidR="005676EF">
        <w:rPr>
          <w:szCs w:val="22"/>
        </w:rPr>
        <w:t> %</w:t>
      </w:r>
      <w:r w:rsidRPr="00AE6EDB">
        <w:rPr>
          <w:szCs w:val="22"/>
        </w:rPr>
        <w:t>). Ďalším vážnym faktorom je stav obydlia, resp. jeho kvalita, ten nie je však na Slovensku výrazný. V roku 201</w:t>
      </w:r>
      <w:r w:rsidR="004D7D9D" w:rsidRPr="00AE6EDB">
        <w:rPr>
          <w:szCs w:val="22"/>
        </w:rPr>
        <w:t>4</w:t>
      </w:r>
      <w:r w:rsidRPr="00AE6EDB">
        <w:rPr>
          <w:szCs w:val="22"/>
        </w:rPr>
        <w:t xml:space="preserve"> žilo 7,</w:t>
      </w:r>
      <w:r w:rsidR="004D7D9D" w:rsidRPr="00AE6EDB">
        <w:rPr>
          <w:szCs w:val="22"/>
        </w:rPr>
        <w:t>0</w:t>
      </w:r>
      <w:r w:rsidR="005676EF">
        <w:rPr>
          <w:szCs w:val="22"/>
        </w:rPr>
        <w:t> %</w:t>
      </w:r>
      <w:r w:rsidRPr="00AE6EDB">
        <w:rPr>
          <w:szCs w:val="22"/>
        </w:rPr>
        <w:t xml:space="preserve"> populácie v obydliach so zatekajúcou strechou a vlhkými stenami a 3,</w:t>
      </w:r>
      <w:r w:rsidR="004D7D9D" w:rsidRPr="00AE6EDB">
        <w:rPr>
          <w:szCs w:val="22"/>
        </w:rPr>
        <w:t>2</w:t>
      </w:r>
      <w:r w:rsidR="005676EF">
        <w:rPr>
          <w:szCs w:val="22"/>
        </w:rPr>
        <w:t> %</w:t>
      </w:r>
      <w:r w:rsidRPr="00AE6EDB">
        <w:rPr>
          <w:szCs w:val="22"/>
        </w:rPr>
        <w:t xml:space="preserve"> populácie v príliš tmavých obydliach.</w:t>
      </w:r>
    </w:p>
    <w:p w:rsidR="000A7585" w:rsidRPr="00AE6EDB" w:rsidRDefault="000A7585" w:rsidP="000A7585">
      <w:pPr>
        <w:pStyle w:val="Textpoznmkypodiarou"/>
        <w:ind w:firstLine="431"/>
        <w:rPr>
          <w:sz w:val="22"/>
          <w:szCs w:val="22"/>
        </w:rPr>
      </w:pPr>
      <w:r w:rsidRPr="00AE6EDB">
        <w:rPr>
          <w:sz w:val="22"/>
          <w:szCs w:val="22"/>
        </w:rPr>
        <w:t xml:space="preserve">Vyššie uvedené merania a hodnotenia indikátorov boli predovšetkým na báze príjmu. V prípade merania aspektu absolútnej chudoby je možné vychádzať z merania nedostatku materiálnych tovarov, finančných ťažkostí a neschopnosti osôb žiť slušný život u sledovanej populácie. Na meranie uvedených nedostatkov sa využíva metodika prostredníctvom indikátora „materiálnej deprivácie“. </w:t>
      </w:r>
      <w:r w:rsidR="00C66A16">
        <w:rPr>
          <w:sz w:val="22"/>
          <w:szCs w:val="22"/>
        </w:rPr>
        <w:t xml:space="preserve">Podľa spoločnej definície sa za </w:t>
      </w:r>
      <w:r w:rsidRPr="00AE6EDB">
        <w:rPr>
          <w:sz w:val="22"/>
          <w:szCs w:val="22"/>
        </w:rPr>
        <w:t xml:space="preserve">materiálne </w:t>
      </w:r>
      <w:proofErr w:type="spellStart"/>
      <w:r w:rsidRPr="00AE6EDB">
        <w:rPr>
          <w:sz w:val="22"/>
          <w:szCs w:val="22"/>
        </w:rPr>
        <w:t>deprivovaného</w:t>
      </w:r>
      <w:proofErr w:type="spellEnd"/>
      <w:r w:rsidRPr="00AE6EDB">
        <w:rPr>
          <w:sz w:val="22"/>
          <w:szCs w:val="22"/>
        </w:rPr>
        <w:t xml:space="preserve"> považ</w:t>
      </w:r>
      <w:r w:rsidR="00C66A16">
        <w:rPr>
          <w:sz w:val="22"/>
          <w:szCs w:val="22"/>
        </w:rPr>
        <w:t>uje</w:t>
      </w:r>
      <w:r w:rsidRPr="00AE6EDB">
        <w:rPr>
          <w:sz w:val="22"/>
          <w:szCs w:val="22"/>
        </w:rPr>
        <w:t xml:space="preserve"> občan, ktorý si nemôže dovoliť 3 z 9 položiek v rámci prvých dvoch dimenzií (ekonomická záťaž a predmety dlhodobej spotreby). Konkrétne ide o položky: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 </w:t>
      </w:r>
    </w:p>
    <w:p w:rsidR="000A7585" w:rsidRPr="00AE6EDB" w:rsidRDefault="000A7585" w:rsidP="000A7585">
      <w:pPr>
        <w:pStyle w:val="Textpoznmkypodiarou"/>
        <w:ind w:firstLine="431"/>
        <w:rPr>
          <w:sz w:val="22"/>
          <w:szCs w:val="22"/>
        </w:rPr>
      </w:pPr>
      <w:r w:rsidRPr="00AE6EDB">
        <w:rPr>
          <w:sz w:val="22"/>
          <w:szCs w:val="22"/>
        </w:rPr>
        <w:t>Na základe tejto definície bolo v roku 201</w:t>
      </w:r>
      <w:r w:rsidR="004D7D9D" w:rsidRPr="00AE6EDB">
        <w:rPr>
          <w:sz w:val="22"/>
          <w:szCs w:val="22"/>
        </w:rPr>
        <w:t>4</w:t>
      </w:r>
      <w:r w:rsidRPr="00AE6EDB">
        <w:rPr>
          <w:sz w:val="22"/>
          <w:szCs w:val="22"/>
        </w:rPr>
        <w:t xml:space="preserve"> materiálne </w:t>
      </w:r>
      <w:proofErr w:type="spellStart"/>
      <w:r w:rsidRPr="00AE6EDB">
        <w:rPr>
          <w:sz w:val="22"/>
          <w:szCs w:val="22"/>
        </w:rPr>
        <w:t>deprivovaných</w:t>
      </w:r>
      <w:proofErr w:type="spellEnd"/>
      <w:r w:rsidRPr="00AE6EDB">
        <w:rPr>
          <w:sz w:val="22"/>
          <w:szCs w:val="22"/>
        </w:rPr>
        <w:t xml:space="preserve"> 2</w:t>
      </w:r>
      <w:r w:rsidR="004D7D9D" w:rsidRPr="00AE6EDB">
        <w:rPr>
          <w:sz w:val="22"/>
          <w:szCs w:val="22"/>
        </w:rPr>
        <w:t>2,2</w:t>
      </w:r>
      <w:r w:rsidR="005676EF">
        <w:rPr>
          <w:sz w:val="22"/>
          <w:szCs w:val="22"/>
        </w:rPr>
        <w:t> %</w:t>
      </w:r>
      <w:r w:rsidRPr="00AE6EDB">
        <w:rPr>
          <w:sz w:val="22"/>
          <w:szCs w:val="22"/>
        </w:rPr>
        <w:t xml:space="preserve"> osôb (</w:t>
      </w:r>
      <w:r w:rsidR="00C66A16">
        <w:rPr>
          <w:sz w:val="22"/>
          <w:szCs w:val="22"/>
        </w:rPr>
        <w:t>pokles</w:t>
      </w:r>
      <w:r w:rsidRPr="00AE6EDB">
        <w:rPr>
          <w:sz w:val="22"/>
          <w:szCs w:val="22"/>
        </w:rPr>
        <w:t xml:space="preserve"> oproti roku 201</w:t>
      </w:r>
      <w:r w:rsidR="004D7D9D" w:rsidRPr="00AE6EDB">
        <w:rPr>
          <w:sz w:val="22"/>
          <w:szCs w:val="22"/>
        </w:rPr>
        <w:t>3</w:t>
      </w:r>
      <w:r w:rsidRPr="00AE6EDB">
        <w:rPr>
          <w:sz w:val="22"/>
          <w:szCs w:val="22"/>
        </w:rPr>
        <w:t xml:space="preserve"> o</w:t>
      </w:r>
      <w:r w:rsidR="004D7D9D" w:rsidRPr="00AE6EDB">
        <w:rPr>
          <w:sz w:val="22"/>
          <w:szCs w:val="22"/>
        </w:rPr>
        <w:t> 1,2</w:t>
      </w:r>
      <w:r w:rsidRPr="00AE6EDB">
        <w:rPr>
          <w:sz w:val="22"/>
          <w:szCs w:val="22"/>
        </w:rPr>
        <w:t xml:space="preserve"> p. b.). V prípade použitia metodiky pre výpočet indikátora závažnej materiálnej deprivácie (</w:t>
      </w:r>
      <w:r w:rsidR="00C66A16">
        <w:rPr>
          <w:sz w:val="22"/>
          <w:szCs w:val="22"/>
        </w:rPr>
        <w:t xml:space="preserve">nemôže si dovoliť </w:t>
      </w:r>
      <w:r w:rsidRPr="00AE6EDB">
        <w:rPr>
          <w:sz w:val="22"/>
          <w:szCs w:val="22"/>
        </w:rPr>
        <w:t>4 z 9 položiek) bolo v roku 201</w:t>
      </w:r>
      <w:r w:rsidR="004D7D9D" w:rsidRPr="00AE6EDB">
        <w:rPr>
          <w:sz w:val="22"/>
          <w:szCs w:val="22"/>
        </w:rPr>
        <w:t>4</w:t>
      </w:r>
      <w:r w:rsidRPr="00AE6EDB">
        <w:rPr>
          <w:sz w:val="22"/>
          <w:szCs w:val="22"/>
        </w:rPr>
        <w:t xml:space="preserve"> závažne materiálne </w:t>
      </w:r>
      <w:proofErr w:type="spellStart"/>
      <w:r w:rsidRPr="00AE6EDB">
        <w:rPr>
          <w:sz w:val="22"/>
          <w:szCs w:val="22"/>
        </w:rPr>
        <w:t>deprivovaných</w:t>
      </w:r>
      <w:proofErr w:type="spellEnd"/>
      <w:r w:rsidRPr="00AE6EDB">
        <w:rPr>
          <w:sz w:val="22"/>
          <w:szCs w:val="22"/>
        </w:rPr>
        <w:t xml:space="preserve"> </w:t>
      </w:r>
      <w:r w:rsidR="004D7D9D" w:rsidRPr="00AE6EDB">
        <w:rPr>
          <w:sz w:val="22"/>
          <w:szCs w:val="22"/>
        </w:rPr>
        <w:t>9,9</w:t>
      </w:r>
      <w:r w:rsidR="005676EF">
        <w:rPr>
          <w:sz w:val="22"/>
          <w:szCs w:val="22"/>
        </w:rPr>
        <w:t> %</w:t>
      </w:r>
      <w:r w:rsidRPr="00AE6EDB">
        <w:rPr>
          <w:sz w:val="22"/>
          <w:szCs w:val="22"/>
        </w:rPr>
        <w:t xml:space="preserve"> osôb (pokles oproti roku 201</w:t>
      </w:r>
      <w:r w:rsidR="004D7D9D" w:rsidRPr="00AE6EDB">
        <w:rPr>
          <w:sz w:val="22"/>
          <w:szCs w:val="22"/>
        </w:rPr>
        <w:t>3</w:t>
      </w:r>
      <w:r w:rsidRPr="00AE6EDB">
        <w:rPr>
          <w:sz w:val="22"/>
          <w:szCs w:val="22"/>
        </w:rPr>
        <w:t xml:space="preserve"> o 0,3 p. b.). Najvyššia miera závažnej materiálnej deprivácie bola zaznamenaná v prípade </w:t>
      </w:r>
      <w:r w:rsidR="004D7D9D" w:rsidRPr="00AE6EDB">
        <w:rPr>
          <w:sz w:val="22"/>
          <w:szCs w:val="22"/>
        </w:rPr>
        <w:t xml:space="preserve">viacdetných </w:t>
      </w:r>
      <w:r w:rsidRPr="00AE6EDB">
        <w:rPr>
          <w:sz w:val="22"/>
          <w:szCs w:val="22"/>
        </w:rPr>
        <w:t xml:space="preserve">domácností </w:t>
      </w:r>
      <w:r w:rsidR="004D7D9D" w:rsidRPr="00AE6EDB">
        <w:rPr>
          <w:sz w:val="22"/>
          <w:szCs w:val="22"/>
        </w:rPr>
        <w:t>(18,6</w:t>
      </w:r>
      <w:r w:rsidR="005676EF">
        <w:rPr>
          <w:sz w:val="22"/>
          <w:szCs w:val="22"/>
        </w:rPr>
        <w:t> %</w:t>
      </w:r>
      <w:r w:rsidR="004D7D9D" w:rsidRPr="00AE6EDB">
        <w:rPr>
          <w:sz w:val="22"/>
          <w:szCs w:val="22"/>
        </w:rPr>
        <w:t xml:space="preserve">). V prípade </w:t>
      </w:r>
      <w:r w:rsidRPr="00AE6EDB">
        <w:rPr>
          <w:sz w:val="22"/>
          <w:szCs w:val="22"/>
        </w:rPr>
        <w:t>osamelých rodičov s deťmi (</w:t>
      </w:r>
      <w:r w:rsidR="004D7D9D" w:rsidRPr="00AE6EDB">
        <w:rPr>
          <w:sz w:val="22"/>
          <w:szCs w:val="22"/>
        </w:rPr>
        <w:t>17,2</w:t>
      </w:r>
      <w:r w:rsidR="005676EF">
        <w:rPr>
          <w:sz w:val="22"/>
          <w:szCs w:val="22"/>
        </w:rPr>
        <w:t> %</w:t>
      </w:r>
      <w:r w:rsidRPr="00AE6EDB">
        <w:rPr>
          <w:sz w:val="22"/>
          <w:szCs w:val="22"/>
        </w:rPr>
        <w:t>)</w:t>
      </w:r>
      <w:r w:rsidR="004D7D9D" w:rsidRPr="00AE6EDB">
        <w:rPr>
          <w:sz w:val="22"/>
          <w:szCs w:val="22"/>
        </w:rPr>
        <w:t>, ktorí trpeli najvyššou mierou závažnej materiálnej deprivácie podľa predchádzajúceho zisťovania, došlo k medziročnému poklesu o 8,3 p. b. (25,5</w:t>
      </w:r>
      <w:r w:rsidR="005676EF">
        <w:rPr>
          <w:sz w:val="22"/>
          <w:szCs w:val="22"/>
        </w:rPr>
        <w:t> %</w:t>
      </w:r>
      <w:r w:rsidR="004D7D9D" w:rsidRPr="00AE6EDB">
        <w:rPr>
          <w:sz w:val="22"/>
          <w:szCs w:val="22"/>
        </w:rPr>
        <w:t xml:space="preserve"> v roku 2013)</w:t>
      </w:r>
      <w:r w:rsidRPr="00AE6EDB">
        <w:rPr>
          <w:sz w:val="22"/>
          <w:szCs w:val="22"/>
        </w:rPr>
        <w:t>. Najrozšírenejším problémom v rámci položiek materiálnej deprivácie bol</w:t>
      </w:r>
      <w:r w:rsidR="004D7D9D" w:rsidRPr="00AE6EDB">
        <w:rPr>
          <w:sz w:val="22"/>
          <w:szCs w:val="22"/>
        </w:rPr>
        <w:t>a neschopnosť</w:t>
      </w:r>
      <w:r w:rsidRPr="00AE6EDB">
        <w:rPr>
          <w:sz w:val="22"/>
          <w:szCs w:val="22"/>
        </w:rPr>
        <w:t xml:space="preserve"> dovoliť si zaplatiť raz ročne týždennú dovolenku mimo domu, čo sa týkalo 48,8</w:t>
      </w:r>
      <w:r w:rsidR="005676EF">
        <w:rPr>
          <w:sz w:val="22"/>
          <w:szCs w:val="22"/>
        </w:rPr>
        <w:t> %</w:t>
      </w:r>
      <w:r w:rsidRPr="00AE6EDB">
        <w:rPr>
          <w:sz w:val="22"/>
          <w:szCs w:val="22"/>
        </w:rPr>
        <w:t xml:space="preserve"> populácie. Situácia sa za sledované obdobie, t.j. od roku 2005 výrazne mení, viď graf č. 4.7. </w:t>
      </w:r>
    </w:p>
    <w:p w:rsidR="000A7585" w:rsidRPr="009947D0" w:rsidRDefault="000A7585" w:rsidP="000A7585">
      <w:pPr>
        <w:jc w:val="left"/>
        <w:rPr>
          <w:b/>
        </w:rPr>
      </w:pPr>
    </w:p>
    <w:p w:rsidR="000A7585" w:rsidRPr="009947D0" w:rsidRDefault="000A7585" w:rsidP="000A7585">
      <w:pPr>
        <w:pStyle w:val="Nadpis7"/>
      </w:pPr>
      <w:r w:rsidRPr="009947D0">
        <w:t xml:space="preserve">Graf 4.7 Položky materiálnej deprivácie za vybrané obdobie (% populácie SR) </w:t>
      </w:r>
    </w:p>
    <w:p w:rsidR="000A7585" w:rsidRPr="009947D0" w:rsidRDefault="003E5368" w:rsidP="000A7585">
      <w:pPr>
        <w:jc w:val="center"/>
        <w:rPr>
          <w:szCs w:val="22"/>
        </w:rPr>
      </w:pPr>
      <w:r w:rsidRPr="009947D0">
        <w:rPr>
          <w:noProof/>
        </w:rPr>
        <w:t xml:space="preserve"> </w:t>
      </w:r>
      <w:r w:rsidRPr="009947D0">
        <w:rPr>
          <w:noProof/>
        </w:rPr>
        <w:drawing>
          <wp:inline distT="0" distB="0" distL="0" distR="0" wp14:anchorId="37B38691" wp14:editId="7D3E42BC">
            <wp:extent cx="4572000" cy="27432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A7585" w:rsidRPr="009947D0" w:rsidRDefault="000A7585" w:rsidP="000A7585">
      <w:pPr>
        <w:pStyle w:val="zdroj"/>
      </w:pPr>
      <w:r w:rsidRPr="009947D0">
        <w:t>Zdroj: EU SILC 2005, 2009, 201</w:t>
      </w:r>
      <w:r w:rsidR="003E5368" w:rsidRPr="009947D0">
        <w:t>4</w:t>
      </w:r>
      <w:r w:rsidRPr="009947D0">
        <w:t xml:space="preserve">, </w:t>
      </w:r>
      <w:proofErr w:type="spellStart"/>
      <w:r w:rsidRPr="009947D0">
        <w:t>Eurostat</w:t>
      </w:r>
      <w:proofErr w:type="spellEnd"/>
    </w:p>
    <w:p w:rsidR="000A7585" w:rsidRPr="00AE6EDB" w:rsidRDefault="000A7585" w:rsidP="00E0328F">
      <w:pPr>
        <w:tabs>
          <w:tab w:val="center" w:pos="4536"/>
        </w:tabs>
        <w:rPr>
          <w:highlight w:val="cyan"/>
          <w:lang w:eastAsia="cs-CZ"/>
        </w:rPr>
      </w:pPr>
      <w:r w:rsidRPr="00AE6EDB">
        <w:rPr>
          <w:highlight w:val="cyan"/>
        </w:rPr>
        <w:br w:type="page"/>
      </w:r>
    </w:p>
    <w:p w:rsidR="000A7585" w:rsidRPr="00AE6EDB" w:rsidRDefault="000A7585" w:rsidP="000A7585">
      <w:pPr>
        <w:pStyle w:val="nadpis2"/>
      </w:pPr>
      <w:bookmarkStart w:id="748" w:name="_Toc325438292"/>
      <w:bookmarkStart w:id="749" w:name="_Toc356482778"/>
      <w:bookmarkStart w:id="750" w:name="_Toc356482822"/>
      <w:bookmarkStart w:id="751" w:name="_Toc422233444"/>
      <w:bookmarkStart w:id="752" w:name="_Toc452469903"/>
      <w:r w:rsidRPr="00AE6EDB">
        <w:t>Rodová rovnosť a rovnosť príležitostí</w:t>
      </w:r>
      <w:bookmarkEnd w:id="748"/>
      <w:bookmarkEnd w:id="749"/>
      <w:bookmarkEnd w:id="750"/>
      <w:bookmarkEnd w:id="751"/>
      <w:bookmarkEnd w:id="752"/>
      <w:r w:rsidRPr="00AE6EDB">
        <w:t xml:space="preserve"> </w:t>
      </w:r>
    </w:p>
    <w:p w:rsidR="000A7585" w:rsidRPr="00AE6EDB" w:rsidRDefault="000A7585" w:rsidP="000A7585">
      <w:pPr>
        <w:pStyle w:val="Default"/>
        <w:ind w:firstLine="431"/>
        <w:jc w:val="both"/>
        <w:rPr>
          <w:rFonts w:ascii="Times New Roman" w:hAnsi="Times New Roman" w:cs="Times New Roman"/>
          <w:sz w:val="22"/>
          <w:szCs w:val="22"/>
        </w:rPr>
      </w:pPr>
      <w:bookmarkStart w:id="753" w:name="_Toc356482779"/>
      <w:r w:rsidRPr="00AE6EDB">
        <w:rPr>
          <w:rFonts w:ascii="Times New Roman" w:hAnsi="Times New Roman" w:cs="Times New Roman"/>
          <w:sz w:val="22"/>
          <w:szCs w:val="22"/>
        </w:rPr>
        <w:t>V roku 2015 sa zintenzívnila koordinácia agendy rodovej rovnosti a rovnosti príležitostí predovšetkým pri implementácii Celoštátnej stratégie rodovej rovnosti a Akčného plánu rodovej rovnosti na roky 2014</w:t>
      </w:r>
      <w:r w:rsidR="00B124AF" w:rsidRPr="00AE6EDB">
        <w:rPr>
          <w:rFonts w:ascii="Times New Roman" w:hAnsi="Times New Roman" w:cs="Times New Roman"/>
          <w:sz w:val="22"/>
          <w:szCs w:val="22"/>
        </w:rPr>
        <w:t xml:space="preserve"> – </w:t>
      </w:r>
      <w:r w:rsidRPr="00AE6EDB">
        <w:rPr>
          <w:rFonts w:ascii="Times New Roman" w:hAnsi="Times New Roman" w:cs="Times New Roman"/>
          <w:sz w:val="22"/>
          <w:szCs w:val="22"/>
        </w:rPr>
        <w:t>2019. Ďalej pokračovalo inštitucionálne posilnenie a zvýšenia statusu poradného orgánu vlády SR, ktorým je Rada vlády pre ľudské práva, národnostné menšiny a rodovú rovnosť a jej Výbor pre rodovú rovnosť, ktorého predsedom je minister práce, sociálnych vecí a rodiny. Odborným gestorom Výboru je odbor rodovej rovnosti a rovnosti príležitostí, ktorý je v priamej riadiacej pôsobnosti ministra práce, sociálnych vecí a rodiny.</w:t>
      </w:r>
    </w:p>
    <w:p w:rsidR="000A7585" w:rsidRPr="00AE6EDB" w:rsidRDefault="000A7585" w:rsidP="000A7585">
      <w:pPr>
        <w:ind w:firstLine="720"/>
      </w:pPr>
      <w:r w:rsidRPr="00AE6EDB">
        <w:t xml:space="preserve">Ďalej sa v roku 2015 implementovala </w:t>
      </w:r>
      <w:r w:rsidRPr="00AE6EDB">
        <w:rPr>
          <w:i/>
        </w:rPr>
        <w:t xml:space="preserve">Národná stratégia na prevenciu a elimináciu násilia páchaného na ženách a v rodinách </w:t>
      </w:r>
      <w:r w:rsidRPr="00AE6EDB">
        <w:t xml:space="preserve">a </w:t>
      </w:r>
      <w:r w:rsidRPr="00AE6EDB">
        <w:rPr>
          <w:i/>
        </w:rPr>
        <w:t>Národný akčný plán na prevenciu a elimináciu násilia páchaného na ženách na roky 2014 – 2019</w:t>
      </w:r>
      <w:r w:rsidRPr="00AE6EDB">
        <w:t xml:space="preserve"> a bol pripravený </w:t>
      </w:r>
      <w:r w:rsidRPr="00AE6EDB">
        <w:rPr>
          <w:i/>
        </w:rPr>
        <w:t>návrh zákona o prevencii rodovo podmieneného násilia a domáceho násilia a ochrane pred rodovo podmieneným násilím a domácim násilím</w:t>
      </w:r>
      <w:r w:rsidR="001C72AB" w:rsidRPr="00AE6EDB">
        <w:rPr>
          <w:i/>
        </w:rPr>
        <w:t xml:space="preserve"> </w:t>
      </w:r>
      <w:r w:rsidRPr="00AE6EDB">
        <w:rPr>
          <w:i/>
        </w:rPr>
        <w:t>a o zmene a doplnení niektorých zákonov</w:t>
      </w:r>
      <w:r w:rsidRPr="00AE6EDB">
        <w:rPr>
          <w:i/>
          <w:color w:val="000000" w:themeColor="text1"/>
        </w:rPr>
        <w:t xml:space="preserve"> (zákon o násilí na ženách)</w:t>
      </w:r>
      <w:r w:rsidRPr="00AE6EDB">
        <w:t>, ktorý bol v roku 2015 predložený na verejnú diskusiu.</w:t>
      </w:r>
    </w:p>
    <w:p w:rsidR="000A7585" w:rsidRPr="00AE6EDB" w:rsidRDefault="000A7585" w:rsidP="000A7585">
      <w:pPr>
        <w:pStyle w:val="Default"/>
        <w:ind w:firstLine="720"/>
        <w:jc w:val="both"/>
        <w:rPr>
          <w:rFonts w:ascii="Times New Roman" w:hAnsi="Times New Roman" w:cs="Times New Roman"/>
          <w:i/>
          <w:color w:val="auto"/>
          <w:sz w:val="22"/>
          <w:szCs w:val="22"/>
        </w:rPr>
      </w:pPr>
      <w:r w:rsidRPr="00AE6EDB">
        <w:rPr>
          <w:rFonts w:ascii="Times New Roman" w:hAnsi="Times New Roman" w:cs="Times New Roman"/>
          <w:color w:val="auto"/>
          <w:sz w:val="22"/>
          <w:szCs w:val="22"/>
        </w:rPr>
        <w:t xml:space="preserve">MPSVR SR </w:t>
      </w:r>
      <w:proofErr w:type="spellStart"/>
      <w:r w:rsidRPr="00AE6EDB">
        <w:rPr>
          <w:rFonts w:ascii="Times New Roman" w:hAnsi="Times New Roman" w:cs="Times New Roman"/>
          <w:color w:val="auto"/>
          <w:sz w:val="22"/>
          <w:szCs w:val="22"/>
        </w:rPr>
        <w:t>gestorovalo</w:t>
      </w:r>
      <w:proofErr w:type="spellEnd"/>
      <w:r w:rsidRPr="00AE6EDB">
        <w:rPr>
          <w:rFonts w:ascii="Times New Roman" w:hAnsi="Times New Roman" w:cs="Times New Roman"/>
          <w:color w:val="auto"/>
          <w:sz w:val="22"/>
          <w:szCs w:val="22"/>
        </w:rPr>
        <w:t xml:space="preserve"> prípravu piatej a šiestej periodickej správy SR k </w:t>
      </w:r>
      <w:r w:rsidRPr="00AE6EDB">
        <w:rPr>
          <w:rFonts w:ascii="Times New Roman" w:hAnsi="Times New Roman" w:cs="Times New Roman"/>
          <w:i/>
          <w:color w:val="auto"/>
          <w:sz w:val="22"/>
          <w:szCs w:val="22"/>
        </w:rPr>
        <w:t xml:space="preserve">Dohovoru o odstránení všetkých foriem diskriminácie žien, </w:t>
      </w:r>
      <w:r w:rsidRPr="00AE6EDB">
        <w:rPr>
          <w:rFonts w:ascii="Times New Roman" w:hAnsi="Times New Roman" w:cs="Times New Roman"/>
          <w:color w:val="auto"/>
          <w:sz w:val="22"/>
          <w:szCs w:val="22"/>
        </w:rPr>
        <w:t xml:space="preserve">ktorého je SR zmluvnou stranou a vypracovanie odpovedí na dodatočné otázky a zabezpečilo úspešnú obhajobu pred </w:t>
      </w:r>
      <w:r w:rsidRPr="00AE6EDB">
        <w:rPr>
          <w:rFonts w:ascii="Times New Roman" w:hAnsi="Times New Roman" w:cs="Times New Roman"/>
          <w:i/>
          <w:color w:val="auto"/>
          <w:sz w:val="22"/>
          <w:szCs w:val="22"/>
        </w:rPr>
        <w:t>Výborom OSN pre odstránenie diskriminácie žien</w:t>
      </w:r>
      <w:r w:rsidRPr="00AE6EDB">
        <w:rPr>
          <w:rFonts w:ascii="Times New Roman" w:hAnsi="Times New Roman" w:cs="Times New Roman"/>
          <w:color w:val="auto"/>
          <w:sz w:val="22"/>
          <w:szCs w:val="22"/>
        </w:rPr>
        <w:t xml:space="preserve"> dňa 12.11.2015. Výbor sa okrem iného zaujímal aj o zastúpenie žien v politike, diplomacii na vedúcich pozíciách a na seniorských postoch v ústredí. Otázka účasti žien v politickom a verejnom živote je podľa výboru oblasť, v ktorej SR nedosiahla dostatočný pokrok. Na druhej strane výbor ocenil legislatívne opatrenia na podporu rodovej rovnosti a prijatie viacerých</w:t>
      </w:r>
      <w:r w:rsidR="001C72AB" w:rsidRPr="00AE6EDB">
        <w:rPr>
          <w:rFonts w:ascii="Times New Roman" w:hAnsi="Times New Roman" w:cs="Times New Roman"/>
          <w:color w:val="auto"/>
          <w:sz w:val="22"/>
          <w:szCs w:val="22"/>
        </w:rPr>
        <w:t xml:space="preserve"> </w:t>
      </w:r>
      <w:r w:rsidRPr="00AE6EDB">
        <w:rPr>
          <w:rFonts w:ascii="Times New Roman" w:hAnsi="Times New Roman" w:cs="Times New Roman"/>
          <w:color w:val="auto"/>
          <w:sz w:val="22"/>
          <w:szCs w:val="22"/>
        </w:rPr>
        <w:t xml:space="preserve">stratégií na ochranu žien pred diskrimináciou a násilím. Osobitne privítal záväzok SR ratifikovať tzv. </w:t>
      </w:r>
      <w:r w:rsidRPr="00AE6EDB">
        <w:rPr>
          <w:rFonts w:ascii="Times New Roman" w:hAnsi="Times New Roman" w:cs="Times New Roman"/>
          <w:i/>
          <w:color w:val="auto"/>
          <w:sz w:val="22"/>
          <w:szCs w:val="22"/>
        </w:rPr>
        <w:t>Istanbulský dohovor.</w:t>
      </w:r>
    </w:p>
    <w:p w:rsidR="000A7585" w:rsidRPr="00AE6EDB" w:rsidRDefault="000A7585" w:rsidP="000A7585">
      <w:pPr>
        <w:ind w:firstLine="720"/>
        <w:rPr>
          <w:b/>
          <w:bCs/>
          <w:szCs w:val="22"/>
        </w:rPr>
      </w:pPr>
      <w:r w:rsidRPr="00AE6EDB">
        <w:rPr>
          <w:szCs w:val="22"/>
        </w:rPr>
        <w:t>Významným aspektom pri podpore rodovej rovnosti a rovnosti príležitostí</w:t>
      </w:r>
      <w:r w:rsidR="001C72AB" w:rsidRPr="00AE6EDB">
        <w:rPr>
          <w:szCs w:val="22"/>
        </w:rPr>
        <w:t xml:space="preserve"> </w:t>
      </w:r>
      <w:r w:rsidRPr="00AE6EDB">
        <w:rPr>
          <w:szCs w:val="22"/>
        </w:rPr>
        <w:t xml:space="preserve">v roku 2015 boli aktivity </w:t>
      </w:r>
      <w:r w:rsidRPr="00AE6EDB">
        <w:rPr>
          <w:b/>
          <w:bCs/>
          <w:szCs w:val="22"/>
        </w:rPr>
        <w:t xml:space="preserve">nového programového obdobia 2014-2020 </w:t>
      </w:r>
      <w:r w:rsidRPr="00AE6EDB">
        <w:rPr>
          <w:szCs w:val="22"/>
        </w:rPr>
        <w:t xml:space="preserve">pre čerpanie Európskych štrukturálnych a investičných fondov (ďalej len „EŠIF“) vychádzajúce z posilneného dôrazu na uplatňovanie nediskriminácie a rovnosti mužov a žien v Partnerskej dohode, ako aj vo všetkých schválených operačných programoch. Povinnosť uplatňovania tzv. </w:t>
      </w:r>
      <w:proofErr w:type="spellStart"/>
      <w:r w:rsidRPr="00AE6EDB">
        <w:rPr>
          <w:szCs w:val="22"/>
        </w:rPr>
        <w:t>ex-ante</w:t>
      </w:r>
      <w:proofErr w:type="spellEnd"/>
      <w:r w:rsidRPr="00AE6EDB">
        <w:rPr>
          <w:szCs w:val="22"/>
        </w:rPr>
        <w:t xml:space="preserve"> podmienky „rod</w:t>
      </w:r>
      <w:r w:rsidR="007C376A">
        <w:rPr>
          <w:szCs w:val="22"/>
        </w:rPr>
        <w:t xml:space="preserve">ová rovnosť a nediskriminácia“ </w:t>
      </w:r>
      <w:r w:rsidRPr="00AE6EDB">
        <w:rPr>
          <w:szCs w:val="22"/>
        </w:rPr>
        <w:t>podmieňuje čerpanie štrukturálnych a investičných fondov pre členské štáty vytvorením adekvátneho inštitucionálneho mechanizmu pre uplatňovanie rodovej rovnosti a</w:t>
      </w:r>
      <w:r w:rsidR="00B124AF" w:rsidRPr="00AE6EDB">
        <w:rPr>
          <w:szCs w:val="22"/>
        </w:rPr>
        <w:t> </w:t>
      </w:r>
      <w:r w:rsidRPr="00AE6EDB">
        <w:rPr>
          <w:szCs w:val="22"/>
        </w:rPr>
        <w:t>vzdelávania hlavných aktérov. Odstraňovanie rodových rozdielov najmä so zameraním na trh práce a</w:t>
      </w:r>
      <w:r w:rsidR="00B124AF" w:rsidRPr="00AE6EDB">
        <w:rPr>
          <w:szCs w:val="22"/>
        </w:rPr>
        <w:t> </w:t>
      </w:r>
      <w:r w:rsidRPr="00AE6EDB">
        <w:rPr>
          <w:szCs w:val="22"/>
        </w:rPr>
        <w:t xml:space="preserve">vzdelávanie je integrálnou súčasťou nového </w:t>
      </w:r>
      <w:r w:rsidRPr="00AE6EDB">
        <w:rPr>
          <w:b/>
          <w:bCs/>
          <w:szCs w:val="22"/>
        </w:rPr>
        <w:t xml:space="preserve">operačného programu Ľudské zdroje. </w:t>
      </w:r>
    </w:p>
    <w:p w:rsidR="000A7585" w:rsidRPr="00AE6EDB" w:rsidRDefault="000A7585" w:rsidP="000A7585">
      <w:pPr>
        <w:ind w:firstLine="720"/>
        <w:rPr>
          <w:rFonts w:cstheme="minorHAnsi"/>
          <w:szCs w:val="22"/>
        </w:rPr>
      </w:pPr>
      <w:r w:rsidRPr="00AE6EDB">
        <w:rPr>
          <w:rFonts w:cstheme="minorHAnsi"/>
          <w:szCs w:val="22"/>
        </w:rPr>
        <w:t xml:space="preserve">Hlavné ciele pre </w:t>
      </w:r>
      <w:r w:rsidRPr="00AE6EDB">
        <w:rPr>
          <w:rFonts w:cstheme="minorHAnsi"/>
          <w:b/>
          <w:szCs w:val="22"/>
        </w:rPr>
        <w:t>horizontálny princíp rovnosť medzi mužmi a ženami</w:t>
      </w:r>
      <w:r w:rsidRPr="00AE6EDB">
        <w:rPr>
          <w:rFonts w:cstheme="minorHAnsi"/>
          <w:szCs w:val="22"/>
        </w:rPr>
        <w:t xml:space="preserve"> sú zadefinované v</w:t>
      </w:r>
      <w:r w:rsidR="008102DE" w:rsidRPr="00AE6EDB">
        <w:rPr>
          <w:rFonts w:cstheme="minorHAnsi"/>
          <w:szCs w:val="22"/>
        </w:rPr>
        <w:t> </w:t>
      </w:r>
      <w:r w:rsidRPr="00AE6EDB">
        <w:rPr>
          <w:rFonts w:cstheme="minorHAnsi"/>
          <w:szCs w:val="22"/>
        </w:rPr>
        <w:t xml:space="preserve">závislosti od operačného programu. Hlavným cieľom pre programy ESF je zabezpečiť rovnosť mužov a žien na trhu práce a v príprave naň a cieľom pre ostatné programy EŠIF je zníženie horizontálnej a vertikálnej rodovej segregácie v odvetviach hospodárstva. Hlavným cieľom </w:t>
      </w:r>
      <w:r w:rsidRPr="00AE6EDB">
        <w:rPr>
          <w:rFonts w:cstheme="minorHAnsi"/>
          <w:b/>
          <w:szCs w:val="22"/>
        </w:rPr>
        <w:t>horizontálneho princípu nediskriminácia</w:t>
      </w:r>
      <w:r w:rsidRPr="00AE6EDB">
        <w:rPr>
          <w:rFonts w:cstheme="minorHAnsi"/>
          <w:szCs w:val="22"/>
        </w:rPr>
        <w:t xml:space="preserve"> pre programy ESF je zabezpečiť rovnosť príležitostí na</w:t>
      </w:r>
      <w:r w:rsidR="008102DE" w:rsidRPr="00AE6EDB">
        <w:rPr>
          <w:rFonts w:cstheme="minorHAnsi"/>
          <w:szCs w:val="22"/>
        </w:rPr>
        <w:t> </w:t>
      </w:r>
      <w:r w:rsidRPr="00AE6EDB">
        <w:rPr>
          <w:rFonts w:cstheme="minorHAnsi"/>
          <w:szCs w:val="22"/>
        </w:rPr>
        <w:t>trhu práce a v príprave naň</w:t>
      </w:r>
      <w:r w:rsidR="008102DE" w:rsidRPr="00AE6EDB">
        <w:rPr>
          <w:rFonts w:cstheme="minorHAnsi"/>
          <w:szCs w:val="22"/>
        </w:rPr>
        <w:t>,</w:t>
      </w:r>
      <w:r w:rsidRPr="00AE6EDB">
        <w:rPr>
          <w:rFonts w:cstheme="minorHAnsi"/>
          <w:szCs w:val="22"/>
        </w:rPr>
        <w:t xml:space="preserve"> pre ostatné programy EŠIF je </w:t>
      </w:r>
      <w:r w:rsidR="008102DE" w:rsidRPr="00AE6EDB">
        <w:rPr>
          <w:rFonts w:cstheme="minorHAnsi"/>
          <w:szCs w:val="22"/>
        </w:rPr>
        <w:t xml:space="preserve">hlavným cieľom </w:t>
      </w:r>
      <w:r w:rsidRPr="00AE6EDB">
        <w:rPr>
          <w:rFonts w:cstheme="minorHAnsi"/>
          <w:szCs w:val="22"/>
        </w:rPr>
        <w:t>zabezpečiť rovnosť príležitostí v prístupe a využívaní infraštruktúry a služieb. Za účelom predchádzania diskriminácie, podpory prístupnosti a rovnosti mužov a žien sa budú tieto princípy uplatňovať vo všetkých operačných programoch, a to prostredníctvom zavádzania vyrovnávacích opatrení a aktivít cielených na podporu znevýhodnených skupín pri zohľadnení špecifík. Popis aktivít zameraných na zavádzanie dočasných vyrovnávacích opatrení, dodržiavanie zásad nediskriminácie, podpory prístupnosti a rovnosti medzi mužmi a ženami budú povinnou prílohou žiadosti o finančný príspevok. Pre</w:t>
      </w:r>
      <w:r w:rsidR="008102DE" w:rsidRPr="00AE6EDB">
        <w:rPr>
          <w:rFonts w:cstheme="minorHAnsi"/>
          <w:szCs w:val="22"/>
        </w:rPr>
        <w:t> </w:t>
      </w:r>
      <w:r w:rsidRPr="00AE6EDB">
        <w:rPr>
          <w:rFonts w:cstheme="minorHAnsi"/>
          <w:szCs w:val="22"/>
        </w:rPr>
        <w:t>identifikáciu prioritných oblastí a cieľov na uplatňovanie princípu predchádzania diskriminácie, podpory prístupnosti a rodovej rovnosti je základným rámcom národný strategický dokument, prostredníctvom ktorého sa zabezpečí jeho aplikácia v </w:t>
      </w:r>
      <w:r w:rsidR="00F45681" w:rsidRPr="00AE6EDB">
        <w:rPr>
          <w:rFonts w:cstheme="minorHAnsi"/>
          <w:szCs w:val="22"/>
        </w:rPr>
        <w:t>operačných</w:t>
      </w:r>
      <w:r w:rsidRPr="00AE6EDB">
        <w:rPr>
          <w:rFonts w:cstheme="minorHAnsi"/>
          <w:szCs w:val="22"/>
        </w:rPr>
        <w:t xml:space="preserve"> programoch v rámci EŠIF. Pre</w:t>
      </w:r>
      <w:r w:rsidR="008102DE" w:rsidRPr="00AE6EDB">
        <w:rPr>
          <w:rFonts w:cstheme="minorHAnsi"/>
          <w:szCs w:val="22"/>
        </w:rPr>
        <w:t> </w:t>
      </w:r>
      <w:r w:rsidRPr="00AE6EDB">
        <w:rPr>
          <w:rFonts w:cstheme="minorHAnsi"/>
          <w:szCs w:val="22"/>
        </w:rPr>
        <w:t xml:space="preserve">účinné uplatňovanie horizontálneho princípu rodová rovnosť, nediskriminácia a prístupnosť bude v hodnotiacom a výberovom procese žiadostí o finančný príspevok stanovené diskvalifikačné kritérium v rámci prioritných osí </w:t>
      </w:r>
      <w:r w:rsidR="00F45681" w:rsidRPr="00AE6EDB">
        <w:rPr>
          <w:rFonts w:cstheme="minorHAnsi"/>
          <w:szCs w:val="22"/>
        </w:rPr>
        <w:t>operačného</w:t>
      </w:r>
      <w:r w:rsidRPr="00AE6EDB">
        <w:rPr>
          <w:rFonts w:cstheme="minorHAnsi"/>
          <w:szCs w:val="22"/>
        </w:rPr>
        <w:t xml:space="preserve"> programu. </w:t>
      </w:r>
    </w:p>
    <w:p w:rsidR="000A7585" w:rsidRPr="00AE6EDB" w:rsidRDefault="000A7585" w:rsidP="000A7585">
      <w:pPr>
        <w:pStyle w:val="Default"/>
        <w:ind w:firstLine="431"/>
        <w:jc w:val="both"/>
        <w:rPr>
          <w:rFonts w:ascii="Times New Roman" w:hAnsi="Times New Roman" w:cs="Times New Roman"/>
          <w:sz w:val="22"/>
          <w:szCs w:val="22"/>
        </w:rPr>
      </w:pPr>
      <w:r w:rsidRPr="00AE6EDB">
        <w:rPr>
          <w:rFonts w:ascii="Times New Roman" w:hAnsi="Times New Roman" w:cs="Times New Roman"/>
          <w:sz w:val="22"/>
          <w:szCs w:val="22"/>
        </w:rPr>
        <w:t xml:space="preserve">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Analytickú, hodnotiacu, strategickú a legislatívnu činnosť pre uplatňovanie horizontálnych princípov podpory rovnosti mužov a žien, nediskriminácie a prístupnosti zabezpečuje MPSVR SR, ktoré je zodpovedné za štátnu politiku v týchto oblastiach a ktoré bude zodpovedné za definovanie podmienok poskytnutia pomoci súvisiacej so zabezpečením aplikovania týchto horizontálnych princípov a spôsobu ich overovania, </w:t>
      </w:r>
      <w:r w:rsidR="007C376A">
        <w:rPr>
          <w:rFonts w:ascii="Times New Roman" w:hAnsi="Times New Roman" w:cs="Times New Roman"/>
          <w:sz w:val="22"/>
          <w:szCs w:val="22"/>
        </w:rPr>
        <w:t xml:space="preserve">a to </w:t>
      </w:r>
      <w:r w:rsidRPr="00AE6EDB">
        <w:rPr>
          <w:rFonts w:ascii="Times New Roman" w:hAnsi="Times New Roman" w:cs="Times New Roman"/>
          <w:sz w:val="22"/>
          <w:szCs w:val="22"/>
        </w:rPr>
        <w:t>prostredníctvom odboru rodovej rovnosti a rovnosti príležitostí.</w:t>
      </w:r>
    </w:p>
    <w:p w:rsidR="00EF663D" w:rsidRPr="00AE6EDB" w:rsidRDefault="000A7585" w:rsidP="00EF663D">
      <w:pPr>
        <w:pStyle w:val="Default"/>
        <w:ind w:firstLine="431"/>
        <w:jc w:val="both"/>
        <w:rPr>
          <w:rFonts w:ascii="Times New Roman" w:hAnsi="Times New Roman" w:cs="Times New Roman"/>
          <w:color w:val="4BACC6"/>
          <w:sz w:val="22"/>
          <w:szCs w:val="22"/>
        </w:rPr>
      </w:pPr>
      <w:r w:rsidRPr="00AE6EDB">
        <w:rPr>
          <w:rFonts w:ascii="Times New Roman" w:hAnsi="Times New Roman" w:cs="Times New Roman"/>
          <w:sz w:val="22"/>
          <w:szCs w:val="22"/>
        </w:rPr>
        <w:t xml:space="preserve">Na podporu aktivít občianskych združení a neziskových organizácií bola vytvorená </w:t>
      </w:r>
      <w:r w:rsidRPr="00AE6EDB">
        <w:rPr>
          <w:rFonts w:ascii="Times New Roman" w:hAnsi="Times New Roman" w:cs="Times New Roman"/>
          <w:b/>
          <w:sz w:val="22"/>
          <w:szCs w:val="22"/>
        </w:rPr>
        <w:t>dotačná schéma MPSVR SR na podporu rodovej rovnosti</w:t>
      </w:r>
      <w:r w:rsidRPr="00AE6EDB">
        <w:rPr>
          <w:rFonts w:ascii="Times New Roman" w:hAnsi="Times New Roman" w:cs="Times New Roman"/>
          <w:sz w:val="22"/>
          <w:szCs w:val="22"/>
        </w:rPr>
        <w:t xml:space="preserve">. V zmysle novely zákona č. 544/2010 Z. z. o dotáciách v pôsobnosti MPSVR SR (§ 9a) dotáciu na podporu rodovej rovnosti možno poskytnúť na aktivity alebo činnosti zamerané na dosiahnutie rodovej rovnosti a podporu uplatňovania zásady rovnakého zaobchádzania na základe pohlavia alebo rodu, a to na vzdelávacie aktivity, poradenskú činnosť, osvetovú činnosť, edičnú činnosť a analytickú činnosť. Dotácie na podporu rodovej rovnosti </w:t>
      </w:r>
      <w:r w:rsidR="00A07886" w:rsidRPr="00AE6EDB">
        <w:rPr>
          <w:rFonts w:ascii="Times New Roman" w:hAnsi="Times New Roman" w:cs="Times New Roman"/>
          <w:sz w:val="22"/>
          <w:szCs w:val="22"/>
        </w:rPr>
        <w:t xml:space="preserve">boli v roku 2015 </w:t>
      </w:r>
      <w:r w:rsidR="00EB2EF1" w:rsidRPr="00AE6EDB">
        <w:rPr>
          <w:rFonts w:ascii="Times New Roman" w:hAnsi="Times New Roman" w:cs="Times New Roman"/>
          <w:sz w:val="22"/>
          <w:szCs w:val="22"/>
        </w:rPr>
        <w:t>poskytnuté</w:t>
      </w:r>
      <w:r w:rsidR="00A07886" w:rsidRPr="00AE6EDB">
        <w:rPr>
          <w:rFonts w:ascii="Times New Roman" w:hAnsi="Times New Roman" w:cs="Times New Roman"/>
          <w:sz w:val="22"/>
          <w:szCs w:val="22"/>
        </w:rPr>
        <w:t xml:space="preserve"> v celkovej výške </w:t>
      </w:r>
      <w:r w:rsidR="00EB2EF1" w:rsidRPr="00AE6EDB">
        <w:rPr>
          <w:rFonts w:ascii="Times New Roman" w:hAnsi="Times New Roman" w:cs="Times New Roman"/>
          <w:sz w:val="22"/>
          <w:szCs w:val="22"/>
        </w:rPr>
        <w:t>8</w:t>
      </w:r>
      <w:r w:rsidR="00AC44CB">
        <w:rPr>
          <w:rFonts w:ascii="Times New Roman" w:hAnsi="Times New Roman" w:cs="Times New Roman"/>
          <w:sz w:val="22"/>
          <w:szCs w:val="22"/>
        </w:rPr>
        <w:t>6 0</w:t>
      </w:r>
      <w:r w:rsidR="00EB2EF1" w:rsidRPr="00AE6EDB">
        <w:rPr>
          <w:rFonts w:ascii="Times New Roman" w:hAnsi="Times New Roman" w:cs="Times New Roman"/>
          <w:sz w:val="22"/>
          <w:szCs w:val="22"/>
        </w:rPr>
        <w:t>74</w:t>
      </w:r>
      <w:r w:rsidR="0054295F">
        <w:rPr>
          <w:rFonts w:ascii="Times New Roman" w:hAnsi="Times New Roman" w:cs="Times New Roman"/>
          <w:sz w:val="22"/>
          <w:szCs w:val="22"/>
        </w:rPr>
        <w:t> eur</w:t>
      </w:r>
      <w:r w:rsidR="00EB2EF1" w:rsidRPr="00AE6EDB">
        <w:rPr>
          <w:rFonts w:ascii="Times New Roman" w:hAnsi="Times New Roman" w:cs="Times New Roman"/>
          <w:sz w:val="22"/>
          <w:szCs w:val="22"/>
        </w:rPr>
        <w:t>, spolu sedemnástim organizáciám</w:t>
      </w:r>
      <w:r w:rsidR="00A07886" w:rsidRPr="00AE6EDB">
        <w:rPr>
          <w:rFonts w:ascii="Times New Roman" w:hAnsi="Times New Roman" w:cs="Times New Roman"/>
          <w:sz w:val="22"/>
          <w:szCs w:val="22"/>
        </w:rPr>
        <w:t xml:space="preserve">. </w:t>
      </w:r>
      <w:r w:rsidR="00EB2EF1" w:rsidRPr="00AE6EDB">
        <w:rPr>
          <w:rFonts w:ascii="Times New Roman" w:hAnsi="Times New Roman" w:cs="Times New Roman"/>
          <w:sz w:val="22"/>
          <w:szCs w:val="22"/>
        </w:rPr>
        <w:br/>
      </w:r>
      <w:r w:rsidR="00A07886" w:rsidRPr="00AE6EDB">
        <w:rPr>
          <w:rFonts w:ascii="Times New Roman" w:hAnsi="Times New Roman" w:cs="Times New Roman"/>
          <w:sz w:val="22"/>
          <w:szCs w:val="22"/>
        </w:rPr>
        <w:t>Do 31. 12. 2015 boli poskytnuté dotácie čerpané na 99,98</w:t>
      </w:r>
      <w:r w:rsidR="005676EF">
        <w:rPr>
          <w:rFonts w:ascii="Times New Roman" w:hAnsi="Times New Roman" w:cs="Times New Roman"/>
          <w:sz w:val="22"/>
          <w:szCs w:val="22"/>
        </w:rPr>
        <w:t> %</w:t>
      </w:r>
      <w:r w:rsidR="00EF663D" w:rsidRPr="00AE6EDB">
        <w:rPr>
          <w:rFonts w:ascii="Times New Roman" w:hAnsi="Times New Roman" w:cs="Times New Roman"/>
          <w:color w:val="auto"/>
          <w:sz w:val="22"/>
          <w:szCs w:val="22"/>
        </w:rPr>
        <w:t>.</w:t>
      </w:r>
      <w:r w:rsidR="00EF663D" w:rsidRPr="00AE6EDB">
        <w:rPr>
          <w:rFonts w:ascii="Times New Roman" w:hAnsi="Times New Roman" w:cs="Times New Roman"/>
          <w:color w:val="4BACC6"/>
          <w:sz w:val="22"/>
          <w:szCs w:val="22"/>
        </w:rPr>
        <w:t xml:space="preserve"> </w:t>
      </w:r>
    </w:p>
    <w:p w:rsidR="000A7585" w:rsidRPr="00AE6EDB" w:rsidRDefault="000A7585" w:rsidP="000A7585">
      <w:pPr>
        <w:pStyle w:val="Default"/>
        <w:ind w:firstLine="431"/>
        <w:jc w:val="both"/>
        <w:rPr>
          <w:rFonts w:ascii="Times New Roman" w:hAnsi="Times New Roman" w:cs="Times New Roman"/>
          <w:sz w:val="22"/>
          <w:szCs w:val="22"/>
        </w:rPr>
      </w:pPr>
      <w:r w:rsidRPr="00AE6EDB">
        <w:rPr>
          <w:rFonts w:ascii="Times New Roman" w:hAnsi="Times New Roman" w:cs="Times New Roman"/>
          <w:sz w:val="22"/>
          <w:szCs w:val="22"/>
        </w:rPr>
        <w:t>V roku 2015 bola významným spôsobom posilnená agenda prevencie a eliminácie násilia na</w:t>
      </w:r>
      <w:r w:rsidR="008102DE" w:rsidRPr="00AE6EDB">
        <w:rPr>
          <w:rFonts w:ascii="Times New Roman" w:hAnsi="Times New Roman" w:cs="Times New Roman"/>
          <w:sz w:val="22"/>
          <w:szCs w:val="22"/>
        </w:rPr>
        <w:t> </w:t>
      </w:r>
      <w:r w:rsidRPr="00AE6EDB">
        <w:rPr>
          <w:rFonts w:ascii="Times New Roman" w:hAnsi="Times New Roman" w:cs="Times New Roman"/>
          <w:sz w:val="22"/>
          <w:szCs w:val="22"/>
        </w:rPr>
        <w:t xml:space="preserve">ženách najmä vďaka </w:t>
      </w:r>
      <w:r w:rsidRPr="00AE6EDB">
        <w:rPr>
          <w:rFonts w:ascii="Times New Roman" w:hAnsi="Times New Roman" w:cs="Times New Roman"/>
          <w:b/>
          <w:sz w:val="22"/>
          <w:szCs w:val="22"/>
        </w:rPr>
        <w:t>projektu z Nórskeho finančného mechanizmu</w:t>
      </w:r>
      <w:r w:rsidRPr="00AE6EDB">
        <w:rPr>
          <w:rFonts w:ascii="Times New Roman" w:hAnsi="Times New Roman" w:cs="Times New Roman"/>
          <w:sz w:val="22"/>
          <w:szCs w:val="22"/>
        </w:rPr>
        <w:t xml:space="preserve">. Program SK 09 </w:t>
      </w:r>
      <w:r w:rsidRPr="00AE6EDB">
        <w:rPr>
          <w:rFonts w:ascii="Times New Roman" w:hAnsi="Times New Roman" w:cs="Times New Roman"/>
          <w:b/>
          <w:sz w:val="22"/>
          <w:szCs w:val="22"/>
        </w:rPr>
        <w:t>Rodovo podmienené a domáce násilie</w:t>
      </w:r>
      <w:r w:rsidRPr="00AE6EDB">
        <w:rPr>
          <w:rFonts w:ascii="Times New Roman" w:hAnsi="Times New Roman" w:cs="Times New Roman"/>
          <w:sz w:val="22"/>
          <w:szCs w:val="22"/>
        </w:rPr>
        <w:t>, ktorý</w:t>
      </w:r>
      <w:r w:rsidR="001C72AB" w:rsidRPr="00AE6EDB">
        <w:rPr>
          <w:rFonts w:ascii="Times New Roman" w:hAnsi="Times New Roman" w:cs="Times New Roman"/>
          <w:sz w:val="22"/>
          <w:szCs w:val="22"/>
        </w:rPr>
        <w:t xml:space="preserve"> </w:t>
      </w:r>
      <w:r w:rsidRPr="00AE6EDB">
        <w:rPr>
          <w:rFonts w:ascii="Times New Roman" w:hAnsi="Times New Roman" w:cs="Times New Roman"/>
          <w:sz w:val="22"/>
          <w:szCs w:val="22"/>
        </w:rPr>
        <w:t>je predovšetkým zameraný na prevenciu domáceho násilia a</w:t>
      </w:r>
      <w:r w:rsidR="008102DE" w:rsidRPr="00AE6EDB">
        <w:rPr>
          <w:rFonts w:ascii="Times New Roman" w:hAnsi="Times New Roman" w:cs="Times New Roman"/>
          <w:sz w:val="22"/>
          <w:szCs w:val="22"/>
        </w:rPr>
        <w:t> </w:t>
      </w:r>
      <w:r w:rsidRPr="00AE6EDB">
        <w:rPr>
          <w:rFonts w:ascii="Times New Roman" w:hAnsi="Times New Roman" w:cs="Times New Roman"/>
          <w:sz w:val="22"/>
          <w:szCs w:val="22"/>
        </w:rPr>
        <w:t xml:space="preserve">zmiernenie dopadov vzniknutých domácim násilím. Správcom programu je Úrad vlády Slovenskej republiky; </w:t>
      </w:r>
      <w:proofErr w:type="spellStart"/>
      <w:r w:rsidRPr="00AE6EDB">
        <w:rPr>
          <w:rFonts w:ascii="Times New Roman" w:hAnsi="Times New Roman" w:cs="Times New Roman"/>
          <w:sz w:val="22"/>
          <w:szCs w:val="22"/>
        </w:rPr>
        <w:t>donorskými</w:t>
      </w:r>
      <w:proofErr w:type="spellEnd"/>
      <w:r w:rsidRPr="00AE6EDB">
        <w:rPr>
          <w:rFonts w:ascii="Times New Roman" w:hAnsi="Times New Roman" w:cs="Times New Roman"/>
          <w:sz w:val="22"/>
          <w:szCs w:val="22"/>
        </w:rPr>
        <w:t xml:space="preserve"> partnermi programu sú Nórske riaditeľstvo pre zdravie a Rada Európy. </w:t>
      </w:r>
    </w:p>
    <w:p w:rsidR="000A7585" w:rsidRPr="00AE6EDB" w:rsidRDefault="000A7585" w:rsidP="000A7585">
      <w:pPr>
        <w:pStyle w:val="Default"/>
        <w:ind w:firstLine="431"/>
        <w:jc w:val="both"/>
        <w:rPr>
          <w:rFonts w:ascii="Times New Roman" w:hAnsi="Times New Roman" w:cs="Times New Roman"/>
          <w:sz w:val="22"/>
          <w:szCs w:val="22"/>
        </w:rPr>
      </w:pPr>
      <w:r w:rsidRPr="00AE6EDB">
        <w:rPr>
          <w:rFonts w:ascii="Times New Roman" w:hAnsi="Times New Roman" w:cs="Times New Roman"/>
          <w:sz w:val="22"/>
          <w:szCs w:val="22"/>
        </w:rPr>
        <w:t xml:space="preserve">Cieľom projektu bolo aj zriadenie </w:t>
      </w:r>
      <w:r w:rsidRPr="00AE6EDB">
        <w:rPr>
          <w:rFonts w:ascii="Times New Roman" w:hAnsi="Times New Roman" w:cs="Times New Roman"/>
          <w:b/>
          <w:sz w:val="22"/>
          <w:szCs w:val="22"/>
        </w:rPr>
        <w:t>Koordinačno-metodického centra pre násilie na ženách a</w:t>
      </w:r>
      <w:r w:rsidR="008102DE" w:rsidRPr="00AE6EDB">
        <w:rPr>
          <w:rFonts w:ascii="Times New Roman" w:hAnsi="Times New Roman" w:cs="Times New Roman"/>
          <w:b/>
          <w:sz w:val="22"/>
          <w:szCs w:val="22"/>
        </w:rPr>
        <w:t> </w:t>
      </w:r>
      <w:r w:rsidRPr="00AE6EDB">
        <w:rPr>
          <w:rFonts w:ascii="Times New Roman" w:hAnsi="Times New Roman" w:cs="Times New Roman"/>
          <w:b/>
          <w:sz w:val="22"/>
          <w:szCs w:val="22"/>
        </w:rPr>
        <w:t>domáce násilie</w:t>
      </w:r>
      <w:r w:rsidRPr="00AE6EDB">
        <w:rPr>
          <w:rFonts w:ascii="Times New Roman" w:hAnsi="Times New Roman" w:cs="Times New Roman"/>
          <w:sz w:val="22"/>
          <w:szCs w:val="22"/>
        </w:rPr>
        <w:t xml:space="preserve"> (ďalej len „KMC“), ktoré</w:t>
      </w:r>
      <w:r w:rsidR="001C72AB" w:rsidRPr="00AE6EDB">
        <w:rPr>
          <w:rFonts w:ascii="Times New Roman" w:hAnsi="Times New Roman" w:cs="Times New Roman"/>
          <w:sz w:val="22"/>
          <w:szCs w:val="22"/>
        </w:rPr>
        <w:t xml:space="preserve"> </w:t>
      </w:r>
      <w:r w:rsidRPr="00AE6EDB">
        <w:rPr>
          <w:rFonts w:ascii="Times New Roman" w:hAnsi="Times New Roman" w:cs="Times New Roman"/>
          <w:sz w:val="22"/>
          <w:szCs w:val="22"/>
        </w:rPr>
        <w:t xml:space="preserve">bude vytvárať, implementovať a koordinovať celkovú národnú politiku pre oblasť prevencie, intervencie a boja proti násiliu na ženách v zmysle Dohovoru rady Európy o predchádzaní násiliu na ženách a domácemu násiliu a o boji proti nemu. V rámci KMC bol vytvorený expertný tím zodpovedný za odbornú koordináciu a </w:t>
      </w:r>
      <w:proofErr w:type="spellStart"/>
      <w:r w:rsidRPr="00AE6EDB">
        <w:rPr>
          <w:rFonts w:ascii="Times New Roman" w:hAnsi="Times New Roman" w:cs="Times New Roman"/>
          <w:sz w:val="22"/>
          <w:szCs w:val="22"/>
        </w:rPr>
        <w:t>supervíziu</w:t>
      </w:r>
      <w:proofErr w:type="spellEnd"/>
      <w:r w:rsidRPr="00AE6EDB">
        <w:rPr>
          <w:rFonts w:ascii="Times New Roman" w:hAnsi="Times New Roman" w:cs="Times New Roman"/>
          <w:sz w:val="22"/>
          <w:szCs w:val="22"/>
        </w:rPr>
        <w:t xml:space="preserve"> systémovej prevencie a</w:t>
      </w:r>
      <w:r w:rsidR="008102DE" w:rsidRPr="00AE6EDB">
        <w:rPr>
          <w:rFonts w:ascii="Times New Roman" w:hAnsi="Times New Roman" w:cs="Times New Roman"/>
          <w:sz w:val="22"/>
          <w:szCs w:val="22"/>
        </w:rPr>
        <w:t> </w:t>
      </w:r>
      <w:r w:rsidRPr="00AE6EDB">
        <w:rPr>
          <w:rFonts w:ascii="Times New Roman" w:hAnsi="Times New Roman" w:cs="Times New Roman"/>
          <w:sz w:val="22"/>
          <w:szCs w:val="22"/>
        </w:rPr>
        <w:t>intervencie na podporu obetí a poskytovania služieb v oblasti násilia páchaného na ženách a</w:t>
      </w:r>
      <w:r w:rsidR="008102DE" w:rsidRPr="00AE6EDB">
        <w:rPr>
          <w:rFonts w:ascii="Times New Roman" w:hAnsi="Times New Roman" w:cs="Times New Roman"/>
          <w:sz w:val="22"/>
          <w:szCs w:val="22"/>
        </w:rPr>
        <w:t> </w:t>
      </w:r>
      <w:r w:rsidRPr="00AE6EDB">
        <w:rPr>
          <w:rFonts w:ascii="Times New Roman" w:hAnsi="Times New Roman" w:cs="Times New Roman"/>
          <w:sz w:val="22"/>
          <w:szCs w:val="22"/>
        </w:rPr>
        <w:t xml:space="preserve">domáceho násilia. Úlohou KMC je taktiež vytváranie podmienok </w:t>
      </w:r>
      <w:proofErr w:type="spellStart"/>
      <w:r w:rsidRPr="00AE6EDB">
        <w:rPr>
          <w:rFonts w:ascii="Times New Roman" w:hAnsi="Times New Roman" w:cs="Times New Roman"/>
          <w:sz w:val="22"/>
          <w:szCs w:val="22"/>
        </w:rPr>
        <w:t>multiinštitucionálnej</w:t>
      </w:r>
      <w:proofErr w:type="spellEnd"/>
      <w:r w:rsidRPr="00AE6EDB">
        <w:rPr>
          <w:rFonts w:ascii="Times New Roman" w:hAnsi="Times New Roman" w:cs="Times New Roman"/>
          <w:sz w:val="22"/>
          <w:szCs w:val="22"/>
        </w:rPr>
        <w:t xml:space="preserve"> spolupráce pomáhajúcich profesií a zabezpečenie systému ich vzdelávania, ako aj uskutočňovania výskumov, monitoringu a osvetových aktivít.</w:t>
      </w:r>
    </w:p>
    <w:p w:rsidR="000A7585" w:rsidRPr="00AE6EDB" w:rsidRDefault="000A7585" w:rsidP="000A7585">
      <w:pPr>
        <w:rPr>
          <w:szCs w:val="22"/>
        </w:rPr>
      </w:pPr>
      <w:r w:rsidRPr="00AE6EDB">
        <w:rPr>
          <w:noProof/>
          <w:szCs w:val="22"/>
        </w:rPr>
        <w:t>V roku 2015 pokračovala</w:t>
      </w:r>
      <w:r w:rsidR="001C72AB" w:rsidRPr="00AE6EDB">
        <w:rPr>
          <w:noProof/>
          <w:szCs w:val="22"/>
        </w:rPr>
        <w:t xml:space="preserve"> </w:t>
      </w:r>
      <w:r w:rsidRPr="00AE6EDB">
        <w:rPr>
          <w:noProof/>
          <w:szCs w:val="22"/>
        </w:rPr>
        <w:t xml:space="preserve">realizácia národných projektov v rámci operačného programu Zamestnanosť a sociálna inklúzia: </w:t>
      </w:r>
      <w:r w:rsidRPr="00AE6EDB">
        <w:rPr>
          <w:i/>
          <w:noProof/>
          <w:szCs w:val="22"/>
        </w:rPr>
        <w:t>Prevencia a eliminácia násilia na ženách (PPEN1)</w:t>
      </w:r>
      <w:r w:rsidRPr="00AE6EDB">
        <w:rPr>
          <w:noProof/>
          <w:szCs w:val="22"/>
        </w:rPr>
        <w:t xml:space="preserve"> a </w:t>
      </w:r>
      <w:r w:rsidRPr="00AE6EDB">
        <w:rPr>
          <w:i/>
          <w:szCs w:val="22"/>
        </w:rPr>
        <w:t>Podpora prevencie a eliminácie násilia na ženách</w:t>
      </w:r>
      <w:r w:rsidRPr="00AE6EDB">
        <w:rPr>
          <w:noProof/>
          <w:szCs w:val="22"/>
        </w:rPr>
        <w:t xml:space="preserve"> </w:t>
      </w:r>
      <w:r w:rsidRPr="00AE6EDB">
        <w:rPr>
          <w:i/>
          <w:noProof/>
          <w:szCs w:val="22"/>
        </w:rPr>
        <w:t>(PPEN</w:t>
      </w:r>
      <w:r w:rsidRPr="00AE6EDB">
        <w:rPr>
          <w:noProof/>
          <w:szCs w:val="22"/>
        </w:rPr>
        <w:t>2)</w:t>
      </w:r>
      <w:r w:rsidR="007C376A">
        <w:rPr>
          <w:noProof/>
          <w:szCs w:val="22"/>
        </w:rPr>
        <w:t>.</w:t>
      </w:r>
      <w:r w:rsidRPr="00AE6EDB">
        <w:rPr>
          <w:noProof/>
          <w:szCs w:val="22"/>
        </w:rPr>
        <w:t xml:space="preserve"> V rámci projektov</w:t>
      </w:r>
      <w:r w:rsidRPr="00AE6EDB">
        <w:rPr>
          <w:b/>
          <w:noProof/>
          <w:szCs w:val="22"/>
        </w:rPr>
        <w:t xml:space="preserve"> </w:t>
      </w:r>
      <w:r w:rsidRPr="00AE6EDB">
        <w:rPr>
          <w:rStyle w:val="Siln"/>
          <w:szCs w:val="22"/>
        </w:rPr>
        <w:t xml:space="preserve">sa pripravuje systémové ukotvenie riešenia inštitucionálnej podpory obetiam násilia na ženách a domáceho násilia. Konkrétnym opatrením na posilnenie inštitucionálnej podpory bude realizácia národného projektu podporeného z Európskeho sociálneho fondu, ktorého cieľom má byť zlepšenie poskytovania pomoci ženám a deťom zažívajúcim násilie a zabezpečiť regionálnu dostupnosť podporných sociálnych služieb. </w:t>
      </w:r>
      <w:r w:rsidRPr="00AE6EDB">
        <w:rPr>
          <w:szCs w:val="22"/>
        </w:rPr>
        <w:t>Hlavnou náplňou projektu je podpora existujúcich, ale zároveň aj</w:t>
      </w:r>
      <w:r w:rsidR="001C72AB" w:rsidRPr="00AE6EDB">
        <w:rPr>
          <w:szCs w:val="22"/>
        </w:rPr>
        <w:t xml:space="preserve"> </w:t>
      </w:r>
      <w:r w:rsidRPr="00AE6EDB">
        <w:rPr>
          <w:szCs w:val="22"/>
        </w:rPr>
        <w:t>zriadenie a prevádzkovanie nových azylových domov (tzv. bezpečných ženských domov) a súvisiacich sociálnych služieb (poradenských centier) na celom Slovensku tak, aby bola zabezpečená ich regionálna dostupnosť v každom samosprávnom kraji. Tieto zariadenia</w:t>
      </w:r>
      <w:r w:rsidR="001C72AB" w:rsidRPr="00AE6EDB">
        <w:rPr>
          <w:szCs w:val="22"/>
        </w:rPr>
        <w:t xml:space="preserve"> </w:t>
      </w:r>
      <w:r w:rsidRPr="00AE6EDB">
        <w:rPr>
          <w:szCs w:val="22"/>
        </w:rPr>
        <w:t>poskytujú komplexné služby</w:t>
      </w:r>
      <w:r w:rsidR="001C72AB" w:rsidRPr="00AE6EDB">
        <w:rPr>
          <w:szCs w:val="22"/>
        </w:rPr>
        <w:t xml:space="preserve"> </w:t>
      </w:r>
      <w:r w:rsidRPr="00AE6EDB">
        <w:rPr>
          <w:szCs w:val="22"/>
        </w:rPr>
        <w:t>ženám, zažívajúcim domáce násilie a ich deťom.</w:t>
      </w:r>
      <w:r w:rsidR="001C72AB" w:rsidRPr="00AE6EDB">
        <w:rPr>
          <w:szCs w:val="22"/>
        </w:rPr>
        <w:t xml:space="preserve"> </w:t>
      </w:r>
      <w:r w:rsidRPr="00AE6EDB">
        <w:rPr>
          <w:szCs w:val="22"/>
        </w:rPr>
        <w:t xml:space="preserve">Integrovaný systém krízovej intervencie vytvorený v rámci projektu pozostáva z nasledujúcej siete inštitúcií: </w:t>
      </w:r>
    </w:p>
    <w:p w:rsidR="000A7585" w:rsidRPr="00AE6EDB" w:rsidRDefault="000A7585" w:rsidP="000A7585">
      <w:pPr>
        <w:pStyle w:val="Odsekzoznamu"/>
      </w:pPr>
      <w:r w:rsidRPr="00AE6EDB">
        <w:rPr>
          <w:b/>
        </w:rPr>
        <w:t xml:space="preserve">národná </w:t>
      </w:r>
      <w:proofErr w:type="spellStart"/>
      <w:r w:rsidRPr="00AE6EDB">
        <w:rPr>
          <w:b/>
        </w:rPr>
        <w:t>non-stop</w:t>
      </w:r>
      <w:proofErr w:type="spellEnd"/>
      <w:r w:rsidRPr="00AE6EDB">
        <w:rPr>
          <w:b/>
        </w:rPr>
        <w:t xml:space="preserve"> bezplatná telefonická linka 080</w:t>
      </w:r>
      <w:r w:rsidR="0054295F">
        <w:rPr>
          <w:b/>
        </w:rPr>
        <w:t>0 2</w:t>
      </w:r>
      <w:r w:rsidRPr="00AE6EDB">
        <w:rPr>
          <w:b/>
        </w:rPr>
        <w:t>1</w:t>
      </w:r>
      <w:r w:rsidR="0054295F">
        <w:rPr>
          <w:b/>
        </w:rPr>
        <w:t>2 </w:t>
      </w:r>
      <w:proofErr w:type="spellStart"/>
      <w:r w:rsidR="0054295F">
        <w:rPr>
          <w:b/>
        </w:rPr>
        <w:t>2</w:t>
      </w:r>
      <w:r w:rsidRPr="00AE6EDB">
        <w:rPr>
          <w:b/>
        </w:rPr>
        <w:t>12</w:t>
      </w:r>
      <w:proofErr w:type="spellEnd"/>
      <w:r w:rsidRPr="00AE6EDB">
        <w:t xml:space="preserve">, ktorej úlohou je telefonické poradenstvo obetiam domáceho násilia a v prípade potreby kontaktovanie poradenského centra; </w:t>
      </w:r>
    </w:p>
    <w:p w:rsidR="000A7585" w:rsidRPr="00AE6EDB" w:rsidRDefault="000A7585" w:rsidP="000A7585">
      <w:pPr>
        <w:pStyle w:val="Odsekzoznamu"/>
      </w:pPr>
      <w:r w:rsidRPr="00AE6EDB">
        <w:rPr>
          <w:b/>
        </w:rPr>
        <w:t>sieť špecifických sociálnych služieb</w:t>
      </w:r>
      <w:r w:rsidRPr="00AE6EDB">
        <w:t xml:space="preserve"> - poradenských centier poskytujúcich všetky relevantné poradenské služby pre ženy (celkovo 20 poradenských centier po celom Slovensku); </w:t>
      </w:r>
    </w:p>
    <w:p w:rsidR="000A7585" w:rsidRPr="00AE6EDB" w:rsidRDefault="000A7585" w:rsidP="000A7585">
      <w:pPr>
        <w:pStyle w:val="Odsekzoznamu"/>
        <w:rPr>
          <w:b/>
          <w:szCs w:val="22"/>
        </w:rPr>
      </w:pPr>
      <w:r w:rsidRPr="00AE6EDB">
        <w:rPr>
          <w:b/>
          <w:bCs/>
        </w:rPr>
        <w:t>sieť bezpečných ženských domov</w:t>
      </w:r>
      <w:r w:rsidRPr="00AE6EDB">
        <w:rPr>
          <w:bCs/>
        </w:rPr>
        <w:t xml:space="preserve">, ktoré </w:t>
      </w:r>
      <w:r w:rsidRPr="00AE6EDB">
        <w:t>poskytujú komplexnú špecializovanú pomoc ženám zažívajúcim násilie a ich deťom pobytovou formou (110 rodinných miest po celom Slovensku t.j. matka + 2 deti).</w:t>
      </w:r>
    </w:p>
    <w:p w:rsidR="000A7585" w:rsidRPr="00AE6EDB" w:rsidRDefault="000A7585" w:rsidP="000A7585">
      <w:pPr>
        <w:ind w:firstLine="720"/>
        <w:rPr>
          <w:rStyle w:val="Zkladntext4"/>
          <w:sz w:val="22"/>
          <w:szCs w:val="22"/>
        </w:rPr>
      </w:pPr>
    </w:p>
    <w:p w:rsidR="000A7585" w:rsidRPr="00AE6EDB" w:rsidRDefault="000A7585" w:rsidP="000A7585">
      <w:pPr>
        <w:ind w:firstLine="720"/>
        <w:rPr>
          <w:szCs w:val="22"/>
        </w:rPr>
      </w:pPr>
      <w:r w:rsidRPr="00AE6EDB">
        <w:rPr>
          <w:rStyle w:val="Zkladntext4"/>
          <w:sz w:val="22"/>
          <w:szCs w:val="22"/>
        </w:rPr>
        <w:t>V roku 2015 sa realizoval mimoriadne úspešný pilotný</w:t>
      </w:r>
      <w:r w:rsidR="001C72AB" w:rsidRPr="00AE6EDB">
        <w:rPr>
          <w:rStyle w:val="Zkladntext4"/>
          <w:sz w:val="22"/>
          <w:szCs w:val="22"/>
        </w:rPr>
        <w:t xml:space="preserve"> </w:t>
      </w:r>
      <w:r w:rsidRPr="00AE6EDB">
        <w:rPr>
          <w:rStyle w:val="Zkladntext4"/>
          <w:sz w:val="22"/>
          <w:szCs w:val="22"/>
        </w:rPr>
        <w:t xml:space="preserve">národný projekt </w:t>
      </w:r>
      <w:r w:rsidRPr="00AE6EDB">
        <w:rPr>
          <w:rStyle w:val="Zkladntext4"/>
          <w:i/>
          <w:sz w:val="22"/>
          <w:szCs w:val="22"/>
        </w:rPr>
        <w:t>„Rodina a práca“</w:t>
      </w:r>
      <w:r w:rsidRPr="00AE6EDB">
        <w:rPr>
          <w:szCs w:val="22"/>
        </w:rPr>
        <w:t>. Prostredníctvom projektu boli</w:t>
      </w:r>
      <w:r w:rsidR="001C72AB" w:rsidRPr="00AE6EDB">
        <w:rPr>
          <w:szCs w:val="22"/>
        </w:rPr>
        <w:t xml:space="preserve"> </w:t>
      </w:r>
      <w:r w:rsidRPr="00AE6EDB">
        <w:rPr>
          <w:szCs w:val="22"/>
        </w:rPr>
        <w:t>podporené pracovné miesta formou flexibilných foriem práce v súlade s</w:t>
      </w:r>
      <w:r w:rsidR="008102DE" w:rsidRPr="00AE6EDB">
        <w:rPr>
          <w:szCs w:val="22"/>
        </w:rPr>
        <w:t> </w:t>
      </w:r>
      <w:r w:rsidRPr="00AE6EDB">
        <w:rPr>
          <w:szCs w:val="22"/>
        </w:rPr>
        <w:t>§49, §49a, a §52</w:t>
      </w:r>
      <w:r w:rsidR="001C72AB" w:rsidRPr="00AE6EDB">
        <w:rPr>
          <w:szCs w:val="22"/>
        </w:rPr>
        <w:t xml:space="preserve"> </w:t>
      </w:r>
      <w:r w:rsidRPr="00AE6EDB">
        <w:rPr>
          <w:szCs w:val="22"/>
        </w:rPr>
        <w:t>Zákonníka práce. Podmienkou</w:t>
      </w:r>
      <w:r w:rsidR="001C72AB" w:rsidRPr="00AE6EDB">
        <w:rPr>
          <w:szCs w:val="22"/>
        </w:rPr>
        <w:t xml:space="preserve"> </w:t>
      </w:r>
      <w:r w:rsidRPr="00AE6EDB">
        <w:rPr>
          <w:szCs w:val="22"/>
        </w:rPr>
        <w:t>projektu bolo, že pracovné miesta budú obsadené buď o</w:t>
      </w:r>
      <w:r w:rsidR="007C376A">
        <w:rPr>
          <w:szCs w:val="22"/>
        </w:rPr>
        <w:t>sobami na rodičovskej dovolenke</w:t>
      </w:r>
      <w:r w:rsidRPr="00AE6EDB">
        <w:rPr>
          <w:szCs w:val="22"/>
        </w:rPr>
        <w:t xml:space="preserve"> alebo osobami s dieťaťom pred nástupom do školy (cca</w:t>
      </w:r>
      <w:r w:rsidR="008102DE" w:rsidRPr="00AE6EDB">
        <w:rPr>
          <w:szCs w:val="22"/>
        </w:rPr>
        <w:t> </w:t>
      </w:r>
      <w:r w:rsidRPr="00AE6EDB">
        <w:rPr>
          <w:szCs w:val="22"/>
        </w:rPr>
        <w:t>do</w:t>
      </w:r>
      <w:r w:rsidR="008102DE" w:rsidRPr="00AE6EDB">
        <w:rPr>
          <w:szCs w:val="22"/>
        </w:rPr>
        <w:t> </w:t>
      </w:r>
      <w:r w:rsidRPr="00AE6EDB">
        <w:rPr>
          <w:szCs w:val="22"/>
        </w:rPr>
        <w:t>veku 6 rokov)</w:t>
      </w:r>
      <w:r w:rsidR="008102DE" w:rsidRPr="00AE6EDB">
        <w:rPr>
          <w:szCs w:val="22"/>
        </w:rPr>
        <w:t>. Pracovné miesta</w:t>
      </w:r>
      <w:r w:rsidRPr="00AE6EDB">
        <w:rPr>
          <w:szCs w:val="22"/>
        </w:rPr>
        <w:t xml:space="preserve"> boli dotované vo výške 90</w:t>
      </w:r>
      <w:r w:rsidR="005676EF">
        <w:rPr>
          <w:szCs w:val="22"/>
        </w:rPr>
        <w:t> %</w:t>
      </w:r>
      <w:r w:rsidRPr="00AE6EDB">
        <w:rPr>
          <w:szCs w:val="22"/>
        </w:rPr>
        <w:t xml:space="preserve"> reálnej celkovej ceny práce, maximálne však do výšky priemernej mzdy v národnom hospodárstve. V druhom prípade – pri</w:t>
      </w:r>
      <w:r w:rsidR="001110A1">
        <w:rPr>
          <w:szCs w:val="22"/>
        </w:rPr>
        <w:t> </w:t>
      </w:r>
      <w:r w:rsidRPr="00AE6EDB">
        <w:rPr>
          <w:szCs w:val="22"/>
        </w:rPr>
        <w:t>zamestnávaní matiek s deťmi vo veku 6</w:t>
      </w:r>
      <w:r w:rsidR="008102DE" w:rsidRPr="00AE6EDB">
        <w:rPr>
          <w:szCs w:val="22"/>
        </w:rPr>
        <w:t xml:space="preserve"> – </w:t>
      </w:r>
      <w:r w:rsidRPr="00AE6EDB">
        <w:rPr>
          <w:szCs w:val="22"/>
        </w:rPr>
        <w:t>10 rokov bola forma podpory vo výške 50</w:t>
      </w:r>
      <w:r w:rsidR="005676EF">
        <w:rPr>
          <w:szCs w:val="22"/>
        </w:rPr>
        <w:t> %</w:t>
      </w:r>
      <w:r w:rsidRPr="00AE6EDB">
        <w:rPr>
          <w:szCs w:val="22"/>
        </w:rPr>
        <w:t xml:space="preserve"> z celkovej ceny práce.</w:t>
      </w:r>
    </w:p>
    <w:p w:rsidR="000A7585" w:rsidRPr="00AE6EDB" w:rsidRDefault="000A7585" w:rsidP="000A7585">
      <w:pPr>
        <w:ind w:firstLine="720"/>
        <w:rPr>
          <w:szCs w:val="22"/>
        </w:rPr>
      </w:pPr>
      <w:r w:rsidRPr="00AE6EDB">
        <w:rPr>
          <w:szCs w:val="22"/>
        </w:rPr>
        <w:t xml:space="preserve">Projekt sa zameriaval aj na oblasť vytvárania vhodných </w:t>
      </w:r>
      <w:proofErr w:type="spellStart"/>
      <w:r w:rsidRPr="00AE6EDB">
        <w:rPr>
          <w:szCs w:val="22"/>
        </w:rPr>
        <w:t>prorodinných</w:t>
      </w:r>
      <w:proofErr w:type="spellEnd"/>
      <w:r w:rsidRPr="00AE6EDB">
        <w:rPr>
          <w:szCs w:val="22"/>
        </w:rPr>
        <w:t xml:space="preserve"> podmienok a</w:t>
      </w:r>
      <w:r w:rsidR="001C72AB" w:rsidRPr="00AE6EDB">
        <w:rPr>
          <w:szCs w:val="22"/>
        </w:rPr>
        <w:t> </w:t>
      </w:r>
      <w:r w:rsidRPr="00AE6EDB">
        <w:rPr>
          <w:szCs w:val="22"/>
        </w:rPr>
        <w:t>starostli</w:t>
      </w:r>
      <w:r w:rsidR="007C376A">
        <w:rPr>
          <w:szCs w:val="22"/>
        </w:rPr>
        <w:t>vosti o deti</w:t>
      </w:r>
      <w:r w:rsidRPr="00AE6EDB">
        <w:rPr>
          <w:szCs w:val="22"/>
        </w:rPr>
        <w:t xml:space="preserve"> v rodinách zamestnaných rodičov. Cieľom projektu bolo zlepšenie podmienok pre zosúladenie rodinného a pracovného života podporou tzv. kútikov dočasnej starostlivosti. Kútiky dočasnej starostlivosti mohli</w:t>
      </w:r>
      <w:r w:rsidRPr="00AE6EDB">
        <w:rPr>
          <w:b/>
          <w:szCs w:val="22"/>
        </w:rPr>
        <w:t xml:space="preserve"> </w:t>
      </w:r>
      <w:r w:rsidRPr="00AE6EDB">
        <w:rPr>
          <w:szCs w:val="22"/>
        </w:rPr>
        <w:t>vytvárať buď priamo zamestnávatelia alebo spolupracujúce organizácie poskytujúce služby starostlivosti o deti. Preplatené boli náklady celkovej ceny práce odborného pedagogického personálu (vychovávateľky či vychovávateľa), najviac však vo výške celkovej ceny práce vypočítanej z mediánu mesačnej hrubej mzdy na tejto pracovnej pozícii (ide o cca 700</w:t>
      </w:r>
      <w:r w:rsidR="0054295F">
        <w:rPr>
          <w:szCs w:val="22"/>
        </w:rPr>
        <w:t> eur</w:t>
      </w:r>
      <w:r w:rsidRPr="00AE6EDB">
        <w:rPr>
          <w:szCs w:val="22"/>
        </w:rPr>
        <w:t xml:space="preserve"> hrubej mzdy). </w:t>
      </w:r>
    </w:p>
    <w:bookmarkEnd w:id="753"/>
    <w:p w:rsidR="006B0A98" w:rsidRPr="00AE6EDB" w:rsidRDefault="006B0A98" w:rsidP="006B0A98">
      <w:pPr>
        <w:rPr>
          <w:rFonts w:ascii="Calibri" w:hAnsi="Calibri"/>
          <w:b/>
          <w:bCs/>
          <w:color w:val="000000"/>
          <w:szCs w:val="22"/>
          <w:highlight w:val="yellow"/>
        </w:rPr>
      </w:pPr>
      <w:r w:rsidRPr="00AE6EDB">
        <w:rPr>
          <w:b/>
          <w:bCs/>
          <w:color w:val="000000"/>
          <w:highlight w:val="yellow"/>
        </w:rPr>
        <w:br w:type="page"/>
      </w:r>
    </w:p>
    <w:p w:rsidR="000A7585" w:rsidRPr="00AE6EDB" w:rsidRDefault="000A7585" w:rsidP="004A57BA">
      <w:pPr>
        <w:pStyle w:val="Nadpis7"/>
      </w:pPr>
      <w:r w:rsidRPr="00AE6EDB">
        <w:t>Tabuľka 4.3 Súhrn indikátorov rodovej rovnosti – rok 201</w:t>
      </w:r>
      <w:r w:rsidR="001F7143" w:rsidRPr="00AE6EDB">
        <w:t>5</w:t>
      </w:r>
    </w:p>
    <w:tbl>
      <w:tblPr>
        <w:tblW w:w="9356" w:type="dxa"/>
        <w:jc w:val="center"/>
        <w:tblInd w:w="19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57" w:type="dxa"/>
          <w:right w:w="57" w:type="dxa"/>
        </w:tblCellMar>
        <w:tblLook w:val="00A0" w:firstRow="1" w:lastRow="0" w:firstColumn="1" w:lastColumn="0" w:noHBand="0" w:noVBand="0"/>
      </w:tblPr>
      <w:tblGrid>
        <w:gridCol w:w="5244"/>
        <w:gridCol w:w="51"/>
        <w:gridCol w:w="516"/>
        <w:gridCol w:w="709"/>
        <w:gridCol w:w="51"/>
        <w:gridCol w:w="516"/>
        <w:gridCol w:w="709"/>
        <w:gridCol w:w="851"/>
        <w:gridCol w:w="709"/>
      </w:tblGrid>
      <w:tr w:rsidR="000A7585" w:rsidRPr="00AE6EDB" w:rsidTr="00411759">
        <w:trPr>
          <w:trHeight w:val="300"/>
          <w:tblHeader/>
          <w:jc w:val="center"/>
        </w:trPr>
        <w:tc>
          <w:tcPr>
            <w:tcW w:w="5296" w:type="dxa"/>
            <w:gridSpan w:val="2"/>
            <w:vMerge w:val="restart"/>
            <w:tcBorders>
              <w:top w:val="single" w:sz="4"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ind w:firstLine="360"/>
              <w:jc w:val="center"/>
              <w:rPr>
                <w:b/>
                <w:bCs/>
                <w:color w:val="FFFFFF"/>
                <w:sz w:val="20"/>
                <w:szCs w:val="18"/>
              </w:rPr>
            </w:pPr>
            <w:r w:rsidRPr="00AE6EDB">
              <w:rPr>
                <w:b/>
                <w:bCs/>
                <w:color w:val="FFFFFF"/>
                <w:sz w:val="20"/>
                <w:szCs w:val="18"/>
              </w:rPr>
              <w:t>Indikátor</w:t>
            </w:r>
          </w:p>
        </w:tc>
        <w:tc>
          <w:tcPr>
            <w:tcW w:w="1276" w:type="dxa"/>
            <w:gridSpan w:val="3"/>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color w:val="FFFFFF"/>
                <w:sz w:val="20"/>
                <w:szCs w:val="18"/>
              </w:rPr>
            </w:pPr>
            <w:r w:rsidRPr="00AE6EDB">
              <w:rPr>
                <w:b/>
                <w:bCs/>
                <w:color w:val="FFFFFF"/>
                <w:sz w:val="20"/>
                <w:szCs w:val="18"/>
              </w:rPr>
              <w:t>Ženy</w:t>
            </w:r>
          </w:p>
        </w:tc>
        <w:tc>
          <w:tcPr>
            <w:tcW w:w="1224"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rPr>
                <w:b/>
                <w:bCs/>
                <w:color w:val="FFFFFF"/>
                <w:sz w:val="20"/>
                <w:szCs w:val="18"/>
              </w:rPr>
            </w:pPr>
            <w:r w:rsidRPr="00AE6EDB">
              <w:rPr>
                <w:b/>
                <w:bCs/>
                <w:color w:val="FFFFFF"/>
                <w:sz w:val="20"/>
                <w:szCs w:val="18"/>
              </w:rPr>
              <w:t>Muži</w:t>
            </w:r>
          </w:p>
        </w:tc>
        <w:tc>
          <w:tcPr>
            <w:tcW w:w="1560"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0A7585" w:rsidRPr="00AE6EDB" w:rsidRDefault="000A7585" w:rsidP="00DE0EEC">
            <w:pPr>
              <w:jc w:val="center"/>
              <w:rPr>
                <w:b/>
                <w:bCs/>
                <w:color w:val="FFFFFF"/>
                <w:sz w:val="20"/>
                <w:szCs w:val="18"/>
              </w:rPr>
            </w:pPr>
            <w:r w:rsidRPr="00AE6EDB">
              <w:rPr>
                <w:b/>
                <w:bCs/>
                <w:color w:val="FFFFFF"/>
                <w:sz w:val="20"/>
                <w:szCs w:val="18"/>
              </w:rPr>
              <w:t>Rodový rozdiel *</w:t>
            </w:r>
          </w:p>
        </w:tc>
      </w:tr>
      <w:tr w:rsidR="000A7585" w:rsidRPr="00AE6EDB" w:rsidTr="00411759">
        <w:trPr>
          <w:trHeight w:val="300"/>
          <w:tblHeader/>
          <w:jc w:val="center"/>
        </w:trPr>
        <w:tc>
          <w:tcPr>
            <w:tcW w:w="5296" w:type="dxa"/>
            <w:gridSpan w:val="2"/>
            <w:vMerge/>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tcPr>
          <w:p w:rsidR="000A7585" w:rsidRPr="00AE6EDB" w:rsidRDefault="000A7585" w:rsidP="00DE0EEC">
            <w:pPr>
              <w:ind w:firstLine="360"/>
              <w:rPr>
                <w:b/>
                <w:bCs/>
                <w:sz w:val="20"/>
                <w:szCs w:val="18"/>
              </w:rPr>
            </w:pP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EU28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SK</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EU28</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0A7585" w:rsidRPr="00AE6EDB" w:rsidRDefault="000A7585" w:rsidP="00DE0EEC">
            <w:pPr>
              <w:jc w:val="center"/>
              <w:rPr>
                <w:b/>
                <w:bCs/>
                <w:sz w:val="20"/>
                <w:szCs w:val="16"/>
              </w:rPr>
            </w:pPr>
            <w:r w:rsidRPr="00AE6EDB">
              <w:rPr>
                <w:b/>
                <w:bCs/>
                <w:sz w:val="20"/>
                <w:szCs w:val="16"/>
              </w:rPr>
              <w:t>EU28</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Miera zamestna</w:t>
            </w:r>
            <w:r w:rsidR="00BF040F" w:rsidRPr="00AE6EDB">
              <w:rPr>
                <w:bCs/>
                <w:sz w:val="20"/>
                <w:szCs w:val="16"/>
              </w:rPr>
              <w:t xml:space="preserve">nosti </w:t>
            </w:r>
            <w:r w:rsidR="00BF040F" w:rsidRPr="00AE6EDB">
              <w:rPr>
                <w:bCs/>
                <w:sz w:val="20"/>
                <w:szCs w:val="16"/>
              </w:rPr>
              <w:br/>
              <w:t>(v</w:t>
            </w:r>
            <w:r w:rsidR="005676EF">
              <w:rPr>
                <w:bCs/>
                <w:sz w:val="20"/>
                <w:szCs w:val="16"/>
              </w:rPr>
              <w:t> %</w:t>
            </w:r>
            <w:r w:rsidR="00BF040F" w:rsidRPr="00AE6EDB">
              <w:rPr>
                <w:bCs/>
                <w:sz w:val="20"/>
                <w:szCs w:val="16"/>
              </w:rPr>
              <w:t>, 20 – 64 rokov, 2015</w:t>
            </w:r>
            <w:r w:rsidRPr="00AE6EDB">
              <w:rPr>
                <w:bCs/>
                <w:sz w:val="20"/>
                <w:szCs w:val="16"/>
              </w:rPr>
              <w:t xml:space="preserve">, ŠÚ SR a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F040F" w:rsidP="00DE0EEC">
            <w:pPr>
              <w:jc w:val="center"/>
              <w:rPr>
                <w:sz w:val="20"/>
                <w:szCs w:val="16"/>
              </w:rPr>
            </w:pPr>
            <w:r w:rsidRPr="00AE6EDB">
              <w:rPr>
                <w:sz w:val="20"/>
                <w:szCs w:val="16"/>
              </w:rPr>
              <w:t>60,3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F040F" w:rsidP="00DE0EEC">
            <w:pPr>
              <w:jc w:val="center"/>
              <w:rPr>
                <w:sz w:val="20"/>
                <w:szCs w:val="16"/>
              </w:rPr>
            </w:pPr>
            <w:r w:rsidRPr="00AE6EDB">
              <w:rPr>
                <w:sz w:val="20"/>
                <w:szCs w:val="16"/>
              </w:rPr>
              <w:t>64,3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F040F" w:rsidP="00BF040F">
            <w:pPr>
              <w:jc w:val="center"/>
              <w:rPr>
                <w:sz w:val="20"/>
                <w:szCs w:val="16"/>
              </w:rPr>
            </w:pPr>
            <w:r w:rsidRPr="00AE6EDB">
              <w:rPr>
                <w:sz w:val="20"/>
                <w:szCs w:val="16"/>
              </w:rPr>
              <w:t>75,0</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BF040F">
            <w:pPr>
              <w:jc w:val="center"/>
              <w:rPr>
                <w:sz w:val="20"/>
                <w:szCs w:val="16"/>
              </w:rPr>
            </w:pPr>
            <w:r w:rsidRPr="00AE6EDB">
              <w:rPr>
                <w:sz w:val="20"/>
                <w:szCs w:val="16"/>
              </w:rPr>
              <w:t>75,</w:t>
            </w:r>
            <w:r w:rsidR="00BF040F" w:rsidRPr="00AE6EDB">
              <w:rPr>
                <w:sz w:val="20"/>
                <w:szCs w:val="16"/>
              </w:rPr>
              <w:t>9</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BF040F">
            <w:pPr>
              <w:jc w:val="center"/>
              <w:rPr>
                <w:b/>
                <w:bCs/>
                <w:sz w:val="20"/>
                <w:szCs w:val="16"/>
              </w:rPr>
            </w:pPr>
            <w:r w:rsidRPr="00AE6EDB">
              <w:rPr>
                <w:b/>
                <w:bCs/>
                <w:sz w:val="20"/>
                <w:szCs w:val="16"/>
              </w:rPr>
              <w:t>14,</w:t>
            </w:r>
            <w:r w:rsidR="00BF040F" w:rsidRPr="00AE6EDB">
              <w:rPr>
                <w:b/>
                <w:bCs/>
                <w:sz w:val="20"/>
                <w:szCs w:val="16"/>
              </w:rPr>
              <w:t>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BF040F">
            <w:pPr>
              <w:jc w:val="center"/>
              <w:rPr>
                <w:sz w:val="20"/>
                <w:szCs w:val="16"/>
              </w:rPr>
            </w:pPr>
            <w:r w:rsidRPr="00AE6EDB">
              <w:rPr>
                <w:sz w:val="20"/>
                <w:szCs w:val="16"/>
              </w:rPr>
              <w:t>11,</w:t>
            </w:r>
            <w:r w:rsidR="00BF040F" w:rsidRPr="00AE6EDB">
              <w:rPr>
                <w:sz w:val="20"/>
                <w:szCs w:val="16"/>
              </w:rPr>
              <w:t>6</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39741C">
            <w:pPr>
              <w:jc w:val="left"/>
              <w:rPr>
                <w:bCs/>
                <w:sz w:val="20"/>
                <w:szCs w:val="16"/>
              </w:rPr>
            </w:pPr>
            <w:r w:rsidRPr="00AE6EDB">
              <w:rPr>
                <w:bCs/>
                <w:sz w:val="20"/>
                <w:szCs w:val="16"/>
              </w:rPr>
              <w:t xml:space="preserve">Miera zamestnanosti </w:t>
            </w:r>
            <w:r w:rsidRPr="00AE6EDB">
              <w:rPr>
                <w:bCs/>
                <w:sz w:val="20"/>
                <w:szCs w:val="16"/>
              </w:rPr>
              <w:br/>
              <w:t>(v</w:t>
            </w:r>
            <w:r w:rsidR="005676EF">
              <w:rPr>
                <w:bCs/>
                <w:sz w:val="20"/>
                <w:szCs w:val="16"/>
              </w:rPr>
              <w:t> %</w:t>
            </w:r>
            <w:r w:rsidRPr="00AE6EDB">
              <w:rPr>
                <w:bCs/>
                <w:sz w:val="20"/>
                <w:szCs w:val="16"/>
              </w:rPr>
              <w:t>, 15 – 64 rokov, 201</w:t>
            </w:r>
            <w:r w:rsidR="0039741C" w:rsidRPr="00AE6EDB">
              <w:rPr>
                <w:bCs/>
                <w:sz w:val="20"/>
                <w:szCs w:val="16"/>
              </w:rPr>
              <w:t>5</w:t>
            </w:r>
            <w:r w:rsidRPr="00AE6EDB">
              <w:rPr>
                <w:bCs/>
                <w:sz w:val="20"/>
                <w:szCs w:val="16"/>
              </w:rPr>
              <w:t xml:space="preserve">, ŠÚ SR a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55,9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47517F" w:rsidP="00DE0EEC">
            <w:pPr>
              <w:jc w:val="center"/>
              <w:rPr>
                <w:sz w:val="20"/>
                <w:szCs w:val="16"/>
              </w:rPr>
            </w:pPr>
            <w:r w:rsidRPr="00AE6EDB">
              <w:rPr>
                <w:sz w:val="20"/>
                <w:szCs w:val="16"/>
              </w:rPr>
              <w:t>60,4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69,4</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47517F" w:rsidP="00DE0EEC">
            <w:pPr>
              <w:jc w:val="center"/>
              <w:rPr>
                <w:sz w:val="20"/>
                <w:szCs w:val="16"/>
              </w:rPr>
            </w:pPr>
            <w:r w:rsidRPr="00AE6EDB">
              <w:rPr>
                <w:sz w:val="20"/>
                <w:szCs w:val="16"/>
              </w:rPr>
              <w:t>70,9</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b/>
                <w:bCs/>
                <w:sz w:val="20"/>
                <w:szCs w:val="16"/>
              </w:rPr>
            </w:pPr>
            <w:r w:rsidRPr="00AE6EDB">
              <w:rPr>
                <w:b/>
                <w:bCs/>
                <w:sz w:val="20"/>
                <w:szCs w:val="16"/>
              </w:rPr>
              <w:t>13,5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47517F" w:rsidP="00DE0EEC">
            <w:pPr>
              <w:jc w:val="center"/>
              <w:rPr>
                <w:sz w:val="20"/>
                <w:szCs w:val="16"/>
              </w:rPr>
            </w:pPr>
            <w:r w:rsidRPr="00AE6EDB">
              <w:rPr>
                <w:sz w:val="20"/>
                <w:szCs w:val="16"/>
              </w:rPr>
              <w:t>10,5</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39741C">
            <w:pPr>
              <w:jc w:val="left"/>
              <w:rPr>
                <w:bCs/>
                <w:sz w:val="20"/>
                <w:szCs w:val="16"/>
              </w:rPr>
            </w:pPr>
            <w:r w:rsidRPr="00AE6EDB">
              <w:rPr>
                <w:bCs/>
                <w:sz w:val="20"/>
                <w:szCs w:val="16"/>
              </w:rPr>
              <w:t xml:space="preserve">Miera zamestnanosti mladých </w:t>
            </w:r>
            <w:r w:rsidRPr="00AE6EDB">
              <w:rPr>
                <w:bCs/>
                <w:sz w:val="20"/>
                <w:szCs w:val="16"/>
              </w:rPr>
              <w:br/>
              <w:t>(v</w:t>
            </w:r>
            <w:r w:rsidR="005676EF">
              <w:rPr>
                <w:bCs/>
                <w:sz w:val="20"/>
                <w:szCs w:val="16"/>
              </w:rPr>
              <w:t> %</w:t>
            </w:r>
            <w:r w:rsidRPr="00AE6EDB">
              <w:rPr>
                <w:bCs/>
                <w:sz w:val="20"/>
                <w:szCs w:val="16"/>
              </w:rPr>
              <w:t>, 15 – 24 rokov, 201</w:t>
            </w:r>
            <w:r w:rsidR="0039741C" w:rsidRPr="00AE6EDB">
              <w:rPr>
                <w:bCs/>
                <w:sz w:val="20"/>
                <w:szCs w:val="16"/>
              </w:rPr>
              <w:t>5</w:t>
            </w:r>
            <w:r w:rsidRPr="00AE6EDB">
              <w:rPr>
                <w:bCs/>
                <w:sz w:val="20"/>
                <w:szCs w:val="16"/>
              </w:rPr>
              <w:t xml:space="preserve">, ŠÚ SR a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18,0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31,2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28,4</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34,9</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39741C" w:rsidP="00DE0EEC">
            <w:pPr>
              <w:jc w:val="center"/>
              <w:rPr>
                <w:b/>
                <w:bCs/>
                <w:sz w:val="20"/>
                <w:szCs w:val="16"/>
              </w:rPr>
            </w:pPr>
            <w:r w:rsidRPr="00AE6EDB">
              <w:rPr>
                <w:b/>
                <w:bCs/>
                <w:sz w:val="20"/>
                <w:szCs w:val="16"/>
              </w:rPr>
              <w:t>10,4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39741C" w:rsidP="00DE0EEC">
            <w:pPr>
              <w:jc w:val="center"/>
              <w:rPr>
                <w:sz w:val="20"/>
                <w:szCs w:val="16"/>
              </w:rPr>
            </w:pPr>
            <w:r w:rsidRPr="00AE6EDB">
              <w:rPr>
                <w:sz w:val="20"/>
                <w:szCs w:val="16"/>
              </w:rPr>
              <w:t>3,7</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9F3E38">
            <w:pPr>
              <w:jc w:val="left"/>
              <w:rPr>
                <w:bCs/>
                <w:sz w:val="20"/>
                <w:szCs w:val="16"/>
              </w:rPr>
            </w:pPr>
            <w:r w:rsidRPr="00AE6EDB">
              <w:rPr>
                <w:bCs/>
                <w:sz w:val="20"/>
                <w:szCs w:val="16"/>
              </w:rPr>
              <w:t>Miera zamestnanosti starších (v</w:t>
            </w:r>
            <w:r w:rsidR="005676EF">
              <w:rPr>
                <w:bCs/>
                <w:sz w:val="20"/>
                <w:szCs w:val="16"/>
              </w:rPr>
              <w:t> %</w:t>
            </w:r>
            <w:r w:rsidRPr="00AE6EDB">
              <w:rPr>
                <w:bCs/>
                <w:sz w:val="20"/>
                <w:szCs w:val="16"/>
              </w:rPr>
              <w:t>, 55 – 64 rokov, 201</w:t>
            </w:r>
            <w:r w:rsidR="009F3E38" w:rsidRPr="00AE6EDB">
              <w:rPr>
                <w:bCs/>
                <w:sz w:val="20"/>
                <w:szCs w:val="16"/>
              </w:rPr>
              <w:t>5</w:t>
            </w:r>
            <w:r w:rsidRPr="00AE6EDB">
              <w:rPr>
                <w:bCs/>
                <w:sz w:val="20"/>
                <w:szCs w:val="16"/>
              </w:rPr>
              <w:t xml:space="preserve">, </w:t>
            </w:r>
            <w:proofErr w:type="spellStart"/>
            <w:r w:rsidR="009F3E38"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9F3E38" w:rsidP="00DE0EEC">
            <w:pPr>
              <w:jc w:val="center"/>
              <w:rPr>
                <w:sz w:val="20"/>
                <w:szCs w:val="16"/>
              </w:rPr>
            </w:pPr>
            <w:r w:rsidRPr="00AE6EDB">
              <w:rPr>
                <w:sz w:val="20"/>
                <w:szCs w:val="16"/>
              </w:rPr>
              <w:t>41,0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9F3E38" w:rsidP="00DE0EEC">
            <w:pPr>
              <w:jc w:val="center"/>
              <w:rPr>
                <w:sz w:val="20"/>
                <w:szCs w:val="16"/>
              </w:rPr>
            </w:pPr>
            <w:r w:rsidRPr="00AE6EDB">
              <w:rPr>
                <w:sz w:val="20"/>
                <w:szCs w:val="16"/>
              </w:rPr>
              <w:t>46,9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9F3E38" w:rsidP="00DE0EEC">
            <w:pPr>
              <w:jc w:val="center"/>
              <w:rPr>
                <w:sz w:val="20"/>
                <w:szCs w:val="16"/>
              </w:rPr>
            </w:pPr>
            <w:r w:rsidRPr="00AE6EDB">
              <w:rPr>
                <w:sz w:val="20"/>
                <w:szCs w:val="16"/>
              </w:rPr>
              <w:t>53,6</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9F3E38" w:rsidP="00DE0EEC">
            <w:pPr>
              <w:jc w:val="center"/>
              <w:rPr>
                <w:sz w:val="20"/>
                <w:szCs w:val="16"/>
              </w:rPr>
            </w:pPr>
            <w:r w:rsidRPr="00AE6EDB">
              <w:rPr>
                <w:sz w:val="20"/>
                <w:szCs w:val="16"/>
              </w:rPr>
              <w:t>60,1</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9F3E38" w:rsidP="00DE0EEC">
            <w:pPr>
              <w:jc w:val="center"/>
              <w:rPr>
                <w:b/>
                <w:bCs/>
                <w:sz w:val="20"/>
                <w:szCs w:val="16"/>
              </w:rPr>
            </w:pPr>
            <w:r w:rsidRPr="00AE6EDB">
              <w:rPr>
                <w:b/>
                <w:bCs/>
                <w:sz w:val="20"/>
                <w:szCs w:val="16"/>
              </w:rPr>
              <w:t>12,6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9F3E38" w:rsidP="00DE0EEC">
            <w:pPr>
              <w:jc w:val="center"/>
              <w:rPr>
                <w:sz w:val="20"/>
                <w:szCs w:val="16"/>
              </w:rPr>
            </w:pPr>
            <w:r w:rsidRPr="00AE6EDB">
              <w:rPr>
                <w:sz w:val="20"/>
                <w:szCs w:val="16"/>
              </w:rPr>
              <w:t>13,2</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9F3E38">
            <w:pPr>
              <w:jc w:val="left"/>
              <w:rPr>
                <w:bCs/>
                <w:sz w:val="20"/>
                <w:szCs w:val="16"/>
              </w:rPr>
            </w:pPr>
            <w:r w:rsidRPr="00AE6EDB">
              <w:rPr>
                <w:bCs/>
                <w:sz w:val="20"/>
                <w:szCs w:val="16"/>
              </w:rPr>
              <w:t xml:space="preserve">Miera nezamestnanosti </w:t>
            </w:r>
            <w:r w:rsidRPr="00AE6EDB">
              <w:rPr>
                <w:bCs/>
                <w:sz w:val="20"/>
                <w:szCs w:val="16"/>
              </w:rPr>
              <w:br/>
              <w:t>(v</w:t>
            </w:r>
            <w:r w:rsidR="005676EF">
              <w:rPr>
                <w:bCs/>
                <w:sz w:val="20"/>
                <w:szCs w:val="16"/>
              </w:rPr>
              <w:t> %</w:t>
            </w:r>
            <w:r w:rsidRPr="00AE6EDB">
              <w:rPr>
                <w:bCs/>
                <w:sz w:val="20"/>
                <w:szCs w:val="16"/>
              </w:rPr>
              <w:t>, všetky vekové skupiny, 201</w:t>
            </w:r>
            <w:r w:rsidR="009F3E38" w:rsidRPr="00AE6EDB">
              <w:rPr>
                <w:bCs/>
                <w:sz w:val="20"/>
                <w:szCs w:val="16"/>
              </w:rPr>
              <w:t>5</w:t>
            </w:r>
            <w:r w:rsidRPr="00AE6EDB">
              <w:rPr>
                <w:bCs/>
                <w:sz w:val="20"/>
                <w:szCs w:val="16"/>
              </w:rPr>
              <w:t xml:space="preserve">, ŠÚ SR a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12,9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9,5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10,3</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9,3</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b/>
                <w:bCs/>
                <w:sz w:val="20"/>
                <w:szCs w:val="16"/>
              </w:rPr>
            </w:pPr>
            <w:r w:rsidRPr="00AE6EDB">
              <w:rPr>
                <w:b/>
                <w:bCs/>
                <w:sz w:val="20"/>
                <w:szCs w:val="16"/>
              </w:rPr>
              <w:t>-2,6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-0,2</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A21736">
            <w:pPr>
              <w:jc w:val="left"/>
              <w:rPr>
                <w:bCs/>
                <w:sz w:val="20"/>
                <w:szCs w:val="16"/>
              </w:rPr>
            </w:pPr>
            <w:r w:rsidRPr="00AE6EDB">
              <w:rPr>
                <w:bCs/>
                <w:sz w:val="20"/>
                <w:szCs w:val="16"/>
              </w:rPr>
              <w:t xml:space="preserve">Miera nezamestnanosti mladých </w:t>
            </w:r>
            <w:r w:rsidRPr="00AE6EDB">
              <w:rPr>
                <w:bCs/>
                <w:sz w:val="20"/>
                <w:szCs w:val="16"/>
              </w:rPr>
              <w:br/>
              <w:t>(v</w:t>
            </w:r>
            <w:r w:rsidR="005676EF">
              <w:rPr>
                <w:bCs/>
                <w:sz w:val="20"/>
                <w:szCs w:val="16"/>
              </w:rPr>
              <w:t> %</w:t>
            </w:r>
            <w:r w:rsidRPr="00AE6EDB">
              <w:rPr>
                <w:bCs/>
                <w:sz w:val="20"/>
                <w:szCs w:val="16"/>
              </w:rPr>
              <w:t>, 15 – 24 rokov, 201</w:t>
            </w:r>
            <w:r w:rsidR="00A21736" w:rsidRPr="00AE6EDB">
              <w:rPr>
                <w:bCs/>
                <w:sz w:val="20"/>
                <w:szCs w:val="16"/>
              </w:rPr>
              <w:t>5</w:t>
            </w:r>
            <w:r w:rsidRPr="00AE6EDB">
              <w:rPr>
                <w:bCs/>
                <w:sz w:val="20"/>
                <w:szCs w:val="16"/>
              </w:rPr>
              <w:t>, ŠÚ SR a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27,5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19,5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25,8</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21,1</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b/>
                <w:bCs/>
                <w:sz w:val="20"/>
                <w:szCs w:val="16"/>
              </w:rPr>
            </w:pPr>
            <w:r w:rsidRPr="00AE6EDB">
              <w:rPr>
                <w:b/>
                <w:bCs/>
                <w:sz w:val="20"/>
                <w:szCs w:val="16"/>
              </w:rPr>
              <w:t>-1,7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1,6</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A21736">
            <w:pPr>
              <w:jc w:val="left"/>
              <w:rPr>
                <w:bCs/>
                <w:sz w:val="20"/>
                <w:szCs w:val="16"/>
              </w:rPr>
            </w:pPr>
            <w:r w:rsidRPr="00AE6EDB">
              <w:rPr>
                <w:bCs/>
                <w:sz w:val="20"/>
                <w:szCs w:val="16"/>
              </w:rPr>
              <w:t xml:space="preserve">Index rodovej segregácie v zamestnaniach </w:t>
            </w:r>
            <w:r w:rsidRPr="00AE6EDB">
              <w:rPr>
                <w:bCs/>
                <w:sz w:val="20"/>
                <w:szCs w:val="16"/>
              </w:rPr>
              <w:br/>
              <w:t>(index z intervalu 0 – 50 v</w:t>
            </w:r>
            <w:r w:rsidR="005676EF">
              <w:rPr>
                <w:bCs/>
                <w:sz w:val="20"/>
                <w:szCs w:val="16"/>
              </w:rPr>
              <w:t> %</w:t>
            </w:r>
            <w:r w:rsidRPr="00AE6EDB">
              <w:rPr>
                <w:bCs/>
                <w:sz w:val="20"/>
                <w:szCs w:val="16"/>
              </w:rPr>
              <w:t>; 201</w:t>
            </w:r>
            <w:r w:rsidR="00A21736" w:rsidRPr="00AE6EDB">
              <w:rPr>
                <w:bCs/>
                <w:sz w:val="20"/>
                <w:szCs w:val="16"/>
              </w:rPr>
              <w:t>4</w:t>
            </w:r>
            <w:r w:rsidRPr="00AE6EDB">
              <w:rPr>
                <w:bCs/>
                <w:sz w:val="20"/>
                <w:szCs w:val="16"/>
              </w:rPr>
              <w:t>, GR)</w:t>
            </w:r>
          </w:p>
        </w:tc>
        <w:tc>
          <w:tcPr>
            <w:tcW w:w="3351"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F7834">
            <w:pPr>
              <w:ind w:right="226"/>
              <w:jc w:val="right"/>
              <w:rPr>
                <w:b/>
                <w:bCs/>
                <w:sz w:val="20"/>
                <w:szCs w:val="16"/>
              </w:rPr>
            </w:pPr>
            <w:r w:rsidRPr="00AE6EDB">
              <w:rPr>
                <w:b/>
                <w:bCs/>
                <w:sz w:val="20"/>
                <w:szCs w:val="16"/>
              </w:rPr>
              <w:t>30,8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24,4</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A21736">
            <w:pPr>
              <w:jc w:val="left"/>
              <w:rPr>
                <w:bCs/>
                <w:sz w:val="20"/>
                <w:szCs w:val="16"/>
              </w:rPr>
            </w:pPr>
            <w:r w:rsidRPr="00AE6EDB">
              <w:rPr>
                <w:bCs/>
                <w:sz w:val="20"/>
                <w:szCs w:val="16"/>
              </w:rPr>
              <w:t xml:space="preserve">Index rodovej segregácie v sektoroch </w:t>
            </w:r>
            <w:r w:rsidRPr="00AE6EDB">
              <w:rPr>
                <w:bCs/>
                <w:sz w:val="20"/>
                <w:szCs w:val="16"/>
              </w:rPr>
              <w:br/>
              <w:t>(index z intervalu 0 – 50 v</w:t>
            </w:r>
            <w:r w:rsidR="005676EF">
              <w:rPr>
                <w:bCs/>
                <w:sz w:val="20"/>
                <w:szCs w:val="16"/>
              </w:rPr>
              <w:t> %</w:t>
            </w:r>
            <w:r w:rsidRPr="00AE6EDB">
              <w:rPr>
                <w:bCs/>
                <w:sz w:val="20"/>
                <w:szCs w:val="16"/>
              </w:rPr>
              <w:t>; 201</w:t>
            </w:r>
            <w:r w:rsidR="00A21736" w:rsidRPr="00AE6EDB">
              <w:rPr>
                <w:bCs/>
                <w:sz w:val="20"/>
                <w:szCs w:val="16"/>
              </w:rPr>
              <w:t>4</w:t>
            </w:r>
            <w:r w:rsidRPr="00AE6EDB">
              <w:rPr>
                <w:bCs/>
                <w:sz w:val="20"/>
                <w:szCs w:val="16"/>
              </w:rPr>
              <w:t>, GR)</w:t>
            </w:r>
          </w:p>
        </w:tc>
        <w:tc>
          <w:tcPr>
            <w:tcW w:w="3351"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F7834">
            <w:pPr>
              <w:ind w:right="226"/>
              <w:jc w:val="right"/>
              <w:rPr>
                <w:b/>
                <w:bCs/>
                <w:sz w:val="20"/>
                <w:szCs w:val="16"/>
              </w:rPr>
            </w:pPr>
            <w:r w:rsidRPr="00AE6EDB">
              <w:rPr>
                <w:b/>
                <w:bCs/>
                <w:sz w:val="20"/>
                <w:szCs w:val="16"/>
              </w:rPr>
              <w:t>23,9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 xml:space="preserve">18,9 </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A21736">
            <w:pPr>
              <w:jc w:val="left"/>
              <w:rPr>
                <w:bCs/>
                <w:sz w:val="20"/>
                <w:szCs w:val="16"/>
              </w:rPr>
            </w:pPr>
            <w:r w:rsidRPr="00AE6EDB">
              <w:rPr>
                <w:bCs/>
                <w:sz w:val="20"/>
                <w:szCs w:val="16"/>
              </w:rPr>
              <w:t xml:space="preserve">Rodový mzdový rozdiel v neupravenej forme </w:t>
            </w:r>
            <w:r w:rsidRPr="00AE6EDB">
              <w:rPr>
                <w:bCs/>
                <w:sz w:val="20"/>
                <w:szCs w:val="16"/>
              </w:rPr>
              <w:br/>
              <w:t>(priemerná hodinová mzda v</w:t>
            </w:r>
            <w:r w:rsidR="005676EF">
              <w:rPr>
                <w:bCs/>
                <w:sz w:val="20"/>
                <w:szCs w:val="16"/>
              </w:rPr>
              <w:t> %</w:t>
            </w:r>
            <w:r w:rsidRPr="00AE6EDB">
              <w:rPr>
                <w:bCs/>
                <w:sz w:val="20"/>
                <w:szCs w:val="16"/>
              </w:rPr>
              <w:t>, 2014, GR)</w:t>
            </w:r>
          </w:p>
        </w:tc>
        <w:tc>
          <w:tcPr>
            <w:tcW w:w="3351"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F7834">
            <w:pPr>
              <w:ind w:right="226"/>
              <w:jc w:val="right"/>
              <w:rPr>
                <w:b/>
                <w:bCs/>
                <w:sz w:val="20"/>
                <w:szCs w:val="16"/>
              </w:rPr>
            </w:pPr>
            <w:r w:rsidRPr="00AE6EDB">
              <w:rPr>
                <w:b/>
                <w:bCs/>
                <w:sz w:val="20"/>
                <w:szCs w:val="16"/>
              </w:rPr>
              <w:t>21,1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A21736">
            <w:pPr>
              <w:jc w:val="center"/>
              <w:rPr>
                <w:sz w:val="20"/>
                <w:szCs w:val="16"/>
              </w:rPr>
            </w:pPr>
            <w:r w:rsidRPr="00AE6EDB">
              <w:rPr>
                <w:sz w:val="20"/>
                <w:szCs w:val="16"/>
              </w:rPr>
              <w:t>16,</w:t>
            </w:r>
            <w:r w:rsidR="00A21736" w:rsidRPr="00AE6EDB">
              <w:rPr>
                <w:sz w:val="20"/>
                <w:szCs w:val="16"/>
              </w:rPr>
              <w:t>2</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CB52DF">
            <w:pPr>
              <w:jc w:val="left"/>
              <w:rPr>
                <w:bCs/>
                <w:sz w:val="20"/>
                <w:szCs w:val="16"/>
              </w:rPr>
            </w:pPr>
            <w:r w:rsidRPr="00AE6EDB">
              <w:rPr>
                <w:bCs/>
                <w:sz w:val="20"/>
                <w:szCs w:val="16"/>
              </w:rPr>
              <w:t xml:space="preserve">Priemerná hrubá mesačná mzda </w:t>
            </w:r>
            <w:r w:rsidR="000A7585" w:rsidRPr="00AE6EDB">
              <w:rPr>
                <w:bCs/>
                <w:sz w:val="20"/>
                <w:szCs w:val="16"/>
              </w:rPr>
              <w:t xml:space="preserve">v neupravenej forme </w:t>
            </w:r>
            <w:r w:rsidR="000A7585" w:rsidRPr="00AE6EDB">
              <w:rPr>
                <w:bCs/>
                <w:sz w:val="20"/>
                <w:szCs w:val="16"/>
              </w:rPr>
              <w:br/>
              <w:t xml:space="preserve">(v €, </w:t>
            </w:r>
            <w:r w:rsidRPr="00AE6EDB">
              <w:rPr>
                <w:bCs/>
                <w:sz w:val="20"/>
                <w:szCs w:val="16"/>
              </w:rPr>
              <w:t>RMR v</w:t>
            </w:r>
            <w:r w:rsidR="005676EF">
              <w:rPr>
                <w:bCs/>
                <w:sz w:val="20"/>
                <w:szCs w:val="16"/>
              </w:rPr>
              <w:t> %</w:t>
            </w:r>
            <w:r w:rsidRPr="00AE6EDB">
              <w:rPr>
                <w:bCs/>
                <w:sz w:val="20"/>
                <w:szCs w:val="16"/>
              </w:rPr>
              <w:t>; 4Q/</w:t>
            </w:r>
            <w:r w:rsidR="000A7585" w:rsidRPr="00AE6EDB">
              <w:rPr>
                <w:bCs/>
                <w:sz w:val="20"/>
                <w:szCs w:val="16"/>
              </w:rPr>
              <w:t>201</w:t>
            </w:r>
            <w:r w:rsidRPr="00AE6EDB">
              <w:rPr>
                <w:bCs/>
                <w:sz w:val="20"/>
                <w:szCs w:val="16"/>
              </w:rPr>
              <w:t>5</w:t>
            </w:r>
            <w:r w:rsidR="000A7585" w:rsidRPr="00AE6EDB">
              <w:rPr>
                <w:bCs/>
                <w:sz w:val="20"/>
                <w:szCs w:val="16"/>
              </w:rPr>
              <w:t xml:space="preserve">, </w:t>
            </w:r>
            <w:proofErr w:type="spellStart"/>
            <w:r w:rsidR="000A7585" w:rsidRPr="00AE6EDB">
              <w:rPr>
                <w:bCs/>
                <w:sz w:val="20"/>
                <w:szCs w:val="16"/>
              </w:rPr>
              <w:t>Trexima</w:t>
            </w:r>
            <w:proofErr w:type="spellEnd"/>
            <w:r w:rsidR="000A7585"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r w:rsidRPr="00AE6EDB">
              <w:rPr>
                <w:sz w:val="20"/>
                <w:szCs w:val="16"/>
              </w:rPr>
              <w:t>861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4295F" w:rsidP="00DE0EEC">
            <w:pPr>
              <w:jc w:val="center"/>
              <w:rPr>
                <w:sz w:val="20"/>
                <w:szCs w:val="16"/>
              </w:rPr>
            </w:pPr>
            <w:r>
              <w:rPr>
                <w:sz w:val="20"/>
                <w:szCs w:val="16"/>
              </w:rPr>
              <w:t>1 1</w:t>
            </w:r>
            <w:r w:rsidR="00A21736" w:rsidRPr="00AE6EDB">
              <w:rPr>
                <w:sz w:val="20"/>
                <w:szCs w:val="16"/>
              </w:rPr>
              <w:t>08</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sz w:val="20"/>
                <w:szCs w:val="16"/>
              </w:rPr>
            </w:pPr>
            <w:proofErr w:type="spellStart"/>
            <w:r w:rsidRPr="00AE6EDB">
              <w:rPr>
                <w:sz w:val="20"/>
                <w:szCs w:val="16"/>
              </w:rPr>
              <w:t>n.a</w:t>
            </w:r>
            <w:proofErr w:type="spellEnd"/>
            <w:r w:rsidRPr="00AE6EDB">
              <w:rPr>
                <w:sz w:val="20"/>
                <w:szCs w:val="16"/>
              </w:rPr>
              <w:t>.</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A21736" w:rsidP="00DE0EEC">
            <w:pPr>
              <w:jc w:val="center"/>
              <w:rPr>
                <w:b/>
                <w:bCs/>
                <w:sz w:val="20"/>
                <w:szCs w:val="16"/>
              </w:rPr>
            </w:pPr>
            <w:r w:rsidRPr="00AE6EDB">
              <w:rPr>
                <w:b/>
                <w:bCs/>
                <w:sz w:val="20"/>
                <w:szCs w:val="16"/>
              </w:rPr>
              <w:t>22,3 %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A21736"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283E35">
            <w:pPr>
              <w:jc w:val="left"/>
              <w:rPr>
                <w:bCs/>
                <w:sz w:val="20"/>
                <w:szCs w:val="16"/>
              </w:rPr>
            </w:pPr>
            <w:r w:rsidRPr="00AE6EDB">
              <w:rPr>
                <w:bCs/>
                <w:sz w:val="20"/>
                <w:szCs w:val="16"/>
              </w:rPr>
              <w:t xml:space="preserve">Priemerná hodinová mzda v nepodnikateľskej sfére </w:t>
            </w:r>
            <w:r w:rsidRPr="00AE6EDB">
              <w:rPr>
                <w:bCs/>
                <w:sz w:val="20"/>
                <w:szCs w:val="16"/>
              </w:rPr>
              <w:br/>
              <w:t xml:space="preserve">(v €, </w:t>
            </w:r>
            <w:r w:rsidR="00283E35">
              <w:rPr>
                <w:bCs/>
                <w:sz w:val="20"/>
                <w:szCs w:val="16"/>
              </w:rPr>
              <w:t xml:space="preserve">RMR v %; </w:t>
            </w:r>
            <w:r w:rsidRPr="00AE6EDB">
              <w:rPr>
                <w:bCs/>
                <w:sz w:val="20"/>
                <w:szCs w:val="16"/>
              </w:rPr>
              <w:t>201</w:t>
            </w:r>
            <w:r w:rsidR="00283E35">
              <w:rPr>
                <w:bCs/>
                <w:sz w:val="20"/>
                <w:szCs w:val="16"/>
              </w:rPr>
              <w:t>5</w:t>
            </w:r>
            <w:r w:rsidRPr="00AE6EDB">
              <w:rPr>
                <w:bCs/>
                <w:sz w:val="20"/>
                <w:szCs w:val="16"/>
              </w:rPr>
              <w:t xml:space="preserve">, </w:t>
            </w:r>
            <w:proofErr w:type="spellStart"/>
            <w:r w:rsidRPr="00AE6EDB">
              <w:rPr>
                <w:bCs/>
                <w:sz w:val="20"/>
                <w:szCs w:val="16"/>
              </w:rPr>
              <w:t>Trexima</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66206C" w:rsidP="00DE0EEC">
            <w:pPr>
              <w:jc w:val="center"/>
              <w:rPr>
                <w:sz w:val="20"/>
                <w:szCs w:val="16"/>
              </w:rPr>
            </w:pPr>
            <w:r w:rsidRPr="00AE6EDB">
              <w:rPr>
                <w:sz w:val="20"/>
                <w:szCs w:val="16"/>
              </w:rPr>
              <w:t>5,34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66206C" w:rsidP="00DE0EEC">
            <w:pPr>
              <w:jc w:val="center"/>
              <w:rPr>
                <w:sz w:val="20"/>
                <w:szCs w:val="16"/>
              </w:rPr>
            </w:pPr>
            <w:r w:rsidRPr="00AE6EDB">
              <w:rPr>
                <w:sz w:val="20"/>
                <w:szCs w:val="16"/>
              </w:rPr>
              <w:t>5,85</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283E35" w:rsidP="00283E35">
            <w:pPr>
              <w:jc w:val="center"/>
              <w:rPr>
                <w:b/>
                <w:bCs/>
                <w:sz w:val="20"/>
                <w:szCs w:val="16"/>
              </w:rPr>
            </w:pPr>
            <w:r>
              <w:rPr>
                <w:b/>
                <w:bCs/>
                <w:sz w:val="20"/>
                <w:szCs w:val="16"/>
              </w:rPr>
              <w:t>8,7 %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CB52DF">
            <w:pPr>
              <w:jc w:val="left"/>
              <w:rPr>
                <w:bCs/>
                <w:sz w:val="20"/>
                <w:szCs w:val="16"/>
              </w:rPr>
            </w:pPr>
            <w:r w:rsidRPr="00AE6EDB">
              <w:rPr>
                <w:bCs/>
                <w:sz w:val="20"/>
                <w:szCs w:val="16"/>
              </w:rPr>
              <w:t xml:space="preserve">Priemerná hodinová mzda v podnikateľskej sfére </w:t>
            </w:r>
            <w:r w:rsidRPr="00AE6EDB">
              <w:rPr>
                <w:bCs/>
                <w:sz w:val="20"/>
                <w:szCs w:val="16"/>
              </w:rPr>
              <w:br/>
              <w:t xml:space="preserve">(v €, </w:t>
            </w:r>
            <w:r w:rsidR="00CB52DF" w:rsidRPr="00AE6EDB">
              <w:rPr>
                <w:bCs/>
                <w:sz w:val="20"/>
                <w:szCs w:val="16"/>
              </w:rPr>
              <w:t>RMR v</w:t>
            </w:r>
            <w:r w:rsidR="005676EF">
              <w:rPr>
                <w:bCs/>
                <w:sz w:val="20"/>
                <w:szCs w:val="16"/>
              </w:rPr>
              <w:t> %</w:t>
            </w:r>
            <w:r w:rsidR="00CB52DF" w:rsidRPr="00AE6EDB">
              <w:rPr>
                <w:bCs/>
                <w:sz w:val="20"/>
                <w:szCs w:val="16"/>
              </w:rPr>
              <w:t>; 4Q/</w:t>
            </w:r>
            <w:r w:rsidRPr="00AE6EDB">
              <w:rPr>
                <w:bCs/>
                <w:sz w:val="20"/>
                <w:szCs w:val="16"/>
              </w:rPr>
              <w:t>201</w:t>
            </w:r>
            <w:r w:rsidR="00CB52DF" w:rsidRPr="00AE6EDB">
              <w:rPr>
                <w:bCs/>
                <w:sz w:val="20"/>
                <w:szCs w:val="16"/>
              </w:rPr>
              <w:t>5</w:t>
            </w:r>
            <w:r w:rsidRPr="00AE6EDB">
              <w:rPr>
                <w:bCs/>
                <w:sz w:val="20"/>
                <w:szCs w:val="16"/>
              </w:rPr>
              <w:t xml:space="preserve">, </w:t>
            </w:r>
            <w:proofErr w:type="spellStart"/>
            <w:r w:rsidRPr="00AE6EDB">
              <w:rPr>
                <w:bCs/>
                <w:sz w:val="20"/>
                <w:szCs w:val="16"/>
              </w:rPr>
              <w:t>Trexima</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5,24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6,50</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b/>
                <w:bCs/>
                <w:sz w:val="20"/>
                <w:szCs w:val="16"/>
              </w:rPr>
            </w:pPr>
            <w:r w:rsidRPr="00AE6EDB">
              <w:rPr>
                <w:b/>
                <w:bCs/>
                <w:sz w:val="20"/>
                <w:szCs w:val="16"/>
              </w:rPr>
              <w:t>19,4 %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Rodová distribúcia neplatenej práce rodičov detí do 6 rokov (hod./týždeň, ISSP 2012)</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59,8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27,9</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CB52DF">
            <w:pPr>
              <w:jc w:val="center"/>
              <w:rPr>
                <w:b/>
                <w:bCs/>
                <w:sz w:val="20"/>
                <w:szCs w:val="16"/>
              </w:rPr>
            </w:pPr>
            <w:r w:rsidRPr="00AE6EDB">
              <w:rPr>
                <w:b/>
                <w:bCs/>
                <w:sz w:val="20"/>
                <w:szCs w:val="16"/>
              </w:rPr>
              <w:t>-</w:t>
            </w:r>
            <w:r w:rsidR="000A7585" w:rsidRPr="00AE6EDB">
              <w:rPr>
                <w:b/>
                <w:bCs/>
                <w:sz w:val="20"/>
                <w:szCs w:val="16"/>
              </w:rPr>
              <w:t xml:space="preserve">31,9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 xml:space="preserve">Celková dotácia platenej a neplatenej práce rodičov detí </w:t>
            </w:r>
            <w:r w:rsidRPr="00AE6EDB">
              <w:rPr>
                <w:bCs/>
                <w:sz w:val="20"/>
                <w:szCs w:val="16"/>
              </w:rPr>
              <w:br/>
              <w:t>do 6 rokov (hod./týždeň, ISSP 2012)</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99,3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74,6</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CB52DF">
            <w:pPr>
              <w:jc w:val="center"/>
              <w:rPr>
                <w:b/>
                <w:bCs/>
                <w:sz w:val="20"/>
                <w:szCs w:val="16"/>
              </w:rPr>
            </w:pPr>
            <w:r w:rsidRPr="00AE6EDB">
              <w:rPr>
                <w:b/>
                <w:bCs/>
                <w:sz w:val="20"/>
                <w:szCs w:val="16"/>
              </w:rPr>
              <w:t>-</w:t>
            </w:r>
            <w:r w:rsidR="000A7585" w:rsidRPr="00AE6EDB">
              <w:rPr>
                <w:b/>
                <w:bCs/>
                <w:sz w:val="20"/>
                <w:szCs w:val="16"/>
              </w:rPr>
              <w:t xml:space="preserve">24,7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 xml:space="preserve">Rozdiel v mierach zamestnanosti 20 – 49 ročných žien s deťmi </w:t>
            </w:r>
            <w:r w:rsidRPr="00AE6EDB">
              <w:rPr>
                <w:bCs/>
                <w:sz w:val="20"/>
                <w:szCs w:val="16"/>
              </w:rPr>
              <w:br/>
              <w:t>od 0 – 6 rokov veku a bez deti ( v p. b., 2012, EC)</w:t>
            </w:r>
          </w:p>
        </w:tc>
        <w:tc>
          <w:tcPr>
            <w:tcW w:w="3351"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CB52DF">
            <w:pPr>
              <w:jc w:val="right"/>
              <w:rPr>
                <w:bCs/>
                <w:sz w:val="20"/>
                <w:szCs w:val="16"/>
              </w:rPr>
            </w:pPr>
            <w:r w:rsidRPr="00AE6EDB">
              <w:rPr>
                <w:bCs/>
                <w:sz w:val="20"/>
                <w:szCs w:val="16"/>
              </w:rPr>
              <w:t>-31,8**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-9,7**</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Rozdiel v mierach zamestnanosti 20 – 49 ročných mužov s deťmi od 0 – 6 rokov a bez detí (v p. b., 2012, EC)</w:t>
            </w:r>
          </w:p>
        </w:tc>
        <w:tc>
          <w:tcPr>
            <w:tcW w:w="3351"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CB52DF">
            <w:pPr>
              <w:jc w:val="right"/>
              <w:rPr>
                <w:bCs/>
                <w:sz w:val="20"/>
                <w:szCs w:val="16"/>
              </w:rPr>
            </w:pPr>
            <w:r w:rsidRPr="00AE6EDB">
              <w:rPr>
                <w:bCs/>
                <w:sz w:val="20"/>
                <w:szCs w:val="16"/>
              </w:rPr>
              <w:t>12,2**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11,4**</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left"/>
              <w:rPr>
                <w:bCs/>
                <w:sz w:val="20"/>
                <w:szCs w:val="16"/>
              </w:rPr>
            </w:pPr>
            <w:r w:rsidRPr="00AE6EDB">
              <w:rPr>
                <w:bCs/>
                <w:sz w:val="20"/>
                <w:szCs w:val="16"/>
              </w:rPr>
              <w:t>Podiel populácie vo veku 30 – 34 rokov s vysokoškolským vzdelaním (v</w:t>
            </w:r>
            <w:r w:rsidR="005676EF">
              <w:rPr>
                <w:bCs/>
                <w:sz w:val="20"/>
                <w:szCs w:val="16"/>
              </w:rPr>
              <w:t> %</w:t>
            </w:r>
            <w:r w:rsidRPr="00AE6EDB">
              <w:rPr>
                <w:bCs/>
                <w:sz w:val="20"/>
                <w:szCs w:val="16"/>
              </w:rPr>
              <w:t xml:space="preserve">; ISCED 5-8, 2015,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33,7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43,1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22,3</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33,8</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b/>
                <w:bCs/>
                <w:sz w:val="20"/>
                <w:szCs w:val="16"/>
              </w:rPr>
            </w:pPr>
            <w:r w:rsidRPr="00AE6EDB">
              <w:rPr>
                <w:b/>
                <w:bCs/>
                <w:sz w:val="20"/>
                <w:szCs w:val="16"/>
              </w:rPr>
              <w:t>-11,4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-9,3</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CB52DF">
            <w:pPr>
              <w:jc w:val="left"/>
              <w:rPr>
                <w:bCs/>
                <w:sz w:val="20"/>
                <w:szCs w:val="16"/>
              </w:rPr>
            </w:pPr>
            <w:r w:rsidRPr="00AE6EDB">
              <w:rPr>
                <w:bCs/>
                <w:sz w:val="20"/>
                <w:szCs w:val="16"/>
              </w:rPr>
              <w:t>Skorý odchod zo vzdelávania (% populácie vo veku 18 – 24 rokov s nižším ako SŠ vzdelaním, 201</w:t>
            </w:r>
            <w:r w:rsidR="00CB52DF" w:rsidRPr="00AE6EDB">
              <w:rPr>
                <w:bCs/>
                <w:sz w:val="20"/>
                <w:szCs w:val="16"/>
              </w:rPr>
              <w:t>5</w:t>
            </w:r>
            <w:r w:rsidRPr="00AE6EDB">
              <w:rPr>
                <w:bCs/>
                <w:sz w:val="20"/>
                <w:szCs w:val="16"/>
              </w:rPr>
              <w:t xml:space="preserve">, </w:t>
            </w:r>
            <w:proofErr w:type="spellStart"/>
            <w:r w:rsidRPr="00AE6EDB">
              <w:rPr>
                <w:bCs/>
                <w:sz w:val="20"/>
                <w:szCs w:val="16"/>
              </w:rPr>
              <w:t>E</w:t>
            </w:r>
            <w:r w:rsidR="00CB52DF" w:rsidRPr="00AE6EDB">
              <w:rPr>
                <w:bCs/>
                <w:sz w:val="20"/>
                <w:szCs w:val="16"/>
              </w:rPr>
              <w:t>urostat</w:t>
            </w:r>
            <w:proofErr w:type="spellEnd"/>
            <w:r w:rsidRPr="00AE6EDB">
              <w:rPr>
                <w:bCs/>
                <w:sz w:val="20"/>
                <w:szCs w:val="16"/>
              </w:rPr>
              <w:t xml:space="preserve">) </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9,5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7,2</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12,3</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CB52DF" w:rsidP="00DE0EEC">
            <w:pPr>
              <w:jc w:val="center"/>
              <w:rPr>
                <w:b/>
                <w:bCs/>
                <w:sz w:val="20"/>
                <w:szCs w:val="16"/>
              </w:rPr>
            </w:pPr>
            <w:r w:rsidRPr="00AE6EDB">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CB52DF" w:rsidP="00DE0EEC">
            <w:pPr>
              <w:jc w:val="center"/>
              <w:rPr>
                <w:sz w:val="20"/>
                <w:szCs w:val="16"/>
              </w:rPr>
            </w:pPr>
            <w:r w:rsidRPr="00AE6EDB">
              <w:rPr>
                <w:sz w:val="20"/>
                <w:szCs w:val="16"/>
              </w:rPr>
              <w:t>2,8</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5B3E58">
            <w:pPr>
              <w:jc w:val="left"/>
              <w:rPr>
                <w:bCs/>
                <w:sz w:val="20"/>
                <w:szCs w:val="16"/>
              </w:rPr>
            </w:pPr>
            <w:r w:rsidRPr="00AE6EDB">
              <w:rPr>
                <w:bCs/>
                <w:sz w:val="20"/>
                <w:szCs w:val="16"/>
              </w:rPr>
              <w:t>Mladí ľudia vo veku 15 – 24 rokov mimo zamestnania i vzdelávania – NEET (v</w:t>
            </w:r>
            <w:r w:rsidR="005676EF">
              <w:rPr>
                <w:bCs/>
                <w:sz w:val="20"/>
                <w:szCs w:val="16"/>
              </w:rPr>
              <w:t> %</w:t>
            </w:r>
            <w:r w:rsidRPr="00AE6EDB">
              <w:rPr>
                <w:bCs/>
                <w:sz w:val="20"/>
                <w:szCs w:val="16"/>
              </w:rPr>
              <w:t>, 201</w:t>
            </w:r>
            <w:r w:rsidR="005B3E58" w:rsidRPr="00AE6EDB">
              <w:rPr>
                <w:bCs/>
                <w:sz w:val="20"/>
                <w:szCs w:val="16"/>
              </w:rPr>
              <w:t>5</w:t>
            </w:r>
            <w:r w:rsidRPr="00AE6EDB">
              <w:rPr>
                <w:bCs/>
                <w:sz w:val="20"/>
                <w:szCs w:val="16"/>
              </w:rPr>
              <w:t xml:space="preserve">, </w:t>
            </w:r>
            <w:proofErr w:type="spellStart"/>
            <w:r w:rsidRPr="00AE6EDB">
              <w:rPr>
                <w:bCs/>
                <w:sz w:val="20"/>
                <w:szCs w:val="16"/>
              </w:rPr>
              <w:t>E</w:t>
            </w:r>
            <w:r w:rsidR="005B3E58" w:rsidRPr="00AE6EDB">
              <w:rPr>
                <w:bCs/>
                <w:sz w:val="20"/>
                <w:szCs w:val="16"/>
              </w:rPr>
              <w:t>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14,2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12,3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13,3</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11,7</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-0,9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-0,6</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5B3E58">
            <w:pPr>
              <w:jc w:val="left"/>
              <w:rPr>
                <w:bCs/>
                <w:sz w:val="20"/>
                <w:szCs w:val="16"/>
              </w:rPr>
            </w:pPr>
            <w:r w:rsidRPr="00AE6EDB">
              <w:rPr>
                <w:bCs/>
                <w:sz w:val="20"/>
                <w:szCs w:val="16"/>
              </w:rPr>
              <w:t xml:space="preserve">Miera rizika príjmovej chudoby </w:t>
            </w:r>
            <w:r w:rsidRPr="00AE6EDB">
              <w:rPr>
                <w:bCs/>
                <w:sz w:val="20"/>
                <w:szCs w:val="16"/>
              </w:rPr>
              <w:br/>
              <w:t>(v</w:t>
            </w:r>
            <w:r w:rsidR="005676EF">
              <w:rPr>
                <w:bCs/>
                <w:sz w:val="20"/>
                <w:szCs w:val="16"/>
              </w:rPr>
              <w:t> %</w:t>
            </w:r>
            <w:r w:rsidRPr="00AE6EDB">
              <w:rPr>
                <w:bCs/>
                <w:sz w:val="20"/>
                <w:szCs w:val="16"/>
              </w:rPr>
              <w:t>, 201</w:t>
            </w:r>
            <w:r w:rsidR="005B3E58" w:rsidRPr="00AE6EDB">
              <w:rPr>
                <w:bCs/>
                <w:sz w:val="20"/>
                <w:szCs w:val="16"/>
              </w:rPr>
              <w:t>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12,6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17,7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12,7</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16,7</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0,1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-1,0</w:t>
            </w:r>
          </w:p>
        </w:tc>
      </w:tr>
      <w:tr w:rsidR="000A7585" w:rsidRPr="00AE6EDB" w:rsidTr="00411759">
        <w:trPr>
          <w:trHeight w:val="283"/>
          <w:jc w:val="center"/>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5B3E58">
            <w:pPr>
              <w:jc w:val="left"/>
              <w:rPr>
                <w:bCs/>
                <w:sz w:val="20"/>
                <w:szCs w:val="16"/>
              </w:rPr>
            </w:pPr>
            <w:r w:rsidRPr="00AE6EDB">
              <w:rPr>
                <w:bCs/>
                <w:sz w:val="20"/>
                <w:szCs w:val="16"/>
              </w:rPr>
              <w:t>Miera rizika príjmovej chudoby starších (v</w:t>
            </w:r>
            <w:r w:rsidR="005676EF">
              <w:rPr>
                <w:bCs/>
                <w:sz w:val="20"/>
                <w:szCs w:val="16"/>
              </w:rPr>
              <w:t> %</w:t>
            </w:r>
            <w:r w:rsidRPr="00AE6EDB">
              <w:rPr>
                <w:bCs/>
                <w:sz w:val="20"/>
                <w:szCs w:val="16"/>
              </w:rPr>
              <w:t>, 65 a viac rokov, 201</w:t>
            </w:r>
            <w:r w:rsidR="005B3E58" w:rsidRPr="00AE6EDB">
              <w:rPr>
                <w:bCs/>
                <w:sz w:val="20"/>
                <w:szCs w:val="16"/>
              </w:rPr>
              <w:t>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7,5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15,8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6,2</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13,8</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-1,3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-2,0</w:t>
            </w:r>
          </w:p>
        </w:tc>
      </w:tr>
      <w:tr w:rsidR="000A7585" w:rsidRPr="00AE6EDB" w:rsidTr="00411759">
        <w:trPr>
          <w:trHeight w:val="283"/>
          <w:jc w:val="center"/>
        </w:trPr>
        <w:tc>
          <w:tcPr>
            <w:tcW w:w="7796" w:type="dxa"/>
            <w:gridSpan w:val="7"/>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0A7585" w:rsidP="005B3E58">
            <w:pPr>
              <w:jc w:val="left"/>
              <w:rPr>
                <w:bCs/>
                <w:sz w:val="20"/>
                <w:szCs w:val="16"/>
              </w:rPr>
            </w:pPr>
            <w:r w:rsidRPr="00AE6EDB">
              <w:rPr>
                <w:bCs/>
                <w:sz w:val="20"/>
                <w:szCs w:val="16"/>
              </w:rPr>
              <w:t xml:space="preserve">Miera rizika </w:t>
            </w:r>
            <w:r w:rsidR="005B3E58" w:rsidRPr="00AE6EDB">
              <w:rPr>
                <w:bCs/>
                <w:sz w:val="20"/>
                <w:szCs w:val="16"/>
              </w:rPr>
              <w:t>chud</w:t>
            </w:r>
            <w:r w:rsidRPr="00AE6EDB">
              <w:rPr>
                <w:bCs/>
                <w:sz w:val="20"/>
                <w:szCs w:val="16"/>
              </w:rPr>
              <w:t xml:space="preserve">oby </w:t>
            </w:r>
            <w:r w:rsidR="005B3E58" w:rsidRPr="00AE6EDB">
              <w:rPr>
                <w:bCs/>
                <w:sz w:val="20"/>
                <w:szCs w:val="16"/>
              </w:rPr>
              <w:t>alebo sociálneho vylúčenia 1-</w:t>
            </w:r>
            <w:r w:rsidRPr="00AE6EDB">
              <w:rPr>
                <w:bCs/>
                <w:sz w:val="20"/>
                <w:szCs w:val="16"/>
              </w:rPr>
              <w:t xml:space="preserve">rodičovských </w:t>
            </w:r>
          </w:p>
          <w:p w:rsidR="000A7585" w:rsidRPr="00AE6EDB" w:rsidRDefault="000A7585" w:rsidP="005B3E58">
            <w:pPr>
              <w:jc w:val="left"/>
              <w:rPr>
                <w:bCs/>
                <w:sz w:val="20"/>
                <w:szCs w:val="16"/>
              </w:rPr>
            </w:pPr>
            <w:r w:rsidRPr="00AE6EDB">
              <w:rPr>
                <w:bCs/>
                <w:sz w:val="20"/>
                <w:szCs w:val="16"/>
              </w:rPr>
              <w:t>rodín (v</w:t>
            </w:r>
            <w:r w:rsidR="005676EF">
              <w:rPr>
                <w:bCs/>
                <w:sz w:val="20"/>
                <w:szCs w:val="16"/>
              </w:rPr>
              <w:t> %</w:t>
            </w:r>
            <w:r w:rsidRPr="00AE6EDB">
              <w:rPr>
                <w:bCs/>
                <w:sz w:val="20"/>
                <w:szCs w:val="16"/>
              </w:rPr>
              <w:t xml:space="preserve">, najmenej 1 dieťa, </w:t>
            </w:r>
            <w:r w:rsidR="005B3E58" w:rsidRPr="00AE6EDB">
              <w:rPr>
                <w:bCs/>
                <w:sz w:val="20"/>
                <w:szCs w:val="16"/>
              </w:rPr>
              <w:t>2014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39,0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5B3E58">
            <w:pPr>
              <w:jc w:val="center"/>
              <w:rPr>
                <w:sz w:val="20"/>
                <w:szCs w:val="16"/>
              </w:rPr>
            </w:pPr>
            <w:r w:rsidRPr="00AE6EDB">
              <w:rPr>
                <w:sz w:val="20"/>
                <w:szCs w:val="16"/>
              </w:rPr>
              <w:t>48,2</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5B3E58">
            <w:pPr>
              <w:jc w:val="left"/>
              <w:rPr>
                <w:bCs/>
                <w:sz w:val="20"/>
                <w:szCs w:val="16"/>
              </w:rPr>
            </w:pPr>
            <w:r w:rsidRPr="00AE6EDB">
              <w:rPr>
                <w:bCs/>
                <w:sz w:val="20"/>
                <w:szCs w:val="16"/>
              </w:rPr>
              <w:t xml:space="preserve">Miera rizika príjmovej chudoby jednočlennej domácnosti </w:t>
            </w:r>
            <w:r w:rsidR="005B3E58" w:rsidRPr="00AE6EDB">
              <w:rPr>
                <w:bCs/>
                <w:sz w:val="20"/>
                <w:szCs w:val="16"/>
              </w:rPr>
              <w:t>vo veku do 65 rokov (v</w:t>
            </w:r>
            <w:r w:rsidR="005676EF">
              <w:rPr>
                <w:bCs/>
                <w:sz w:val="20"/>
                <w:szCs w:val="16"/>
              </w:rPr>
              <w:t> %</w:t>
            </w:r>
            <w:r w:rsidR="005B3E58" w:rsidRPr="00AE6EDB">
              <w:rPr>
                <w:bCs/>
                <w:sz w:val="20"/>
                <w:szCs w:val="16"/>
              </w:rPr>
              <w:t>, 2014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16,5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27,1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25,2</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27,6</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8,7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0,5</w:t>
            </w:r>
          </w:p>
        </w:tc>
      </w:tr>
      <w:tr w:rsidR="005B3E58"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5B3E58">
            <w:pPr>
              <w:jc w:val="left"/>
              <w:rPr>
                <w:bCs/>
                <w:sz w:val="20"/>
                <w:szCs w:val="16"/>
              </w:rPr>
            </w:pPr>
            <w:r w:rsidRPr="00AE6EDB">
              <w:rPr>
                <w:bCs/>
                <w:sz w:val="20"/>
                <w:szCs w:val="16"/>
              </w:rPr>
              <w:t>Miera rizika príjmovej chudoby jednočlennej domácnosti vo veku 65+ rokov (v</w:t>
            </w:r>
            <w:r w:rsidR="005676EF">
              <w:rPr>
                <w:bCs/>
                <w:sz w:val="20"/>
                <w:szCs w:val="16"/>
              </w:rPr>
              <w:t> %</w:t>
            </w:r>
            <w:r w:rsidRPr="00AE6EDB">
              <w:rPr>
                <w:bCs/>
                <w:sz w:val="20"/>
                <w:szCs w:val="16"/>
              </w:rPr>
              <w:t xml:space="preserve">, 2014,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DE0EEC">
            <w:pPr>
              <w:jc w:val="center"/>
              <w:rPr>
                <w:sz w:val="20"/>
                <w:szCs w:val="16"/>
              </w:rPr>
            </w:pPr>
            <w:r w:rsidRPr="00AE6EDB">
              <w:rPr>
                <w:sz w:val="20"/>
                <w:szCs w:val="16"/>
              </w:rPr>
              <w:t>11,0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DE0EEC">
            <w:pPr>
              <w:jc w:val="center"/>
              <w:rPr>
                <w:sz w:val="20"/>
                <w:szCs w:val="16"/>
              </w:rPr>
            </w:pPr>
            <w:r w:rsidRPr="00AE6EDB">
              <w:rPr>
                <w:sz w:val="20"/>
                <w:szCs w:val="16"/>
              </w:rPr>
              <w:t>22,7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DE0EEC">
            <w:pPr>
              <w:jc w:val="center"/>
              <w:rPr>
                <w:sz w:val="20"/>
                <w:szCs w:val="16"/>
              </w:rPr>
            </w:pPr>
            <w:r w:rsidRPr="00AE6EDB">
              <w:rPr>
                <w:sz w:val="20"/>
                <w:szCs w:val="16"/>
              </w:rPr>
              <w:t>11,4</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DE0EEC">
            <w:pPr>
              <w:jc w:val="center"/>
              <w:rPr>
                <w:sz w:val="20"/>
                <w:szCs w:val="16"/>
              </w:rPr>
            </w:pPr>
            <w:r w:rsidRPr="00AE6EDB">
              <w:rPr>
                <w:sz w:val="20"/>
                <w:szCs w:val="16"/>
              </w:rPr>
              <w:t>15,5</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AE6EDB" w:rsidRDefault="005B3E58" w:rsidP="00DE0EEC">
            <w:pPr>
              <w:jc w:val="center"/>
              <w:rPr>
                <w:b/>
                <w:bCs/>
                <w:sz w:val="20"/>
                <w:szCs w:val="16"/>
              </w:rPr>
            </w:pPr>
            <w:r w:rsidRPr="00AE6EDB">
              <w:rPr>
                <w:b/>
                <w:bCs/>
                <w:sz w:val="20"/>
                <w:szCs w:val="16"/>
              </w:rPr>
              <w:t>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5B3E58" w:rsidRPr="00AE6EDB" w:rsidRDefault="005B3E58" w:rsidP="00DE0EEC">
            <w:pPr>
              <w:jc w:val="center"/>
              <w:rPr>
                <w:sz w:val="20"/>
                <w:szCs w:val="16"/>
              </w:rPr>
            </w:pPr>
            <w:r w:rsidRPr="00AE6EDB">
              <w:rPr>
                <w:sz w:val="20"/>
                <w:szCs w:val="16"/>
              </w:rPr>
              <w:t>-7,2</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sz w:val="20"/>
                <w:szCs w:val="16"/>
              </w:rPr>
            </w:pPr>
            <w:r w:rsidRPr="00AE6EDB">
              <w:rPr>
                <w:bCs/>
                <w:sz w:val="20"/>
                <w:szCs w:val="16"/>
              </w:rPr>
              <w:t>Podiel ľudí žijúcich v domácnostiach s nízkou intenzitou práce (v</w:t>
            </w:r>
            <w:r w:rsidR="005676EF">
              <w:rPr>
                <w:bCs/>
                <w:sz w:val="20"/>
                <w:szCs w:val="16"/>
              </w:rPr>
              <w:t> %</w:t>
            </w:r>
            <w:r w:rsidRPr="00AE6EDB">
              <w:rPr>
                <w:bCs/>
                <w:sz w:val="20"/>
                <w:szCs w:val="16"/>
              </w:rPr>
              <w:t xml:space="preserve">, populácia 0 – 59 rokov, </w:t>
            </w:r>
            <w:r w:rsidR="005B3E58" w:rsidRPr="00AE6EDB">
              <w:rPr>
                <w:bCs/>
                <w:sz w:val="20"/>
                <w:szCs w:val="16"/>
              </w:rPr>
              <w:t xml:space="preserve">2014, </w:t>
            </w:r>
            <w:r w:rsidRPr="00AE6EDB">
              <w:rPr>
                <w:bCs/>
                <w:sz w:val="20"/>
                <w:szCs w:val="16"/>
              </w:rPr>
              <w:t xml:space="preserve">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11,5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7,2</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10,6</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5B3E58" w:rsidP="00DE0EEC">
            <w:pPr>
              <w:jc w:val="center"/>
              <w:rPr>
                <w:b/>
                <w:bCs/>
                <w:sz w:val="20"/>
                <w:szCs w:val="16"/>
              </w:rPr>
            </w:pPr>
            <w:r w:rsidRPr="00AE6EDB">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5B3E58" w:rsidP="00DE0EEC">
            <w:pPr>
              <w:jc w:val="center"/>
              <w:rPr>
                <w:sz w:val="20"/>
                <w:szCs w:val="16"/>
              </w:rPr>
            </w:pPr>
            <w:r w:rsidRPr="00AE6EDB">
              <w:rPr>
                <w:sz w:val="20"/>
                <w:szCs w:val="16"/>
              </w:rPr>
              <w:t>-0,9</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1A1101">
            <w:pPr>
              <w:jc w:val="left"/>
              <w:rPr>
                <w:bCs/>
                <w:sz w:val="20"/>
                <w:szCs w:val="16"/>
              </w:rPr>
            </w:pPr>
            <w:r w:rsidRPr="00AE6EDB">
              <w:rPr>
                <w:bCs/>
                <w:sz w:val="20"/>
                <w:szCs w:val="16"/>
              </w:rPr>
              <w:t xml:space="preserve">Miera pretrvávajúcej príjmovej chudoby </w:t>
            </w:r>
            <w:r w:rsidRPr="00AE6EDB">
              <w:rPr>
                <w:bCs/>
                <w:sz w:val="20"/>
                <w:szCs w:val="16"/>
              </w:rPr>
              <w:br/>
              <w:t>(v</w:t>
            </w:r>
            <w:r w:rsidR="005676EF">
              <w:rPr>
                <w:bCs/>
                <w:sz w:val="20"/>
                <w:szCs w:val="16"/>
              </w:rPr>
              <w:t> %</w:t>
            </w:r>
            <w:r w:rsidRPr="00AE6EDB">
              <w:rPr>
                <w:bCs/>
                <w:sz w:val="20"/>
                <w:szCs w:val="16"/>
              </w:rPr>
              <w:t>, 201</w:t>
            </w:r>
            <w:r w:rsidR="001A1101" w:rsidRPr="00AE6EDB">
              <w:rPr>
                <w:bCs/>
                <w:sz w:val="20"/>
                <w:szCs w:val="16"/>
              </w:rPr>
              <w:t>3</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A1101" w:rsidP="00DE0EEC">
            <w:pPr>
              <w:jc w:val="center"/>
              <w:rPr>
                <w:sz w:val="20"/>
                <w:szCs w:val="16"/>
              </w:rPr>
            </w:pPr>
            <w:r w:rsidRPr="00AE6EDB">
              <w:rPr>
                <w:sz w:val="20"/>
                <w:szCs w:val="16"/>
              </w:rPr>
              <w:t>7,4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A1101" w:rsidP="00DE0EEC">
            <w:pPr>
              <w:jc w:val="center"/>
              <w:rPr>
                <w:sz w:val="20"/>
                <w:szCs w:val="16"/>
              </w:rPr>
            </w:pPr>
            <w:r w:rsidRPr="00AE6EDB">
              <w:rPr>
                <w:sz w:val="20"/>
                <w:szCs w:val="16"/>
              </w:rPr>
              <w:t>10,5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A1101" w:rsidP="00DE0EEC">
            <w:pPr>
              <w:jc w:val="center"/>
              <w:rPr>
                <w:sz w:val="20"/>
                <w:szCs w:val="16"/>
              </w:rPr>
            </w:pPr>
            <w:r w:rsidRPr="00AE6EDB">
              <w:rPr>
                <w:sz w:val="20"/>
                <w:szCs w:val="16"/>
              </w:rPr>
              <w:t>6,7</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A1101" w:rsidP="00DE0EEC">
            <w:pPr>
              <w:jc w:val="center"/>
              <w:rPr>
                <w:sz w:val="20"/>
                <w:szCs w:val="16"/>
              </w:rPr>
            </w:pPr>
            <w:r w:rsidRPr="00AE6EDB">
              <w:rPr>
                <w:sz w:val="20"/>
                <w:szCs w:val="16"/>
              </w:rPr>
              <w:t>9,6</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A1101" w:rsidP="00DE0EEC">
            <w:pPr>
              <w:jc w:val="center"/>
              <w:rPr>
                <w:b/>
                <w:bCs/>
                <w:sz w:val="20"/>
                <w:szCs w:val="16"/>
              </w:rPr>
            </w:pPr>
            <w:r w:rsidRPr="00AE6EDB">
              <w:rPr>
                <w:b/>
                <w:bCs/>
                <w:sz w:val="20"/>
                <w:szCs w:val="16"/>
              </w:rPr>
              <w:t>-0,7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A1101" w:rsidP="00DE0EEC">
            <w:pPr>
              <w:jc w:val="center"/>
              <w:rPr>
                <w:sz w:val="20"/>
                <w:szCs w:val="16"/>
              </w:rPr>
            </w:pPr>
            <w:r w:rsidRPr="00AE6EDB">
              <w:rPr>
                <w:sz w:val="20"/>
                <w:szCs w:val="16"/>
              </w:rPr>
              <w:t>-1,5</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B8517C">
            <w:pPr>
              <w:jc w:val="left"/>
              <w:rPr>
                <w:bCs/>
                <w:sz w:val="20"/>
                <w:szCs w:val="16"/>
              </w:rPr>
            </w:pPr>
            <w:r w:rsidRPr="00AE6EDB">
              <w:rPr>
                <w:bCs/>
                <w:sz w:val="20"/>
                <w:szCs w:val="16"/>
              </w:rPr>
              <w:t xml:space="preserve">Miera </w:t>
            </w:r>
            <w:r w:rsidR="001A1101" w:rsidRPr="00AE6EDB">
              <w:rPr>
                <w:bCs/>
                <w:sz w:val="20"/>
                <w:szCs w:val="16"/>
              </w:rPr>
              <w:t xml:space="preserve">závažnej </w:t>
            </w:r>
            <w:r w:rsidRPr="00AE6EDB">
              <w:rPr>
                <w:bCs/>
                <w:sz w:val="20"/>
                <w:szCs w:val="16"/>
              </w:rPr>
              <w:t xml:space="preserve">materiálnej deprivácie </w:t>
            </w:r>
            <w:r w:rsidRPr="00AE6EDB">
              <w:rPr>
                <w:bCs/>
                <w:sz w:val="20"/>
                <w:szCs w:val="16"/>
              </w:rPr>
              <w:br/>
              <w:t>(v</w:t>
            </w:r>
            <w:r w:rsidR="005676EF">
              <w:rPr>
                <w:bCs/>
                <w:sz w:val="20"/>
                <w:szCs w:val="16"/>
              </w:rPr>
              <w:t> %</w:t>
            </w:r>
            <w:r w:rsidRPr="00AE6EDB">
              <w:rPr>
                <w:bCs/>
                <w:sz w:val="20"/>
                <w:szCs w:val="16"/>
              </w:rPr>
              <w:t>, 4 a viac položiek, 201</w:t>
            </w:r>
            <w:r w:rsidR="00B8517C" w:rsidRPr="00AE6EDB">
              <w:rPr>
                <w:bCs/>
                <w:sz w:val="20"/>
                <w:szCs w:val="16"/>
              </w:rPr>
              <w:t>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9,1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9,7</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8,8</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b/>
                <w:bCs/>
                <w:sz w:val="20"/>
                <w:szCs w:val="16"/>
              </w:rPr>
            </w:pPr>
            <w:r w:rsidRPr="00AE6EDB">
              <w:rPr>
                <w:b/>
                <w:bCs/>
                <w:sz w:val="20"/>
                <w:szCs w:val="16"/>
              </w:rPr>
              <w:t>-0,3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-0,3</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B8517C">
            <w:pPr>
              <w:jc w:val="left"/>
              <w:rPr>
                <w:bCs/>
                <w:sz w:val="20"/>
                <w:szCs w:val="16"/>
              </w:rPr>
            </w:pPr>
            <w:r w:rsidRPr="00AE6EDB">
              <w:rPr>
                <w:bCs/>
                <w:sz w:val="20"/>
                <w:szCs w:val="16"/>
              </w:rPr>
              <w:t>Miera rizika chudoby a</w:t>
            </w:r>
            <w:r w:rsidR="00B8517C" w:rsidRPr="00AE6EDB">
              <w:rPr>
                <w:bCs/>
                <w:sz w:val="20"/>
                <w:szCs w:val="16"/>
              </w:rPr>
              <w:t>lebo</w:t>
            </w:r>
            <w:r w:rsidRPr="00AE6EDB">
              <w:rPr>
                <w:bCs/>
                <w:sz w:val="20"/>
                <w:szCs w:val="16"/>
              </w:rPr>
              <w:t xml:space="preserve"> sociálneho vylúčenia </w:t>
            </w:r>
            <w:r w:rsidRPr="00AE6EDB">
              <w:rPr>
                <w:bCs/>
                <w:sz w:val="20"/>
                <w:szCs w:val="16"/>
              </w:rPr>
              <w:br/>
              <w:t>(v</w:t>
            </w:r>
            <w:r w:rsidR="005676EF">
              <w:rPr>
                <w:bCs/>
                <w:sz w:val="20"/>
                <w:szCs w:val="16"/>
              </w:rPr>
              <w:t> %</w:t>
            </w:r>
            <w:r w:rsidRPr="00AE6EDB">
              <w:rPr>
                <w:bCs/>
                <w:sz w:val="20"/>
                <w:szCs w:val="16"/>
              </w:rPr>
              <w:t>, 201</w:t>
            </w:r>
            <w:r w:rsidR="00B8517C" w:rsidRPr="00AE6EDB">
              <w:rPr>
                <w:bCs/>
                <w:sz w:val="20"/>
                <w:szCs w:val="16"/>
              </w:rPr>
              <w:t>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18,7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25,2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18,1</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23,5</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b/>
                <w:bCs/>
                <w:sz w:val="20"/>
                <w:szCs w:val="16"/>
              </w:rPr>
            </w:pPr>
            <w:r w:rsidRPr="00AE6EDB">
              <w:rPr>
                <w:b/>
                <w:bCs/>
                <w:sz w:val="20"/>
                <w:szCs w:val="16"/>
              </w:rPr>
              <w:t>-0,6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-1,7</w:t>
            </w:r>
          </w:p>
        </w:tc>
      </w:tr>
      <w:tr w:rsidR="000A7585" w:rsidRPr="00AE6EDB" w:rsidTr="00411759">
        <w:trPr>
          <w:cantSplit/>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B8517C">
            <w:pPr>
              <w:jc w:val="left"/>
              <w:rPr>
                <w:bCs/>
                <w:sz w:val="20"/>
                <w:szCs w:val="16"/>
              </w:rPr>
            </w:pPr>
            <w:r w:rsidRPr="00AE6EDB">
              <w:rPr>
                <w:bCs/>
                <w:sz w:val="20"/>
                <w:szCs w:val="16"/>
              </w:rPr>
              <w:t xml:space="preserve">Miera rizika chudoby a sociálneho vylúčenia starších </w:t>
            </w:r>
            <w:r w:rsidRPr="00AE6EDB">
              <w:rPr>
                <w:bCs/>
                <w:sz w:val="20"/>
                <w:szCs w:val="16"/>
              </w:rPr>
              <w:br/>
              <w:t>(v</w:t>
            </w:r>
            <w:r w:rsidR="005676EF">
              <w:rPr>
                <w:bCs/>
                <w:sz w:val="20"/>
                <w:szCs w:val="16"/>
              </w:rPr>
              <w:t> %</w:t>
            </w:r>
            <w:r w:rsidRPr="00AE6EDB">
              <w:rPr>
                <w:bCs/>
                <w:sz w:val="20"/>
                <w:szCs w:val="16"/>
              </w:rPr>
              <w:t xml:space="preserve">, </w:t>
            </w:r>
            <w:r w:rsidR="00B8517C" w:rsidRPr="00AE6EDB">
              <w:rPr>
                <w:bCs/>
                <w:sz w:val="20"/>
                <w:szCs w:val="16"/>
              </w:rPr>
              <w:t>5</w:t>
            </w:r>
            <w:r w:rsidRPr="00AE6EDB">
              <w:rPr>
                <w:bCs/>
                <w:sz w:val="20"/>
                <w:szCs w:val="16"/>
              </w:rPr>
              <w:t>5+ rokov, 201</w:t>
            </w:r>
            <w:r w:rsidR="00B8517C" w:rsidRPr="00AE6EDB">
              <w:rPr>
                <w:bCs/>
                <w:sz w:val="20"/>
                <w:szCs w:val="16"/>
              </w:rPr>
              <w:t>4</w:t>
            </w:r>
            <w:r w:rsidRPr="00AE6EDB">
              <w:rPr>
                <w:bCs/>
                <w:sz w:val="20"/>
                <w:szCs w:val="16"/>
              </w:rPr>
              <w:t xml:space="preserve">, EU SILC, </w:t>
            </w:r>
            <w:proofErr w:type="spellStart"/>
            <w:r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16,7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23,0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14,7</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18,5</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DE0EEC">
            <w:pPr>
              <w:jc w:val="center"/>
              <w:rPr>
                <w:b/>
                <w:bCs/>
                <w:sz w:val="20"/>
                <w:szCs w:val="16"/>
              </w:rPr>
            </w:pPr>
            <w:r w:rsidRPr="00AE6EDB">
              <w:rPr>
                <w:b/>
                <w:bCs/>
                <w:sz w:val="20"/>
                <w:szCs w:val="16"/>
              </w:rPr>
              <w:t>-2,0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-4,5</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EB2EF1">
            <w:pPr>
              <w:jc w:val="left"/>
              <w:rPr>
                <w:bCs/>
                <w:sz w:val="20"/>
                <w:szCs w:val="16"/>
              </w:rPr>
            </w:pPr>
            <w:r w:rsidRPr="00AE6EDB">
              <w:rPr>
                <w:bCs/>
                <w:sz w:val="20"/>
                <w:szCs w:val="16"/>
              </w:rPr>
              <w:t xml:space="preserve">Priemerná mesačná výška sólo starobných dôchodkov </w:t>
            </w:r>
            <w:r w:rsidRPr="00AE6EDB">
              <w:rPr>
                <w:bCs/>
                <w:sz w:val="20"/>
                <w:szCs w:val="16"/>
              </w:rPr>
              <w:br/>
              <w:t>(v € a rozdiel v</w:t>
            </w:r>
            <w:r w:rsidR="005676EF">
              <w:rPr>
                <w:bCs/>
                <w:sz w:val="20"/>
                <w:szCs w:val="16"/>
              </w:rPr>
              <w:t> %</w:t>
            </w:r>
            <w:r w:rsidRPr="00AE6EDB">
              <w:rPr>
                <w:bCs/>
                <w:sz w:val="20"/>
                <w:szCs w:val="16"/>
              </w:rPr>
              <w:t>, 201</w:t>
            </w:r>
            <w:r w:rsidR="00EB2EF1" w:rsidRPr="00AE6EDB">
              <w:rPr>
                <w:bCs/>
                <w:sz w:val="20"/>
                <w:szCs w:val="16"/>
              </w:rPr>
              <w:t>5</w:t>
            </w:r>
            <w:r w:rsidRPr="00AE6EDB">
              <w:rPr>
                <w:bCs/>
                <w:sz w:val="20"/>
                <w:szCs w:val="16"/>
              </w:rPr>
              <w:t>, Sociálna poisťovňa)</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EB2EF1">
            <w:pPr>
              <w:jc w:val="center"/>
              <w:rPr>
                <w:sz w:val="20"/>
                <w:szCs w:val="16"/>
              </w:rPr>
            </w:pPr>
            <w:r w:rsidRPr="00AE6EDB">
              <w:rPr>
                <w:sz w:val="20"/>
                <w:szCs w:val="16"/>
              </w:rPr>
              <w:t>3</w:t>
            </w:r>
            <w:r w:rsidR="00EB2EF1" w:rsidRPr="00AE6EDB">
              <w:rPr>
                <w:sz w:val="20"/>
                <w:szCs w:val="16"/>
              </w:rPr>
              <w:t>66,5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EB2EF1">
            <w:pPr>
              <w:rPr>
                <w:sz w:val="20"/>
                <w:szCs w:val="16"/>
              </w:rPr>
            </w:pPr>
            <w:r w:rsidRPr="00AE6EDB">
              <w:rPr>
                <w:sz w:val="20"/>
                <w:szCs w:val="16"/>
              </w:rPr>
              <w:t>4</w:t>
            </w:r>
            <w:r w:rsidR="00EB2EF1" w:rsidRPr="00AE6EDB">
              <w:rPr>
                <w:sz w:val="20"/>
                <w:szCs w:val="16"/>
              </w:rPr>
              <w:t>58,9</w:t>
            </w:r>
          </w:p>
        </w:tc>
        <w:tc>
          <w:tcPr>
            <w:tcW w:w="708"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c>
          <w:tcPr>
            <w:tcW w:w="851"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EB2EF1">
            <w:pPr>
              <w:jc w:val="center"/>
              <w:rPr>
                <w:b/>
                <w:bCs/>
                <w:sz w:val="20"/>
                <w:szCs w:val="16"/>
              </w:rPr>
            </w:pPr>
            <w:r w:rsidRPr="00AE6EDB">
              <w:rPr>
                <w:b/>
                <w:bCs/>
                <w:sz w:val="20"/>
                <w:szCs w:val="16"/>
              </w:rPr>
              <w:t>2</w:t>
            </w:r>
            <w:r w:rsidR="00EB2EF1" w:rsidRPr="00AE6EDB">
              <w:rPr>
                <w:b/>
                <w:bCs/>
                <w:sz w:val="20"/>
                <w:szCs w:val="16"/>
              </w:rPr>
              <w:t>0</w:t>
            </w:r>
            <w:r w:rsidRPr="00AE6EDB">
              <w:rPr>
                <w:b/>
                <w:bCs/>
                <w:sz w:val="20"/>
                <w:szCs w:val="16"/>
              </w:rPr>
              <w:t>,</w:t>
            </w:r>
            <w:r w:rsidR="00EB2EF1" w:rsidRPr="00AE6EDB">
              <w:rPr>
                <w:b/>
                <w:bCs/>
                <w:sz w:val="20"/>
                <w:szCs w:val="16"/>
              </w:rPr>
              <w:t>1</w:t>
            </w:r>
            <w:r w:rsidRPr="00AE6EDB">
              <w:rPr>
                <w:b/>
                <w:bCs/>
                <w:sz w:val="20"/>
                <w:szCs w:val="16"/>
              </w:rPr>
              <w:t> %</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proofErr w:type="spellStart"/>
            <w:r w:rsidRPr="00AE6EDB">
              <w:rPr>
                <w:sz w:val="20"/>
                <w:szCs w:val="16"/>
              </w:rPr>
              <w:t>n.a</w:t>
            </w:r>
            <w:proofErr w:type="spellEnd"/>
            <w:r w:rsidRPr="00AE6EDB">
              <w:rPr>
                <w:sz w:val="20"/>
                <w:szCs w:val="16"/>
              </w:rPr>
              <w:t>.</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2641CA">
            <w:pPr>
              <w:jc w:val="left"/>
              <w:rPr>
                <w:bCs/>
                <w:sz w:val="20"/>
                <w:szCs w:val="16"/>
              </w:rPr>
            </w:pPr>
            <w:r w:rsidRPr="00AE6EDB">
              <w:rPr>
                <w:bCs/>
                <w:sz w:val="20"/>
                <w:szCs w:val="16"/>
              </w:rPr>
              <w:t>Priemerný rodový rozdiel v</w:t>
            </w:r>
            <w:r w:rsidR="002641CA">
              <w:rPr>
                <w:bCs/>
                <w:sz w:val="20"/>
                <w:szCs w:val="16"/>
              </w:rPr>
              <w:t xml:space="preserve"> </w:t>
            </w:r>
            <w:r w:rsidRPr="00AE6EDB">
              <w:rPr>
                <w:bCs/>
                <w:sz w:val="20"/>
                <w:szCs w:val="16"/>
              </w:rPr>
              <w:t xml:space="preserve">dôchodkoch </w:t>
            </w:r>
            <w:r w:rsidRPr="00AE6EDB">
              <w:rPr>
                <w:bCs/>
                <w:sz w:val="20"/>
                <w:szCs w:val="16"/>
              </w:rPr>
              <w:br/>
              <w:t>(v</w:t>
            </w:r>
            <w:r w:rsidR="005676EF">
              <w:rPr>
                <w:bCs/>
                <w:sz w:val="20"/>
                <w:szCs w:val="16"/>
              </w:rPr>
              <w:t> %</w:t>
            </w:r>
            <w:r w:rsidRPr="00AE6EDB">
              <w:rPr>
                <w:bCs/>
                <w:sz w:val="20"/>
                <w:szCs w:val="16"/>
              </w:rPr>
              <w:t xml:space="preserve">, </w:t>
            </w:r>
            <w:r w:rsidR="00B8517C" w:rsidRPr="00AE6EDB">
              <w:rPr>
                <w:bCs/>
                <w:sz w:val="20"/>
                <w:szCs w:val="16"/>
              </w:rPr>
              <w:t xml:space="preserve">veková skupina 65-74 rokov, </w:t>
            </w:r>
            <w:r w:rsidRPr="00AE6EDB">
              <w:rPr>
                <w:bCs/>
                <w:sz w:val="20"/>
                <w:szCs w:val="16"/>
              </w:rPr>
              <w:t>201</w:t>
            </w:r>
            <w:r w:rsidR="00B8517C" w:rsidRPr="00AE6EDB">
              <w:rPr>
                <w:bCs/>
                <w:sz w:val="20"/>
                <w:szCs w:val="16"/>
              </w:rPr>
              <w:t>4</w:t>
            </w:r>
            <w:r w:rsidRPr="00AE6EDB">
              <w:rPr>
                <w:bCs/>
                <w:sz w:val="20"/>
                <w:szCs w:val="16"/>
              </w:rPr>
              <w:t>, EU-SILC, GR)</w:t>
            </w:r>
          </w:p>
        </w:tc>
        <w:tc>
          <w:tcPr>
            <w:tcW w:w="3402" w:type="dxa"/>
            <w:gridSpan w:val="7"/>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B8517C" w:rsidP="00411759">
            <w:pPr>
              <w:ind w:right="226"/>
              <w:jc w:val="right"/>
              <w:rPr>
                <w:b/>
                <w:bCs/>
                <w:sz w:val="20"/>
                <w:szCs w:val="16"/>
              </w:rPr>
            </w:pPr>
            <w:r w:rsidRPr="00AE6EDB">
              <w:rPr>
                <w:b/>
                <w:bCs/>
                <w:sz w:val="20"/>
                <w:szCs w:val="16"/>
              </w:rPr>
              <w:t>8,3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B8517C" w:rsidP="00DE0EEC">
            <w:pPr>
              <w:jc w:val="center"/>
              <w:rPr>
                <w:sz w:val="20"/>
                <w:szCs w:val="16"/>
              </w:rPr>
            </w:pPr>
            <w:r w:rsidRPr="00AE6EDB">
              <w:rPr>
                <w:sz w:val="20"/>
                <w:szCs w:val="16"/>
              </w:rPr>
              <w:t>40,2</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Stredná dĺžka života pri narodení </w:t>
            </w:r>
            <w:r w:rsidRPr="00AE6EDB">
              <w:rPr>
                <w:bCs/>
                <w:sz w:val="20"/>
                <w:szCs w:val="16"/>
              </w:rPr>
              <w:br/>
              <w:t>(v rokoch, 201</w:t>
            </w:r>
            <w:r w:rsidR="00874D32" w:rsidRPr="00AE6EDB">
              <w:rPr>
                <w:bCs/>
                <w:sz w:val="20"/>
                <w:szCs w:val="16"/>
              </w:rPr>
              <w:t>4</w:t>
            </w:r>
            <w:r w:rsidRPr="00AE6EDB">
              <w:rPr>
                <w:bCs/>
                <w:sz w:val="20"/>
                <w:szCs w:val="16"/>
              </w:rPr>
              <w:t xml:space="preserve"> – ŠÚ SR a </w:t>
            </w:r>
            <w:proofErr w:type="spellStart"/>
            <w:r w:rsidR="00874D32" w:rsidRPr="00AE6EDB">
              <w:rPr>
                <w:bCs/>
                <w:sz w:val="20"/>
                <w:szCs w:val="16"/>
              </w:rPr>
              <w:t>Eurostat</w:t>
            </w:r>
            <w:proofErr w:type="spellEnd"/>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80,5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83,6</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73,3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78,1</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-5,5</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Stredná dĺžka života pri narodení – v zdraví </w:t>
            </w:r>
            <w:r w:rsidRPr="00AE6EDB">
              <w:rPr>
                <w:bCs/>
                <w:sz w:val="20"/>
                <w:szCs w:val="16"/>
              </w:rPr>
              <w:br/>
              <w:t>(v rokoch, 201</w:t>
            </w:r>
            <w:r w:rsidR="00874D32" w:rsidRPr="00AE6EDB">
              <w:rPr>
                <w:bCs/>
                <w:sz w:val="20"/>
                <w:szCs w:val="16"/>
              </w:rPr>
              <w:t>4,</w:t>
            </w:r>
            <w:r w:rsidRPr="00AE6EDB">
              <w:rPr>
                <w:bCs/>
                <w:sz w:val="20"/>
                <w:szCs w:val="16"/>
              </w:rPr>
              <w:t xml:space="preserve"> EK)</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54,3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61,5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54,5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61,4</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-0,1</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Samovraždy na 10</w:t>
            </w:r>
            <w:r w:rsidR="0054295F">
              <w:rPr>
                <w:bCs/>
                <w:sz w:val="20"/>
                <w:szCs w:val="16"/>
              </w:rPr>
              <w:t>0 0</w:t>
            </w:r>
            <w:r w:rsidRPr="00AE6EDB">
              <w:rPr>
                <w:bCs/>
                <w:sz w:val="20"/>
                <w:szCs w:val="16"/>
              </w:rPr>
              <w:t>00 obyvateľov (201</w:t>
            </w:r>
            <w:r w:rsidR="00874D32" w:rsidRPr="00AE6EDB">
              <w:rPr>
                <w:bCs/>
                <w:sz w:val="20"/>
                <w:szCs w:val="16"/>
              </w:rPr>
              <w:t>2</w:t>
            </w:r>
            <w:r w:rsidRPr="00AE6EDB">
              <w:rPr>
                <w:bCs/>
                <w:sz w:val="20"/>
                <w:szCs w:val="16"/>
              </w:rPr>
              <w:t xml:space="preserve">, </w:t>
            </w:r>
            <w:r w:rsidR="00874D32" w:rsidRPr="00AE6EDB">
              <w:rPr>
                <w:bCs/>
                <w:sz w:val="20"/>
                <w:szCs w:val="16"/>
              </w:rPr>
              <w:t>EIGE</w:t>
            </w:r>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4,9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21,1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19,4</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18,4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14,5</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Politická participácia na európskej úrovni </w:t>
            </w:r>
            <w:r w:rsidRPr="00AE6EDB">
              <w:rPr>
                <w:bCs/>
                <w:sz w:val="20"/>
                <w:szCs w:val="16"/>
              </w:rPr>
              <w:br/>
              <w:t>(v</w:t>
            </w:r>
            <w:r w:rsidR="005676EF">
              <w:rPr>
                <w:bCs/>
                <w:sz w:val="20"/>
                <w:szCs w:val="16"/>
              </w:rPr>
              <w:t> %</w:t>
            </w:r>
            <w:r w:rsidRPr="00AE6EDB">
              <w:rPr>
                <w:bCs/>
                <w:sz w:val="20"/>
                <w:szCs w:val="16"/>
              </w:rPr>
              <w:t>, Európsky parlament, 12/201</w:t>
            </w:r>
            <w:r w:rsidR="00874D32" w:rsidRPr="00AE6EDB">
              <w:rPr>
                <w:bCs/>
                <w:sz w:val="20"/>
                <w:szCs w:val="16"/>
              </w:rPr>
              <w:t>5</w:t>
            </w:r>
            <w:r w:rsidRPr="00AE6EDB">
              <w:rPr>
                <w:bCs/>
                <w:sz w:val="20"/>
                <w:szCs w:val="16"/>
              </w:rPr>
              <w:t>,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30,8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37,0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69,2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63,0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38,4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26,0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Politická participácia na národnej úrovni </w:t>
            </w:r>
            <w:r w:rsidRPr="00AE6EDB">
              <w:rPr>
                <w:bCs/>
                <w:sz w:val="20"/>
                <w:szCs w:val="16"/>
              </w:rPr>
              <w:br/>
              <w:t>(v</w:t>
            </w:r>
            <w:r w:rsidR="005676EF">
              <w:rPr>
                <w:bCs/>
                <w:sz w:val="20"/>
                <w:szCs w:val="16"/>
              </w:rPr>
              <w:t> %</w:t>
            </w:r>
            <w:r w:rsidRPr="00AE6EDB">
              <w:rPr>
                <w:bCs/>
                <w:sz w:val="20"/>
                <w:szCs w:val="16"/>
              </w:rPr>
              <w:t>, národné parlamenty, 12/201</w:t>
            </w:r>
            <w:r w:rsidR="00874D32" w:rsidRPr="00AE6EDB">
              <w:rPr>
                <w:bCs/>
                <w:sz w:val="20"/>
                <w:szCs w:val="16"/>
              </w:rPr>
              <w:t>5</w:t>
            </w:r>
            <w:r w:rsidRPr="00AE6EDB">
              <w:rPr>
                <w:bCs/>
                <w:sz w:val="20"/>
                <w:szCs w:val="16"/>
              </w:rPr>
              <w:t>,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29,0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80,0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71,0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60,0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42,0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Politická participácia v národných vládach (v</w:t>
            </w:r>
            <w:r w:rsidR="005676EF">
              <w:rPr>
                <w:bCs/>
                <w:sz w:val="20"/>
                <w:szCs w:val="16"/>
              </w:rPr>
              <w:t> %</w:t>
            </w:r>
            <w:r w:rsidRPr="00AE6EDB">
              <w:rPr>
                <w:bCs/>
                <w:sz w:val="20"/>
                <w:szCs w:val="16"/>
              </w:rPr>
              <w:t xml:space="preserve">, </w:t>
            </w:r>
            <w:r w:rsidR="00874D32" w:rsidRPr="00AE6EDB">
              <w:rPr>
                <w:bCs/>
                <w:sz w:val="20"/>
                <w:szCs w:val="16"/>
              </w:rPr>
              <w:t>1</w:t>
            </w:r>
            <w:r w:rsidRPr="00AE6EDB">
              <w:rPr>
                <w:bCs/>
                <w:sz w:val="20"/>
                <w:szCs w:val="16"/>
              </w:rPr>
              <w:t>2/201</w:t>
            </w:r>
            <w:r w:rsidR="00874D32" w:rsidRPr="00AE6EDB">
              <w:rPr>
                <w:bCs/>
                <w:sz w:val="20"/>
                <w:szCs w:val="16"/>
              </w:rPr>
              <w:t>5</w:t>
            </w:r>
            <w:r w:rsidRPr="00AE6EDB">
              <w:rPr>
                <w:bCs/>
                <w:sz w:val="20"/>
                <w:szCs w:val="16"/>
              </w:rPr>
              <w:t>,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28,0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874D32">
            <w:pPr>
              <w:jc w:val="center"/>
              <w:rPr>
                <w:sz w:val="20"/>
                <w:szCs w:val="16"/>
              </w:rPr>
            </w:pPr>
            <w:r w:rsidRPr="00AE6EDB">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sz w:val="20"/>
                <w:szCs w:val="16"/>
              </w:rPr>
            </w:pPr>
            <w:r w:rsidRPr="00AE6EDB">
              <w:rPr>
                <w:sz w:val="20"/>
                <w:szCs w:val="16"/>
              </w:rPr>
              <w:t>72,0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874D32" w:rsidP="00DE0EEC">
            <w:pPr>
              <w:jc w:val="center"/>
              <w:rPr>
                <w:b/>
                <w:bCs/>
                <w:sz w:val="20"/>
                <w:szCs w:val="16"/>
              </w:rPr>
            </w:pPr>
            <w:r w:rsidRPr="00AE6EDB">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44,0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Politická participácia vo vedení regionálnych zastupiteľstiev </w:t>
            </w:r>
            <w:r w:rsidRPr="00AE6EDB">
              <w:rPr>
                <w:bCs/>
                <w:sz w:val="20"/>
                <w:szCs w:val="16"/>
              </w:rPr>
              <w:br/>
              <w:t>(v</w:t>
            </w:r>
            <w:r w:rsidR="005676EF">
              <w:rPr>
                <w:bCs/>
                <w:sz w:val="20"/>
                <w:szCs w:val="16"/>
              </w:rPr>
              <w:t> %</w:t>
            </w:r>
            <w:r w:rsidRPr="00AE6EDB">
              <w:rPr>
                <w:bCs/>
                <w:sz w:val="20"/>
                <w:szCs w:val="16"/>
              </w:rPr>
              <w:t>, 12/201</w:t>
            </w:r>
            <w:r w:rsidR="00874D32" w:rsidRPr="00AE6EDB">
              <w:rPr>
                <w:bCs/>
                <w:sz w:val="20"/>
                <w:szCs w:val="16"/>
              </w:rPr>
              <w:t>5</w:t>
            </w:r>
            <w:r w:rsidRPr="00AE6EDB">
              <w:rPr>
                <w:bCs/>
                <w:sz w:val="20"/>
                <w:szCs w:val="16"/>
              </w:rPr>
              <w:t>,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11,0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89,0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b/>
                <w:bCs/>
                <w:sz w:val="20"/>
                <w:szCs w:val="16"/>
              </w:rPr>
            </w:pPr>
            <w:r w:rsidRPr="00AE6EDB">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78,0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 xml:space="preserve">Politická participácia na regionálnej úrovni </w:t>
            </w:r>
            <w:r w:rsidRPr="00AE6EDB">
              <w:rPr>
                <w:bCs/>
                <w:sz w:val="20"/>
                <w:szCs w:val="16"/>
              </w:rPr>
              <w:br/>
              <w:t>( v</w:t>
            </w:r>
            <w:r w:rsidR="005676EF">
              <w:rPr>
                <w:bCs/>
                <w:sz w:val="20"/>
                <w:szCs w:val="16"/>
              </w:rPr>
              <w:t> %</w:t>
            </w:r>
            <w:r w:rsidRPr="00AE6EDB">
              <w:rPr>
                <w:bCs/>
                <w:sz w:val="20"/>
                <w:szCs w:val="16"/>
              </w:rPr>
              <w:t>, regionálne zastupiteľstvá, 12/201</w:t>
            </w:r>
            <w:r w:rsidR="00874D32" w:rsidRPr="00AE6EDB">
              <w:rPr>
                <w:bCs/>
                <w:sz w:val="20"/>
                <w:szCs w:val="16"/>
              </w:rPr>
              <w:t>5</w:t>
            </w:r>
            <w:r w:rsidRPr="00AE6EDB">
              <w:rPr>
                <w:bCs/>
                <w:sz w:val="20"/>
                <w:szCs w:val="16"/>
              </w:rPr>
              <w:t>, EC)</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33,0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85,0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67,0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b/>
                <w:bCs/>
                <w:sz w:val="20"/>
                <w:szCs w:val="16"/>
              </w:rPr>
            </w:pPr>
            <w:r w:rsidRPr="00AE6EDB">
              <w:rPr>
                <w:b/>
                <w:bCs/>
                <w:sz w:val="20"/>
                <w:szCs w:val="16"/>
              </w:rPr>
              <w:t>70,0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34,0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1F7143">
            <w:pPr>
              <w:jc w:val="left"/>
              <w:rPr>
                <w:bCs/>
                <w:sz w:val="20"/>
                <w:szCs w:val="16"/>
              </w:rPr>
            </w:pPr>
            <w:r w:rsidRPr="00AE6EDB">
              <w:rPr>
                <w:bCs/>
                <w:sz w:val="20"/>
                <w:szCs w:val="16"/>
              </w:rPr>
              <w:t>Politická participácia na úrovni miest a obcí – primátori/-</w:t>
            </w:r>
            <w:proofErr w:type="spellStart"/>
            <w:r w:rsidRPr="00AE6EDB">
              <w:rPr>
                <w:bCs/>
                <w:sz w:val="20"/>
                <w:szCs w:val="16"/>
              </w:rPr>
              <w:t>ky</w:t>
            </w:r>
            <w:proofErr w:type="spellEnd"/>
            <w:r w:rsidRPr="00AE6EDB">
              <w:rPr>
                <w:bCs/>
                <w:sz w:val="20"/>
                <w:szCs w:val="16"/>
              </w:rPr>
              <w:t xml:space="preserve"> a starostovia/-</w:t>
            </w:r>
            <w:proofErr w:type="spellStart"/>
            <w:r w:rsidRPr="00AE6EDB">
              <w:rPr>
                <w:bCs/>
                <w:sz w:val="20"/>
                <w:szCs w:val="16"/>
              </w:rPr>
              <w:t>tky</w:t>
            </w:r>
            <w:proofErr w:type="spellEnd"/>
            <w:r w:rsidRPr="00AE6EDB">
              <w:rPr>
                <w:bCs/>
                <w:sz w:val="20"/>
                <w:szCs w:val="16"/>
              </w:rPr>
              <w:t xml:space="preserve"> (v</w:t>
            </w:r>
            <w:r w:rsidR="005676EF">
              <w:rPr>
                <w:bCs/>
                <w:sz w:val="20"/>
                <w:szCs w:val="16"/>
              </w:rPr>
              <w:t> %</w:t>
            </w:r>
            <w:r w:rsidRPr="00AE6EDB">
              <w:rPr>
                <w:bCs/>
                <w:sz w:val="20"/>
                <w:szCs w:val="16"/>
              </w:rPr>
              <w:t xml:space="preserve">, </w:t>
            </w:r>
            <w:r w:rsidR="00874D32" w:rsidRPr="00AE6EDB">
              <w:rPr>
                <w:bCs/>
                <w:sz w:val="20"/>
                <w:szCs w:val="16"/>
              </w:rPr>
              <w:t>12/2015</w:t>
            </w:r>
            <w:r w:rsidRPr="00AE6EDB">
              <w:rPr>
                <w:bCs/>
                <w:sz w:val="20"/>
                <w:szCs w:val="16"/>
              </w:rPr>
              <w:t>, E</w:t>
            </w:r>
            <w:r w:rsidR="001F7143" w:rsidRPr="00AE6EDB">
              <w:rPr>
                <w:bCs/>
                <w:sz w:val="20"/>
                <w:szCs w:val="16"/>
              </w:rPr>
              <w:t>IGE</w:t>
            </w:r>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23,0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15,0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77,0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85,0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b/>
                <w:bCs/>
                <w:sz w:val="20"/>
                <w:szCs w:val="16"/>
              </w:rPr>
            </w:pPr>
            <w:r w:rsidRPr="00AE6EDB">
              <w:rPr>
                <w:b/>
                <w:bCs/>
                <w:sz w:val="20"/>
                <w:szCs w:val="16"/>
              </w:rPr>
              <w:t>54,0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70,0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1F7143">
            <w:pPr>
              <w:jc w:val="left"/>
              <w:rPr>
                <w:bCs/>
                <w:sz w:val="20"/>
                <w:szCs w:val="16"/>
              </w:rPr>
            </w:pPr>
            <w:r w:rsidRPr="00AE6EDB">
              <w:rPr>
                <w:bCs/>
                <w:sz w:val="20"/>
                <w:szCs w:val="16"/>
              </w:rPr>
              <w:t>Politická participácia – vedenie politických strán s najmenej 5</w:t>
            </w:r>
            <w:r w:rsidR="005676EF">
              <w:rPr>
                <w:bCs/>
                <w:sz w:val="20"/>
                <w:szCs w:val="16"/>
              </w:rPr>
              <w:t> %</w:t>
            </w:r>
            <w:r w:rsidRPr="00AE6EDB">
              <w:rPr>
                <w:bCs/>
                <w:sz w:val="20"/>
                <w:szCs w:val="16"/>
              </w:rPr>
              <w:t xml:space="preserve"> miest v nár. parlamentoch (v</w:t>
            </w:r>
            <w:r w:rsidR="005676EF">
              <w:rPr>
                <w:bCs/>
                <w:sz w:val="20"/>
                <w:szCs w:val="16"/>
              </w:rPr>
              <w:t> %</w:t>
            </w:r>
            <w:r w:rsidRPr="00AE6EDB">
              <w:rPr>
                <w:bCs/>
                <w:sz w:val="20"/>
                <w:szCs w:val="16"/>
              </w:rPr>
              <w:t xml:space="preserve">, </w:t>
            </w:r>
            <w:r w:rsidR="00874D32" w:rsidRPr="00AE6EDB">
              <w:rPr>
                <w:bCs/>
                <w:sz w:val="20"/>
                <w:szCs w:val="16"/>
              </w:rPr>
              <w:t>12</w:t>
            </w:r>
            <w:r w:rsidRPr="00AE6EDB">
              <w:rPr>
                <w:bCs/>
                <w:sz w:val="20"/>
                <w:szCs w:val="16"/>
              </w:rPr>
              <w:t>/201</w:t>
            </w:r>
            <w:r w:rsidR="00874D32" w:rsidRPr="00AE6EDB">
              <w:rPr>
                <w:bCs/>
                <w:sz w:val="20"/>
                <w:szCs w:val="16"/>
              </w:rPr>
              <w:t>5</w:t>
            </w:r>
            <w:r w:rsidRPr="00AE6EDB">
              <w:rPr>
                <w:bCs/>
                <w:sz w:val="20"/>
                <w:szCs w:val="16"/>
              </w:rPr>
              <w:t xml:space="preserve">, </w:t>
            </w:r>
            <w:r w:rsidR="001F7143" w:rsidRPr="00AE6EDB">
              <w:rPr>
                <w:bCs/>
                <w:sz w:val="20"/>
                <w:szCs w:val="16"/>
              </w:rPr>
              <w:t>EIGE</w:t>
            </w:r>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17,0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83,0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b/>
                <w:bCs/>
                <w:sz w:val="20"/>
                <w:szCs w:val="16"/>
              </w:rPr>
            </w:pPr>
            <w:r w:rsidRPr="00AE6EDB">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66,0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1F7143">
            <w:pPr>
              <w:jc w:val="left"/>
              <w:rPr>
                <w:bCs/>
                <w:sz w:val="20"/>
                <w:szCs w:val="16"/>
              </w:rPr>
            </w:pPr>
            <w:r w:rsidRPr="00AE6EDB">
              <w:rPr>
                <w:bCs/>
                <w:sz w:val="20"/>
                <w:szCs w:val="16"/>
              </w:rPr>
              <w:t>Miera participácie na riadení v najväčších firmách kótovaných na burze (v</w:t>
            </w:r>
            <w:r w:rsidR="005676EF">
              <w:rPr>
                <w:bCs/>
                <w:sz w:val="20"/>
                <w:szCs w:val="16"/>
              </w:rPr>
              <w:t> %</w:t>
            </w:r>
            <w:r w:rsidRPr="00AE6EDB">
              <w:rPr>
                <w:bCs/>
                <w:sz w:val="20"/>
                <w:szCs w:val="16"/>
              </w:rPr>
              <w:t>, 1</w:t>
            </w:r>
            <w:r w:rsidR="001F7143" w:rsidRPr="00AE6EDB">
              <w:rPr>
                <w:bCs/>
                <w:sz w:val="20"/>
                <w:szCs w:val="16"/>
              </w:rPr>
              <w:t>0</w:t>
            </w:r>
            <w:r w:rsidRPr="00AE6EDB">
              <w:rPr>
                <w:bCs/>
                <w:sz w:val="20"/>
                <w:szCs w:val="16"/>
              </w:rPr>
              <w:t>/201</w:t>
            </w:r>
            <w:r w:rsidR="00874D32" w:rsidRPr="00AE6EDB">
              <w:rPr>
                <w:bCs/>
                <w:sz w:val="20"/>
                <w:szCs w:val="16"/>
              </w:rPr>
              <w:t>5</w:t>
            </w:r>
            <w:r w:rsidRPr="00AE6EDB">
              <w:rPr>
                <w:bCs/>
                <w:sz w:val="20"/>
                <w:szCs w:val="16"/>
              </w:rPr>
              <w:t xml:space="preserve">, </w:t>
            </w:r>
            <w:r w:rsidR="001F7143" w:rsidRPr="00AE6EDB">
              <w:rPr>
                <w:bCs/>
                <w:sz w:val="20"/>
                <w:szCs w:val="16"/>
              </w:rPr>
              <w:t>EC</w:t>
            </w:r>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12,7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22,7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87,3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77,3</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b/>
                <w:bCs/>
                <w:sz w:val="20"/>
                <w:szCs w:val="16"/>
              </w:rPr>
            </w:pPr>
            <w:r w:rsidRPr="00AE6EDB">
              <w:rPr>
                <w:b/>
                <w:bCs/>
                <w:sz w:val="20"/>
                <w:szCs w:val="16"/>
              </w:rPr>
              <w:t>65,0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54,6</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0A7585" w:rsidP="00874D32">
            <w:pPr>
              <w:jc w:val="left"/>
              <w:rPr>
                <w:bCs/>
                <w:sz w:val="20"/>
                <w:szCs w:val="16"/>
              </w:rPr>
            </w:pPr>
            <w:r w:rsidRPr="00AE6EDB">
              <w:rPr>
                <w:bCs/>
                <w:sz w:val="20"/>
                <w:szCs w:val="16"/>
              </w:rPr>
              <w:t>Rodová skladba najvyššieho súdu (v</w:t>
            </w:r>
            <w:r w:rsidR="005676EF">
              <w:rPr>
                <w:bCs/>
                <w:sz w:val="20"/>
                <w:szCs w:val="16"/>
              </w:rPr>
              <w:t> %</w:t>
            </w:r>
            <w:r w:rsidRPr="00AE6EDB">
              <w:rPr>
                <w:bCs/>
                <w:sz w:val="20"/>
                <w:szCs w:val="16"/>
              </w:rPr>
              <w:t xml:space="preserve">, </w:t>
            </w:r>
            <w:r w:rsidR="00874D32" w:rsidRPr="00AE6EDB">
              <w:rPr>
                <w:bCs/>
                <w:sz w:val="20"/>
                <w:szCs w:val="16"/>
              </w:rPr>
              <w:t>12</w:t>
            </w:r>
            <w:r w:rsidRPr="00AE6EDB">
              <w:rPr>
                <w:bCs/>
                <w:sz w:val="20"/>
                <w:szCs w:val="16"/>
              </w:rPr>
              <w:t>/201</w:t>
            </w:r>
            <w:r w:rsidR="00874D32" w:rsidRPr="00AE6EDB">
              <w:rPr>
                <w:bCs/>
                <w:sz w:val="20"/>
                <w:szCs w:val="16"/>
              </w:rPr>
              <w:t>5</w:t>
            </w:r>
            <w:r w:rsidR="001F7143" w:rsidRPr="00AE6EDB">
              <w:rPr>
                <w:bCs/>
                <w:sz w:val="20"/>
                <w:szCs w:val="16"/>
              </w:rPr>
              <w:t>, EIGE</w:t>
            </w:r>
            <w:r w:rsidRPr="00AE6EDB">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55,0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39,0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45,0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61,0</w:t>
            </w:r>
          </w:p>
        </w:tc>
        <w:tc>
          <w:tcPr>
            <w:tcW w:w="850"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AE6EDB" w:rsidRDefault="001F7143" w:rsidP="00DE0EEC">
            <w:pPr>
              <w:ind w:left="52"/>
              <w:jc w:val="center"/>
              <w:rPr>
                <w:b/>
                <w:bCs/>
                <w:sz w:val="20"/>
                <w:szCs w:val="16"/>
              </w:rPr>
            </w:pPr>
            <w:r w:rsidRPr="00AE6EDB">
              <w:rPr>
                <w:b/>
                <w:bCs/>
                <w:sz w:val="20"/>
                <w:szCs w:val="16"/>
              </w:rPr>
              <w:t>-10,0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AE6EDB" w:rsidRDefault="001F7143" w:rsidP="00DE0EEC">
            <w:pPr>
              <w:jc w:val="center"/>
              <w:rPr>
                <w:sz w:val="20"/>
                <w:szCs w:val="16"/>
              </w:rPr>
            </w:pPr>
            <w:r w:rsidRPr="00AE6EDB">
              <w:rPr>
                <w:sz w:val="20"/>
                <w:szCs w:val="16"/>
              </w:rPr>
              <w:t>22,0</w:t>
            </w:r>
          </w:p>
        </w:tc>
      </w:tr>
      <w:tr w:rsidR="000A7585" w:rsidRPr="00AE6EDB" w:rsidTr="00411759">
        <w:trPr>
          <w:trHeight w:val="283"/>
          <w:jc w:val="center"/>
        </w:trPr>
        <w:tc>
          <w:tcPr>
            <w:tcW w:w="5245"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left"/>
              <w:rPr>
                <w:bCs/>
                <w:caps/>
                <w:sz w:val="20"/>
                <w:szCs w:val="16"/>
              </w:rPr>
            </w:pPr>
            <w:r w:rsidRPr="00AE6EDB">
              <w:rPr>
                <w:bCs/>
                <w:caps/>
                <w:sz w:val="20"/>
                <w:szCs w:val="16"/>
              </w:rPr>
              <w:t>Index rodovej rovnosti ***</w:t>
            </w:r>
            <w:r w:rsidRPr="00AE6EDB">
              <w:rPr>
                <w:bCs/>
                <w:caps/>
                <w:sz w:val="20"/>
                <w:szCs w:val="16"/>
              </w:rPr>
              <w:br/>
              <w:t>(</w:t>
            </w:r>
            <w:r w:rsidRPr="00AE6EDB">
              <w:rPr>
                <w:bCs/>
                <w:sz w:val="20"/>
                <w:szCs w:val="16"/>
              </w:rPr>
              <w:t>v</w:t>
            </w:r>
            <w:r w:rsidR="005676EF">
              <w:rPr>
                <w:bCs/>
                <w:caps/>
                <w:sz w:val="20"/>
                <w:szCs w:val="16"/>
              </w:rPr>
              <w:t> %</w:t>
            </w:r>
            <w:r w:rsidRPr="00AE6EDB">
              <w:rPr>
                <w:bCs/>
                <w:caps/>
                <w:sz w:val="20"/>
                <w:szCs w:val="16"/>
              </w:rPr>
              <w:t>, 2012 /2010 /2005, EIGE)</w:t>
            </w:r>
          </w:p>
        </w:tc>
        <w:tc>
          <w:tcPr>
            <w:tcW w:w="3402" w:type="dxa"/>
            <w:gridSpan w:val="7"/>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AE6EDB" w:rsidRDefault="000A7585" w:rsidP="00DE0EEC">
            <w:pPr>
              <w:jc w:val="center"/>
              <w:rPr>
                <w:bCs/>
                <w:sz w:val="20"/>
                <w:szCs w:val="16"/>
              </w:rPr>
            </w:pPr>
            <w:r w:rsidRPr="00AE6EDB">
              <w:rPr>
                <w:b/>
                <w:bCs/>
                <w:sz w:val="20"/>
                <w:szCs w:val="16"/>
              </w:rPr>
              <w:t xml:space="preserve">36,5 </w:t>
            </w:r>
            <w:r w:rsidRPr="00AE6EDB">
              <w:rPr>
                <w:bCs/>
                <w:sz w:val="20"/>
                <w:szCs w:val="16"/>
              </w:rPr>
              <w:t>/39,8 /41,5</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0A7585" w:rsidRPr="00AE6EDB" w:rsidRDefault="000A7585" w:rsidP="00DE0EEC">
            <w:pPr>
              <w:jc w:val="center"/>
              <w:rPr>
                <w:sz w:val="20"/>
                <w:szCs w:val="16"/>
              </w:rPr>
            </w:pPr>
            <w:r w:rsidRPr="00AE6EDB">
              <w:rPr>
                <w:sz w:val="20"/>
                <w:szCs w:val="16"/>
              </w:rPr>
              <w:t>52,8</w:t>
            </w:r>
          </w:p>
        </w:tc>
      </w:tr>
    </w:tbl>
    <w:p w:rsidR="000A7585" w:rsidRPr="00AE6EDB" w:rsidRDefault="000A7585" w:rsidP="000A7585">
      <w:pPr>
        <w:pStyle w:val="zdroj"/>
        <w:spacing w:after="0"/>
        <w:ind w:firstLine="0"/>
      </w:pPr>
      <w:r w:rsidRPr="00AE6EDB">
        <w:t xml:space="preserve">Poznámky: </w:t>
      </w:r>
    </w:p>
    <w:p w:rsidR="000A7585" w:rsidRPr="00AE6EDB" w:rsidRDefault="000A7585" w:rsidP="000A7585">
      <w:pPr>
        <w:pStyle w:val="zdroj"/>
        <w:spacing w:after="0"/>
        <w:ind w:firstLine="0"/>
      </w:pPr>
      <w:r w:rsidRPr="00AE6EDB">
        <w:t>*Rodový rozdiel = hodnoty mužov mínus hodnoty žien v percentuálnych bodoch (p. b.), ak nie je uvedené inak.</w:t>
      </w:r>
    </w:p>
    <w:p w:rsidR="000A7585" w:rsidRPr="00AE6EDB" w:rsidRDefault="000A7585" w:rsidP="000A7585">
      <w:pPr>
        <w:pStyle w:val="zdroj"/>
        <w:spacing w:before="0" w:after="0"/>
        <w:ind w:firstLine="0"/>
      </w:pPr>
      <w:proofErr w:type="spellStart"/>
      <w:r w:rsidRPr="00AE6EDB">
        <w:t>n.a</w:t>
      </w:r>
      <w:proofErr w:type="spellEnd"/>
      <w:r w:rsidRPr="00AE6EDB">
        <w:t>. = nedostupný údaj</w:t>
      </w:r>
    </w:p>
    <w:p w:rsidR="00880215" w:rsidRPr="00AE6EDB" w:rsidRDefault="00880215" w:rsidP="000A7585">
      <w:pPr>
        <w:pStyle w:val="zdroj"/>
        <w:spacing w:before="0" w:after="0"/>
        <w:ind w:firstLine="0"/>
      </w:pPr>
      <w:r w:rsidRPr="00AE6EDB">
        <w:t xml:space="preserve">ISSP = </w:t>
      </w:r>
      <w:proofErr w:type="spellStart"/>
      <w:r w:rsidRPr="00AE6EDB">
        <w:t>International</w:t>
      </w:r>
      <w:proofErr w:type="spellEnd"/>
      <w:r w:rsidRPr="00AE6EDB">
        <w:t xml:space="preserve"> </w:t>
      </w:r>
      <w:proofErr w:type="spellStart"/>
      <w:r w:rsidRPr="00AE6EDB">
        <w:t>Social</w:t>
      </w:r>
      <w:proofErr w:type="spellEnd"/>
      <w:r w:rsidRPr="00AE6EDB">
        <w:t xml:space="preserve"> </w:t>
      </w:r>
      <w:proofErr w:type="spellStart"/>
      <w:r w:rsidRPr="00AE6EDB">
        <w:t>Survey</w:t>
      </w:r>
      <w:proofErr w:type="spellEnd"/>
      <w:r w:rsidRPr="00AE6EDB">
        <w:t xml:space="preserve"> </w:t>
      </w:r>
      <w:proofErr w:type="spellStart"/>
      <w:r w:rsidRPr="00AE6EDB">
        <w:t>Programme</w:t>
      </w:r>
      <w:proofErr w:type="spellEnd"/>
      <w:r w:rsidRPr="00AE6EDB">
        <w:t>, Slovensko 2012</w:t>
      </w:r>
    </w:p>
    <w:p w:rsidR="000A7585" w:rsidRPr="00AE6EDB" w:rsidRDefault="000A7585" w:rsidP="000A7585">
      <w:pPr>
        <w:pStyle w:val="zdroj"/>
        <w:spacing w:before="0" w:after="0"/>
        <w:ind w:firstLine="0"/>
      </w:pPr>
      <w:r w:rsidRPr="00AE6EDB">
        <w:t xml:space="preserve">** rozdiel v percentuálnych bodoch medzi ženami/mužmi s deťmi a ženami/mužmi bez detí </w:t>
      </w:r>
    </w:p>
    <w:p w:rsidR="000A7585" w:rsidRPr="00AE6EDB" w:rsidRDefault="000A7585" w:rsidP="000A7585">
      <w:pPr>
        <w:pStyle w:val="zdroj"/>
        <w:spacing w:before="0" w:after="0"/>
        <w:ind w:firstLine="0"/>
      </w:pPr>
      <w:r w:rsidRPr="00AE6EDB">
        <w:t xml:space="preserve">*** Európsky inštitút rodovej rovnosti (EIGE) vypracoval pre EK Index rodovej rovnosti ako nástroj merania a porovnávania situácie rodovej rovnosti v niekoľkých kľúčových oblastiach. Meranie je rozdelené do kategórií práca, peniaze, znalosti, čas, moc a zdravie vrátane násilia. Index umožňuje, aby každý členský štát vyhodnotil a navzájom porovnal pokrok, ktorý dosiahol v uvedených dimenziách rodovej rovnosti. </w:t>
      </w:r>
    </w:p>
    <w:p w:rsidR="000A7585" w:rsidRPr="00AE6EDB" w:rsidRDefault="000A7585" w:rsidP="000A7585">
      <w:pPr>
        <w:pStyle w:val="zdroj"/>
        <w:spacing w:before="0" w:after="0"/>
        <w:ind w:firstLine="0"/>
      </w:pPr>
      <w:r w:rsidRPr="00AE6EDB">
        <w:t>Riziko príjmovej chudoby = príjem pod hranicou 60</w:t>
      </w:r>
      <w:r w:rsidR="005676EF">
        <w:t> %</w:t>
      </w:r>
      <w:r w:rsidRPr="00AE6EDB">
        <w:t xml:space="preserve"> mediánu národného disponibilného príjmu po sociálnych transferoch </w:t>
      </w:r>
    </w:p>
    <w:p w:rsidR="000A7585" w:rsidRPr="00AE6EDB" w:rsidRDefault="000A7585" w:rsidP="000A7585">
      <w:pPr>
        <w:pStyle w:val="zdroj"/>
        <w:spacing w:before="0" w:after="0"/>
        <w:ind w:firstLine="0"/>
      </w:pPr>
      <w:r w:rsidRPr="00AE6EDB">
        <w:t>EC = Databáza Európskej komisie Muži a ženy v riadiacich pozíciách</w:t>
      </w:r>
    </w:p>
    <w:p w:rsidR="000A7585" w:rsidRPr="00AE6EDB" w:rsidRDefault="000A7585" w:rsidP="000A7585">
      <w:pPr>
        <w:pStyle w:val="zdroj"/>
        <w:spacing w:before="0" w:after="0"/>
        <w:ind w:firstLine="0"/>
      </w:pPr>
      <w:r w:rsidRPr="00AE6EDB">
        <w:t xml:space="preserve">GR = Výročná správa o rodovej rovnosti: Report on </w:t>
      </w:r>
      <w:proofErr w:type="spellStart"/>
      <w:r w:rsidRPr="00AE6EDB">
        <w:t>Equality</w:t>
      </w:r>
      <w:proofErr w:type="spellEnd"/>
      <w:r w:rsidRPr="00AE6EDB">
        <w:t xml:space="preserve"> </w:t>
      </w:r>
      <w:proofErr w:type="spellStart"/>
      <w:r w:rsidRPr="00AE6EDB">
        <w:t>between</w:t>
      </w:r>
      <w:proofErr w:type="spellEnd"/>
      <w:r w:rsidRPr="00AE6EDB">
        <w:t xml:space="preserve"> </w:t>
      </w:r>
      <w:proofErr w:type="spellStart"/>
      <w:r w:rsidRPr="00AE6EDB">
        <w:t>Women</w:t>
      </w:r>
      <w:proofErr w:type="spellEnd"/>
      <w:r w:rsidRPr="00AE6EDB">
        <w:t xml:space="preserve"> and </w:t>
      </w:r>
      <w:proofErr w:type="spellStart"/>
      <w:r w:rsidRPr="00AE6EDB">
        <w:t>Men</w:t>
      </w:r>
      <w:proofErr w:type="spellEnd"/>
      <w:r w:rsidRPr="00AE6EDB">
        <w:t xml:space="preserve"> 201</w:t>
      </w:r>
      <w:r w:rsidR="001F7143" w:rsidRPr="00AE6EDB">
        <w:t>5</w:t>
      </w:r>
      <w:r w:rsidRPr="00AE6EDB">
        <w:t xml:space="preserve">. Dostupné na: </w:t>
      </w:r>
      <w:r w:rsidR="001F7143" w:rsidRPr="00AE6EDB">
        <w:t>http://ec.europa.eu/justice/gender-equality/files/annual_reports/2016_annual_report_2015_web_en.pdf</w:t>
      </w:r>
      <w:r w:rsidRPr="00AE6EDB">
        <w:t xml:space="preserve">. </w:t>
      </w:r>
    </w:p>
    <w:p w:rsidR="000A7585" w:rsidRPr="00AE6EDB" w:rsidRDefault="000A7585" w:rsidP="000A7585">
      <w:pPr>
        <w:pStyle w:val="zdroj"/>
        <w:spacing w:before="0"/>
        <w:ind w:firstLine="0"/>
      </w:pPr>
      <w:r w:rsidRPr="00AE6EDB">
        <w:t xml:space="preserve">EK = Výročná správa Európskej komisie: </w:t>
      </w:r>
      <w:proofErr w:type="spellStart"/>
      <w:r w:rsidRPr="00AE6EDB">
        <w:t>Employment</w:t>
      </w:r>
      <w:proofErr w:type="spellEnd"/>
      <w:r w:rsidRPr="00AE6EDB">
        <w:t xml:space="preserve"> and </w:t>
      </w:r>
      <w:proofErr w:type="spellStart"/>
      <w:r w:rsidRPr="00AE6EDB">
        <w:t>Social</w:t>
      </w:r>
      <w:proofErr w:type="spellEnd"/>
      <w:r w:rsidRPr="00AE6EDB">
        <w:t xml:space="preserve"> </w:t>
      </w:r>
      <w:proofErr w:type="spellStart"/>
      <w:r w:rsidRPr="00AE6EDB">
        <w:t>Development</w:t>
      </w:r>
      <w:proofErr w:type="spellEnd"/>
      <w:r w:rsidRPr="00AE6EDB">
        <w:t xml:space="preserve"> in </w:t>
      </w:r>
      <w:proofErr w:type="spellStart"/>
      <w:r w:rsidRPr="00AE6EDB">
        <w:t>Europe</w:t>
      </w:r>
      <w:proofErr w:type="spellEnd"/>
      <w:r w:rsidRPr="00AE6EDB">
        <w:t xml:space="preserve"> 201</w:t>
      </w:r>
      <w:r w:rsidR="001F7143" w:rsidRPr="00AE6EDB">
        <w:t>5</w:t>
      </w:r>
      <w:r w:rsidRPr="00AE6EDB">
        <w:t xml:space="preserve">. Dostupné na: </w:t>
      </w:r>
      <w:r w:rsidR="001F7143" w:rsidRPr="00AE6EDB">
        <w:t>http://ec.europa.eu/social/main.jsp?catId=738&amp;langId=en&amp;pubId=7859&amp;furtherPubs=yes</w:t>
      </w:r>
    </w:p>
    <w:p w:rsidR="000A7585" w:rsidRPr="00AE6EDB" w:rsidRDefault="000A7585" w:rsidP="000A7585">
      <w:pPr>
        <w:pStyle w:val="zdroj"/>
        <w:spacing w:before="0" w:after="0"/>
        <w:ind w:left="150" w:firstLine="15"/>
        <w:rPr>
          <w:color w:val="000000" w:themeColor="text1"/>
          <w:highlight w:val="cyan"/>
        </w:rPr>
      </w:pPr>
    </w:p>
    <w:p w:rsidR="000A7585" w:rsidRPr="00AE6EDB" w:rsidRDefault="000A7585" w:rsidP="000A7585">
      <w:pPr>
        <w:pStyle w:val="zdroj"/>
        <w:spacing w:before="0"/>
        <w:ind w:left="567" w:firstLine="3"/>
        <w:rPr>
          <w:i w:val="0"/>
          <w:color w:val="000000" w:themeColor="text1"/>
          <w:highlight w:val="cyan"/>
        </w:rPr>
        <w:sectPr w:rsidR="000A7585" w:rsidRPr="00AE6EDB" w:rsidSect="004F3C97">
          <w:headerReference w:type="even" r:id="rId86"/>
          <w:headerReference w:type="default" r:id="rId87"/>
          <w:footerReference w:type="even" r:id="rId88"/>
          <w:type w:val="oddPage"/>
          <w:pgSz w:w="11906" w:h="16838"/>
          <w:pgMar w:top="1417" w:right="1417" w:bottom="1417" w:left="1417" w:header="708" w:footer="708" w:gutter="0"/>
          <w:cols w:space="708"/>
          <w:docGrid w:linePitch="360"/>
        </w:sectPr>
      </w:pPr>
    </w:p>
    <w:p w:rsidR="000A7585" w:rsidRPr="0047502D" w:rsidRDefault="000A7585" w:rsidP="000A7585">
      <w:pPr>
        <w:pStyle w:val="Nadpis1"/>
        <w:rPr>
          <w:rStyle w:val="Hypertextovprepojenie"/>
          <w:color w:val="6D1D14" w:themeColor="accent2" w:themeShade="80"/>
          <w:u w:val="none"/>
        </w:rPr>
      </w:pPr>
      <w:bookmarkStart w:id="754" w:name="_Toc325438304"/>
      <w:bookmarkStart w:id="755" w:name="_Toc356482780"/>
      <w:bookmarkStart w:id="756" w:name="_Toc356482802"/>
      <w:bookmarkStart w:id="757" w:name="_Toc356482823"/>
      <w:bookmarkStart w:id="758" w:name="_Toc452469904"/>
      <w:r w:rsidRPr="0047502D">
        <w:rPr>
          <w:rStyle w:val="Hypertextovprepojenie"/>
          <w:color w:val="6D1D14" w:themeColor="accent2" w:themeShade="80"/>
          <w:u w:val="none"/>
        </w:rPr>
        <w:t>POROVNANIE VYBRANÝCH UKAZOVATEĽOV MEDZI KRAJINAMI EÚ V KONTEXTE STRATÉGIE EURÓPA 2020</w:t>
      </w:r>
      <w:bookmarkEnd w:id="754"/>
      <w:bookmarkEnd w:id="755"/>
      <w:bookmarkEnd w:id="756"/>
      <w:bookmarkEnd w:id="757"/>
      <w:bookmarkEnd w:id="758"/>
    </w:p>
    <w:p w:rsidR="000A7585" w:rsidRPr="0047502D" w:rsidRDefault="000A7585" w:rsidP="000A7585">
      <w:pPr>
        <w:ind w:firstLine="567"/>
      </w:pPr>
      <w:r w:rsidRPr="0047502D">
        <w:t xml:space="preserve">Stratégia Európa 2020 </w:t>
      </w:r>
      <w:r w:rsidR="00DB0FF5">
        <w:t>– Stratégia na zabezpečenie inteligentného, udržateľného a </w:t>
      </w:r>
      <w:proofErr w:type="spellStart"/>
      <w:r w:rsidR="00DB0FF5">
        <w:t>inkluzívneho</w:t>
      </w:r>
      <w:proofErr w:type="spellEnd"/>
      <w:r w:rsidR="00DB0FF5">
        <w:t xml:space="preserve"> rastu </w:t>
      </w:r>
      <w:r w:rsidRPr="0047502D">
        <w:t xml:space="preserve">prijatá Európskou radou 17. júna 2010 je stratégia EÚ pre hospodársky rast a zamestnanosť v súčasnej dekáde. Stratégia Európa 2020 má pomôcť vytvoriť z EÚ inteligentné, udržateľné a </w:t>
      </w:r>
      <w:proofErr w:type="spellStart"/>
      <w:r w:rsidRPr="0047502D">
        <w:t>inkluzívne</w:t>
      </w:r>
      <w:proofErr w:type="spellEnd"/>
      <w:r w:rsidRPr="0047502D">
        <w:t xml:space="preserve"> hospodárstvo s vysokou mierou zamestnanosti, produktivity a sociálnej súdržnosti. Je 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rsidR="000A7585" w:rsidRPr="0047502D" w:rsidRDefault="000A7585" w:rsidP="000A7585">
      <w:pPr>
        <w:pStyle w:val="Normlnysozarkami1"/>
        <w:ind w:firstLine="567"/>
        <w:rPr>
          <w:color w:val="000000" w:themeColor="text1"/>
        </w:rPr>
      </w:pPr>
      <w:r w:rsidRPr="0047502D">
        <w:rPr>
          <w:color w:val="000000" w:themeColor="text1"/>
        </w:rPr>
        <w:t xml:space="preserve">Nasledovné údaje reflektujú sociálno-ekonomickú situáciu na Slovensku v porovnaní s ostatnými krajinami EÚ a v kontexte dosahovania cieľov stratégie Európa 2020. Indikátory sú počítané na základe jednotnej metodiky, ich zdrojom je </w:t>
      </w:r>
      <w:proofErr w:type="spellStart"/>
      <w:r w:rsidRPr="0047502D">
        <w:rPr>
          <w:color w:val="000000" w:themeColor="text1"/>
        </w:rPr>
        <w:t>Eurostat</w:t>
      </w:r>
      <w:proofErr w:type="spellEnd"/>
      <w:r w:rsidRPr="0047502D">
        <w:rPr>
          <w:color w:val="000000" w:themeColor="text1"/>
        </w:rPr>
        <w:t>, a preto sa môžu do istej miery odlišovať od údajov národných štatistických úradov. V prílohe k tejto kapitole sa nachádzajú tabuľky s údajmi v jednotlivých krajinách EU28 v poslednom dostupnom roku.</w:t>
      </w:r>
    </w:p>
    <w:p w:rsidR="000A7585" w:rsidRPr="00AE6EDB" w:rsidRDefault="000A7585" w:rsidP="000A7585">
      <w:pPr>
        <w:rPr>
          <w:color w:val="000000" w:themeColor="text1"/>
          <w:highlight w:val="cyan"/>
        </w:rPr>
      </w:pPr>
    </w:p>
    <w:p w:rsidR="000A7585" w:rsidRPr="0047502D" w:rsidRDefault="000A7585" w:rsidP="000A7585">
      <w:pPr>
        <w:pStyle w:val="nadpis2"/>
        <w:numPr>
          <w:ilvl w:val="0"/>
          <w:numId w:val="0"/>
        </w:numPr>
        <w:ind w:left="576"/>
      </w:pPr>
      <w:bookmarkStart w:id="759" w:name="_Toc394062236"/>
      <w:bookmarkStart w:id="760" w:name="_Toc452469905"/>
      <w:r w:rsidRPr="0047502D">
        <w:t>Makroekonomické prostredie</w:t>
      </w:r>
      <w:bookmarkEnd w:id="759"/>
      <w:bookmarkEnd w:id="760"/>
    </w:p>
    <w:p w:rsidR="0047502D" w:rsidRPr="004C5551" w:rsidRDefault="0047502D" w:rsidP="0047502D">
      <w:pPr>
        <w:pStyle w:val="Normlnysozarkami1"/>
        <w:ind w:firstLine="567"/>
        <w:rPr>
          <w:color w:val="000000" w:themeColor="text1"/>
        </w:rPr>
      </w:pPr>
      <w:r w:rsidRPr="004C5551">
        <w:rPr>
          <w:color w:val="000000" w:themeColor="text1"/>
        </w:rPr>
        <w:t>Vývoj HDP v SR</w:t>
      </w:r>
      <w:r>
        <w:rPr>
          <w:color w:val="000000" w:themeColor="text1"/>
        </w:rPr>
        <w:t xml:space="preserve"> v roku 2015</w:t>
      </w:r>
      <w:r w:rsidRPr="004C5551">
        <w:rPr>
          <w:color w:val="000000" w:themeColor="text1"/>
        </w:rPr>
        <w:t xml:space="preserve"> bol tak ako v predchádzajúcom období priaznivejší ako v EU28, ktorá zaz</w:t>
      </w:r>
      <w:r>
        <w:rPr>
          <w:color w:val="000000" w:themeColor="text1"/>
        </w:rPr>
        <w:t>namenala rast reálneho HDP o 1,9</w:t>
      </w:r>
      <w:r w:rsidRPr="004C5551">
        <w:rPr>
          <w:color w:val="000000" w:themeColor="text1"/>
        </w:rPr>
        <w:t xml:space="preserve"> %. Reálne</w:t>
      </w:r>
      <w:r>
        <w:rPr>
          <w:color w:val="000000" w:themeColor="text1"/>
        </w:rPr>
        <w:t xml:space="preserve"> HDP v SR v priemere v roku 2015</w:t>
      </w:r>
      <w:r w:rsidRPr="004C5551">
        <w:rPr>
          <w:color w:val="000000" w:themeColor="text1"/>
        </w:rPr>
        <w:t xml:space="preserve"> medziročne zrýchlilo svoj rast o</w:t>
      </w:r>
      <w:r>
        <w:rPr>
          <w:color w:val="000000" w:themeColor="text1"/>
        </w:rPr>
        <w:t> </w:t>
      </w:r>
      <w:r w:rsidRPr="004C5551">
        <w:rPr>
          <w:color w:val="000000" w:themeColor="text1"/>
        </w:rPr>
        <w:t>1</w:t>
      </w:r>
      <w:r>
        <w:rPr>
          <w:color w:val="000000" w:themeColor="text1"/>
        </w:rPr>
        <w:t xml:space="preserve">,1 p. b. </w:t>
      </w:r>
      <w:r w:rsidRPr="00050D83">
        <w:rPr>
          <w:color w:val="000000" w:themeColor="text1"/>
        </w:rPr>
        <w:t>na 3,6 %, a to najmä vďaka rozsiahlym výdavkom domácností a rastúcej investičnej činnosti. Spomedzi</w:t>
      </w:r>
      <w:r w:rsidRPr="004C5551">
        <w:rPr>
          <w:color w:val="000000" w:themeColor="text1"/>
        </w:rPr>
        <w:t xml:space="preserve"> krajín EÚ</w:t>
      </w:r>
      <w:r>
        <w:rPr>
          <w:color w:val="000000" w:themeColor="text1"/>
        </w:rPr>
        <w:t xml:space="preserve"> najviac rástol HDP v Írsku (7,8 %), Malte (6,3</w:t>
      </w:r>
      <w:r w:rsidRPr="004C5551">
        <w:rPr>
          <w:color w:val="000000" w:themeColor="text1"/>
        </w:rPr>
        <w:t xml:space="preserve"> %)</w:t>
      </w:r>
      <w:r>
        <w:rPr>
          <w:color w:val="000000" w:themeColor="text1"/>
        </w:rPr>
        <w:t xml:space="preserve"> a v Luxembursku (4,8 %)</w:t>
      </w:r>
      <w:r w:rsidRPr="004C5551">
        <w:rPr>
          <w:color w:val="000000" w:themeColor="text1"/>
        </w:rPr>
        <w:t>. HDP na</w:t>
      </w:r>
      <w:r>
        <w:rPr>
          <w:color w:val="000000" w:themeColor="text1"/>
        </w:rPr>
        <w:t xml:space="preserve">rástlo vo väčšine krajín EU28. </w:t>
      </w:r>
      <w:r w:rsidRPr="002C318E">
        <w:rPr>
          <w:color w:val="000000" w:themeColor="text1"/>
        </w:rPr>
        <w:t xml:space="preserve">Podľa predbežných údajov </w:t>
      </w:r>
      <w:proofErr w:type="spellStart"/>
      <w:r w:rsidRPr="002C318E">
        <w:rPr>
          <w:color w:val="000000" w:themeColor="text1"/>
        </w:rPr>
        <w:t>Eurostatu</w:t>
      </w:r>
      <w:proofErr w:type="spellEnd"/>
      <w:r w:rsidRPr="002C318E">
        <w:rPr>
          <w:color w:val="000000" w:themeColor="text1"/>
        </w:rPr>
        <w:t xml:space="preserve"> mierny pokles zaznamenalo iba Grécko (o 0,2 %). Podľa jarnej prognózy Európskej komisie</w:t>
      </w:r>
      <w:r w:rsidRPr="002C318E">
        <w:rPr>
          <w:rStyle w:val="Odkaznapoznmkupodiarou"/>
          <w:color w:val="000000" w:themeColor="text1"/>
        </w:rPr>
        <w:footnoteReference w:id="73"/>
      </w:r>
      <w:r w:rsidRPr="002C318E">
        <w:rPr>
          <w:color w:val="000000" w:themeColor="text1"/>
        </w:rPr>
        <w:t xml:space="preserve"> (EK) hospodársky rast na Slovensku v nasledujúcom</w:t>
      </w:r>
      <w:r w:rsidRPr="00861184">
        <w:rPr>
          <w:color w:val="000000" w:themeColor="text1"/>
        </w:rPr>
        <w:t xml:space="preserve"> období má ďalej</w:t>
      </w:r>
      <w:r>
        <w:rPr>
          <w:color w:val="000000" w:themeColor="text1"/>
        </w:rPr>
        <w:t xml:space="preserve"> pokračovať a očakáva sa, že presiahne 3 % ako v roku 2016 (3,2 %), tak aj v roku 2017 (3,3 %). Najsilnejším motorom rastu sa má stať narastajúca súkromná spotreba posilnená zvyšovaním zamestnanosti, ako aj výrazným nárastom reálnych miezd, nízkymi úverovými nákladmi a pokračujúcim prepadom cien energií.  </w:t>
      </w:r>
      <w:r w:rsidRPr="004C5551">
        <w:rPr>
          <w:color w:val="000000" w:themeColor="text1"/>
        </w:rPr>
        <w:t xml:space="preserve">Podľa odhadu </w:t>
      </w:r>
      <w:r>
        <w:rPr>
          <w:color w:val="000000" w:themeColor="text1"/>
        </w:rPr>
        <w:t xml:space="preserve">EK </w:t>
      </w:r>
      <w:r w:rsidRPr="004C5551">
        <w:rPr>
          <w:color w:val="000000" w:themeColor="text1"/>
        </w:rPr>
        <w:t xml:space="preserve">rast reálneho HDP </w:t>
      </w:r>
      <w:r>
        <w:rPr>
          <w:color w:val="000000" w:themeColor="text1"/>
        </w:rPr>
        <w:t xml:space="preserve">bude pokračovať </w:t>
      </w:r>
      <w:r w:rsidRPr="004C5551">
        <w:rPr>
          <w:color w:val="000000" w:themeColor="text1"/>
        </w:rPr>
        <w:t>aj v priem</w:t>
      </w:r>
      <w:r>
        <w:rPr>
          <w:color w:val="000000" w:themeColor="text1"/>
        </w:rPr>
        <w:t>ere v Európe, a to na úrovni 1,8 % v roku 2016 a 1,9 % v roku 2017</w:t>
      </w:r>
      <w:r w:rsidRPr="004C5551">
        <w:rPr>
          <w:color w:val="000000" w:themeColor="text1"/>
        </w:rPr>
        <w:t>. Rast o</w:t>
      </w:r>
      <w:r>
        <w:rPr>
          <w:color w:val="000000" w:themeColor="text1"/>
        </w:rPr>
        <w:t xml:space="preserve"> viac ako </w:t>
      </w:r>
      <w:r w:rsidRPr="004C5551">
        <w:rPr>
          <w:color w:val="000000" w:themeColor="text1"/>
        </w:rPr>
        <w:t>3 % je v</w:t>
      </w:r>
      <w:r>
        <w:rPr>
          <w:color w:val="000000" w:themeColor="text1"/>
        </w:rPr>
        <w:t> roku 2016 okrem Slovenska očakávaný aj v</w:t>
      </w:r>
      <w:r w:rsidRPr="004C5551">
        <w:rPr>
          <w:color w:val="000000" w:themeColor="text1"/>
        </w:rPr>
        <w:t xml:space="preserve"> Írsku, </w:t>
      </w:r>
      <w:r>
        <w:rPr>
          <w:color w:val="000000" w:themeColor="text1"/>
        </w:rPr>
        <w:t>Rumunsku, Malte, Luxembursku, </w:t>
      </w:r>
      <w:r w:rsidRPr="004C5551">
        <w:rPr>
          <w:color w:val="000000" w:themeColor="text1"/>
        </w:rPr>
        <w:t>Poľsku</w:t>
      </w:r>
      <w:r>
        <w:rPr>
          <w:color w:val="000000" w:themeColor="text1"/>
        </w:rPr>
        <w:t>, Švédsku a v roku 2017 aj v Lotyšsku a v </w:t>
      </w:r>
      <w:r w:rsidRPr="004C5551">
        <w:rPr>
          <w:color w:val="000000" w:themeColor="text1"/>
        </w:rPr>
        <w:t>Litve</w:t>
      </w:r>
      <w:r>
        <w:rPr>
          <w:color w:val="000000" w:themeColor="text1"/>
        </w:rPr>
        <w:t>.</w:t>
      </w:r>
      <w:r w:rsidRPr="004C5551">
        <w:rPr>
          <w:color w:val="000000" w:themeColor="text1"/>
        </w:rPr>
        <w:t xml:space="preserve"> </w:t>
      </w:r>
    </w:p>
    <w:p w:rsidR="0047502D" w:rsidRPr="004C5551" w:rsidRDefault="0047502D" w:rsidP="0047502D">
      <w:pPr>
        <w:pStyle w:val="Normlnysozarkami1"/>
        <w:ind w:firstLine="567"/>
        <w:rPr>
          <w:color w:val="000000" w:themeColor="text1"/>
        </w:rPr>
      </w:pPr>
      <w:r>
        <w:rPr>
          <w:color w:val="000000" w:themeColor="text1"/>
        </w:rPr>
        <w:t>V roku 2014</w:t>
      </w:r>
      <w:r w:rsidRPr="004C5551">
        <w:rPr>
          <w:color w:val="000000" w:themeColor="text1"/>
        </w:rPr>
        <w:t xml:space="preserve"> dosiahlo </w:t>
      </w:r>
      <w:r w:rsidRPr="004C5551">
        <w:rPr>
          <w:b/>
          <w:color w:val="000000" w:themeColor="text1"/>
        </w:rPr>
        <w:t>HDP na hlavu</w:t>
      </w:r>
      <w:r>
        <w:rPr>
          <w:color w:val="000000" w:themeColor="text1"/>
        </w:rPr>
        <w:t xml:space="preserve"> (v PPS</w:t>
      </w:r>
      <w:r w:rsidR="00326DA1">
        <w:rPr>
          <w:rStyle w:val="Odkaznapoznmkupodiarou"/>
          <w:color w:val="000000" w:themeColor="text1"/>
        </w:rPr>
        <w:footnoteReference w:id="74"/>
      </w:r>
      <w:r>
        <w:rPr>
          <w:color w:val="000000" w:themeColor="text1"/>
        </w:rPr>
        <w:t>) na Slovensku 77</w:t>
      </w:r>
      <w:r w:rsidRPr="004C5551">
        <w:rPr>
          <w:color w:val="000000" w:themeColor="text1"/>
        </w:rPr>
        <w:t> % z priemeru EU28, pričom táto hodnota medziročne narástla o 1 p.</w:t>
      </w:r>
      <w:r>
        <w:rPr>
          <w:color w:val="000000" w:themeColor="text1"/>
        </w:rPr>
        <w:t> </w:t>
      </w:r>
      <w:r w:rsidRPr="004C5551">
        <w:rPr>
          <w:color w:val="000000" w:themeColor="text1"/>
        </w:rPr>
        <w:t>b. Nižšie hodnoty HDP na hlavu v porovnaní s EU28 ako Slovensko mali</w:t>
      </w:r>
      <w:r>
        <w:rPr>
          <w:color w:val="000000" w:themeColor="text1"/>
        </w:rPr>
        <w:t xml:space="preserve"> Estónsko,</w:t>
      </w:r>
      <w:r w:rsidRPr="004C5551">
        <w:rPr>
          <w:color w:val="000000" w:themeColor="text1"/>
        </w:rPr>
        <w:t xml:space="preserve"> Litva, Grécko</w:t>
      </w:r>
      <w:r>
        <w:rPr>
          <w:color w:val="000000" w:themeColor="text1"/>
        </w:rPr>
        <w:t>,</w:t>
      </w:r>
      <w:r w:rsidRPr="004C5551">
        <w:rPr>
          <w:color w:val="000000" w:themeColor="text1"/>
        </w:rPr>
        <w:t xml:space="preserve"> Poľsko, Maďarsko, Lotyšsko, Chorvátsko, Rumunsko a Bulharsko.</w:t>
      </w:r>
    </w:p>
    <w:p w:rsidR="0047502D" w:rsidRPr="0054550D" w:rsidRDefault="0047502D" w:rsidP="0047502D">
      <w:pPr>
        <w:pStyle w:val="Normlnysozarkami1"/>
        <w:ind w:firstLine="567"/>
        <w:rPr>
          <w:color w:val="000000" w:themeColor="text1"/>
        </w:rPr>
      </w:pPr>
      <w:r>
        <w:rPr>
          <w:color w:val="000000" w:themeColor="text1"/>
        </w:rPr>
        <w:t>Slovensko bolo jednou z 10 krajín EU28, ktoré v roku 2015</w:t>
      </w:r>
      <w:r w:rsidRPr="004C5551">
        <w:rPr>
          <w:color w:val="000000" w:themeColor="text1"/>
        </w:rPr>
        <w:t xml:space="preserve"> zažívali defláciu.</w:t>
      </w:r>
      <w:r w:rsidRPr="004C5551">
        <w:rPr>
          <w:b/>
          <w:color w:val="000000" w:themeColor="text1"/>
        </w:rPr>
        <w:t xml:space="preserve"> Harmonizovaná miera inflácie</w:t>
      </w:r>
      <w:r w:rsidRPr="004C5551">
        <w:rPr>
          <w:color w:val="000000" w:themeColor="text1"/>
        </w:rPr>
        <w:t xml:space="preserve"> na Slovensku </w:t>
      </w:r>
      <w:r>
        <w:rPr>
          <w:color w:val="000000" w:themeColor="text1"/>
        </w:rPr>
        <w:t>v roku 2015 druhý rok po sebe klesla (na -0,3</w:t>
      </w:r>
      <w:r w:rsidRPr="004C5551">
        <w:rPr>
          <w:color w:val="000000" w:themeColor="text1"/>
        </w:rPr>
        <w:t> %</w:t>
      </w:r>
      <w:r>
        <w:rPr>
          <w:color w:val="000000" w:themeColor="text1"/>
        </w:rPr>
        <w:t>), a to najmä vďaka klesajúcim cenám energií. V </w:t>
      </w:r>
      <w:r w:rsidRPr="005061F4">
        <w:rPr>
          <w:color w:val="000000" w:themeColor="text1"/>
        </w:rPr>
        <w:t xml:space="preserve">priemere v EU28 inflácia dosiahla 0,0 %. Predpokladá sa, že </w:t>
      </w:r>
      <w:r>
        <w:rPr>
          <w:color w:val="000000" w:themeColor="text1"/>
        </w:rPr>
        <w:t xml:space="preserve">v SR </w:t>
      </w:r>
      <w:r w:rsidRPr="005061F4">
        <w:rPr>
          <w:color w:val="000000" w:themeColor="text1"/>
        </w:rPr>
        <w:t>sa budú deflačné tlaky postupne utlmovať</w:t>
      </w:r>
      <w:r>
        <w:rPr>
          <w:color w:val="000000" w:themeColor="text1"/>
        </w:rPr>
        <w:t>, a to</w:t>
      </w:r>
      <w:r w:rsidRPr="005061F4">
        <w:rPr>
          <w:color w:val="000000" w:themeColor="text1"/>
        </w:rPr>
        <w:t xml:space="preserve"> </w:t>
      </w:r>
      <w:r>
        <w:rPr>
          <w:color w:val="000000" w:themeColor="text1"/>
        </w:rPr>
        <w:t xml:space="preserve">najmä </w:t>
      </w:r>
      <w:r w:rsidRPr="005061F4">
        <w:rPr>
          <w:color w:val="000000" w:themeColor="text1"/>
        </w:rPr>
        <w:t xml:space="preserve">v súvislosti s rastom dopytu domácností a s nominálnym rastom miezd. Podľa odhadov EK v SR sa v roku 2016 očakáva inflácia blízka nule </w:t>
      </w:r>
      <w:r>
        <w:rPr>
          <w:color w:val="000000" w:themeColor="text1"/>
        </w:rPr>
        <w:br/>
      </w:r>
      <w:r w:rsidRPr="005061F4">
        <w:rPr>
          <w:color w:val="000000" w:themeColor="text1"/>
        </w:rPr>
        <w:t>(</w:t>
      </w:r>
      <w:r>
        <w:rPr>
          <w:color w:val="000000" w:themeColor="text1"/>
        </w:rPr>
        <w:t>-</w:t>
      </w:r>
      <w:r w:rsidRPr="005061F4">
        <w:rPr>
          <w:color w:val="000000" w:themeColor="text1"/>
        </w:rPr>
        <w:t xml:space="preserve">0,1 %) a v roku 2017 sa </w:t>
      </w:r>
      <w:r>
        <w:rPr>
          <w:color w:val="000000" w:themeColor="text1"/>
        </w:rPr>
        <w:t>pravdepodobne</w:t>
      </w:r>
      <w:r w:rsidRPr="005061F4">
        <w:rPr>
          <w:color w:val="000000" w:themeColor="text1"/>
        </w:rPr>
        <w:t xml:space="preserve"> inflác</w:t>
      </w:r>
      <w:r>
        <w:rPr>
          <w:color w:val="000000" w:themeColor="text1"/>
        </w:rPr>
        <w:t>ia obnoví</w:t>
      </w:r>
      <w:r w:rsidRPr="005061F4">
        <w:rPr>
          <w:color w:val="000000" w:themeColor="text1"/>
        </w:rPr>
        <w:t xml:space="preserve"> a </w:t>
      </w:r>
      <w:r>
        <w:rPr>
          <w:color w:val="000000" w:themeColor="text1"/>
        </w:rPr>
        <w:t>stúpne</w:t>
      </w:r>
      <w:r w:rsidRPr="005061F4">
        <w:rPr>
          <w:color w:val="000000" w:themeColor="text1"/>
        </w:rPr>
        <w:t xml:space="preserve"> na 1,5 % (v EU28 sa očakáva inflácia v</w:t>
      </w:r>
      <w:r>
        <w:rPr>
          <w:color w:val="000000" w:themeColor="text1"/>
        </w:rPr>
        <w:t xml:space="preserve"> roku </w:t>
      </w:r>
      <w:r w:rsidRPr="005061F4">
        <w:rPr>
          <w:color w:val="000000" w:themeColor="text1"/>
        </w:rPr>
        <w:t>2016 na úrovni 0,3 % a</w:t>
      </w:r>
      <w:r>
        <w:rPr>
          <w:color w:val="000000" w:themeColor="text1"/>
        </w:rPr>
        <w:t> </w:t>
      </w:r>
      <w:r w:rsidRPr="005061F4">
        <w:rPr>
          <w:color w:val="000000" w:themeColor="text1"/>
        </w:rPr>
        <w:t>v</w:t>
      </w:r>
      <w:r>
        <w:rPr>
          <w:color w:val="000000" w:themeColor="text1"/>
        </w:rPr>
        <w:t xml:space="preserve"> roku </w:t>
      </w:r>
      <w:r w:rsidRPr="005061F4">
        <w:rPr>
          <w:color w:val="000000" w:themeColor="text1"/>
        </w:rPr>
        <w:t>2017</w:t>
      </w:r>
      <w:r>
        <w:rPr>
          <w:color w:val="000000" w:themeColor="text1"/>
        </w:rPr>
        <w:t xml:space="preserve"> na úrovni</w:t>
      </w:r>
      <w:r w:rsidRPr="005061F4">
        <w:rPr>
          <w:color w:val="000000" w:themeColor="text1"/>
        </w:rPr>
        <w:t> </w:t>
      </w:r>
      <w:r>
        <w:rPr>
          <w:color w:val="000000" w:themeColor="text1"/>
        </w:rPr>
        <w:t>1</w:t>
      </w:r>
      <w:r w:rsidRPr="005061F4">
        <w:rPr>
          <w:color w:val="000000" w:themeColor="text1"/>
        </w:rPr>
        <w:t xml:space="preserve">,5 %). Rast reálneho HDP v SR sa prejavil aj na ďalšom zlepšení situácie na trhu práce, nakoľko </w:t>
      </w:r>
      <w:r w:rsidRPr="005061F4">
        <w:rPr>
          <w:b/>
          <w:color w:val="000000" w:themeColor="text1"/>
        </w:rPr>
        <w:t>zamestnanosť</w:t>
      </w:r>
      <w:r w:rsidRPr="005061F4">
        <w:rPr>
          <w:color w:val="000000" w:themeColor="text1"/>
        </w:rPr>
        <w:t xml:space="preserve"> v roku 2015 podľa</w:t>
      </w:r>
      <w:r w:rsidRPr="004C5551">
        <w:rPr>
          <w:color w:val="000000" w:themeColor="text1"/>
        </w:rPr>
        <w:t xml:space="preserve"> do</w:t>
      </w:r>
      <w:r>
        <w:rPr>
          <w:color w:val="000000" w:themeColor="text1"/>
        </w:rPr>
        <w:t xml:space="preserve">máceho konceptu (ESA 2010) </w:t>
      </w:r>
      <w:r w:rsidRPr="004C5551">
        <w:rPr>
          <w:color w:val="000000" w:themeColor="text1"/>
        </w:rPr>
        <w:t xml:space="preserve">medziročne vzrástla </w:t>
      </w:r>
      <w:r>
        <w:rPr>
          <w:color w:val="000000" w:themeColor="text1"/>
        </w:rPr>
        <w:t>o 2,0 %.</w:t>
      </w:r>
      <w:r w:rsidRPr="004C5551">
        <w:rPr>
          <w:color w:val="000000" w:themeColor="text1"/>
        </w:rPr>
        <w:t xml:space="preserve"> Zamestnanosť vzrástla aj v priemere v</w:t>
      </w:r>
      <w:r>
        <w:rPr>
          <w:color w:val="000000" w:themeColor="text1"/>
        </w:rPr>
        <w:t> EU28</w:t>
      </w:r>
      <w:r w:rsidRPr="004C5551">
        <w:rPr>
          <w:color w:val="000000" w:themeColor="text1"/>
        </w:rPr>
        <w:t>, hoci nie tak výrazne ako na Slovensku</w:t>
      </w:r>
      <w:r>
        <w:rPr>
          <w:color w:val="000000" w:themeColor="text1"/>
        </w:rPr>
        <w:t xml:space="preserve"> (</w:t>
      </w:r>
      <w:r w:rsidRPr="004C5551">
        <w:rPr>
          <w:color w:val="000000" w:themeColor="text1"/>
        </w:rPr>
        <w:t xml:space="preserve">podľa ESA 2010 </w:t>
      </w:r>
      <w:r>
        <w:rPr>
          <w:color w:val="000000" w:themeColor="text1"/>
        </w:rPr>
        <w:t>o 1,0</w:t>
      </w:r>
      <w:r w:rsidRPr="004C5551">
        <w:rPr>
          <w:color w:val="000000" w:themeColor="text1"/>
        </w:rPr>
        <w:t xml:space="preserve"> %). Najväčší nárast zame</w:t>
      </w:r>
      <w:r>
        <w:rPr>
          <w:color w:val="000000" w:themeColor="text1"/>
        </w:rPr>
        <w:t>stnanosti zaznamenala Malta (3,5 %).</w:t>
      </w:r>
      <w:r w:rsidRPr="004C5551">
        <w:rPr>
          <w:color w:val="000000" w:themeColor="text1"/>
        </w:rPr>
        <w:t xml:space="preserve"> Vyšší rast zamestnanosti ako na Slovensku bol ešte</w:t>
      </w:r>
      <w:r>
        <w:rPr>
          <w:color w:val="000000" w:themeColor="text1"/>
        </w:rPr>
        <w:t xml:space="preserve"> v Estónsku a Španielsku (obe krajiny rast o 2,9 %), Maďarsku (2,8 %), Írsku (2,6 %) a Luxembursku (2,5 %). Vo Fínsku a v Rumunsku</w:t>
      </w:r>
      <w:r w:rsidRPr="004C5551">
        <w:rPr>
          <w:color w:val="000000" w:themeColor="text1"/>
        </w:rPr>
        <w:t xml:space="preserve"> zamestnanosť klesla. </w:t>
      </w:r>
      <w:r w:rsidRPr="0054550D">
        <w:rPr>
          <w:color w:val="000000" w:themeColor="text1"/>
        </w:rPr>
        <w:t xml:space="preserve">V nasledujúcich rokoch sa očakáva ďalší rast zamestnanosti, a to na Slovensku </w:t>
      </w:r>
      <w:r>
        <w:rPr>
          <w:color w:val="000000" w:themeColor="text1"/>
        </w:rPr>
        <w:t xml:space="preserve">vyšší </w:t>
      </w:r>
      <w:r w:rsidRPr="0054550D">
        <w:rPr>
          <w:color w:val="000000" w:themeColor="text1"/>
        </w:rPr>
        <w:t>(v roku 2016 o 1,8 % a v roku 2017 o 1,5</w:t>
      </w:r>
      <w:r>
        <w:rPr>
          <w:color w:val="000000" w:themeColor="text1"/>
        </w:rPr>
        <w:t xml:space="preserve"> %) ako</w:t>
      </w:r>
      <w:r w:rsidRPr="0054550D">
        <w:rPr>
          <w:color w:val="000000" w:themeColor="text1"/>
        </w:rPr>
        <w:t xml:space="preserve"> v</w:t>
      </w:r>
      <w:r>
        <w:rPr>
          <w:color w:val="000000" w:themeColor="text1"/>
        </w:rPr>
        <w:t xml:space="preserve"> priemere </w:t>
      </w:r>
      <w:r w:rsidRPr="0054550D">
        <w:rPr>
          <w:color w:val="000000" w:themeColor="text1"/>
        </w:rPr>
        <w:t>EU28 (1,0 % v roku 2016 a 0,9 % v roku 2017). Nárast zamestnanosti v roku 2016 na Slovensku b</w:t>
      </w:r>
      <w:r>
        <w:rPr>
          <w:color w:val="000000" w:themeColor="text1"/>
        </w:rPr>
        <w:t>y mal byť</w:t>
      </w:r>
      <w:r w:rsidRPr="0054550D">
        <w:rPr>
          <w:color w:val="000000" w:themeColor="text1"/>
        </w:rPr>
        <w:t xml:space="preserve"> 4. najvyšší v rámci EU28.</w:t>
      </w:r>
    </w:p>
    <w:p w:rsidR="0047502D" w:rsidRPr="004C5551" w:rsidRDefault="0047502D" w:rsidP="0047502D">
      <w:pPr>
        <w:pStyle w:val="Normlnysozarkami1"/>
        <w:ind w:firstLine="567"/>
        <w:rPr>
          <w:color w:val="000000" w:themeColor="text1"/>
        </w:rPr>
      </w:pPr>
      <w:r w:rsidRPr="004C5551">
        <w:rPr>
          <w:b/>
          <w:color w:val="000000" w:themeColor="text1"/>
        </w:rPr>
        <w:t>Deficit verejných financií</w:t>
      </w:r>
      <w:r w:rsidRPr="004C5551">
        <w:rPr>
          <w:color w:val="000000" w:themeColor="text1"/>
        </w:rPr>
        <w:t xml:space="preserve"> podľa </w:t>
      </w:r>
      <w:proofErr w:type="spellStart"/>
      <w:r w:rsidRPr="004C5551">
        <w:rPr>
          <w:color w:val="000000" w:themeColor="text1"/>
        </w:rPr>
        <w:t>Eu</w:t>
      </w:r>
      <w:r>
        <w:rPr>
          <w:color w:val="000000" w:themeColor="text1"/>
        </w:rPr>
        <w:t>rostatu</w:t>
      </w:r>
      <w:proofErr w:type="spellEnd"/>
      <w:r>
        <w:rPr>
          <w:color w:val="000000" w:themeColor="text1"/>
        </w:rPr>
        <w:t xml:space="preserve"> na Slovensku v roku 2015 stúpol na 3,0 % HDP (z 2,7</w:t>
      </w:r>
      <w:r w:rsidRPr="004C5551">
        <w:rPr>
          <w:color w:val="000000" w:themeColor="text1"/>
        </w:rPr>
        <w:t xml:space="preserve"> % v roku 2013) a bol na </w:t>
      </w:r>
      <w:r>
        <w:rPr>
          <w:color w:val="000000" w:themeColor="text1"/>
        </w:rPr>
        <w:t>vyššej</w:t>
      </w:r>
      <w:r w:rsidRPr="004C5551">
        <w:rPr>
          <w:color w:val="000000" w:themeColor="text1"/>
        </w:rPr>
        <w:t xml:space="preserve"> úrovni ako priemerný deficit EU28</w:t>
      </w:r>
      <w:r>
        <w:rPr>
          <w:color w:val="000000" w:themeColor="text1"/>
        </w:rPr>
        <w:t xml:space="preserve"> (2,4 %). Jedným z dôvodom vyššieho deficitu bolo aj zvýšené čerpanie EÚ fondov v súvislosti s končiacim programovým obdobím, čo viedlo k rastu výdavkov na spolufinancovanie.  </w:t>
      </w:r>
      <w:r w:rsidRPr="004C5551">
        <w:rPr>
          <w:color w:val="000000" w:themeColor="text1"/>
        </w:rPr>
        <w:t>Najvyšší deficit v rámci EU28 mal</w:t>
      </w:r>
      <w:r>
        <w:rPr>
          <w:color w:val="000000" w:themeColor="text1"/>
        </w:rPr>
        <w:t>o Grécko (7</w:t>
      </w:r>
      <w:r w:rsidR="00326DA1">
        <w:rPr>
          <w:color w:val="000000" w:themeColor="text1"/>
        </w:rPr>
        <w:t>,2 %), Španielsko (</w:t>
      </w:r>
      <w:r>
        <w:rPr>
          <w:color w:val="000000" w:themeColor="text1"/>
        </w:rPr>
        <w:t>5,1 %), Portugalsko a Veľká Británia (obe krajiny 4,4 %)</w:t>
      </w:r>
      <w:r w:rsidRPr="004C5551">
        <w:rPr>
          <w:color w:val="000000" w:themeColor="text1"/>
        </w:rPr>
        <w:t xml:space="preserve">. Podľa prognózy EK by sa deficit na Slovensku mal v nasledujúcich rokoch </w:t>
      </w:r>
      <w:r>
        <w:rPr>
          <w:color w:val="000000" w:themeColor="text1"/>
        </w:rPr>
        <w:t>progresívne znižovať, a to</w:t>
      </w:r>
      <w:r w:rsidRPr="004C5551">
        <w:rPr>
          <w:color w:val="000000" w:themeColor="text1"/>
        </w:rPr>
        <w:t xml:space="preserve"> na</w:t>
      </w:r>
      <w:r w:rsidR="001A27F5">
        <w:rPr>
          <w:color w:val="000000" w:themeColor="text1"/>
        </w:rPr>
        <w:t> </w:t>
      </w:r>
      <w:r>
        <w:rPr>
          <w:color w:val="000000" w:themeColor="text1"/>
        </w:rPr>
        <w:t>2,4 % HDP v roku 2016</w:t>
      </w:r>
      <w:r w:rsidRPr="004C5551">
        <w:rPr>
          <w:color w:val="000000" w:themeColor="text1"/>
        </w:rPr>
        <w:t xml:space="preserve"> a</w:t>
      </w:r>
      <w:r>
        <w:rPr>
          <w:color w:val="000000" w:themeColor="text1"/>
        </w:rPr>
        <w:t xml:space="preserve"> 1,6 % HDP v roku 2017, najmä vďaka priaznivým ekonomickým podmienkam, pokračujúcemu úsiliu v boji proti daňovým únikom a očakávaným daňovým príjmom. </w:t>
      </w:r>
      <w:r w:rsidRPr="004C5551">
        <w:rPr>
          <w:color w:val="000000" w:themeColor="text1"/>
        </w:rPr>
        <w:t xml:space="preserve"> </w:t>
      </w:r>
      <w:r w:rsidRPr="004C5551">
        <w:rPr>
          <w:b/>
          <w:color w:val="000000" w:themeColor="text1"/>
        </w:rPr>
        <w:t>Konsolidovaný dlh verejných financií</w:t>
      </w:r>
      <w:r w:rsidRPr="004C5551">
        <w:rPr>
          <w:color w:val="000000" w:themeColor="text1"/>
        </w:rPr>
        <w:t xml:space="preserve"> podľa </w:t>
      </w:r>
      <w:proofErr w:type="spellStart"/>
      <w:r w:rsidRPr="004C5551">
        <w:rPr>
          <w:color w:val="000000" w:themeColor="text1"/>
        </w:rPr>
        <w:t>Eurostatu</w:t>
      </w:r>
      <w:proofErr w:type="spellEnd"/>
      <w:r w:rsidRPr="004C5551">
        <w:rPr>
          <w:color w:val="000000" w:themeColor="text1"/>
        </w:rPr>
        <w:t xml:space="preserve"> (hrubý dlh v</w:t>
      </w:r>
      <w:r>
        <w:rPr>
          <w:color w:val="000000" w:themeColor="text1"/>
        </w:rPr>
        <w:t>erejnej správy) v SR v roku 2015 klesol na 52,9</w:t>
      </w:r>
      <w:r w:rsidRPr="004C5551">
        <w:rPr>
          <w:color w:val="000000" w:themeColor="text1"/>
        </w:rPr>
        <w:t> % HDP (</w:t>
      </w:r>
      <w:r>
        <w:rPr>
          <w:color w:val="000000" w:themeColor="text1"/>
        </w:rPr>
        <w:t>85</w:t>
      </w:r>
      <w:r w:rsidRPr="004A5A65">
        <w:rPr>
          <w:color w:val="000000" w:themeColor="text1"/>
        </w:rPr>
        <w:t>,2 % HDP v EU28). Hodnotu nad 100 % HDP predstavoval verejný dlh v Grécku (176,9 %), v Taliansku (132,7 %), v Portugalsku (129</w:t>
      </w:r>
      <w:r w:rsidR="001A27F5">
        <w:rPr>
          <w:color w:val="000000" w:themeColor="text1"/>
        </w:rPr>
        <w:t>,0</w:t>
      </w:r>
      <w:r w:rsidRPr="004A5A65">
        <w:rPr>
          <w:color w:val="000000" w:themeColor="text1"/>
        </w:rPr>
        <w:t> %), ale aj na Cypre (108,9 %) a v Belgicku (106</w:t>
      </w:r>
      <w:r w:rsidR="001A27F5">
        <w:rPr>
          <w:color w:val="000000" w:themeColor="text1"/>
        </w:rPr>
        <w:t>,0</w:t>
      </w:r>
      <w:r w:rsidRPr="004A5A65">
        <w:rPr>
          <w:color w:val="000000" w:themeColor="text1"/>
        </w:rPr>
        <w:t> %).</w:t>
      </w:r>
      <w:r w:rsidRPr="004C5551">
        <w:rPr>
          <w:color w:val="000000" w:themeColor="text1"/>
        </w:rPr>
        <w:t xml:space="preserve"> </w:t>
      </w:r>
    </w:p>
    <w:p w:rsidR="000A7585" w:rsidRPr="00AE6EDB" w:rsidRDefault="000A7585" w:rsidP="000A7585">
      <w:pPr>
        <w:pStyle w:val="Normlnysozarkami1"/>
        <w:ind w:firstLine="567"/>
        <w:rPr>
          <w:color w:val="000000" w:themeColor="text1"/>
          <w:highlight w:val="cyan"/>
        </w:rPr>
      </w:pPr>
    </w:p>
    <w:p w:rsidR="000A7585" w:rsidRPr="001A27F5" w:rsidRDefault="000A7585" w:rsidP="000A7585">
      <w:pPr>
        <w:pStyle w:val="nadpis2"/>
        <w:numPr>
          <w:ilvl w:val="0"/>
          <w:numId w:val="0"/>
        </w:numPr>
        <w:ind w:left="576"/>
      </w:pPr>
      <w:bookmarkStart w:id="761" w:name="_Toc394062237"/>
      <w:bookmarkStart w:id="762" w:name="_Toc452469906"/>
      <w:r w:rsidRPr="001A27F5">
        <w:t>Inteligentný a inkluzívny rast</w:t>
      </w:r>
      <w:bookmarkEnd w:id="761"/>
      <w:bookmarkEnd w:id="762"/>
    </w:p>
    <w:p w:rsidR="001A27F5" w:rsidRPr="004C5551" w:rsidRDefault="001A27F5" w:rsidP="001A27F5">
      <w:pPr>
        <w:pStyle w:val="Normlnysozarkami1"/>
        <w:ind w:firstLine="567"/>
        <w:rPr>
          <w:color w:val="000000" w:themeColor="text1"/>
        </w:rPr>
      </w:pPr>
      <w:r w:rsidRPr="004C5551">
        <w:rPr>
          <w:color w:val="000000" w:themeColor="text1"/>
        </w:rPr>
        <w:t xml:space="preserve">Hlavným cieľom stratégie Európa 2020 je zvýšiť </w:t>
      </w:r>
      <w:r w:rsidRPr="004C5551">
        <w:rPr>
          <w:b/>
          <w:color w:val="000000" w:themeColor="text1"/>
        </w:rPr>
        <w:t>mieru zamestnanosti</w:t>
      </w:r>
      <w:r w:rsidRPr="004C5551">
        <w:rPr>
          <w:color w:val="000000" w:themeColor="text1"/>
        </w:rPr>
        <w:t xml:space="preserve"> mužov a žien vo veku od</w:t>
      </w:r>
      <w:r>
        <w:rPr>
          <w:color w:val="000000" w:themeColor="text1"/>
        </w:rPr>
        <w:t> </w:t>
      </w:r>
      <w:r w:rsidRPr="004C5551">
        <w:rPr>
          <w:color w:val="000000" w:themeColor="text1"/>
        </w:rPr>
        <w:t>20</w:t>
      </w:r>
      <w:r>
        <w:rPr>
          <w:color w:val="000000" w:themeColor="text1"/>
        </w:rPr>
        <w:t> </w:t>
      </w:r>
      <w:r w:rsidRPr="004C5551">
        <w:rPr>
          <w:color w:val="000000" w:themeColor="text1"/>
        </w:rPr>
        <w:t>do</w:t>
      </w:r>
      <w:r>
        <w:rPr>
          <w:color w:val="000000" w:themeColor="text1"/>
        </w:rPr>
        <w:t> </w:t>
      </w:r>
      <w:r w:rsidRPr="004C5551">
        <w:rPr>
          <w:color w:val="000000" w:themeColor="text1"/>
        </w:rPr>
        <w:t>64</w:t>
      </w:r>
      <w:r>
        <w:rPr>
          <w:color w:val="000000" w:themeColor="text1"/>
        </w:rPr>
        <w:t> </w:t>
      </w:r>
      <w:r w:rsidRPr="004C5551">
        <w:rPr>
          <w:color w:val="000000" w:themeColor="text1"/>
        </w:rPr>
        <w:t>rokov na</w:t>
      </w:r>
      <w:r>
        <w:rPr>
          <w:color w:val="000000" w:themeColor="text1"/>
        </w:rPr>
        <w:t> </w:t>
      </w:r>
      <w:r w:rsidRPr="004C5551">
        <w:rPr>
          <w:color w:val="000000" w:themeColor="text1"/>
        </w:rPr>
        <w:t>75 %. SR má k tomuto európskemu cieľu prispieť zvýšením miery zamest</w:t>
      </w:r>
      <w:r>
        <w:rPr>
          <w:color w:val="000000" w:themeColor="text1"/>
        </w:rPr>
        <w:softHyphen/>
      </w:r>
      <w:r w:rsidRPr="004C5551">
        <w:rPr>
          <w:color w:val="000000" w:themeColor="text1"/>
        </w:rPr>
        <w:t xml:space="preserve">nanosti svojich obyvateľov v danej vekovej kategórii na 72 %. Vyššia miera zamestnanosti v Európe sa má dosiahnuť najmä prostredníctvom vyššej zamestnanosti žien, starších osôb, mladých ľudí, ľudí s nízkou kvalifikáciou a </w:t>
      </w:r>
      <w:r>
        <w:rPr>
          <w:color w:val="000000" w:themeColor="text1"/>
        </w:rPr>
        <w:t>legálnych migrantov. V roku 2015</w:t>
      </w:r>
      <w:r w:rsidRPr="004C5551">
        <w:rPr>
          <w:color w:val="000000" w:themeColor="text1"/>
        </w:rPr>
        <w:t xml:space="preserve"> sa miera zamestnanosti vo vekovej skupine od 20 do 64 rokov v priemere v EU28 medziročne zvýšila o 0,8 p. </w:t>
      </w:r>
      <w:r>
        <w:rPr>
          <w:color w:val="000000" w:themeColor="text1"/>
        </w:rPr>
        <w:t>b. na úroveň 70 % (u žien sa zvýšila o 0,8 p. b. na 64,2</w:t>
      </w:r>
      <w:r w:rsidRPr="004C5551">
        <w:rPr>
          <w:color w:val="000000" w:themeColor="text1"/>
        </w:rPr>
        <w:t xml:space="preserve"> % a u mužov </w:t>
      </w:r>
      <w:r>
        <w:rPr>
          <w:color w:val="000000" w:themeColor="text1"/>
        </w:rPr>
        <w:t>tiež o 0,8</w:t>
      </w:r>
      <w:r w:rsidRPr="004C5551">
        <w:rPr>
          <w:color w:val="000000" w:themeColor="text1"/>
        </w:rPr>
        <w:t xml:space="preserve"> p. b. na 75</w:t>
      </w:r>
      <w:r>
        <w:rPr>
          <w:color w:val="000000" w:themeColor="text1"/>
        </w:rPr>
        <w:t>,8</w:t>
      </w:r>
      <w:r w:rsidRPr="004C5551">
        <w:rPr>
          <w:color w:val="000000" w:themeColor="text1"/>
        </w:rPr>
        <w:t> %). V SR m</w:t>
      </w:r>
      <w:r>
        <w:rPr>
          <w:color w:val="000000" w:themeColor="text1"/>
        </w:rPr>
        <w:t>iera zamestnanosti dosiahla 67,7</w:t>
      </w:r>
      <w:r w:rsidRPr="004C5551">
        <w:rPr>
          <w:color w:val="000000" w:themeColor="text1"/>
        </w:rPr>
        <w:t> % a oproti predch</w:t>
      </w:r>
      <w:r>
        <w:rPr>
          <w:color w:val="000000" w:themeColor="text1"/>
        </w:rPr>
        <w:t>ádzajúcemu roku sa zvýšila o 1,8 p. b. (u žien sa zvýšila o 1,7 p. b. na 60,3</w:t>
      </w:r>
      <w:r w:rsidRPr="004C5551">
        <w:rPr>
          <w:color w:val="000000" w:themeColor="text1"/>
        </w:rPr>
        <w:t> % a</w:t>
      </w:r>
      <w:r>
        <w:rPr>
          <w:color w:val="000000" w:themeColor="text1"/>
        </w:rPr>
        <w:t> </w:t>
      </w:r>
      <w:r w:rsidRPr="004C5551">
        <w:rPr>
          <w:color w:val="000000" w:themeColor="text1"/>
        </w:rPr>
        <w:t>u mužov o</w:t>
      </w:r>
      <w:r>
        <w:rPr>
          <w:color w:val="000000" w:themeColor="text1"/>
        </w:rPr>
        <w:t> </w:t>
      </w:r>
      <w:r w:rsidRPr="004C5551">
        <w:rPr>
          <w:color w:val="000000" w:themeColor="text1"/>
        </w:rPr>
        <w:t>1</w:t>
      </w:r>
      <w:r>
        <w:rPr>
          <w:color w:val="000000" w:themeColor="text1"/>
        </w:rPr>
        <w:t>,8 p. b. na 75 %</w:t>
      </w:r>
      <w:r w:rsidRPr="004C5551">
        <w:rPr>
          <w:color w:val="000000" w:themeColor="text1"/>
        </w:rPr>
        <w:t>). Najvyššiu mieru zamestnanos</w:t>
      </w:r>
      <w:r>
        <w:rPr>
          <w:color w:val="000000" w:themeColor="text1"/>
        </w:rPr>
        <w:t>ti v rámci EU28 v roku 2015</w:t>
      </w:r>
      <w:r w:rsidRPr="004C5551">
        <w:rPr>
          <w:color w:val="000000" w:themeColor="text1"/>
        </w:rPr>
        <w:t xml:space="preserve"> </w:t>
      </w:r>
      <w:r>
        <w:rPr>
          <w:color w:val="000000" w:themeColor="text1"/>
        </w:rPr>
        <w:t xml:space="preserve">malo </w:t>
      </w:r>
      <w:r w:rsidRPr="004C5551">
        <w:rPr>
          <w:color w:val="000000" w:themeColor="text1"/>
        </w:rPr>
        <w:t>Švédsko, konkrétne na úrovni 80</w:t>
      </w:r>
      <w:r>
        <w:rPr>
          <w:color w:val="000000" w:themeColor="text1"/>
        </w:rPr>
        <w:t xml:space="preserve">,5 %, čím druhý rok po sebe dosiahlo </w:t>
      </w:r>
      <w:r w:rsidRPr="004C5551">
        <w:rPr>
          <w:color w:val="000000" w:themeColor="text1"/>
        </w:rPr>
        <w:t>svoj národný cieľ v tejto oblasti (80</w:t>
      </w:r>
      <w:r>
        <w:rPr>
          <w:color w:val="000000" w:themeColor="text1"/>
        </w:rPr>
        <w:t>,0</w:t>
      </w:r>
      <w:r w:rsidRPr="004C5551">
        <w:rPr>
          <w:color w:val="000000" w:themeColor="text1"/>
        </w:rPr>
        <w:t> %). Vysokú mieru zamestnanosti nad 75 % dosahoval</w:t>
      </w:r>
      <w:r>
        <w:rPr>
          <w:color w:val="000000" w:themeColor="text1"/>
        </w:rPr>
        <w:t>i tiež krajiny ako Nemecko (78,0</w:t>
      </w:r>
      <w:r w:rsidRPr="004C5551">
        <w:rPr>
          <w:color w:val="000000" w:themeColor="text1"/>
        </w:rPr>
        <w:t> %), Veľká Británia (76,</w:t>
      </w:r>
      <w:r>
        <w:rPr>
          <w:color w:val="000000" w:themeColor="text1"/>
        </w:rPr>
        <w:t>9</w:t>
      </w:r>
      <w:r w:rsidRPr="004C5551">
        <w:rPr>
          <w:color w:val="000000" w:themeColor="text1"/>
        </w:rPr>
        <w:t xml:space="preserve"> %), </w:t>
      </w:r>
      <w:r>
        <w:rPr>
          <w:color w:val="000000" w:themeColor="text1"/>
        </w:rPr>
        <w:t>Dánsko (76,5 %), Estónsko (76,5 %) a Holandsko (76,4</w:t>
      </w:r>
      <w:r w:rsidRPr="004C5551">
        <w:rPr>
          <w:color w:val="000000" w:themeColor="text1"/>
        </w:rPr>
        <w:t> %). Miera zamestnanosti bola najnižšia v</w:t>
      </w:r>
      <w:r>
        <w:rPr>
          <w:color w:val="000000" w:themeColor="text1"/>
        </w:rPr>
        <w:t> </w:t>
      </w:r>
      <w:r w:rsidRPr="004C5551">
        <w:rPr>
          <w:color w:val="000000" w:themeColor="text1"/>
        </w:rPr>
        <w:t>Grécku</w:t>
      </w:r>
      <w:r>
        <w:rPr>
          <w:color w:val="000000" w:themeColor="text1"/>
        </w:rPr>
        <w:t>, kde v roku 2015 stúpla iba na 54,9 %</w:t>
      </w:r>
      <w:r w:rsidRPr="004C5551">
        <w:rPr>
          <w:color w:val="000000" w:themeColor="text1"/>
        </w:rPr>
        <w:t xml:space="preserve">. K nízkej miere celkovej zamestnanosti prispieva nižšia miera </w:t>
      </w:r>
      <w:r>
        <w:rPr>
          <w:color w:val="000000" w:themeColor="text1"/>
        </w:rPr>
        <w:t xml:space="preserve">ekonomickej </w:t>
      </w:r>
      <w:r w:rsidRPr="004C5551">
        <w:rPr>
          <w:color w:val="000000" w:themeColor="text1"/>
        </w:rPr>
        <w:t>aktivity žien a starších ľudí.</w:t>
      </w:r>
    </w:p>
    <w:p w:rsidR="001A27F5" w:rsidRPr="004C5551" w:rsidRDefault="001A27F5" w:rsidP="001A27F5">
      <w:pPr>
        <w:autoSpaceDE w:val="0"/>
        <w:autoSpaceDN w:val="0"/>
        <w:adjustRightInd w:val="0"/>
        <w:ind w:firstLine="567"/>
        <w:rPr>
          <w:noProof/>
        </w:rPr>
      </w:pPr>
      <w:r w:rsidRPr="004C5551">
        <w:rPr>
          <w:noProof/>
        </w:rPr>
        <w:t xml:space="preserve">Cieľ zamestnanosti vo výške 75 % pre EU28 a 72 % pre SR vo </w:t>
      </w:r>
      <w:r w:rsidRPr="004C5551">
        <w:rPr>
          <w:color w:val="000000" w:themeColor="text1"/>
        </w:rPr>
        <w:t xml:space="preserve">vekovej skupine </w:t>
      </w:r>
      <w:r>
        <w:rPr>
          <w:color w:val="000000" w:themeColor="text1"/>
        </w:rPr>
        <w:br/>
      </w:r>
      <w:r w:rsidRPr="004C5551">
        <w:rPr>
          <w:color w:val="000000" w:themeColor="text1"/>
        </w:rPr>
        <w:t>od 20 do</w:t>
      </w:r>
      <w:r>
        <w:rPr>
          <w:color w:val="000000" w:themeColor="text1"/>
        </w:rPr>
        <w:t> </w:t>
      </w:r>
      <w:r w:rsidRPr="004C5551">
        <w:rPr>
          <w:color w:val="000000" w:themeColor="text1"/>
        </w:rPr>
        <w:t xml:space="preserve">64 rokov </w:t>
      </w:r>
      <w:r w:rsidRPr="004C5551">
        <w:rPr>
          <w:noProof/>
        </w:rPr>
        <w:t xml:space="preserve">do roku 2020 sa nepodarí dosiahnuť bez </w:t>
      </w:r>
      <w:r>
        <w:rPr>
          <w:noProof/>
        </w:rPr>
        <w:t xml:space="preserve">väčšej miery </w:t>
      </w:r>
      <w:r w:rsidRPr="004C5551">
        <w:rPr>
          <w:noProof/>
        </w:rPr>
        <w:t>zapojenia žien</w:t>
      </w:r>
      <w:r w:rsidRPr="004C5551">
        <w:rPr>
          <w:rFonts w:eastAsiaTheme="majorEastAsia"/>
          <w:noProof/>
        </w:rPr>
        <w:t xml:space="preserve">. </w:t>
      </w:r>
      <w:r>
        <w:rPr>
          <w:b/>
          <w:color w:val="000000" w:themeColor="text1"/>
        </w:rPr>
        <w:t xml:space="preserve">Miera zamestnanosti </w:t>
      </w:r>
      <w:r w:rsidRPr="004C5551">
        <w:rPr>
          <w:b/>
          <w:color w:val="000000" w:themeColor="text1"/>
        </w:rPr>
        <w:t xml:space="preserve">žien </w:t>
      </w:r>
      <w:r w:rsidRPr="004C5551">
        <w:rPr>
          <w:color w:val="000000" w:themeColor="text1"/>
        </w:rPr>
        <w:t>zaostáva za mierou zamestnanosti</w:t>
      </w:r>
      <w:r>
        <w:rPr>
          <w:color w:val="000000" w:themeColor="text1"/>
        </w:rPr>
        <w:t xml:space="preserve"> mužov na Slovensku (v roku 2015 o 14,7</w:t>
      </w:r>
      <w:r w:rsidRPr="004C5551">
        <w:rPr>
          <w:color w:val="000000" w:themeColor="text1"/>
        </w:rPr>
        <w:t xml:space="preserve"> p. b.) i </w:t>
      </w:r>
      <w:r>
        <w:rPr>
          <w:color w:val="000000" w:themeColor="text1"/>
        </w:rPr>
        <w:t>v priemere v EU28 (o 11,6</w:t>
      </w:r>
      <w:r w:rsidRPr="004C5551">
        <w:rPr>
          <w:color w:val="000000" w:themeColor="text1"/>
        </w:rPr>
        <w:t xml:space="preserve"> p. b.). Rodové rozdiely v</w:t>
      </w:r>
      <w:r>
        <w:rPr>
          <w:color w:val="000000" w:themeColor="text1"/>
        </w:rPr>
        <w:t> miere zamestnanosti v roku 2015</w:t>
      </w:r>
      <w:r w:rsidRPr="004C5551">
        <w:rPr>
          <w:color w:val="000000" w:themeColor="text1"/>
        </w:rPr>
        <w:t xml:space="preserve"> sa v EU28 medziročne </w:t>
      </w:r>
      <w:r>
        <w:rPr>
          <w:color w:val="000000" w:themeColor="text1"/>
        </w:rPr>
        <w:t>takmer nezmenili a v SR mierne zvýšili (o 0,1</w:t>
      </w:r>
      <w:r w:rsidRPr="004C5551">
        <w:rPr>
          <w:color w:val="000000" w:themeColor="text1"/>
        </w:rPr>
        <w:t> p. b.). Najnižšia miera zamestnanosti žien a zároveň vysoké rozdiely v zamestnanosti medzi mužmi a že</w:t>
      </w:r>
      <w:r>
        <w:rPr>
          <w:color w:val="000000" w:themeColor="text1"/>
        </w:rPr>
        <w:t>nami sú v Grécku (46 %, 18 p. b.), v Taliansku (50,6 %, 20 p. b.) a na Malte (53,6 %, 27,8</w:t>
      </w:r>
      <w:r w:rsidRPr="004C5551">
        <w:rPr>
          <w:color w:val="000000" w:themeColor="text1"/>
        </w:rPr>
        <w:t xml:space="preserve"> p. b.). Vysokú mieru zamestnanosti žien</w:t>
      </w:r>
      <w:r>
        <w:rPr>
          <w:color w:val="000000" w:themeColor="text1"/>
        </w:rPr>
        <w:t xml:space="preserve"> nad 70 % dosahuje Švédsko (78,3 %), Nemecko (73,6 %), Dánsko (72,6</w:t>
      </w:r>
      <w:r w:rsidRPr="004C5551">
        <w:rPr>
          <w:color w:val="000000" w:themeColor="text1"/>
        </w:rPr>
        <w:t> %), Estónsko</w:t>
      </w:r>
      <w:r>
        <w:rPr>
          <w:color w:val="000000" w:themeColor="text1"/>
        </w:rPr>
        <w:t xml:space="preserve"> (72,6 %),</w:t>
      </w:r>
      <w:r w:rsidRPr="004C5551">
        <w:rPr>
          <w:color w:val="000000" w:themeColor="text1"/>
        </w:rPr>
        <w:t xml:space="preserve"> Litva</w:t>
      </w:r>
      <w:r>
        <w:rPr>
          <w:color w:val="000000" w:themeColor="text1"/>
        </w:rPr>
        <w:t xml:space="preserve"> (72,2 %)</w:t>
      </w:r>
      <w:r w:rsidRPr="004C5551">
        <w:rPr>
          <w:color w:val="000000" w:themeColor="text1"/>
        </w:rPr>
        <w:t>,</w:t>
      </w:r>
      <w:r>
        <w:rPr>
          <w:color w:val="000000" w:themeColor="text1"/>
        </w:rPr>
        <w:t xml:space="preserve"> Fínsko (71,8 %), </w:t>
      </w:r>
      <w:r w:rsidRPr="004C5551">
        <w:rPr>
          <w:color w:val="000000" w:themeColor="text1"/>
        </w:rPr>
        <w:t>Veľká Británia</w:t>
      </w:r>
      <w:r>
        <w:rPr>
          <w:color w:val="000000" w:themeColor="text1"/>
        </w:rPr>
        <w:t xml:space="preserve"> (71,3 %),</w:t>
      </w:r>
      <w:r w:rsidRPr="004C5551">
        <w:rPr>
          <w:color w:val="000000" w:themeColor="text1"/>
        </w:rPr>
        <w:t xml:space="preserve"> </w:t>
      </w:r>
      <w:r>
        <w:rPr>
          <w:color w:val="000000" w:themeColor="text1"/>
        </w:rPr>
        <w:t>Holandsko (70,8</w:t>
      </w:r>
      <w:r w:rsidRPr="004C5551">
        <w:rPr>
          <w:color w:val="000000" w:themeColor="text1"/>
        </w:rPr>
        <w:t> %), </w:t>
      </w:r>
      <w:r>
        <w:rPr>
          <w:color w:val="000000" w:themeColor="text1"/>
        </w:rPr>
        <w:t>Lotyšsko (70,5 %) a Rakúsko (70,2</w:t>
      </w:r>
      <w:r w:rsidRPr="004C5551">
        <w:rPr>
          <w:color w:val="000000" w:themeColor="text1"/>
        </w:rPr>
        <w:t xml:space="preserve"> %), z toho Fínsko, Litva, Lotyšsko a Švédsko majú aj </w:t>
      </w:r>
      <w:r>
        <w:rPr>
          <w:color w:val="000000" w:themeColor="text1"/>
        </w:rPr>
        <w:t>najnižšie rozdiely</w:t>
      </w:r>
      <w:r w:rsidRPr="004C5551">
        <w:rPr>
          <w:color w:val="000000" w:themeColor="text1"/>
        </w:rPr>
        <w:t xml:space="preserve"> v miere zamestnanosti medzi mužmi a</w:t>
      </w:r>
      <w:r>
        <w:rPr>
          <w:color w:val="000000" w:themeColor="text1"/>
        </w:rPr>
        <w:t> </w:t>
      </w:r>
      <w:r w:rsidRPr="004C5551">
        <w:rPr>
          <w:color w:val="000000" w:themeColor="text1"/>
        </w:rPr>
        <w:t>ženami</w:t>
      </w:r>
      <w:r>
        <w:rPr>
          <w:color w:val="000000" w:themeColor="text1"/>
        </w:rPr>
        <w:t xml:space="preserve"> (od 2,1 do 4,2 p. b.)</w:t>
      </w:r>
      <w:r w:rsidRPr="004C5551">
        <w:rPr>
          <w:color w:val="000000" w:themeColor="text1"/>
        </w:rPr>
        <w:t>.</w:t>
      </w:r>
    </w:p>
    <w:p w:rsidR="001A27F5" w:rsidRPr="004C5551" w:rsidRDefault="001A27F5" w:rsidP="001A27F5">
      <w:pPr>
        <w:autoSpaceDE w:val="0"/>
        <w:autoSpaceDN w:val="0"/>
        <w:adjustRightInd w:val="0"/>
        <w:ind w:firstLine="567"/>
        <w:rPr>
          <w:color w:val="000000" w:themeColor="text1"/>
        </w:rPr>
      </w:pPr>
      <w:r w:rsidRPr="00751C76">
        <w:rPr>
          <w:noProof/>
        </w:rPr>
        <w:t xml:space="preserve">Na podporu zamestnanosti žien sú potrebné politiky na zosúladenie pracovného a súkromného života. Hlavným faktorom, ktorý ovplyvňuje účasť žien na pracovnom trhu, je predovšetkým prístup k službám starostlivosti o deti. </w:t>
      </w:r>
      <w:r w:rsidRPr="00751C76">
        <w:rPr>
          <w:color w:val="000000" w:themeColor="text1"/>
        </w:rPr>
        <w:t>Keďže ženy častejšie zabezpečujú starostlivosť o deti a rodinu ako muži, rodičovstvo a rodinné povinnosti viac ovplyvňujú ich zamestnanosť obzvlášť v podmienkach, keď je nedostatok služieb starostlivosti o deti či o iných na starostlivosť odkázaných členov rodiny alebo sú príliš drahé, a tak málo dostupné. Rozdiely v miere zamestnanosti medzi mužmi a ženami sú na Slovensku najvýraznejšie pri starostlivosti o </w:t>
      </w:r>
      <w:r w:rsidRPr="0022226F">
        <w:rPr>
          <w:color w:val="000000" w:themeColor="text1"/>
        </w:rPr>
        <w:t>dieťa do 6 rokov. S vekom dieťaťa sa však znižujú, pri sta</w:t>
      </w:r>
      <w:r w:rsidRPr="0022226F">
        <w:rPr>
          <w:color w:val="000000" w:themeColor="text1"/>
        </w:rPr>
        <w:softHyphen/>
        <w:t>ro</w:t>
      </w:r>
      <w:r w:rsidRPr="0022226F">
        <w:rPr>
          <w:color w:val="000000" w:themeColor="text1"/>
        </w:rPr>
        <w:softHyphen/>
        <w:t>stlivosti o dieťa vo veku 6 – 11 rokov je rodový rozdiel v miere zamestnanosti v SR už nižší ako v priemere v EU28 a pri dieťati nad 12 rokov minimálny a výrazne pod priemerom EU28. Na vplyv materstva na zamestnanosť žien možno poukázať aj údajom o</w:t>
      </w:r>
      <w:r>
        <w:rPr>
          <w:color w:val="000000" w:themeColor="text1"/>
        </w:rPr>
        <w:t xml:space="preserve"> miere </w:t>
      </w:r>
      <w:r w:rsidRPr="0022226F">
        <w:rPr>
          <w:color w:val="000000" w:themeColor="text1"/>
        </w:rPr>
        <w:t>zamestnanosti žien bez</w:t>
      </w:r>
      <w:r>
        <w:rPr>
          <w:color w:val="000000" w:themeColor="text1"/>
        </w:rPr>
        <w:t> </w:t>
      </w:r>
      <w:r w:rsidRPr="0022226F">
        <w:rPr>
          <w:color w:val="000000" w:themeColor="text1"/>
        </w:rPr>
        <w:t>detí vo</w:t>
      </w:r>
      <w:r>
        <w:rPr>
          <w:color w:val="000000" w:themeColor="text1"/>
        </w:rPr>
        <w:t xml:space="preserve"> veku 25 – 55 rokov v SR (77,2 % v roku 2014), ktorá prevyšuje mieru zamestnanosti žien bez detí v EU28 (75,3 % v roku 2014) a je veľmi podobná miere zamestnanosti mužov v tejto vekovej kategórii bez detí (77,9 % v roku 2014). Nízka miera zamestnanosti žien s dieťaťom vo veku </w:t>
      </w:r>
      <w:r>
        <w:rPr>
          <w:color w:val="000000" w:themeColor="text1"/>
        </w:rPr>
        <w:br/>
        <w:t>do 6 rokov odzrkadľuje nedostatok zariadení starostlivosti o deti (najmä do 3 rokov), vysoké náklady na starostlivosť o dieťa pre ženy, ktoré sa rozhodnú pokračovať v práci a nízku mieru využívania flexibilných pracovných režimov.</w:t>
      </w:r>
      <w:r w:rsidRPr="006135F0">
        <w:rPr>
          <w:color w:val="000000" w:themeColor="text1"/>
        </w:rPr>
        <w:t xml:space="preserve"> </w:t>
      </w:r>
      <w:r w:rsidRPr="00113EEE">
        <w:rPr>
          <w:color w:val="000000" w:themeColor="text1"/>
        </w:rPr>
        <w:t xml:space="preserve">Európska rada odporúča Slovenskej republike </w:t>
      </w:r>
      <w:r>
        <w:t>uľahčiť</w:t>
      </w:r>
      <w:r w:rsidRPr="00113EEE">
        <w:t xml:space="preserve"> zamestnávanie žien</w:t>
      </w:r>
      <w:r>
        <w:t xml:space="preserve"> rozširovaním</w:t>
      </w:r>
      <w:r w:rsidRPr="00113EEE">
        <w:t xml:space="preserve"> poskytovania cenovo dostupnej a kvalitnej starostlivosti o deti.</w:t>
      </w:r>
    </w:p>
    <w:p w:rsidR="001A27F5" w:rsidRPr="002924CB" w:rsidRDefault="001A27F5" w:rsidP="001A27F5">
      <w:pPr>
        <w:autoSpaceDE w:val="0"/>
        <w:autoSpaceDN w:val="0"/>
        <w:adjustRightInd w:val="0"/>
        <w:ind w:firstLine="567"/>
        <w:rPr>
          <w:szCs w:val="22"/>
        </w:rPr>
      </w:pPr>
      <w:r w:rsidRPr="00713F64">
        <w:rPr>
          <w:noProof/>
        </w:rPr>
        <w:t>Jednou z priorít Európskej únie je zabezpečiť dostupnosť služieb starostlivosti o deti vo veku od 0</w:t>
      </w:r>
      <w:r>
        <w:rPr>
          <w:noProof/>
        </w:rPr>
        <w:t> </w:t>
      </w:r>
      <w:r w:rsidRPr="00713F64">
        <w:rPr>
          <w:noProof/>
        </w:rPr>
        <w:t>rokov</w:t>
      </w:r>
      <w:r>
        <w:rPr>
          <w:noProof/>
        </w:rPr>
        <w:t> </w:t>
      </w:r>
      <w:r w:rsidRPr="00713F64">
        <w:rPr>
          <w:noProof/>
        </w:rPr>
        <w:t>do</w:t>
      </w:r>
      <w:r>
        <w:rPr>
          <w:noProof/>
        </w:rPr>
        <w:t> </w:t>
      </w:r>
      <w:r w:rsidRPr="00713F64">
        <w:rPr>
          <w:noProof/>
        </w:rPr>
        <w:t xml:space="preserve">začiatku povinnej školskej dochádzky, ktoré sú cenovo prístupné a kvalitné. Barcelonský cieľ z roku 2002 zahrnutý do lisabonskej stratégie, ktorý spočíval v požiadavke </w:t>
      </w:r>
      <w:r w:rsidRPr="00713F64">
        <w:rPr>
          <w:i/>
          <w:noProof/>
        </w:rPr>
        <w:t>odstrániť prekážky v účasti žien na trhu práce a s prihliadnutím na dopyt a v súlade s vnútroštátnymi systémami v danej oblasti v krajinách zriadiť do roku 2010 zariadenia starostlivosti pre najmenej 90 % detí vo veku od troch rokov do začiatku povinnej školskej dochádzky a pre najmenej 33 % detí vo veku do troch rokov,</w:t>
      </w:r>
      <w:r w:rsidRPr="00713F64">
        <w:rPr>
          <w:noProof/>
        </w:rPr>
        <w:t xml:space="preserve"> je včlenený aj do stratégie Európa 2020</w:t>
      </w:r>
      <w:r w:rsidRPr="00113EEE">
        <w:rPr>
          <w:noProof/>
        </w:rPr>
        <w:t xml:space="preserve">. </w:t>
      </w:r>
      <w:r w:rsidRPr="00113EEE">
        <w:rPr>
          <w:szCs w:val="22"/>
        </w:rPr>
        <w:t xml:space="preserve">Podľa údajov EU SILC 2014 v EU28 sa v roku 2014 poskytovala </w:t>
      </w:r>
      <w:r w:rsidRPr="00113EEE">
        <w:rPr>
          <w:b/>
          <w:szCs w:val="22"/>
        </w:rPr>
        <w:t>formálna starostlivosť o deti</w:t>
      </w:r>
      <w:r w:rsidRPr="00113EEE">
        <w:rPr>
          <w:szCs w:val="22"/>
        </w:rPr>
        <w:t xml:space="preserve"> v zariadeniach o 28 % detí do 3 rokov veku. Na Slovensku</w:t>
      </w:r>
      <w:r>
        <w:rPr>
          <w:szCs w:val="22"/>
        </w:rPr>
        <w:t xml:space="preserve"> je využívanie takejto starostlivosti dlhodobo veľmi nízke, ale situácia sa zlepšuje. V roku 2014 oproti roku 2013 využívanie zariadení starostlivosti o deti do troch rokov stúplo viac ako dvojnásobne </w:t>
      </w:r>
      <w:r w:rsidRPr="00113EEE">
        <w:rPr>
          <w:szCs w:val="22"/>
        </w:rPr>
        <w:t>(</w:t>
      </w:r>
      <w:r>
        <w:rPr>
          <w:szCs w:val="22"/>
        </w:rPr>
        <w:t xml:space="preserve">z 3 % na </w:t>
      </w:r>
      <w:r w:rsidRPr="00113EEE">
        <w:rPr>
          <w:szCs w:val="22"/>
        </w:rPr>
        <w:t>7 % detí do 3 rokov)</w:t>
      </w:r>
      <w:r>
        <w:rPr>
          <w:szCs w:val="22"/>
        </w:rPr>
        <w:t xml:space="preserve">. V </w:t>
      </w:r>
      <w:r w:rsidRPr="00113EEE">
        <w:rPr>
          <w:szCs w:val="22"/>
        </w:rPr>
        <w:t xml:space="preserve">prípade 1 % detí </w:t>
      </w:r>
      <w:r>
        <w:rPr>
          <w:szCs w:val="22"/>
        </w:rPr>
        <w:t xml:space="preserve">sa </w:t>
      </w:r>
      <w:r w:rsidRPr="00113EEE">
        <w:rPr>
          <w:szCs w:val="22"/>
        </w:rPr>
        <w:t>využila starostlivosť v trvaní od</w:t>
      </w:r>
      <w:r>
        <w:rPr>
          <w:szCs w:val="22"/>
        </w:rPr>
        <w:t> </w:t>
      </w:r>
      <w:r w:rsidRPr="00113EEE">
        <w:rPr>
          <w:szCs w:val="22"/>
        </w:rPr>
        <w:t>1</w:t>
      </w:r>
      <w:r>
        <w:rPr>
          <w:szCs w:val="22"/>
        </w:rPr>
        <w:t> </w:t>
      </w:r>
      <w:r w:rsidRPr="00113EEE">
        <w:rPr>
          <w:szCs w:val="22"/>
        </w:rPr>
        <w:t>do 29 hodín týždenne a v prípade 6 % detí do 3 rokov starostlivosť v trvaní viac ako 30 hodín týždenne</w:t>
      </w:r>
      <w:r>
        <w:rPr>
          <w:szCs w:val="22"/>
        </w:rPr>
        <w:t xml:space="preserve">. </w:t>
      </w:r>
      <w:r w:rsidRPr="00113EEE">
        <w:rPr>
          <w:szCs w:val="22"/>
        </w:rPr>
        <w:t xml:space="preserve">Pre deti vo veku 3 až 6 rokov sa poskytuje formálna starostlivosť na Slovensku v širšom meradle. V roku 2014 bola takáto starostlivosť poskytovaná pre 74 % detí (v priemere EU28 išlo o 83 % detí) a v prípade 60 % detí išlo o starostlivosť nad 30 hodín týždenne (v priemere v EU28 49 % detí v tomto veku, pričom pre 34 % detí sa využíva starostlivosť do 30 hodín týždenne). </w:t>
      </w:r>
      <w:r w:rsidRPr="00113EEE">
        <w:t>Poskytovanie kvalitných</w:t>
      </w:r>
      <w:r w:rsidRPr="004C5551">
        <w:t xml:space="preserve"> služieb</w:t>
      </w:r>
      <w:r>
        <w:t xml:space="preserve"> starostlivosti</w:t>
      </w:r>
      <w:r w:rsidRPr="004C5551">
        <w:t xml:space="preserve"> a univerzálny prístup ku kvalitnému predškolskému vzdelávaniu sa objavujú</w:t>
      </w:r>
      <w:r>
        <w:t xml:space="preserve"> nielen medzi opatreniami na zvýšenie zamestnanosti žien ale aj</w:t>
      </w:r>
      <w:r w:rsidRPr="004C5551">
        <w:t xml:space="preserve"> medzi preventívnymi opatreniami proti predčasnému ukončeniu školskej dochádzky</w:t>
      </w:r>
      <w:r w:rsidRPr="00713F64">
        <w:t xml:space="preserve">. </w:t>
      </w:r>
      <w:r w:rsidRPr="007A6D7F">
        <w:t>Predpokladá sa, že prístup k starostlivosti v rannom detstve v SR by sa mal ďalej zlepšovať, k čomu by mali pomôcť aj od</w:t>
      </w:r>
      <w:r>
        <w:t> </w:t>
      </w:r>
      <w:r w:rsidRPr="007A6D7F">
        <w:t>roku 2016 zvýšený príspevok na starostlivosť o dieťa, zjednodušený spôsob žiadania o</w:t>
      </w:r>
      <w:r w:rsidR="009030A2">
        <w:t>ň</w:t>
      </w:r>
      <w:r w:rsidRPr="007A6D7F">
        <w:t xml:space="preserve"> a plánované posilnenie kapacít zariadení starostlivosti o deti. V roku 2015 sa v S</w:t>
      </w:r>
      <w:r w:rsidRPr="00713F64">
        <w:t>R realizoval dôležitý národný projekt pre zvýšenie zamestnanosti a príjmovej úrovne žien Rodina a práca, ktorý bol zameraný na podporu zosúladenia rodinného a pracovného života a možnosť pracovného uplatnenia matiek s malými deťmi. Prostredníctvom projektu boli  podporené pracovné miesta formou flexibilných foriem práce pre osoby na rodičovskej dovolenke alebo s deťmi pred nástupom do</w:t>
      </w:r>
      <w:r w:rsidR="009030A2">
        <w:t> </w:t>
      </w:r>
      <w:r w:rsidRPr="00713F64">
        <w:t xml:space="preserve">základnej školy. Projekt sa zameriaval aj na oblasť vytvárania vhodných </w:t>
      </w:r>
      <w:proofErr w:type="spellStart"/>
      <w:r w:rsidRPr="00713F64">
        <w:t>prorodinných</w:t>
      </w:r>
      <w:proofErr w:type="spellEnd"/>
      <w:r w:rsidRPr="00713F64">
        <w:t xml:space="preserve"> podmienok a</w:t>
      </w:r>
      <w:r w:rsidR="009030A2">
        <w:t> </w:t>
      </w:r>
      <w:r w:rsidRPr="00713F64">
        <w:t>starostlivosti o detí v rodinách zamestnaných rodičov prostredníctvom podpory tzv. kútikov dočasnej starostlivosti. MPSVR</w:t>
      </w:r>
      <w:r w:rsidRPr="00F04577">
        <w:t xml:space="preserve"> SR bude aj v novom programovom období v rámci OP Ľudské zdroje podporovať flexibilné formy práce a flexibilné formy starostlivosti o</w:t>
      </w:r>
      <w:r>
        <w:t> </w:t>
      </w:r>
      <w:r w:rsidRPr="00F04577">
        <w:t>deti</w:t>
      </w:r>
      <w:r>
        <w:t xml:space="preserve">. </w:t>
      </w:r>
    </w:p>
    <w:p w:rsidR="009030A2" w:rsidRDefault="009030A2" w:rsidP="009030A2">
      <w:pPr>
        <w:pStyle w:val="Normlnysozarkami1"/>
        <w:ind w:firstLine="567"/>
        <w:rPr>
          <w:color w:val="000000" w:themeColor="text1"/>
        </w:rPr>
      </w:pPr>
      <w:r w:rsidRPr="004C5551">
        <w:rPr>
          <w:color w:val="000000" w:themeColor="text1"/>
        </w:rPr>
        <w:t xml:space="preserve">Dosiahnutie miery zamestnanosti na úrovni 75 % do roku 2020 do veľkej miery závisí aj od ďalšieho zvýšenia zamestnanosti u starších ľudí. Taktiež demografické výzvy, ktoré súvisia so starnutím populácie, vedú EÚ k potrebe spoločne zvýšiť participáciu starších ľudí na trhu práce a podpore predlžovania pracovného života. </w:t>
      </w:r>
      <w:r w:rsidRPr="00410C89">
        <w:rPr>
          <w:b/>
          <w:color w:val="000000" w:themeColor="text1"/>
        </w:rPr>
        <w:t>Miera zamestnanosti u starších ľudí</w:t>
      </w:r>
      <w:r w:rsidRPr="00410C89">
        <w:rPr>
          <w:color w:val="000000" w:themeColor="text1"/>
        </w:rPr>
        <w:t xml:space="preserve"> (55 – 64 rokov) na</w:t>
      </w:r>
      <w:r>
        <w:rPr>
          <w:color w:val="000000" w:themeColor="text1"/>
        </w:rPr>
        <w:t> </w:t>
      </w:r>
      <w:r w:rsidRPr="00410C89">
        <w:rPr>
          <w:color w:val="000000" w:themeColor="text1"/>
        </w:rPr>
        <w:t>Slovensku od roku 2001 nepretržite rastie, v roku 2015 medziročne narástla o 2,2 p</w:t>
      </w:r>
      <w:r>
        <w:rPr>
          <w:color w:val="000000" w:themeColor="text1"/>
        </w:rPr>
        <w:t>. b.</w:t>
      </w:r>
      <w:r w:rsidRPr="00410C89">
        <w:rPr>
          <w:color w:val="000000" w:themeColor="text1"/>
        </w:rPr>
        <w:t xml:space="preserve"> a dosiahla 47 %. Táto miera zamestnanosti rastie aj v rámci EÚ 28, kde je v priemere na vyššej úrovni (53,3 %). Rast zamestnanosti starších ľudí na Slovensku súvisí najmä so zvyšovaním veku odchodu do</w:t>
      </w:r>
      <w:r>
        <w:rPr>
          <w:color w:val="000000" w:themeColor="text1"/>
        </w:rPr>
        <w:t> </w:t>
      </w:r>
      <w:r w:rsidRPr="00410C89">
        <w:rPr>
          <w:color w:val="000000" w:themeColor="text1"/>
        </w:rPr>
        <w:t>dôchodku, ktorý sa stále uplatňuje u žien, čo dokladuje vyšší nárast miery zamestnanosti v tejto vekovej skupine práve u žien.  Miera zamestnanosti starších žien v roku 2015 medziročne stúpla až o</w:t>
      </w:r>
      <w:r>
        <w:rPr>
          <w:color w:val="000000" w:themeColor="text1"/>
        </w:rPr>
        <w:t> </w:t>
      </w:r>
      <w:r w:rsidRPr="00410C89">
        <w:rPr>
          <w:color w:val="000000" w:themeColor="text1"/>
        </w:rPr>
        <w:t>3,8 p</w:t>
      </w:r>
      <w:r>
        <w:rPr>
          <w:color w:val="000000" w:themeColor="text1"/>
        </w:rPr>
        <w:t>. b.  na 41,0 %, a u mužov</w:t>
      </w:r>
      <w:r w:rsidRPr="00410C89">
        <w:rPr>
          <w:color w:val="000000" w:themeColor="text1"/>
        </w:rPr>
        <w:t xml:space="preserve"> o 0,5 </w:t>
      </w:r>
      <w:r w:rsidR="0089319D">
        <w:rPr>
          <w:color w:val="000000" w:themeColor="text1"/>
        </w:rPr>
        <w:t>p. b.</w:t>
      </w:r>
      <w:r w:rsidRPr="00410C89">
        <w:rPr>
          <w:color w:val="000000" w:themeColor="text1"/>
        </w:rPr>
        <w:t xml:space="preserve"> na 53,6 %.</w:t>
      </w:r>
      <w:r>
        <w:rPr>
          <w:color w:val="000000" w:themeColor="text1"/>
        </w:rPr>
        <w:t xml:space="preserve"> </w:t>
      </w:r>
      <w:r w:rsidRPr="004C5551">
        <w:rPr>
          <w:color w:val="000000" w:themeColor="text1"/>
        </w:rPr>
        <w:t>Najvyššia miera zamestnanosti starších</w:t>
      </w:r>
      <w:r>
        <w:rPr>
          <w:color w:val="000000" w:themeColor="text1"/>
        </w:rPr>
        <w:t xml:space="preserve"> žien je dlhodobo vo Švédsku (74,5 %), vysokú úroveň nad 65</w:t>
      </w:r>
      <w:r w:rsidRPr="004C5551">
        <w:rPr>
          <w:color w:val="000000" w:themeColor="text1"/>
        </w:rPr>
        <w:t xml:space="preserve"> % dosahuje aj v</w:t>
      </w:r>
      <w:r>
        <w:rPr>
          <w:color w:val="000000" w:themeColor="text1"/>
        </w:rPr>
        <w:t> Nemecku (66,2 %)</w:t>
      </w:r>
      <w:r w:rsidRPr="004C5551">
        <w:rPr>
          <w:color w:val="000000" w:themeColor="text1"/>
        </w:rPr>
        <w:t>.</w:t>
      </w:r>
    </w:p>
    <w:p w:rsidR="009030A2" w:rsidRPr="004C5551" w:rsidRDefault="009030A2" w:rsidP="009030A2">
      <w:pPr>
        <w:pStyle w:val="Normlnysozarkami1"/>
        <w:ind w:firstLine="567"/>
        <w:rPr>
          <w:color w:val="000000" w:themeColor="text1"/>
        </w:rPr>
      </w:pPr>
      <w:r w:rsidRPr="004C5551">
        <w:rPr>
          <w:color w:val="000000" w:themeColor="text1"/>
        </w:rPr>
        <w:t xml:space="preserve">Dlhší pracovný život a zvýšenie miery zamestnanosti by mali byť podporené aj prostredníctvom lepšieho prístupu k celoživotnému vzdelávaniu. Inkluzívny rast okrem iného znamená investovanie do odbornej prípravy a zvyšovania kvalifikácie s cieľom pomôcť ľuďom všetkých vekových kategórií pripraviť sa na očakávané zmeny na pracovnom trhu. V tejto oblasti Slovensko stále zaostáva, </w:t>
      </w:r>
      <w:r>
        <w:rPr>
          <w:color w:val="000000" w:themeColor="text1"/>
        </w:rPr>
        <w:t>v roku 2015 bola</w:t>
      </w:r>
      <w:r w:rsidRPr="004C5551">
        <w:rPr>
          <w:b/>
          <w:color w:val="000000" w:themeColor="text1"/>
        </w:rPr>
        <w:t xml:space="preserve"> miera celoživotného vzdelávania</w:t>
      </w:r>
      <w:r w:rsidRPr="004C5551">
        <w:rPr>
          <w:color w:val="000000" w:themeColor="text1"/>
        </w:rPr>
        <w:t xml:space="preserve"> </w:t>
      </w:r>
      <w:r>
        <w:rPr>
          <w:color w:val="000000" w:themeColor="text1"/>
        </w:rPr>
        <w:t>tretia</w:t>
      </w:r>
      <w:r w:rsidRPr="004C5551">
        <w:rPr>
          <w:color w:val="000000" w:themeColor="text1"/>
        </w:rPr>
        <w:t xml:space="preserve"> najnižšia v EU28</w:t>
      </w:r>
      <w:r>
        <w:rPr>
          <w:color w:val="000000" w:themeColor="text1"/>
        </w:rPr>
        <w:t xml:space="preserve"> a oproti predchádzajúcemu roku sa nezmenila. V roku 2015</w:t>
      </w:r>
      <w:r w:rsidRPr="004C5551">
        <w:rPr>
          <w:color w:val="000000" w:themeColor="text1"/>
        </w:rPr>
        <w:t xml:space="preserve"> bolo do ďalšieho vzdelávania či tréningu zapojených 3</w:t>
      </w:r>
      <w:r>
        <w:rPr>
          <w:color w:val="000000" w:themeColor="text1"/>
        </w:rPr>
        <w:t>,1</w:t>
      </w:r>
      <w:r w:rsidRPr="004C5551">
        <w:rPr>
          <w:color w:val="000000" w:themeColor="text1"/>
        </w:rPr>
        <w:t> % ľudí vo veku 25 – 64 rokov, oproti tomu priemer EU28 predstavoval 10,7 %. Menší podiel dospelých zapojených do celoživot</w:t>
      </w:r>
      <w:r>
        <w:rPr>
          <w:color w:val="000000" w:themeColor="text1"/>
        </w:rPr>
        <w:t>ného vzdelávania bol v roku 2015 iba v Bulharsku (2,0 %)</w:t>
      </w:r>
      <w:r w:rsidRPr="004C5551">
        <w:rPr>
          <w:color w:val="000000" w:themeColor="text1"/>
        </w:rPr>
        <w:t xml:space="preserve"> </w:t>
      </w:r>
      <w:r>
        <w:rPr>
          <w:color w:val="000000" w:themeColor="text1"/>
        </w:rPr>
        <w:t xml:space="preserve">a v </w:t>
      </w:r>
      <w:r w:rsidRPr="004C5551">
        <w:rPr>
          <w:color w:val="000000" w:themeColor="text1"/>
        </w:rPr>
        <w:t>Rumunsku (</w:t>
      </w:r>
      <w:r>
        <w:rPr>
          <w:color w:val="000000" w:themeColor="text1"/>
        </w:rPr>
        <w:t>1,3</w:t>
      </w:r>
      <w:r w:rsidRPr="004C5551">
        <w:rPr>
          <w:color w:val="000000" w:themeColor="text1"/>
        </w:rPr>
        <w:t> %) a</w:t>
      </w:r>
      <w:r>
        <w:rPr>
          <w:color w:val="000000" w:themeColor="text1"/>
        </w:rPr>
        <w:t xml:space="preserve"> rovnaký v </w:t>
      </w:r>
      <w:r w:rsidRPr="004C5551">
        <w:rPr>
          <w:color w:val="000000" w:themeColor="text1"/>
        </w:rPr>
        <w:t>Chorvátsku. Najvyšší podiel dospelých zapojených do celoživot</w:t>
      </w:r>
      <w:r>
        <w:rPr>
          <w:color w:val="000000" w:themeColor="text1"/>
        </w:rPr>
        <w:t>ného vzdelávania bol v roku 2015 v Dánsku (31,3 %), Švédsku (29,4 %) a Fínsku (25,4</w:t>
      </w:r>
      <w:r w:rsidRPr="004C5551">
        <w:rPr>
          <w:color w:val="000000" w:themeColor="text1"/>
        </w:rPr>
        <w:t> %). Nízka miera celoživotného vzdelávania môže mať nepriaznivý vplyv na </w:t>
      </w:r>
      <w:proofErr w:type="spellStart"/>
      <w:r w:rsidRPr="004C5551">
        <w:rPr>
          <w:color w:val="000000" w:themeColor="text1"/>
        </w:rPr>
        <w:t>zamestnateľnosť</w:t>
      </w:r>
      <w:proofErr w:type="spellEnd"/>
      <w:r w:rsidRPr="004C5551">
        <w:rPr>
          <w:color w:val="000000" w:themeColor="text1"/>
        </w:rPr>
        <w:t xml:space="preserve"> najmä u </w:t>
      </w:r>
      <w:proofErr w:type="spellStart"/>
      <w:r w:rsidRPr="004C5551">
        <w:rPr>
          <w:color w:val="000000" w:themeColor="text1"/>
        </w:rPr>
        <w:t>nízkokvalifikovaných</w:t>
      </w:r>
      <w:proofErr w:type="spellEnd"/>
      <w:r w:rsidRPr="004C5551">
        <w:rPr>
          <w:color w:val="000000" w:themeColor="text1"/>
        </w:rPr>
        <w:t xml:space="preserve"> pracovníkov, čím oslabuje úsilie </w:t>
      </w:r>
      <w:r w:rsidRPr="003D785F">
        <w:rPr>
          <w:color w:val="000000" w:themeColor="text1"/>
        </w:rPr>
        <w:t>znížiť štrukturálnu nezamestnanosť.</w:t>
      </w:r>
    </w:p>
    <w:p w:rsidR="009030A2" w:rsidRPr="004C5551" w:rsidRDefault="009030A2" w:rsidP="009030A2">
      <w:pPr>
        <w:pStyle w:val="Normlnysozarkami1"/>
        <w:ind w:firstLine="567"/>
        <w:rPr>
          <w:color w:val="000000" w:themeColor="text1"/>
        </w:rPr>
      </w:pPr>
      <w:r w:rsidRPr="00C82225">
        <w:rPr>
          <w:b/>
          <w:color w:val="000000" w:themeColor="text1"/>
        </w:rPr>
        <w:t>Miera nezamestnanosti</w:t>
      </w:r>
      <w:r w:rsidRPr="00C82225">
        <w:rPr>
          <w:color w:val="000000" w:themeColor="text1"/>
        </w:rPr>
        <w:t xml:space="preserve"> na Slovensku patrí dlhodobo k vyšším v rámci Európy, na druhej strane vývoj v posledných dvoch rokoch signalizuje pozitívne tendencie spojené so stabilným ekonomickým rastom. V roku 2015 sa situácia na trhu práce v SR výrazne zlepšovala a miera nezamestnanosti sa znížila o 1,7 p. b. na úroveň 11,5 %. Išlo o štvrtý najvýraznejší pokles miery nezamestnanosti v krajinách EU28, čo spôsobilo pozitívny posun SR v rebríčku najvyšších mier nezamestnanosti zo šiesteho na siedme miesto. V rámci EU28 sa</w:t>
      </w:r>
      <w:r w:rsidRPr="004C5551">
        <w:rPr>
          <w:color w:val="000000" w:themeColor="text1"/>
        </w:rPr>
        <w:t xml:space="preserve"> miera nezamestnanosti znížila aj vo</w:t>
      </w:r>
      <w:r>
        <w:rPr>
          <w:color w:val="000000" w:themeColor="text1"/>
        </w:rPr>
        <w:t> </w:t>
      </w:r>
      <w:r w:rsidRPr="004C5551">
        <w:rPr>
          <w:color w:val="000000" w:themeColor="text1"/>
        </w:rPr>
        <w:t>väčšine os</w:t>
      </w:r>
      <w:r>
        <w:rPr>
          <w:color w:val="000000" w:themeColor="text1"/>
        </w:rPr>
        <w:t>tatných krajín, v priemere o 0,8 p. b. na úroveň 9,4</w:t>
      </w:r>
      <w:r w:rsidRPr="004C5551">
        <w:rPr>
          <w:color w:val="000000" w:themeColor="text1"/>
        </w:rPr>
        <w:t xml:space="preserve"> %. Miera nezamestnanosti vyššia ako </w:t>
      </w:r>
      <w:r>
        <w:rPr>
          <w:color w:val="000000" w:themeColor="text1"/>
        </w:rPr>
        <w:t>na Slovensku bola v Grécku (24,9</w:t>
      </w:r>
      <w:r w:rsidRPr="004C5551">
        <w:rPr>
          <w:color w:val="000000" w:themeColor="text1"/>
        </w:rPr>
        <w:t> %), v Španie</w:t>
      </w:r>
      <w:r>
        <w:rPr>
          <w:color w:val="000000" w:themeColor="text1"/>
        </w:rPr>
        <w:t>lsku (22,1 %), v Chorvátsku (16,3 %), na Cypre (15,1 %), v Portugalsku (12,6</w:t>
      </w:r>
      <w:r w:rsidRPr="004C5551">
        <w:rPr>
          <w:color w:val="000000" w:themeColor="text1"/>
        </w:rPr>
        <w:t xml:space="preserve"> %)</w:t>
      </w:r>
      <w:r>
        <w:rPr>
          <w:color w:val="000000" w:themeColor="text1"/>
        </w:rPr>
        <w:t xml:space="preserve"> a v Taliansku (11,9 %)</w:t>
      </w:r>
      <w:r w:rsidRPr="004C5551">
        <w:rPr>
          <w:color w:val="000000" w:themeColor="text1"/>
        </w:rPr>
        <w:t>. Najnižšia miera n</w:t>
      </w:r>
      <w:r>
        <w:rPr>
          <w:color w:val="000000" w:themeColor="text1"/>
        </w:rPr>
        <w:t>ezamestnanosti bola v Nemecku (4,6</w:t>
      </w:r>
      <w:r w:rsidRPr="004C5551">
        <w:rPr>
          <w:color w:val="000000" w:themeColor="text1"/>
        </w:rPr>
        <w:t> %). M</w:t>
      </w:r>
      <w:r>
        <w:rPr>
          <w:color w:val="000000" w:themeColor="text1"/>
        </w:rPr>
        <w:t>iera nezamestnanosti v roku 2015</w:t>
      </w:r>
      <w:r w:rsidRPr="004C5551">
        <w:rPr>
          <w:color w:val="000000" w:themeColor="text1"/>
        </w:rPr>
        <w:t xml:space="preserve"> v SR klesla viac u mužov </w:t>
      </w:r>
      <w:r>
        <w:rPr>
          <w:color w:val="000000" w:themeColor="text1"/>
        </w:rPr>
        <w:t xml:space="preserve">(o 2,5 </w:t>
      </w:r>
      <w:r w:rsidR="0089319D">
        <w:rPr>
          <w:color w:val="000000" w:themeColor="text1"/>
        </w:rPr>
        <w:t>p. b.</w:t>
      </w:r>
      <w:r>
        <w:rPr>
          <w:color w:val="000000" w:themeColor="text1"/>
        </w:rPr>
        <w:t xml:space="preserve">) </w:t>
      </w:r>
      <w:r w:rsidRPr="004C5551">
        <w:rPr>
          <w:color w:val="000000" w:themeColor="text1"/>
        </w:rPr>
        <w:t>ako u</w:t>
      </w:r>
      <w:r>
        <w:rPr>
          <w:color w:val="000000" w:themeColor="text1"/>
        </w:rPr>
        <w:t> </w:t>
      </w:r>
      <w:r w:rsidRPr="004C5551">
        <w:rPr>
          <w:color w:val="000000" w:themeColor="text1"/>
        </w:rPr>
        <w:t>ži</w:t>
      </w:r>
      <w:r>
        <w:rPr>
          <w:color w:val="000000" w:themeColor="text1"/>
        </w:rPr>
        <w:t xml:space="preserve">en (o 0,7 </w:t>
      </w:r>
      <w:r w:rsidR="0089319D">
        <w:rPr>
          <w:color w:val="000000" w:themeColor="text1"/>
        </w:rPr>
        <w:t>p. b.</w:t>
      </w:r>
      <w:r>
        <w:rPr>
          <w:color w:val="000000" w:themeColor="text1"/>
        </w:rPr>
        <w:t>), pričom u žien dosiahla 12,9 % a u mužov 10,3</w:t>
      </w:r>
      <w:r w:rsidRPr="004C5551">
        <w:rPr>
          <w:color w:val="000000" w:themeColor="text1"/>
        </w:rPr>
        <w:t> </w:t>
      </w:r>
      <w:r w:rsidRPr="00CC0ACF">
        <w:rPr>
          <w:color w:val="000000" w:themeColor="text1"/>
        </w:rPr>
        <w:t>%. Pozitívnemu vývoju situácie napomohli aj reformy uskutočnené na trhu práce</w:t>
      </w:r>
      <w:r>
        <w:rPr>
          <w:color w:val="000000" w:themeColor="text1"/>
        </w:rPr>
        <w:t>,</w:t>
      </w:r>
      <w:r w:rsidRPr="00CC0ACF">
        <w:rPr>
          <w:color w:val="000000" w:themeColor="text1"/>
        </w:rPr>
        <w:t xml:space="preserve"> ktoré vstúpili do platnosti v roku 2015</w:t>
      </w:r>
      <w:r>
        <w:rPr>
          <w:color w:val="000000" w:themeColor="text1"/>
        </w:rPr>
        <w:t xml:space="preserve"> a realizovanie aktívnej politiky trhu práce. </w:t>
      </w:r>
      <w:r w:rsidRPr="004C5551">
        <w:rPr>
          <w:color w:val="000000" w:themeColor="text1"/>
        </w:rPr>
        <w:t xml:space="preserve">Podľa prognózy EK vplyvom </w:t>
      </w:r>
      <w:r>
        <w:rPr>
          <w:color w:val="000000" w:themeColor="text1"/>
        </w:rPr>
        <w:t>silného ekonomického rastu</w:t>
      </w:r>
      <w:r w:rsidRPr="004C5551">
        <w:rPr>
          <w:color w:val="000000" w:themeColor="text1"/>
        </w:rPr>
        <w:t xml:space="preserve"> sa podmienky na trhu práce na Slovensku budú naďalej vylepšovať</w:t>
      </w:r>
      <w:r>
        <w:rPr>
          <w:color w:val="000000" w:themeColor="text1"/>
        </w:rPr>
        <w:t xml:space="preserve"> výraznejšie ako v priemere v EU28</w:t>
      </w:r>
      <w:r w:rsidRPr="004C5551">
        <w:rPr>
          <w:color w:val="000000" w:themeColor="text1"/>
        </w:rPr>
        <w:t xml:space="preserve"> a mier</w:t>
      </w:r>
      <w:r>
        <w:rPr>
          <w:color w:val="000000" w:themeColor="text1"/>
        </w:rPr>
        <w:t>a nezamestnanosti klesne na 10,5 % v roku 2016 a v roku 2017 pod 10 %, na 9,5 %</w:t>
      </w:r>
      <w:r w:rsidRPr="004C5551">
        <w:rPr>
          <w:color w:val="000000" w:themeColor="text1"/>
        </w:rPr>
        <w:t>. Predpokladá sa, že podiel nezamestnaných na ekonomicky aktívnych klesne aj v pri</w:t>
      </w:r>
      <w:r>
        <w:rPr>
          <w:color w:val="000000" w:themeColor="text1"/>
        </w:rPr>
        <w:t>emere v EU28, a to na úroveň 8,9 % v roku 2016 a 8,6 % v roku 2017</w:t>
      </w:r>
      <w:r w:rsidRPr="004C5551">
        <w:rPr>
          <w:color w:val="000000" w:themeColor="text1"/>
        </w:rPr>
        <w:t>. Vďaka prognózovanému výraznejšiemu poklesu miery nezamestnanosti na Slovensku, by sa zaostávanie SR za priem</w:t>
      </w:r>
      <w:r>
        <w:rPr>
          <w:color w:val="000000" w:themeColor="text1"/>
        </w:rPr>
        <w:t>erom EU28 mohlo znížiť z 2,1 p. b. v roku 2015 na 0,9 p. b. v roku 2017</w:t>
      </w:r>
      <w:r w:rsidRPr="004C5551">
        <w:rPr>
          <w:color w:val="000000" w:themeColor="text1"/>
        </w:rPr>
        <w:t>.</w:t>
      </w:r>
    </w:p>
    <w:p w:rsidR="009030A2" w:rsidRPr="004C5551" w:rsidRDefault="009030A2" w:rsidP="009030A2">
      <w:pPr>
        <w:pStyle w:val="Normlnysozarkami1"/>
        <w:ind w:firstLine="567"/>
        <w:rPr>
          <w:color w:val="000000" w:themeColor="text1"/>
        </w:rPr>
      </w:pPr>
      <w:r w:rsidRPr="004C5551">
        <w:rPr>
          <w:color w:val="000000" w:themeColor="text1"/>
        </w:rPr>
        <w:t xml:space="preserve">Kľúčovými pre dosiahnutie ambicióznych cieľov inteligentného a udržateľného rastu pre všetkých sú mladí ľudia a predovšetkým ich úspešný </w:t>
      </w:r>
      <w:r w:rsidR="00326DA1">
        <w:rPr>
          <w:color w:val="000000" w:themeColor="text1"/>
        </w:rPr>
        <w:t>vstup</w:t>
      </w:r>
      <w:r w:rsidRPr="004C5551">
        <w:rPr>
          <w:color w:val="000000" w:themeColor="text1"/>
        </w:rPr>
        <w:t xml:space="preserve"> na trh práce. Mladí ľudia v súčasnosti stoja pred výzvami v systémoch vzdelávania a odbornej prípravy, ako aj pri vstupe na trh práce. </w:t>
      </w:r>
      <w:r w:rsidRPr="0091380C">
        <w:rPr>
          <w:b/>
          <w:color w:val="000000" w:themeColor="text1"/>
        </w:rPr>
        <w:t>Miera nezamestnanosti mladých</w:t>
      </w:r>
      <w:r w:rsidRPr="0091380C">
        <w:rPr>
          <w:color w:val="000000" w:themeColor="text1"/>
        </w:rPr>
        <w:t xml:space="preserve"> (do 25 rokov) v</w:t>
      </w:r>
      <w:r w:rsidRPr="004C5551">
        <w:rPr>
          <w:color w:val="000000" w:themeColor="text1"/>
        </w:rPr>
        <w:t> EÚ vždy vykazovala vyššie hod</w:t>
      </w:r>
      <w:r>
        <w:rPr>
          <w:color w:val="000000" w:themeColor="text1"/>
        </w:rPr>
        <w:t>noty ako celková nezamestnanosť. Navyše t</w:t>
      </w:r>
      <w:r w:rsidRPr="004C5551">
        <w:rPr>
          <w:color w:val="000000" w:themeColor="text1"/>
        </w:rPr>
        <w:t>áto skupina patrí medzi tie, ktoré boli krízou zasiahnuté najviac. V rámci EU28 podiel mladých nezamestnaných od roku 2009 neust</w:t>
      </w:r>
      <w:r>
        <w:rPr>
          <w:color w:val="000000" w:themeColor="text1"/>
        </w:rPr>
        <w:t xml:space="preserve">ále rástol, a to až do roku 2014. </w:t>
      </w:r>
      <w:r w:rsidRPr="004C5551">
        <w:rPr>
          <w:color w:val="000000" w:themeColor="text1"/>
        </w:rPr>
        <w:t>Na</w:t>
      </w:r>
      <w:r>
        <w:rPr>
          <w:color w:val="000000" w:themeColor="text1"/>
        </w:rPr>
        <w:t> </w:t>
      </w:r>
      <w:r w:rsidRPr="004C5551">
        <w:rPr>
          <w:color w:val="000000" w:themeColor="text1"/>
        </w:rPr>
        <w:t>Slovensku sa v posledných rokoch dosiahol výraznejší pokrok a miera nezamestnanosti mladých aj vďaka úspešným opatreniam na trhu práce zamer</w:t>
      </w:r>
      <w:r w:rsidR="0089319D">
        <w:rPr>
          <w:color w:val="000000" w:themeColor="text1"/>
        </w:rPr>
        <w:t>a</w:t>
      </w:r>
      <w:r w:rsidRPr="004C5551">
        <w:rPr>
          <w:color w:val="000000" w:themeColor="text1"/>
        </w:rPr>
        <w:t>ným práve n</w:t>
      </w:r>
      <w:r>
        <w:rPr>
          <w:color w:val="000000" w:themeColor="text1"/>
        </w:rPr>
        <w:t>a túto skupinu už tretí</w:t>
      </w:r>
      <w:r w:rsidRPr="004C5551">
        <w:rPr>
          <w:color w:val="000000" w:themeColor="text1"/>
        </w:rPr>
        <w:t xml:space="preserve"> rok po sebe</w:t>
      </w:r>
      <w:r>
        <w:rPr>
          <w:color w:val="000000" w:themeColor="text1"/>
        </w:rPr>
        <w:t xml:space="preserve"> medziročne klesala, v roku 2015</w:t>
      </w:r>
      <w:r w:rsidRPr="004C5551">
        <w:rPr>
          <w:color w:val="000000" w:themeColor="text1"/>
        </w:rPr>
        <w:t xml:space="preserve"> </w:t>
      </w:r>
      <w:r>
        <w:rPr>
          <w:color w:val="000000" w:themeColor="text1"/>
        </w:rPr>
        <w:t>o 3,3 p. b. na úroveň 26,4 %. Rovnako ako predchádzajúci rok i</w:t>
      </w:r>
      <w:r w:rsidRPr="004C5551">
        <w:rPr>
          <w:color w:val="000000" w:themeColor="text1"/>
        </w:rPr>
        <w:t>šlo o</w:t>
      </w:r>
      <w:r w:rsidR="009134B1">
        <w:rPr>
          <w:color w:val="000000" w:themeColor="text1"/>
        </w:rPr>
        <w:t> </w:t>
      </w:r>
      <w:r w:rsidRPr="004C5551">
        <w:rPr>
          <w:color w:val="000000" w:themeColor="text1"/>
        </w:rPr>
        <w:t>piaty najväčší pokles v EU28</w:t>
      </w:r>
      <w:r>
        <w:rPr>
          <w:color w:val="000000" w:themeColor="text1"/>
        </w:rPr>
        <w:t xml:space="preserve"> (v priemere v EU28 pokles o 1,9 p. b. na 20,3 %). Napriek medzi</w:t>
      </w:r>
      <w:r w:rsidR="009134B1">
        <w:rPr>
          <w:color w:val="000000" w:themeColor="text1"/>
        </w:rPr>
        <w:softHyphen/>
      </w:r>
      <w:r>
        <w:rPr>
          <w:color w:val="000000" w:themeColor="text1"/>
        </w:rPr>
        <w:t>ročnému poklesu v niektorých krajinách EU28 v roku 2015 pre</w:t>
      </w:r>
      <w:r w:rsidRPr="004C5551">
        <w:rPr>
          <w:color w:val="000000" w:themeColor="text1"/>
        </w:rPr>
        <w:t>sahovala miera nezame</w:t>
      </w:r>
      <w:r>
        <w:rPr>
          <w:color w:val="000000" w:themeColor="text1"/>
        </w:rPr>
        <w:t>stnanosti mladých 4</w:t>
      </w:r>
      <w:r w:rsidRPr="004C5551">
        <w:rPr>
          <w:color w:val="000000" w:themeColor="text1"/>
        </w:rPr>
        <w:t xml:space="preserve">0 %, </w:t>
      </w:r>
      <w:r w:rsidR="009134B1">
        <w:rPr>
          <w:color w:val="000000" w:themeColor="text1"/>
        </w:rPr>
        <w:t xml:space="preserve">a to </w:t>
      </w:r>
      <w:r>
        <w:rPr>
          <w:color w:val="000000" w:themeColor="text1"/>
        </w:rPr>
        <w:t>konkrétne v Grécku (49,7</w:t>
      </w:r>
      <w:r w:rsidRPr="004C5551">
        <w:rPr>
          <w:color w:val="000000" w:themeColor="text1"/>
        </w:rPr>
        <w:t> %)</w:t>
      </w:r>
      <w:r w:rsidR="009134B1">
        <w:rPr>
          <w:color w:val="000000" w:themeColor="text1"/>
        </w:rPr>
        <w:t xml:space="preserve">, </w:t>
      </w:r>
      <w:r>
        <w:rPr>
          <w:color w:val="000000" w:themeColor="text1"/>
        </w:rPr>
        <w:t>Španielsku (48,3</w:t>
      </w:r>
      <w:r w:rsidRPr="004C5551">
        <w:rPr>
          <w:color w:val="000000" w:themeColor="text1"/>
        </w:rPr>
        <w:t> %)</w:t>
      </w:r>
      <w:r>
        <w:rPr>
          <w:color w:val="000000" w:themeColor="text1"/>
        </w:rPr>
        <w:t>, Chorvátsku (43 %) a v Taliansku (40,3).</w:t>
      </w:r>
      <w:r w:rsidRPr="004C5551">
        <w:rPr>
          <w:color w:val="000000" w:themeColor="text1"/>
        </w:rPr>
        <w:t xml:space="preserve"> Najnižšiu mieru nez</w:t>
      </w:r>
      <w:r>
        <w:rPr>
          <w:color w:val="000000" w:themeColor="text1"/>
        </w:rPr>
        <w:t>amestnanosti mladých v roku 2015 vykazovalo Nemecko (7,2 %), Rakúsko (10,6</w:t>
      </w:r>
      <w:r w:rsidRPr="004C5551">
        <w:rPr>
          <w:color w:val="000000" w:themeColor="text1"/>
        </w:rPr>
        <w:t> %) a </w:t>
      </w:r>
      <w:r>
        <w:rPr>
          <w:color w:val="000000" w:themeColor="text1"/>
        </w:rPr>
        <w:t>Dánsko (10,8</w:t>
      </w:r>
      <w:r w:rsidRPr="004C5551">
        <w:rPr>
          <w:color w:val="000000" w:themeColor="text1"/>
        </w:rPr>
        <w:t> %).</w:t>
      </w:r>
    </w:p>
    <w:p w:rsidR="009134B1" w:rsidRPr="004C5551" w:rsidRDefault="009134B1" w:rsidP="009134B1">
      <w:pPr>
        <w:pStyle w:val="Normlnysozarkami1"/>
        <w:ind w:firstLine="567"/>
        <w:rPr>
          <w:bCs/>
          <w:color w:val="000000" w:themeColor="text1"/>
          <w:sz w:val="24"/>
        </w:rPr>
      </w:pPr>
      <w:r w:rsidRPr="004C5551">
        <w:rPr>
          <w:color w:val="000000" w:themeColor="text1"/>
        </w:rPr>
        <w:t xml:space="preserve">Vysoká miera nezamestnanosti mladých poukazuje na ťažkosti pracovnej sily v tejto vekovej skupine uplatniť sa na trhu práce. Na druhej strane pri porovnávaní krajín treba vziať do úvahy, že veľkosť tejto pracovnej sily, t.j. ekonomicky aktívnej populácie v tomto veku sa medzi jednotlivými krajinami odlišuje, nakoľko závisí aj od počtu študujúcej mládeže. Na Slovensku študuje vysoký podiel mládeže, čoho dôsledkom je nízka </w:t>
      </w:r>
      <w:r w:rsidRPr="004C5551">
        <w:rPr>
          <w:b/>
          <w:color w:val="000000" w:themeColor="text1"/>
        </w:rPr>
        <w:t>miera ekonomickej aktivity mladých do 25 rokov</w:t>
      </w:r>
      <w:r>
        <w:rPr>
          <w:color w:val="000000" w:themeColor="text1"/>
        </w:rPr>
        <w:t>. V roku 2015</w:t>
      </w:r>
      <w:r w:rsidRPr="004C5551">
        <w:rPr>
          <w:color w:val="000000" w:themeColor="text1"/>
        </w:rPr>
        <w:t xml:space="preserve"> predstavovala pracovná sila 31</w:t>
      </w:r>
      <w:r>
        <w:rPr>
          <w:color w:val="000000" w:themeColor="text1"/>
        </w:rPr>
        <w:t>,7</w:t>
      </w:r>
      <w:r w:rsidRPr="004C5551">
        <w:rPr>
          <w:color w:val="000000" w:themeColor="text1"/>
        </w:rPr>
        <w:t> % z celkovej pop</w:t>
      </w:r>
      <w:r>
        <w:rPr>
          <w:color w:val="000000" w:themeColor="text1"/>
        </w:rPr>
        <w:t>ulácie 15 – 24 ročných, a bola 7</w:t>
      </w:r>
      <w:r w:rsidRPr="004C5551">
        <w:rPr>
          <w:color w:val="000000" w:themeColor="text1"/>
        </w:rPr>
        <w:t>. najnižšia v rámci EU28. V priemere v EU28 je medzi mladými do 25 rokov vyšší podiel pracovnej si</w:t>
      </w:r>
      <w:r>
        <w:rPr>
          <w:color w:val="000000" w:themeColor="text1"/>
        </w:rPr>
        <w:t>ly (41,5 % v roku 2015). Až 92,1</w:t>
      </w:r>
      <w:r w:rsidRPr="004C5551">
        <w:rPr>
          <w:color w:val="000000" w:themeColor="text1"/>
        </w:rPr>
        <w:t> % z ekonomicky neaktívnej populácie</w:t>
      </w:r>
      <w:r>
        <w:rPr>
          <w:color w:val="000000" w:themeColor="text1"/>
        </w:rPr>
        <w:t xml:space="preserve"> mladých do 25 rokov v roku 2015</w:t>
      </w:r>
      <w:r w:rsidRPr="004C5551">
        <w:rPr>
          <w:color w:val="000000" w:themeColor="text1"/>
        </w:rPr>
        <w:t xml:space="preserve"> na Slovensk</w:t>
      </w:r>
      <w:r>
        <w:rPr>
          <w:color w:val="000000" w:themeColor="text1"/>
        </w:rPr>
        <w:t>u bolo z dôvodu vzdelávania sa</w:t>
      </w:r>
      <w:r w:rsidRPr="004C5551">
        <w:rPr>
          <w:color w:val="000000" w:themeColor="text1"/>
          <w:szCs w:val="22"/>
        </w:rPr>
        <w:t>, pričom v priemere v EU</w:t>
      </w:r>
      <w:r>
        <w:rPr>
          <w:color w:val="000000" w:themeColor="text1"/>
          <w:szCs w:val="22"/>
        </w:rPr>
        <w:t>28 predstavuje tento podiel 88,8</w:t>
      </w:r>
      <w:r w:rsidRPr="004C5551">
        <w:rPr>
          <w:color w:val="000000" w:themeColor="text1"/>
          <w:szCs w:val="22"/>
        </w:rPr>
        <w:t> %. Po zohľadnení počtu mladých ľudí vo vzdelávacom procese, podiel</w:t>
      </w:r>
      <w:r w:rsidRPr="004C5551">
        <w:rPr>
          <w:i/>
          <w:color w:val="000000" w:themeColor="text1"/>
          <w:szCs w:val="22"/>
        </w:rPr>
        <w:t xml:space="preserve"> </w:t>
      </w:r>
      <w:r w:rsidRPr="004C5551">
        <w:rPr>
          <w:b/>
          <w:color w:val="000000" w:themeColor="text1"/>
          <w:szCs w:val="22"/>
        </w:rPr>
        <w:t xml:space="preserve">mladých ľudí </w:t>
      </w:r>
      <w:r>
        <w:rPr>
          <w:b/>
          <w:color w:val="000000" w:themeColor="text1"/>
          <w:szCs w:val="22"/>
        </w:rPr>
        <w:br/>
      </w:r>
      <w:r w:rsidRPr="004C5551">
        <w:rPr>
          <w:b/>
          <w:color w:val="000000" w:themeColor="text1"/>
          <w:szCs w:val="22"/>
        </w:rPr>
        <w:t>pod 25 rokov, ktorí nie sú zamestnaní ani zapojení do procesu vzdelávania alebo odbornej prípravy</w:t>
      </w:r>
      <w:r w:rsidRPr="004C5551">
        <w:rPr>
          <w:color w:val="000000" w:themeColor="text1"/>
          <w:szCs w:val="22"/>
        </w:rPr>
        <w:t xml:space="preserve"> (tzv. </w:t>
      </w:r>
      <w:r w:rsidRPr="004C5551">
        <w:rPr>
          <w:b/>
          <w:color w:val="000000" w:themeColor="text1"/>
          <w:szCs w:val="22"/>
        </w:rPr>
        <w:t>NEET</w:t>
      </w:r>
      <w:r w:rsidRPr="004C5551">
        <w:rPr>
          <w:color w:val="000000" w:themeColor="text1"/>
          <w:szCs w:val="22"/>
        </w:rPr>
        <w:t>)</w:t>
      </w:r>
      <w:r w:rsidRPr="004C5551">
        <w:rPr>
          <w:i/>
          <w:color w:val="000000" w:themeColor="text1"/>
          <w:szCs w:val="22"/>
        </w:rPr>
        <w:t xml:space="preserve"> </w:t>
      </w:r>
      <w:r w:rsidRPr="004C5551">
        <w:rPr>
          <w:color w:val="000000" w:themeColor="text1"/>
          <w:szCs w:val="22"/>
        </w:rPr>
        <w:t>v roku 201</w:t>
      </w:r>
      <w:r>
        <w:rPr>
          <w:color w:val="000000" w:themeColor="text1"/>
          <w:szCs w:val="22"/>
        </w:rPr>
        <w:t>5 predstavoval na Slovensku 13,7</w:t>
      </w:r>
      <w:r w:rsidRPr="004C5551">
        <w:rPr>
          <w:color w:val="000000" w:themeColor="text1"/>
          <w:szCs w:val="22"/>
        </w:rPr>
        <w:t> %, čo je menej výrazný roz</w:t>
      </w:r>
      <w:r>
        <w:rPr>
          <w:color w:val="000000" w:themeColor="text1"/>
          <w:szCs w:val="22"/>
        </w:rPr>
        <w:t>diel, oproti priemeru EU28 (12,0</w:t>
      </w:r>
      <w:r w:rsidRPr="004C5551">
        <w:rPr>
          <w:color w:val="000000" w:themeColor="text1"/>
          <w:szCs w:val="22"/>
        </w:rPr>
        <w:t xml:space="preserve"> %). </w:t>
      </w:r>
      <w:r w:rsidRPr="004C5551">
        <w:rPr>
          <w:bCs/>
          <w:color w:val="000000" w:themeColor="text1"/>
          <w:szCs w:val="22"/>
        </w:rPr>
        <w:t xml:space="preserve">Na základe </w:t>
      </w:r>
      <w:r w:rsidRPr="004C5551">
        <w:rPr>
          <w:color w:val="000000" w:themeColor="text1"/>
          <w:szCs w:val="22"/>
        </w:rPr>
        <w:t>odporúčaní Európskej rady ohľadom nezamestnanosti mladých ľudí SR vytvára schémy garancií, ktorých cieľom je zaistiť pre mladých pod 25 rokov, ktorí</w:t>
      </w:r>
      <w:r w:rsidRPr="004C5551">
        <w:rPr>
          <w:color w:val="000000" w:themeColor="text1"/>
        </w:rPr>
        <w:t xml:space="preserve"> stratili prácu alebo si nemôžu nájsť prácu po ukončení vzdelávania, rýchlu ponuku kvalitného miesta, absolventskej praxe alebo odbornej prípravy, a to do 4 mesiacov.</w:t>
      </w:r>
    </w:p>
    <w:p w:rsidR="009134B1" w:rsidRPr="004C5551" w:rsidRDefault="009134B1" w:rsidP="009134B1">
      <w:pPr>
        <w:pStyle w:val="Normlnysozarkami1"/>
        <w:ind w:firstLine="567"/>
        <w:rPr>
          <w:color w:val="000000" w:themeColor="text1"/>
        </w:rPr>
      </w:pPr>
      <w:r w:rsidRPr="004C5551">
        <w:rPr>
          <w:color w:val="000000" w:themeColor="text1"/>
        </w:rPr>
        <w:t>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 Podľa EK čoraz viac pracovných miest si vyžaduje elektronické zručnosti, pritom hospodárstvo EÚ trpí nedostatkom vysokokvalifikovaných pracovníkov v informačných a komunika</w:t>
      </w:r>
      <w:r>
        <w:rPr>
          <w:color w:val="000000" w:themeColor="text1"/>
        </w:rPr>
        <w:t>čných technológiách. V roku 2015</w:t>
      </w:r>
      <w:r w:rsidRPr="004C5551">
        <w:rPr>
          <w:color w:val="000000" w:themeColor="text1"/>
        </w:rPr>
        <w:t xml:space="preserve"> sa </w:t>
      </w:r>
      <w:r w:rsidRPr="004C5551">
        <w:rPr>
          <w:b/>
          <w:color w:val="000000" w:themeColor="text1"/>
        </w:rPr>
        <w:t>miera vysoko</w:t>
      </w:r>
      <w:r w:rsidRPr="004C5551">
        <w:rPr>
          <w:b/>
          <w:color w:val="000000" w:themeColor="text1"/>
        </w:rPr>
        <w:softHyphen/>
        <w:t>školsky vzdelanej populácie</w:t>
      </w:r>
      <w:r w:rsidRPr="004C5551">
        <w:rPr>
          <w:color w:val="000000" w:themeColor="text1"/>
        </w:rPr>
        <w:t xml:space="preserve"> vo veku 30 – 34 rokov na Slovensku medziročne </w:t>
      </w:r>
      <w:r>
        <w:rPr>
          <w:color w:val="000000" w:themeColor="text1"/>
        </w:rPr>
        <w:t>zvýšila o 1,5 p. b. na 28,4 %, a to viac u žien (o 2,9 p. b. na 34,4 %) ako u mužov (o 0,3 p. b. na 22,8</w:t>
      </w:r>
      <w:r w:rsidRPr="004C5551">
        <w:rPr>
          <w:color w:val="000000" w:themeColor="text1"/>
        </w:rPr>
        <w:t> %), pričom cieľom je dosiahnuť 40 % do roku 2020. V priem</w:t>
      </w:r>
      <w:r>
        <w:rPr>
          <w:color w:val="000000" w:themeColor="text1"/>
        </w:rPr>
        <w:t>ere v EU28 v roku 2014 bolo 38,7</w:t>
      </w:r>
      <w:r w:rsidRPr="004C5551">
        <w:rPr>
          <w:color w:val="000000" w:themeColor="text1"/>
        </w:rPr>
        <w:t xml:space="preserve"> % vysokoškolsky vzdelaných ľudí </w:t>
      </w:r>
      <w:r>
        <w:rPr>
          <w:color w:val="000000" w:themeColor="text1"/>
        </w:rPr>
        <w:br/>
      </w:r>
      <w:r w:rsidRPr="004C5551">
        <w:rPr>
          <w:color w:val="000000" w:themeColor="text1"/>
        </w:rPr>
        <w:t xml:space="preserve">vo veku 30 – 34 rokov. </w:t>
      </w:r>
    </w:p>
    <w:p w:rsidR="009134B1" w:rsidRPr="00CC0ACF" w:rsidRDefault="009134B1" w:rsidP="009134B1">
      <w:pPr>
        <w:ind w:firstLine="567"/>
        <w:rPr>
          <w:color w:val="000000" w:themeColor="text1"/>
          <w:lang w:eastAsia="cs-CZ"/>
        </w:rPr>
      </w:pPr>
      <w:r w:rsidRPr="004C5551">
        <w:rPr>
          <w:color w:val="000000" w:themeColor="text1"/>
          <w:lang w:eastAsia="cs-CZ"/>
        </w:rPr>
        <w:t>Využitiu potenciálu mladých ľudí a ich úspešnému prechodu na trh práce bráni opustenie školskej dochádzky s nižším ako stredoškolským vzdelaním. V EU28 odchádza zo škôl predčasne a ďalej sa nevzdeláva vysoký podiel mladých ľudí. Napriek dlhodobém</w:t>
      </w:r>
      <w:r>
        <w:rPr>
          <w:color w:val="000000" w:themeColor="text1"/>
          <w:lang w:eastAsia="cs-CZ"/>
        </w:rPr>
        <w:t>u poklesu, v roku 2015 bolo v EU28 11</w:t>
      </w:r>
      <w:r w:rsidRPr="004C5551">
        <w:rPr>
          <w:color w:val="000000" w:themeColor="text1"/>
          <w:lang w:eastAsia="cs-CZ"/>
        </w:rPr>
        <w:t> % ľudí vo veku 18 – 24 rokov, ktorí predčasne ukončili vzdelávanie. Nedostatok kvalifikácie je hlavnou bariérou pre inklúziu, nakoľko od vzdelania závisí úspešnosť začlenenia sa na</w:t>
      </w:r>
      <w:r>
        <w:rPr>
          <w:color w:val="000000" w:themeColor="text1"/>
          <w:lang w:eastAsia="cs-CZ"/>
        </w:rPr>
        <w:t> </w:t>
      </w:r>
      <w:r w:rsidRPr="004C5551">
        <w:rPr>
          <w:color w:val="000000" w:themeColor="text1"/>
          <w:lang w:eastAsia="cs-CZ"/>
        </w:rPr>
        <w:t>trh práce, kvalita práce, odmeňovanie ale aj úspešnosť ďalšej prípravy pre trh práce počas celého života. Pre dosiahnutie inteligentného a </w:t>
      </w:r>
      <w:proofErr w:type="spellStart"/>
      <w:r w:rsidRPr="004C5551">
        <w:rPr>
          <w:color w:val="000000" w:themeColor="text1"/>
          <w:lang w:eastAsia="cs-CZ"/>
        </w:rPr>
        <w:t>inkluzívneho</w:t>
      </w:r>
      <w:proofErr w:type="spellEnd"/>
      <w:r w:rsidRPr="004C5551">
        <w:rPr>
          <w:color w:val="000000" w:themeColor="text1"/>
          <w:lang w:eastAsia="cs-CZ"/>
        </w:rPr>
        <w:t xml:space="preserve"> rastu bol stanovený cieľ</w:t>
      </w:r>
      <w:r w:rsidRPr="004C5551">
        <w:rPr>
          <w:color w:val="000000" w:themeColor="text1"/>
        </w:rPr>
        <w:t xml:space="preserve"> </w:t>
      </w:r>
      <w:r w:rsidRPr="004C5551">
        <w:rPr>
          <w:color w:val="000000" w:themeColor="text1"/>
          <w:lang w:eastAsia="cs-CZ"/>
        </w:rPr>
        <w:t xml:space="preserve">udržať mladých ľudí vo vzdelávacom procese a znížiť </w:t>
      </w:r>
      <w:r w:rsidRPr="004C5551">
        <w:rPr>
          <w:b/>
          <w:color w:val="000000" w:themeColor="text1"/>
          <w:lang w:eastAsia="cs-CZ"/>
        </w:rPr>
        <w:t>podiel predčasne ukončujúcich vzdelávanie</w:t>
      </w:r>
      <w:r w:rsidRPr="004C5551">
        <w:rPr>
          <w:color w:val="000000" w:themeColor="text1"/>
          <w:lang w:eastAsia="cs-CZ"/>
        </w:rPr>
        <w:t xml:space="preserve"> aspoň na úroveň 10 %. Slovenská republika dlhodobo patrí ku krajinám v rámci EÚ s relatívne nízkym podielom osôb, ktoré predčasne ukončuj</w:t>
      </w:r>
      <w:r>
        <w:rPr>
          <w:color w:val="000000" w:themeColor="text1"/>
          <w:lang w:eastAsia="cs-CZ"/>
        </w:rPr>
        <w:t>ú školskú dochádzku. V roku 2015</w:t>
      </w:r>
      <w:r w:rsidRPr="004C5551">
        <w:rPr>
          <w:color w:val="000000" w:themeColor="text1"/>
          <w:lang w:eastAsia="cs-CZ"/>
        </w:rPr>
        <w:t xml:space="preserve"> sa tent</w:t>
      </w:r>
      <w:r>
        <w:rPr>
          <w:color w:val="000000" w:themeColor="text1"/>
          <w:lang w:eastAsia="cs-CZ"/>
        </w:rPr>
        <w:t>o podiel medziročne zvýšil o 0,2 p. b. na úroveň 6,9</w:t>
      </w:r>
      <w:r w:rsidRPr="004C5551">
        <w:rPr>
          <w:color w:val="000000" w:themeColor="text1"/>
          <w:lang w:eastAsia="cs-CZ"/>
        </w:rPr>
        <w:t> %, pričom cieľom</w:t>
      </w:r>
      <w:r>
        <w:rPr>
          <w:color w:val="000000" w:themeColor="text1"/>
          <w:lang w:eastAsia="cs-CZ"/>
        </w:rPr>
        <w:t xml:space="preserve"> SR</w:t>
      </w:r>
      <w:r w:rsidRPr="004C5551">
        <w:rPr>
          <w:color w:val="000000" w:themeColor="text1"/>
          <w:lang w:eastAsia="cs-CZ"/>
        </w:rPr>
        <w:t xml:space="preserve"> je </w:t>
      </w:r>
      <w:r w:rsidR="0089319D">
        <w:rPr>
          <w:color w:val="000000" w:themeColor="text1"/>
          <w:lang w:eastAsia="cs-CZ"/>
        </w:rPr>
        <w:t>znížiť</w:t>
      </w:r>
      <w:r w:rsidRPr="004C5551">
        <w:rPr>
          <w:color w:val="000000" w:themeColor="text1"/>
          <w:lang w:eastAsia="cs-CZ"/>
        </w:rPr>
        <w:t xml:space="preserve"> tento podiel pod 6 % do roku 2020. Osôb, ktoré predčasne zanechali školskú dochádzku bolo </w:t>
      </w:r>
      <w:r>
        <w:rPr>
          <w:color w:val="000000" w:themeColor="text1"/>
          <w:lang w:eastAsia="cs-CZ"/>
        </w:rPr>
        <w:t xml:space="preserve">o niečo </w:t>
      </w:r>
      <w:r w:rsidRPr="004C5551">
        <w:rPr>
          <w:color w:val="000000" w:themeColor="text1"/>
          <w:lang w:eastAsia="cs-CZ"/>
        </w:rPr>
        <w:t>viac med</w:t>
      </w:r>
      <w:r>
        <w:rPr>
          <w:color w:val="000000" w:themeColor="text1"/>
          <w:lang w:eastAsia="cs-CZ"/>
        </w:rPr>
        <w:t xml:space="preserve">zi mužmi (6,9 %) ako </w:t>
      </w:r>
      <w:r w:rsidR="000A15D1">
        <w:rPr>
          <w:color w:val="000000" w:themeColor="text1"/>
          <w:lang w:eastAsia="cs-CZ"/>
        </w:rPr>
        <w:t xml:space="preserve">medzi </w:t>
      </w:r>
      <w:r>
        <w:rPr>
          <w:color w:val="000000" w:themeColor="text1"/>
          <w:lang w:eastAsia="cs-CZ"/>
        </w:rPr>
        <w:t>ženami (6,8</w:t>
      </w:r>
      <w:r w:rsidRPr="004C5551">
        <w:rPr>
          <w:color w:val="000000" w:themeColor="text1"/>
          <w:lang w:eastAsia="cs-CZ"/>
        </w:rPr>
        <w:t xml:space="preserve"> %). Významnú pozornosť si </w:t>
      </w:r>
      <w:r w:rsidRPr="00CC0ACF">
        <w:rPr>
          <w:color w:val="000000" w:themeColor="text1"/>
          <w:lang w:eastAsia="cs-CZ"/>
        </w:rPr>
        <w:t>vyžaduje aj predčasné ukončovanie školskej dochádzky v</w:t>
      </w:r>
      <w:r w:rsidR="000A15D1">
        <w:rPr>
          <w:color w:val="000000" w:themeColor="text1"/>
          <w:lang w:eastAsia="cs-CZ"/>
        </w:rPr>
        <w:t> </w:t>
      </w:r>
      <w:proofErr w:type="spellStart"/>
      <w:r w:rsidRPr="00CC0ACF">
        <w:rPr>
          <w:color w:val="000000" w:themeColor="text1"/>
          <w:lang w:eastAsia="cs-CZ"/>
        </w:rPr>
        <w:t>marginalizovaných</w:t>
      </w:r>
      <w:proofErr w:type="spellEnd"/>
      <w:r w:rsidRPr="00CC0ACF">
        <w:rPr>
          <w:color w:val="000000" w:themeColor="text1"/>
          <w:lang w:eastAsia="cs-CZ"/>
        </w:rPr>
        <w:t xml:space="preserve"> rómskych komunitách. Európska rada v tomto kontexte odporúča Slovenskej republike posilňovať účasť rómskych detí od ranného detstva v hlavnom prúde vzdelávania. </w:t>
      </w:r>
    </w:p>
    <w:p w:rsidR="000A15D1" w:rsidRPr="004C5551" w:rsidRDefault="000A15D1" w:rsidP="000A15D1">
      <w:pPr>
        <w:ind w:firstLine="567"/>
        <w:rPr>
          <w:color w:val="000000" w:themeColor="text1"/>
          <w:lang w:eastAsia="cs-CZ"/>
        </w:rPr>
      </w:pPr>
      <w:proofErr w:type="spellStart"/>
      <w:r w:rsidRPr="00CC0ACF">
        <w:rPr>
          <w:color w:val="000000" w:themeColor="text1"/>
          <w:lang w:eastAsia="cs-CZ"/>
        </w:rPr>
        <w:t>Nízkokvalifikovaní</w:t>
      </w:r>
      <w:proofErr w:type="spellEnd"/>
      <w:r w:rsidRPr="00CC0ACF">
        <w:rPr>
          <w:color w:val="000000" w:themeColor="text1"/>
          <w:lang w:eastAsia="cs-CZ"/>
        </w:rPr>
        <w:t xml:space="preserve"> pracovníci majú na Slovensku obzvlášť ťažkú pozíciu na trhu práce, keď</w:t>
      </w:r>
      <w:r w:rsidRPr="004C5551">
        <w:rPr>
          <w:color w:val="000000" w:themeColor="text1"/>
          <w:lang w:eastAsia="cs-CZ"/>
        </w:rPr>
        <w:t xml:space="preserve"> miera ich nezamestnanosti je dlhodobo najvyššia a miera zamestnanosti dlhodobo najnižšia v</w:t>
      </w:r>
      <w:r w:rsidR="0089319D">
        <w:rPr>
          <w:color w:val="000000" w:themeColor="text1"/>
          <w:lang w:eastAsia="cs-CZ"/>
        </w:rPr>
        <w:t> EU28</w:t>
      </w:r>
      <w:r w:rsidRPr="004C5551">
        <w:rPr>
          <w:color w:val="000000" w:themeColor="text1"/>
          <w:lang w:eastAsia="cs-CZ"/>
        </w:rPr>
        <w:t xml:space="preserve">. </w:t>
      </w:r>
      <w:r w:rsidRPr="004C5551">
        <w:rPr>
          <w:b/>
          <w:color w:val="000000" w:themeColor="text1"/>
          <w:lang w:eastAsia="cs-CZ"/>
        </w:rPr>
        <w:t>Miera nezamestnanosti ľudí</w:t>
      </w:r>
      <w:r w:rsidRPr="004C5551">
        <w:rPr>
          <w:color w:val="000000" w:themeColor="text1"/>
          <w:lang w:eastAsia="cs-CZ"/>
        </w:rPr>
        <w:t xml:space="preserve"> vo veku 25 – 64 rokov s dosiahnutým vzdelaním </w:t>
      </w:r>
      <w:r w:rsidRPr="004C5551">
        <w:rPr>
          <w:b/>
          <w:color w:val="000000" w:themeColor="text1"/>
          <w:lang w:eastAsia="cs-CZ"/>
        </w:rPr>
        <w:t xml:space="preserve">na úrovni ISCED 0 </w:t>
      </w:r>
      <w:r w:rsidRPr="004C5551">
        <w:rPr>
          <w:color w:val="000000" w:themeColor="text1"/>
        </w:rPr>
        <w:t xml:space="preserve">– </w:t>
      </w:r>
      <w:r w:rsidRPr="004C5551">
        <w:rPr>
          <w:b/>
          <w:color w:val="000000" w:themeColor="text1"/>
          <w:lang w:eastAsia="cs-CZ"/>
        </w:rPr>
        <w:t>2</w:t>
      </w:r>
      <w:r w:rsidRPr="004C5551">
        <w:rPr>
          <w:color w:val="000000" w:themeColor="text1"/>
          <w:lang w:eastAsia="cs-CZ"/>
        </w:rPr>
        <w:t xml:space="preserve"> (maximálne</w:t>
      </w:r>
      <w:r>
        <w:rPr>
          <w:color w:val="000000" w:themeColor="text1"/>
          <w:lang w:eastAsia="cs-CZ"/>
        </w:rPr>
        <w:t xml:space="preserve"> základné vzdelanie) v roku 2015</w:t>
      </w:r>
      <w:r w:rsidRPr="004C5551">
        <w:rPr>
          <w:color w:val="000000" w:themeColor="text1"/>
          <w:lang w:eastAsia="cs-CZ"/>
        </w:rPr>
        <w:t xml:space="preserve"> na S</w:t>
      </w:r>
      <w:r>
        <w:rPr>
          <w:color w:val="000000" w:themeColor="text1"/>
          <w:lang w:eastAsia="cs-CZ"/>
        </w:rPr>
        <w:t>lovensku medziročne klesla o 4,9 p. b. na 34,4</w:t>
      </w:r>
      <w:r w:rsidRPr="004C5551">
        <w:rPr>
          <w:color w:val="000000" w:themeColor="text1"/>
          <w:lang w:eastAsia="cs-CZ"/>
        </w:rPr>
        <w:t xml:space="preserve"> %, stále </w:t>
      </w:r>
      <w:r>
        <w:rPr>
          <w:color w:val="000000" w:themeColor="text1"/>
          <w:lang w:eastAsia="cs-CZ"/>
        </w:rPr>
        <w:t xml:space="preserve">však </w:t>
      </w:r>
      <w:r w:rsidRPr="004C5551">
        <w:rPr>
          <w:color w:val="000000" w:themeColor="text1"/>
          <w:lang w:eastAsia="cs-CZ"/>
        </w:rPr>
        <w:t>bola vyše dvojnásobná oproti p</w:t>
      </w:r>
      <w:r>
        <w:rPr>
          <w:color w:val="000000" w:themeColor="text1"/>
          <w:lang w:eastAsia="cs-CZ"/>
        </w:rPr>
        <w:t>riemeru EU28 (16,3</w:t>
      </w:r>
      <w:r w:rsidRPr="004C5551">
        <w:rPr>
          <w:color w:val="000000" w:themeColor="text1"/>
          <w:lang w:eastAsia="cs-CZ"/>
        </w:rPr>
        <w:t> %). Najnižšia miera nezamestnanosti ľudí s nízkou kvalifikáciou je v</w:t>
      </w:r>
      <w:r>
        <w:rPr>
          <w:color w:val="000000" w:themeColor="text1"/>
          <w:lang w:eastAsia="cs-CZ"/>
        </w:rPr>
        <w:t>o Veľkej Británii (7,3 %), na Malte (7,3 %) a v Rumunsku (7,7 %)</w:t>
      </w:r>
      <w:r w:rsidRPr="004C5551">
        <w:rPr>
          <w:color w:val="000000" w:themeColor="text1"/>
          <w:lang w:eastAsia="cs-CZ"/>
        </w:rPr>
        <w:t xml:space="preserve">. </w:t>
      </w:r>
      <w:r w:rsidRPr="004C5551">
        <w:rPr>
          <w:b/>
          <w:color w:val="000000" w:themeColor="text1"/>
          <w:lang w:eastAsia="cs-CZ"/>
        </w:rPr>
        <w:t xml:space="preserve">Miera zamestnanosti </w:t>
      </w:r>
      <w:proofErr w:type="spellStart"/>
      <w:r w:rsidRPr="004C5551">
        <w:rPr>
          <w:b/>
          <w:color w:val="000000" w:themeColor="text1"/>
          <w:lang w:eastAsia="cs-CZ"/>
        </w:rPr>
        <w:t>nízkokvalifikovaných</w:t>
      </w:r>
      <w:proofErr w:type="spellEnd"/>
      <w:r w:rsidRPr="004C5551">
        <w:rPr>
          <w:b/>
          <w:color w:val="000000" w:themeColor="text1"/>
          <w:lang w:eastAsia="cs-CZ"/>
        </w:rPr>
        <w:t xml:space="preserve"> ľudí</w:t>
      </w:r>
      <w:r w:rsidRPr="004C5551">
        <w:rPr>
          <w:color w:val="000000" w:themeColor="text1"/>
          <w:lang w:eastAsia="cs-CZ"/>
        </w:rPr>
        <w:t xml:space="preserve"> (ISCED 0 </w:t>
      </w:r>
      <w:r w:rsidRPr="004C5551">
        <w:rPr>
          <w:color w:val="000000" w:themeColor="text1"/>
        </w:rPr>
        <w:t xml:space="preserve">– </w:t>
      </w:r>
      <w:r w:rsidRPr="004C5551">
        <w:rPr>
          <w:color w:val="000000" w:themeColor="text1"/>
          <w:lang w:eastAsia="cs-CZ"/>
        </w:rPr>
        <w:t>2) vo vek</w:t>
      </w:r>
      <w:r>
        <w:rPr>
          <w:color w:val="000000" w:themeColor="text1"/>
          <w:lang w:eastAsia="cs-CZ"/>
        </w:rPr>
        <w:t>u 25 – 64 rokov v SR dosiahla 34,4</w:t>
      </w:r>
      <w:r w:rsidRPr="004C5551">
        <w:rPr>
          <w:color w:val="000000" w:themeColor="text1"/>
          <w:lang w:eastAsia="cs-CZ"/>
        </w:rPr>
        <w:t> %</w:t>
      </w:r>
      <w:r>
        <w:rPr>
          <w:color w:val="000000" w:themeColor="text1"/>
          <w:lang w:eastAsia="cs-CZ"/>
        </w:rPr>
        <w:t>, a hoci medziročne stúpla o 1,7</w:t>
      </w:r>
      <w:r w:rsidRPr="004C5551">
        <w:rPr>
          <w:color w:val="000000" w:themeColor="text1"/>
          <w:lang w:eastAsia="cs-CZ"/>
        </w:rPr>
        <w:t xml:space="preserve"> p. b., je najnižšou v Európe</w:t>
      </w:r>
      <w:r>
        <w:rPr>
          <w:color w:val="000000" w:themeColor="text1"/>
          <w:lang w:eastAsia="cs-CZ"/>
        </w:rPr>
        <w:t xml:space="preserve"> a hlboko pod priemerom EU28 (53,2</w:t>
      </w:r>
      <w:r w:rsidRPr="004C5551">
        <w:rPr>
          <w:color w:val="000000" w:themeColor="text1"/>
          <w:lang w:eastAsia="cs-CZ"/>
        </w:rPr>
        <w:t xml:space="preserve"> %). Oproti SR približne dvojnásobná miera zamestnanosti </w:t>
      </w:r>
      <w:proofErr w:type="spellStart"/>
      <w:r w:rsidRPr="004C5551">
        <w:rPr>
          <w:color w:val="000000" w:themeColor="text1"/>
          <w:lang w:eastAsia="cs-CZ"/>
        </w:rPr>
        <w:t>nízkokvalifikovaných</w:t>
      </w:r>
      <w:proofErr w:type="spellEnd"/>
      <w:r w:rsidRPr="004C5551">
        <w:rPr>
          <w:color w:val="000000" w:themeColor="text1"/>
          <w:lang w:eastAsia="cs-CZ"/>
        </w:rPr>
        <w:t xml:space="preserve"> ľudí je v</w:t>
      </w:r>
      <w:r w:rsidR="00E77D8B">
        <w:rPr>
          <w:color w:val="000000" w:themeColor="text1"/>
          <w:lang w:eastAsia="cs-CZ"/>
        </w:rPr>
        <w:t> </w:t>
      </w:r>
      <w:r w:rsidRPr="004C5551">
        <w:rPr>
          <w:color w:val="000000" w:themeColor="text1"/>
          <w:lang w:eastAsia="cs-CZ"/>
        </w:rPr>
        <w:t xml:space="preserve">Portugalsku </w:t>
      </w:r>
      <w:r>
        <w:rPr>
          <w:color w:val="000000" w:themeColor="text1"/>
          <w:lang w:eastAsia="cs-CZ"/>
        </w:rPr>
        <w:t>(64,3</w:t>
      </w:r>
      <w:r w:rsidRPr="004C5551">
        <w:rPr>
          <w:color w:val="000000" w:themeColor="text1"/>
          <w:lang w:eastAsia="cs-CZ"/>
        </w:rPr>
        <w:t> %)</w:t>
      </w:r>
      <w:r>
        <w:rPr>
          <w:color w:val="000000" w:themeColor="text1"/>
          <w:lang w:eastAsia="cs-CZ"/>
        </w:rPr>
        <w:t xml:space="preserve"> a vo Švédsku (63,3 %)</w:t>
      </w:r>
      <w:r w:rsidRPr="004C5551">
        <w:rPr>
          <w:color w:val="000000" w:themeColor="text1"/>
          <w:lang w:eastAsia="cs-CZ"/>
        </w:rPr>
        <w:t xml:space="preserve">. </w:t>
      </w:r>
    </w:p>
    <w:p w:rsidR="000A15D1" w:rsidRDefault="000A15D1" w:rsidP="000A15D1">
      <w:pPr>
        <w:ind w:firstLine="567"/>
      </w:pPr>
      <w:r w:rsidRPr="004C5551">
        <w:rPr>
          <w:color w:val="000000" w:themeColor="text1"/>
          <w:lang w:eastAsia="cs-CZ"/>
        </w:rPr>
        <w:t xml:space="preserve">Pozitívny vývoj na trhu práce </w:t>
      </w:r>
      <w:r>
        <w:rPr>
          <w:color w:val="000000" w:themeColor="text1"/>
          <w:lang w:eastAsia="cs-CZ"/>
        </w:rPr>
        <w:t>na Slovensku v roku 2015</w:t>
      </w:r>
      <w:r w:rsidRPr="004C5551">
        <w:rPr>
          <w:color w:val="000000" w:themeColor="text1"/>
          <w:lang w:eastAsia="cs-CZ"/>
        </w:rPr>
        <w:t xml:space="preserve"> </w:t>
      </w:r>
      <w:r>
        <w:rPr>
          <w:color w:val="000000" w:themeColor="text1"/>
          <w:lang w:eastAsia="cs-CZ"/>
        </w:rPr>
        <w:t xml:space="preserve">sa </w:t>
      </w:r>
      <w:r w:rsidRPr="004C5551">
        <w:rPr>
          <w:color w:val="000000" w:themeColor="text1"/>
          <w:lang w:eastAsia="cs-CZ"/>
        </w:rPr>
        <w:t xml:space="preserve">týkal aj dlhodobo nezamestnaných. </w:t>
      </w:r>
      <w:r w:rsidRPr="00655770">
        <w:rPr>
          <w:b/>
          <w:color w:val="000000" w:themeColor="text1"/>
          <w:lang w:eastAsia="cs-CZ"/>
        </w:rPr>
        <w:t>Miera dlhodobej nezamestnanost</w:t>
      </w:r>
      <w:r w:rsidRPr="004C5551">
        <w:rPr>
          <w:color w:val="000000" w:themeColor="text1"/>
          <w:lang w:eastAsia="cs-CZ"/>
        </w:rPr>
        <w:t>i na Slo</w:t>
      </w:r>
      <w:r>
        <w:rPr>
          <w:color w:val="000000" w:themeColor="text1"/>
          <w:lang w:eastAsia="cs-CZ"/>
        </w:rPr>
        <w:t>vensku sa medziročne znížila o 1,7 p. b. a dosiahla 7,6 % (6,9 % u mužov a 8,3</w:t>
      </w:r>
      <w:r w:rsidRPr="004C5551">
        <w:rPr>
          <w:color w:val="000000" w:themeColor="text1"/>
          <w:lang w:eastAsia="cs-CZ"/>
        </w:rPr>
        <w:t xml:space="preserve"> % u žien). Podiel dlhodobo nezamestnaných na ekonomicky aktívnej populácii sa mierne znížil </w:t>
      </w:r>
      <w:r>
        <w:rPr>
          <w:color w:val="000000" w:themeColor="text1"/>
          <w:lang w:eastAsia="cs-CZ"/>
        </w:rPr>
        <w:t xml:space="preserve">aj v priemere v EU28, a to o 0,5 p. b. na </w:t>
      </w:r>
      <w:r w:rsidRPr="00655770">
        <w:rPr>
          <w:color w:val="000000" w:themeColor="text1"/>
          <w:lang w:eastAsia="cs-CZ"/>
        </w:rPr>
        <w:t>4,5 %. Miera dlhodobej nezamestnanosti na</w:t>
      </w:r>
      <w:r>
        <w:rPr>
          <w:color w:val="000000" w:themeColor="text1"/>
          <w:lang w:eastAsia="cs-CZ"/>
        </w:rPr>
        <w:t> </w:t>
      </w:r>
      <w:r w:rsidRPr="00655770">
        <w:rPr>
          <w:color w:val="000000" w:themeColor="text1"/>
          <w:lang w:eastAsia="cs-CZ"/>
        </w:rPr>
        <w:t>Slovensku je jedna z najvyšších v rámci EU28, vyššia je iba v Grécku (18,2</w:t>
      </w:r>
      <w:r>
        <w:rPr>
          <w:color w:val="000000" w:themeColor="text1"/>
          <w:lang w:eastAsia="cs-CZ"/>
        </w:rPr>
        <w:t> %</w:t>
      </w:r>
      <w:r w:rsidRPr="00655770">
        <w:rPr>
          <w:color w:val="000000" w:themeColor="text1"/>
          <w:lang w:eastAsia="cs-CZ"/>
        </w:rPr>
        <w:t xml:space="preserve"> v roku 2015),  v Španielsku (11,4</w:t>
      </w:r>
      <w:r>
        <w:rPr>
          <w:color w:val="000000" w:themeColor="text1"/>
          <w:lang w:eastAsia="cs-CZ"/>
        </w:rPr>
        <w:t> %</w:t>
      </w:r>
      <w:r w:rsidRPr="00655770">
        <w:rPr>
          <w:color w:val="000000" w:themeColor="text1"/>
          <w:lang w:eastAsia="cs-CZ"/>
        </w:rPr>
        <w:t xml:space="preserve"> v roku 2015) a v Chorvátsku (10,3 % v roku 2015).</w:t>
      </w:r>
      <w:r>
        <w:rPr>
          <w:b/>
          <w:i/>
          <w:color w:val="000000" w:themeColor="text1"/>
          <w:lang w:eastAsia="cs-CZ"/>
        </w:rPr>
        <w:t xml:space="preserve"> </w:t>
      </w:r>
      <w:r w:rsidRPr="004C5551">
        <w:rPr>
          <w:color w:val="000000" w:themeColor="text1"/>
          <w:lang w:eastAsia="cs-CZ"/>
        </w:rPr>
        <w:t>Najnižšia miera dlhodobej n</w:t>
      </w:r>
      <w:r>
        <w:rPr>
          <w:color w:val="000000" w:themeColor="text1"/>
          <w:lang w:eastAsia="cs-CZ"/>
        </w:rPr>
        <w:t xml:space="preserve">ezamestnanosti bola v roku 2015 </w:t>
      </w:r>
      <w:r w:rsidRPr="004C5551">
        <w:rPr>
          <w:color w:val="000000" w:themeColor="text1"/>
          <w:lang w:eastAsia="cs-CZ"/>
        </w:rPr>
        <w:t>v</w:t>
      </w:r>
      <w:r>
        <w:rPr>
          <w:color w:val="000000" w:themeColor="text1"/>
          <w:lang w:eastAsia="cs-CZ"/>
        </w:rPr>
        <w:t>o</w:t>
      </w:r>
      <w:r w:rsidRPr="004C5551">
        <w:rPr>
          <w:color w:val="000000" w:themeColor="text1"/>
          <w:lang w:eastAsia="cs-CZ"/>
        </w:rPr>
        <w:t xml:space="preserve"> Švédsku (1,5 %)</w:t>
      </w:r>
      <w:r>
        <w:rPr>
          <w:color w:val="000000" w:themeColor="text1"/>
          <w:lang w:eastAsia="cs-CZ"/>
        </w:rPr>
        <w:t xml:space="preserve"> a hodnoty pod 2 % mali</w:t>
      </w:r>
      <w:r w:rsidRPr="004C5551">
        <w:rPr>
          <w:color w:val="000000" w:themeColor="text1"/>
          <w:lang w:eastAsia="cs-CZ"/>
        </w:rPr>
        <w:t xml:space="preserve"> miery dlhodobej nezamestnanosti </w:t>
      </w:r>
      <w:r>
        <w:rPr>
          <w:color w:val="000000" w:themeColor="text1"/>
          <w:lang w:eastAsia="cs-CZ"/>
        </w:rPr>
        <w:t xml:space="preserve">vo Veľkej Británii (1,6 %), </w:t>
      </w:r>
      <w:r w:rsidRPr="004C5551">
        <w:rPr>
          <w:color w:val="000000" w:themeColor="text1"/>
          <w:lang w:eastAsia="cs-CZ"/>
        </w:rPr>
        <w:t>v</w:t>
      </w:r>
      <w:r>
        <w:rPr>
          <w:color w:val="000000" w:themeColor="text1"/>
          <w:lang w:eastAsia="cs-CZ"/>
        </w:rPr>
        <w:t xml:space="preserve"> Rakúsku (1,7 %), </w:t>
      </w:r>
      <w:r w:rsidRPr="004C5551">
        <w:rPr>
          <w:color w:val="000000" w:themeColor="text1"/>
          <w:lang w:eastAsia="cs-CZ"/>
        </w:rPr>
        <w:t>v Dánsku (1,7 %)</w:t>
      </w:r>
      <w:r>
        <w:rPr>
          <w:color w:val="000000" w:themeColor="text1"/>
          <w:lang w:eastAsia="cs-CZ"/>
        </w:rPr>
        <w:t xml:space="preserve"> a v</w:t>
      </w:r>
      <w:r w:rsidRPr="004C5551">
        <w:rPr>
          <w:color w:val="000000" w:themeColor="text1"/>
          <w:lang w:eastAsia="cs-CZ"/>
        </w:rPr>
        <w:t xml:space="preserve"> </w:t>
      </w:r>
      <w:r>
        <w:rPr>
          <w:color w:val="000000" w:themeColor="text1"/>
          <w:lang w:eastAsia="cs-CZ"/>
        </w:rPr>
        <w:t>Luxembursku (1,9</w:t>
      </w:r>
      <w:r w:rsidRPr="004C5551">
        <w:rPr>
          <w:color w:val="000000" w:themeColor="text1"/>
          <w:lang w:eastAsia="cs-CZ"/>
        </w:rPr>
        <w:t> </w:t>
      </w:r>
      <w:r w:rsidRPr="00B4548A">
        <w:rPr>
          <w:color w:val="000000" w:themeColor="text1"/>
          <w:lang w:eastAsia="cs-CZ"/>
        </w:rPr>
        <w:t xml:space="preserve">%). </w:t>
      </w:r>
      <w:r w:rsidRPr="00B4548A">
        <w:t xml:space="preserve">Dlhodobá nezamestnanosť pretrváva v Slovenskej ekonomike vo vysokom rozsahu dlhodobo, čo poukazuje na prítomnosť štrukturálnych nevyvážeností na trhu práce. </w:t>
      </w:r>
      <w:r w:rsidRPr="00F9137D">
        <w:t xml:space="preserve">Dlhodobá nezamestnanosť vyúsťuje do </w:t>
      </w:r>
      <w:proofErr w:type="spellStart"/>
      <w:r w:rsidRPr="00F9137D">
        <w:t>marginalizácie</w:t>
      </w:r>
      <w:proofErr w:type="spellEnd"/>
      <w:r w:rsidRPr="00F9137D">
        <w:t xml:space="preserve"> časti ekonomicky aktívneho obyvateľstva a súvisiacich vysokých spoločenských nákladov. Veľmi vysokú mieru dlhodobej nezamestnanosti vykazujú skupiny ľudí, ktoré dosiahli najvyššie základné vzdelanie. Európska rada preto odporúča Slovensku prijať dodatočné opatrenia na riešenie dlhodobej nezamestnanosti, konkrétne zlepšiť aktivačné opatrenia pre dlhodobo nezamestnané osoby a iné znevýhodnené skupiny vrátane individualizovaných služieb a cielenej odbornej prípravy.</w:t>
      </w:r>
    </w:p>
    <w:p w:rsidR="000A15D1" w:rsidRPr="00D3718E" w:rsidRDefault="000A15D1" w:rsidP="000A15D1">
      <w:pPr>
        <w:ind w:firstLine="567"/>
        <w:rPr>
          <w:b/>
          <w:color w:val="000000" w:themeColor="text1"/>
        </w:rPr>
      </w:pPr>
      <w:r w:rsidRPr="004C5551">
        <w:rPr>
          <w:color w:val="000000" w:themeColor="text1"/>
        </w:rPr>
        <w:t xml:space="preserve">Na zamestnanosť môže mať nežiaduce účinky vysoká miera daňového a odvodového zaťaženia pracovných príjmov. Tieto účinky sa môžu týkať hlavne istých skupín, najmä </w:t>
      </w:r>
      <w:proofErr w:type="spellStart"/>
      <w:r w:rsidRPr="004C5551">
        <w:rPr>
          <w:color w:val="000000" w:themeColor="text1"/>
        </w:rPr>
        <w:t>nízkokvalifikovaných</w:t>
      </w:r>
      <w:proofErr w:type="spellEnd"/>
      <w:r w:rsidRPr="004C5551">
        <w:rPr>
          <w:color w:val="000000" w:themeColor="text1"/>
        </w:rPr>
        <w:t xml:space="preserve"> pracovníkov alebo pracovníkov s nízkymi mzdami, nakoľko ponuka a dopyt po práci týchto skupín reagujú vo všeobecnosti citlivejšie na zmeny v tejto oblasti. </w:t>
      </w:r>
      <w:r>
        <w:rPr>
          <w:color w:val="000000" w:themeColor="text1"/>
        </w:rPr>
        <w:t xml:space="preserve">Daňovo-odvodový a sociálny systém na Slovensku </w:t>
      </w:r>
      <w:r w:rsidRPr="0043195D">
        <w:rPr>
          <w:color w:val="000000" w:themeColor="text1"/>
        </w:rPr>
        <w:t xml:space="preserve">vo všeobecnosti pôsobí motivačne </w:t>
      </w:r>
      <w:r>
        <w:rPr>
          <w:color w:val="000000" w:themeColor="text1"/>
        </w:rPr>
        <w:t>pre prijatie zamestnania a snahy</w:t>
      </w:r>
      <w:r w:rsidRPr="0043195D">
        <w:rPr>
          <w:color w:val="000000" w:themeColor="text1"/>
        </w:rPr>
        <w:t xml:space="preserve"> zvýšiť si pracovný príjem, čo možno konštatovať najmä na základe indikátorov pasca nezamestnanosti a pasca nízkej </w:t>
      </w:r>
      <w:r w:rsidRPr="00D3718E">
        <w:rPr>
          <w:color w:val="000000" w:themeColor="text1"/>
        </w:rPr>
        <w:t xml:space="preserve">mzdy. Miera daňovo-odvodového zaťaženia nízkych zárobkov na Slovensku (podľa ukazovateľa daňový klin v prípade jednotlivca so mzdou na úrovni 67 % priemernej mzdy) je však vyššia ako priemer EU28. V súlade s odporúčaniami Európskej rady Slovenská republika v roku 2015 zaviedla opatrenia na zníženie odvodového zaťaženia nízkych miezd prostredníctvom zavedenia odpočítateľnej položky na zdravotné poistenie a zároveň významne zvýšila minimálnu mzdu bez zvýšenia nákladov zamestnávateľov, čím podporila motivačné faktory </w:t>
      </w:r>
      <w:r>
        <w:rPr>
          <w:color w:val="000000" w:themeColor="text1"/>
        </w:rPr>
        <w:t>pre pracovníkov pracovať</w:t>
      </w:r>
      <w:r w:rsidRPr="00D3718E">
        <w:rPr>
          <w:color w:val="000000" w:themeColor="text1"/>
        </w:rPr>
        <w:t xml:space="preserve"> za minimálnu </w:t>
      </w:r>
      <w:r>
        <w:rPr>
          <w:color w:val="000000" w:themeColor="text1"/>
        </w:rPr>
        <w:t xml:space="preserve">resp. nízku </w:t>
      </w:r>
      <w:r w:rsidRPr="00D3718E">
        <w:rPr>
          <w:color w:val="000000" w:themeColor="text1"/>
        </w:rPr>
        <w:t xml:space="preserve">mzdu. </w:t>
      </w:r>
    </w:p>
    <w:p w:rsidR="000A15D1" w:rsidRPr="004C5551" w:rsidRDefault="000A15D1" w:rsidP="000A15D1">
      <w:pPr>
        <w:ind w:firstLine="567"/>
        <w:rPr>
          <w:color w:val="000000" w:themeColor="text1"/>
        </w:rPr>
      </w:pPr>
      <w:r w:rsidRPr="00D3718E">
        <w:rPr>
          <w:b/>
          <w:color w:val="000000" w:themeColor="text1"/>
        </w:rPr>
        <w:t>Daňový klin v prípade nízkych miezd</w:t>
      </w:r>
      <w:r w:rsidRPr="00D3718E">
        <w:rPr>
          <w:rStyle w:val="Odkaznapoznmkupodiarou"/>
          <w:color w:val="000000" w:themeColor="text1"/>
        </w:rPr>
        <w:footnoteReference w:id="75"/>
      </w:r>
      <w:r w:rsidRPr="00D3718E">
        <w:rPr>
          <w:color w:val="000000" w:themeColor="text1"/>
        </w:rPr>
        <w:t xml:space="preserve"> (podiel daní</w:t>
      </w:r>
      <w:r w:rsidRPr="004C5551">
        <w:rPr>
          <w:color w:val="000000" w:themeColor="text1"/>
        </w:rPr>
        <w:t xml:space="preserve"> a odvodov zaplatených zamestnancom a zamestnávateľom na celkovej cene</w:t>
      </w:r>
      <w:r>
        <w:rPr>
          <w:color w:val="000000" w:themeColor="text1"/>
        </w:rPr>
        <w:t xml:space="preserve"> práce) na Slovensku </w:t>
      </w:r>
      <w:r w:rsidR="00EF1D87">
        <w:rPr>
          <w:color w:val="000000"/>
        </w:rPr>
        <w:t xml:space="preserve">sa v roku 2014 pohyboval nad priemernou úrovňou EU28 (38,7 % v SR oproti 34,9 % v EU28). V roku 2015 sa daňový klin v prípade nízkych miezd na Slovensku podľa </w:t>
      </w:r>
      <w:proofErr w:type="spellStart"/>
      <w:r w:rsidR="00EF1D87">
        <w:rPr>
          <w:color w:val="000000"/>
        </w:rPr>
        <w:t>Eurostatu</w:t>
      </w:r>
      <w:proofErr w:type="spellEnd"/>
      <w:r w:rsidR="00EF1D87">
        <w:rPr>
          <w:color w:val="000000"/>
        </w:rPr>
        <w:t xml:space="preserve"> ešte mierne zväčšil (o 0,1 p. b. na 38,8 %).</w:t>
      </w:r>
      <w:r w:rsidRPr="004C5551">
        <w:rPr>
          <w:color w:val="000000" w:themeColor="text1"/>
        </w:rPr>
        <w:t xml:space="preserve"> </w:t>
      </w:r>
    </w:p>
    <w:p w:rsidR="000A15D1" w:rsidRPr="004C5551" w:rsidRDefault="000A15D1" w:rsidP="000A15D1">
      <w:pPr>
        <w:ind w:firstLine="567"/>
        <w:rPr>
          <w:color w:val="000000" w:themeColor="text1"/>
        </w:rPr>
      </w:pPr>
      <w:r w:rsidRPr="004C5551">
        <w:rPr>
          <w:b/>
          <w:color w:val="000000" w:themeColor="text1"/>
        </w:rPr>
        <w:t>Indikátor</w:t>
      </w:r>
      <w:r w:rsidRPr="004C5551">
        <w:rPr>
          <w:color w:val="000000" w:themeColor="text1"/>
        </w:rPr>
        <w:t xml:space="preserve"> </w:t>
      </w:r>
      <w:r w:rsidRPr="004C5551">
        <w:rPr>
          <w:b/>
          <w:color w:val="000000" w:themeColor="text1"/>
        </w:rPr>
        <w:t>pasca nezamestnanosti</w:t>
      </w:r>
      <w:r w:rsidRPr="004C5551">
        <w:rPr>
          <w:rStyle w:val="Odkaznapoznmkupodiarou"/>
          <w:i/>
          <w:color w:val="000000" w:themeColor="text1"/>
        </w:rPr>
        <w:footnoteReference w:id="76"/>
      </w:r>
      <w:r w:rsidRPr="004C5551">
        <w:rPr>
          <w:color w:val="000000" w:themeColor="text1"/>
        </w:rPr>
        <w:t xml:space="preserve"> umožňuje merať rozdiely v príjme pri prechode zo systému sociálnych dávok na trh práce. </w:t>
      </w:r>
      <w:r>
        <w:rPr>
          <w:color w:val="000000" w:themeColor="text1"/>
        </w:rPr>
        <w:t xml:space="preserve">Pasca nezamestnanosti je v SR veľmi nízka, čo znamená, že sociálny a daňový systém na Slovensku motivuje nezamestnaného jednotlivca k získaniu zamestnania, a to aj </w:t>
      </w:r>
      <w:proofErr w:type="spellStart"/>
      <w:r>
        <w:rPr>
          <w:color w:val="000000" w:themeColor="text1"/>
        </w:rPr>
        <w:t>nízkoplateného</w:t>
      </w:r>
      <w:proofErr w:type="spellEnd"/>
      <w:r>
        <w:rPr>
          <w:color w:val="000000" w:themeColor="text1"/>
        </w:rPr>
        <w:t>. V</w:t>
      </w:r>
      <w:r w:rsidRPr="004C5551">
        <w:rPr>
          <w:color w:val="000000" w:themeColor="text1"/>
        </w:rPr>
        <w:t xml:space="preserve"> rámci EU28 si </w:t>
      </w:r>
      <w:r>
        <w:rPr>
          <w:color w:val="000000" w:themeColor="text1"/>
        </w:rPr>
        <w:t xml:space="preserve">táto pasca </w:t>
      </w:r>
      <w:r w:rsidRPr="004C5551">
        <w:rPr>
          <w:color w:val="000000" w:themeColor="text1"/>
        </w:rPr>
        <w:t>udržuje relatívne vyso</w:t>
      </w:r>
      <w:r>
        <w:rPr>
          <w:color w:val="000000" w:themeColor="text1"/>
        </w:rPr>
        <w:t>kú úroveň oproti SR, v roku 2014</w:t>
      </w:r>
      <w:r w:rsidRPr="004C5551">
        <w:rPr>
          <w:color w:val="000000" w:themeColor="text1"/>
        </w:rPr>
        <w:t xml:space="preserve"> </w:t>
      </w:r>
      <w:r>
        <w:rPr>
          <w:color w:val="000000" w:themeColor="text1"/>
        </w:rPr>
        <w:t>bola na úrovni 73,79 %. Hoci sa p</w:t>
      </w:r>
      <w:r w:rsidRPr="004C5551">
        <w:rPr>
          <w:color w:val="000000" w:themeColor="text1"/>
        </w:rPr>
        <w:t xml:space="preserve">asca nezamestnanosti </w:t>
      </w:r>
      <w:r>
        <w:rPr>
          <w:color w:val="000000" w:themeColor="text1"/>
        </w:rPr>
        <w:t>v roku 2014</w:t>
      </w:r>
      <w:r w:rsidRPr="004C5551">
        <w:rPr>
          <w:color w:val="000000" w:themeColor="text1"/>
        </w:rPr>
        <w:t xml:space="preserve"> v SR medziročne mier</w:t>
      </w:r>
      <w:r>
        <w:rPr>
          <w:color w:val="000000" w:themeColor="text1"/>
        </w:rPr>
        <w:t>ne zvýšila (o 0,3 p. b. na 44,51 %), ostáva hlboko pod priemerom EU28</w:t>
      </w:r>
      <w:r w:rsidRPr="004C5551">
        <w:rPr>
          <w:color w:val="000000" w:themeColor="text1"/>
        </w:rPr>
        <w:t>. Ide o najmenšiu pascu nezamestnanosti v rámci celej Európy a znamená, že po prijatí zamestnania so mzdou na úrovni 67 % priemernej mzdy sa predtým nezamestnanému jednotlivcovi zdvihne čistý príjem až o 55,</w:t>
      </w:r>
      <w:r>
        <w:rPr>
          <w:color w:val="000000" w:themeColor="text1"/>
        </w:rPr>
        <w:t>49 %. (V</w:t>
      </w:r>
      <w:r w:rsidR="000E2603">
        <w:rPr>
          <w:color w:val="000000" w:themeColor="text1"/>
        </w:rPr>
        <w:t> </w:t>
      </w:r>
      <w:r>
        <w:rPr>
          <w:color w:val="000000" w:themeColor="text1"/>
        </w:rPr>
        <w:t>EU28</w:t>
      </w:r>
      <w:r w:rsidRPr="004C5551">
        <w:rPr>
          <w:color w:val="000000" w:themeColor="text1"/>
        </w:rPr>
        <w:t xml:space="preserve"> v priemere by sa hypoteticky jednotlivcovi v takejto sit</w:t>
      </w:r>
      <w:r>
        <w:rPr>
          <w:color w:val="000000" w:themeColor="text1"/>
        </w:rPr>
        <w:t>uácii zdvihol príjem iba o 26,21</w:t>
      </w:r>
      <w:r w:rsidRPr="004C5551">
        <w:rPr>
          <w:color w:val="000000" w:themeColor="text1"/>
        </w:rPr>
        <w:t> %).</w:t>
      </w:r>
    </w:p>
    <w:p w:rsidR="000E2603" w:rsidRPr="004C5551" w:rsidRDefault="000E2603" w:rsidP="000E2603">
      <w:pPr>
        <w:ind w:firstLine="567"/>
        <w:rPr>
          <w:color w:val="000000" w:themeColor="text1"/>
        </w:rPr>
      </w:pPr>
      <w:r w:rsidRPr="004C5551">
        <w:rPr>
          <w:b/>
          <w:color w:val="000000" w:themeColor="text1"/>
        </w:rPr>
        <w:t>Pasca nízkej mzdy</w:t>
      </w:r>
      <w:r w:rsidRPr="004C5551">
        <w:rPr>
          <w:rStyle w:val="Odkaznapoznmkupodiarou"/>
          <w:i/>
          <w:color w:val="000000" w:themeColor="text1"/>
        </w:rPr>
        <w:footnoteReference w:id="77"/>
      </w:r>
      <w:r w:rsidRPr="004C5551">
        <w:rPr>
          <w:color w:val="000000" w:themeColor="text1"/>
        </w:rPr>
        <w:t xml:space="preserve"> podobne ako pasca nezamestnanosti vypovedá o</w:t>
      </w:r>
      <w:r>
        <w:rPr>
          <w:color w:val="000000" w:themeColor="text1"/>
        </w:rPr>
        <w:t xml:space="preserve"> motivácii resp. </w:t>
      </w:r>
      <w:proofErr w:type="spellStart"/>
      <w:r w:rsidRPr="004C5551">
        <w:rPr>
          <w:color w:val="000000" w:themeColor="text1"/>
        </w:rPr>
        <w:t>demotivácii</w:t>
      </w:r>
      <w:proofErr w:type="spellEnd"/>
      <w:r w:rsidRPr="004C5551">
        <w:rPr>
          <w:color w:val="000000" w:themeColor="text1"/>
        </w:rPr>
        <w:t xml:space="preserve"> pracovať, v tomto prí</w:t>
      </w:r>
      <w:r>
        <w:rPr>
          <w:color w:val="000000" w:themeColor="text1"/>
        </w:rPr>
        <w:t>pade za vyššiu mzdu. V roku 2014</w:t>
      </w:r>
      <w:r w:rsidRPr="004C5551">
        <w:rPr>
          <w:color w:val="000000" w:themeColor="text1"/>
        </w:rPr>
        <w:t xml:space="preserve"> pasca nízkej mzdy u dvojice (s</w:t>
      </w:r>
      <w:r>
        <w:rPr>
          <w:color w:val="000000" w:themeColor="text1"/>
        </w:rPr>
        <w:t> </w:t>
      </w:r>
      <w:r w:rsidRPr="004C5551">
        <w:rPr>
          <w:color w:val="000000" w:themeColor="text1"/>
        </w:rPr>
        <w:t xml:space="preserve">jedným zarábajúcim členom) s dvomi deťmi na Slovensku medziročne </w:t>
      </w:r>
      <w:r>
        <w:rPr>
          <w:color w:val="000000" w:themeColor="text1"/>
        </w:rPr>
        <w:t>stúpla (o 3,8 p. b.) na úroveň 51,39 %, stále však bola pod</w:t>
      </w:r>
      <w:r w:rsidRPr="004C5551">
        <w:rPr>
          <w:color w:val="000000" w:themeColor="text1"/>
        </w:rPr>
        <w:t xml:space="preserve"> priemer</w:t>
      </w:r>
      <w:r>
        <w:rPr>
          <w:color w:val="000000" w:themeColor="text1"/>
        </w:rPr>
        <w:t>om</w:t>
      </w:r>
      <w:r w:rsidRPr="004C5551">
        <w:rPr>
          <w:color w:val="000000" w:themeColor="text1"/>
        </w:rPr>
        <w:t xml:space="preserve"> EU28</w:t>
      </w:r>
      <w:r>
        <w:rPr>
          <w:color w:val="000000" w:themeColor="text1"/>
        </w:rPr>
        <w:t xml:space="preserve"> (61,78 %)</w:t>
      </w:r>
      <w:r w:rsidRPr="004C5551">
        <w:rPr>
          <w:color w:val="000000" w:themeColor="text1"/>
        </w:rPr>
        <w:t>. Pasca nízkej mzdy v prípade jednotlivca v roku 201</w:t>
      </w:r>
      <w:r>
        <w:rPr>
          <w:color w:val="000000" w:themeColor="text1"/>
        </w:rPr>
        <w:t>4</w:t>
      </w:r>
      <w:r w:rsidRPr="004C5551">
        <w:rPr>
          <w:color w:val="000000" w:themeColor="text1"/>
        </w:rPr>
        <w:t xml:space="preserve"> dosiahla 26,21 %, čo </w:t>
      </w:r>
      <w:r>
        <w:rPr>
          <w:color w:val="000000" w:themeColor="text1"/>
        </w:rPr>
        <w:t>bolo hlboko pod priemerom EU28 (47,3</w:t>
      </w:r>
      <w:r w:rsidRPr="004C5551">
        <w:rPr>
          <w:color w:val="000000" w:themeColor="text1"/>
        </w:rPr>
        <w:t> %). Údaje o pasci nízk</w:t>
      </w:r>
      <w:r>
        <w:rPr>
          <w:color w:val="000000" w:themeColor="text1"/>
        </w:rPr>
        <w:t>ej mzdy za Slovensko v roku 2014</w:t>
      </w:r>
      <w:r w:rsidRPr="004C5551">
        <w:rPr>
          <w:color w:val="000000" w:themeColor="text1"/>
        </w:rPr>
        <w:t xml:space="preserve"> znamenajú, že pri zvýšení hrubej mzdy z 33 % na 67 % priemernej mzdy vzrastie čistý príjem u dvojice (s jedným zaráb</w:t>
      </w:r>
      <w:r>
        <w:rPr>
          <w:color w:val="000000" w:themeColor="text1"/>
        </w:rPr>
        <w:t>ajúcim členom) s dvomi deťmi o 48,61</w:t>
      </w:r>
      <w:r w:rsidRPr="004C5551">
        <w:rPr>
          <w:color w:val="000000" w:themeColor="text1"/>
        </w:rPr>
        <w:t xml:space="preserve"> % a u jednotlivca až o 73,79 %. Či už v prípade jednotlivca alebo dvojice (s jedným zarábajúcim členom) s dvomi deťmi patrí pasca nízkej mzdy na Slovensku skôr k nižším v Európe. </w:t>
      </w:r>
    </w:p>
    <w:p w:rsidR="000E2603" w:rsidRPr="004C5551" w:rsidRDefault="000E2603" w:rsidP="000E2603">
      <w:pPr>
        <w:ind w:firstLine="567"/>
        <w:rPr>
          <w:color w:val="000000" w:themeColor="text1"/>
          <w:lang w:eastAsia="cs-CZ"/>
        </w:rPr>
      </w:pPr>
      <w:r w:rsidRPr="00B14ECA">
        <w:rPr>
          <w:color w:val="000000" w:themeColor="text1"/>
          <w:lang w:eastAsia="cs-CZ"/>
        </w:rPr>
        <w:t xml:space="preserve">V rámci stratégie Európa 2020 a podpory </w:t>
      </w:r>
      <w:proofErr w:type="spellStart"/>
      <w:r w:rsidRPr="00B14ECA">
        <w:rPr>
          <w:color w:val="000000" w:themeColor="text1"/>
          <w:lang w:eastAsia="cs-CZ"/>
        </w:rPr>
        <w:t>inkluzívneho</w:t>
      </w:r>
      <w:proofErr w:type="spellEnd"/>
      <w:r w:rsidRPr="00B14ECA">
        <w:rPr>
          <w:color w:val="000000" w:themeColor="text1"/>
          <w:lang w:eastAsia="cs-CZ"/>
        </w:rPr>
        <w:t xml:space="preserve"> rastu je stanovený ďalší hlavný cieľ, a to znížiť </w:t>
      </w:r>
      <w:r w:rsidRPr="00B14ECA">
        <w:rPr>
          <w:b/>
          <w:color w:val="000000" w:themeColor="text1"/>
          <w:lang w:eastAsia="cs-CZ"/>
        </w:rPr>
        <w:t>počet osôb v riziku chudoby alebo sociálneho vylúčenia</w:t>
      </w:r>
      <w:r w:rsidRPr="00B14ECA">
        <w:rPr>
          <w:color w:val="000000" w:themeColor="text1"/>
          <w:lang w:eastAsia="cs-CZ"/>
        </w:rPr>
        <w:t xml:space="preserve"> aspoň o 20 mil. (na 19,4 %). V roku</w:t>
      </w:r>
      <w:r>
        <w:rPr>
          <w:color w:val="000000" w:themeColor="text1"/>
          <w:lang w:eastAsia="cs-CZ"/>
        </w:rPr>
        <w:t xml:space="preserve"> 2014 v rámci EU28 bolo 122,176</w:t>
      </w:r>
      <w:r w:rsidRPr="004C5551">
        <w:rPr>
          <w:color w:val="000000" w:themeColor="text1"/>
          <w:lang w:eastAsia="cs-CZ"/>
        </w:rPr>
        <w:t xml:space="preserve"> </w:t>
      </w:r>
      <w:r w:rsidRPr="0077166F">
        <w:rPr>
          <w:color w:val="000000" w:themeColor="text1"/>
          <w:lang w:eastAsia="cs-CZ"/>
        </w:rPr>
        <w:t>mil. ľudí (24,4 %) ohrozených</w:t>
      </w:r>
      <w:r w:rsidRPr="004C5551">
        <w:rPr>
          <w:color w:val="000000" w:themeColor="text1"/>
          <w:lang w:eastAsia="cs-CZ"/>
        </w:rPr>
        <w:t xml:space="preserve"> chudobou alebo sociálnym vylúčením, pričom tento počet</w:t>
      </w:r>
      <w:r>
        <w:rPr>
          <w:color w:val="000000" w:themeColor="text1"/>
          <w:lang w:eastAsia="cs-CZ"/>
        </w:rPr>
        <w:t xml:space="preserve"> medziročne klesol, a to o 718 mil. osôb (0,2</w:t>
      </w:r>
      <w:r w:rsidRPr="004C5551">
        <w:rPr>
          <w:color w:val="000000" w:themeColor="text1"/>
          <w:lang w:eastAsia="cs-CZ"/>
        </w:rPr>
        <w:t xml:space="preserve"> p.</w:t>
      </w:r>
      <w:r>
        <w:rPr>
          <w:color w:val="000000" w:themeColor="text1"/>
          <w:lang w:eastAsia="cs-CZ"/>
        </w:rPr>
        <w:t> </w:t>
      </w:r>
      <w:r w:rsidRPr="004C5551">
        <w:rPr>
          <w:color w:val="000000" w:themeColor="text1"/>
          <w:lang w:eastAsia="cs-CZ"/>
        </w:rPr>
        <w:t xml:space="preserve">b.). Cieľ je monitorovaný prostredníctvom indikátora zloženého z 3 </w:t>
      </w:r>
      <w:proofErr w:type="spellStart"/>
      <w:r w:rsidRPr="004C5551">
        <w:rPr>
          <w:color w:val="000000" w:themeColor="text1"/>
          <w:lang w:eastAsia="cs-CZ"/>
        </w:rPr>
        <w:t>subindikátorov</w:t>
      </w:r>
      <w:proofErr w:type="spellEnd"/>
      <w:r w:rsidRPr="004C5551">
        <w:rPr>
          <w:color w:val="000000" w:themeColor="text1"/>
          <w:lang w:eastAsia="cs-CZ"/>
        </w:rPr>
        <w:t xml:space="preserve"> t.j. ľudia v riziku chudoby a sociálneho vylúčenia boli buď žijúci v domácnostiach s veľmi nízkou pracovnou intenzitou</w:t>
      </w:r>
      <w:r w:rsidRPr="004C5551">
        <w:rPr>
          <w:rStyle w:val="Odkaznapoznmkupodiarou"/>
          <w:bCs/>
          <w:color w:val="000000" w:themeColor="text1"/>
          <w:szCs w:val="22"/>
        </w:rPr>
        <w:footnoteReference w:id="78"/>
      </w:r>
      <w:r w:rsidRPr="004C5551">
        <w:rPr>
          <w:color w:val="000000" w:themeColor="text1"/>
          <w:lang w:eastAsia="cs-CZ"/>
        </w:rPr>
        <w:t>, a/alebo osoby žijúce v riziku chudoby po sociálnych transferoch</w:t>
      </w:r>
      <w:r w:rsidRPr="004C5551">
        <w:rPr>
          <w:rStyle w:val="Odkaznapoznmkupodiarou"/>
          <w:bCs/>
          <w:color w:val="000000" w:themeColor="text1"/>
          <w:szCs w:val="22"/>
        </w:rPr>
        <w:footnoteReference w:id="79"/>
      </w:r>
      <w:r w:rsidRPr="004C5551">
        <w:rPr>
          <w:color w:val="000000" w:themeColor="text1"/>
          <w:lang w:eastAsia="cs-CZ"/>
        </w:rPr>
        <w:t xml:space="preserve"> a/alebo závažne materiálne </w:t>
      </w:r>
      <w:proofErr w:type="spellStart"/>
      <w:r w:rsidRPr="004C5551">
        <w:rPr>
          <w:color w:val="000000" w:themeColor="text1"/>
          <w:lang w:eastAsia="cs-CZ"/>
        </w:rPr>
        <w:t>deprivované</w:t>
      </w:r>
      <w:proofErr w:type="spellEnd"/>
      <w:r w:rsidRPr="004C5551">
        <w:rPr>
          <w:color w:val="000000" w:themeColor="text1"/>
          <w:lang w:eastAsia="cs-CZ"/>
        </w:rPr>
        <w:t xml:space="preserve"> osoby</w:t>
      </w:r>
      <w:r w:rsidRPr="004C5551">
        <w:rPr>
          <w:rStyle w:val="Odkaznapoznmkupodiarou"/>
          <w:bCs/>
          <w:color w:val="000000" w:themeColor="text1"/>
          <w:szCs w:val="22"/>
        </w:rPr>
        <w:footnoteReference w:id="80"/>
      </w:r>
      <w:r w:rsidRPr="004C5551">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w:t>
      </w:r>
      <w:proofErr w:type="spellStart"/>
      <w:r w:rsidRPr="004C5551">
        <w:rPr>
          <w:color w:val="000000" w:themeColor="text1"/>
          <w:lang w:eastAsia="cs-CZ"/>
        </w:rPr>
        <w:t>subindikátoroch</w:t>
      </w:r>
      <w:proofErr w:type="spellEnd"/>
      <w:r w:rsidRPr="004C5551">
        <w:rPr>
          <w:color w:val="000000" w:themeColor="text1"/>
          <w:lang w:eastAsia="cs-CZ"/>
        </w:rPr>
        <w:t xml:space="preserve">. Celkový počet ľudí v riziku chudoby a sociálneho vylúčenia je nižší ako suma počtov ľudí v každej z troch foriem chudoby a sociálneho vylúčenia, nakoľko niektoré osoby môžu trpieť súčasne viacerými formami. </w:t>
      </w:r>
    </w:p>
    <w:p w:rsidR="00266850" w:rsidRPr="00DC1DBD" w:rsidRDefault="00266850" w:rsidP="00266850">
      <w:pPr>
        <w:ind w:firstLine="567"/>
        <w:rPr>
          <w:color w:val="000000" w:themeColor="text1"/>
          <w:lang w:eastAsia="cs-CZ"/>
        </w:rPr>
      </w:pPr>
      <w:r w:rsidRPr="004C5551">
        <w:rPr>
          <w:color w:val="000000" w:themeColor="text1"/>
          <w:lang w:eastAsia="cs-CZ"/>
        </w:rPr>
        <w:t xml:space="preserve">Slovenská republika si </w:t>
      </w:r>
      <w:r>
        <w:rPr>
          <w:color w:val="000000" w:themeColor="text1"/>
          <w:lang w:eastAsia="cs-CZ"/>
        </w:rPr>
        <w:t xml:space="preserve">v stratégii Európa 2020 </w:t>
      </w:r>
      <w:r w:rsidRPr="004C5551">
        <w:rPr>
          <w:color w:val="000000" w:themeColor="text1"/>
          <w:lang w:eastAsia="cs-CZ"/>
        </w:rPr>
        <w:t xml:space="preserve">za cieľ vytýčila, že do roku 2020 zníži celkový počet týchto osôb </w:t>
      </w:r>
      <w:r>
        <w:rPr>
          <w:color w:val="000000" w:themeColor="text1"/>
          <w:lang w:eastAsia="cs-CZ"/>
        </w:rPr>
        <w:t>opr</w:t>
      </w:r>
      <w:r w:rsidRPr="004C5551">
        <w:rPr>
          <w:color w:val="000000" w:themeColor="text1"/>
          <w:lang w:eastAsia="cs-CZ"/>
        </w:rPr>
        <w:t>o</w:t>
      </w:r>
      <w:r>
        <w:rPr>
          <w:color w:val="000000" w:themeColor="text1"/>
          <w:lang w:eastAsia="cs-CZ"/>
        </w:rPr>
        <w:t>ti východiskovému roku 2008 o</w:t>
      </w:r>
      <w:r w:rsidRPr="004C5551">
        <w:rPr>
          <w:color w:val="000000" w:themeColor="text1"/>
          <w:lang w:eastAsia="cs-CZ"/>
        </w:rPr>
        <w:t> 1</w:t>
      </w:r>
      <w:r>
        <w:rPr>
          <w:color w:val="000000" w:themeColor="text1"/>
          <w:lang w:eastAsia="cs-CZ"/>
        </w:rPr>
        <w:t>70 tis. (na 17,2 %). V roku 2014</w:t>
      </w:r>
      <w:r w:rsidRPr="004C5551">
        <w:rPr>
          <w:color w:val="000000" w:themeColor="text1"/>
          <w:lang w:eastAsia="cs-CZ"/>
        </w:rPr>
        <w:t xml:space="preserve"> počet ľudí v</w:t>
      </w:r>
      <w:r>
        <w:rPr>
          <w:color w:val="000000" w:themeColor="text1"/>
          <w:lang w:eastAsia="cs-CZ"/>
        </w:rPr>
        <w:t> </w:t>
      </w:r>
      <w:r w:rsidRPr="004C5551">
        <w:rPr>
          <w:color w:val="000000" w:themeColor="text1"/>
          <w:lang w:eastAsia="cs-CZ"/>
        </w:rPr>
        <w:t xml:space="preserve">riziku chudoby alebo sociálneho </w:t>
      </w:r>
      <w:r>
        <w:rPr>
          <w:color w:val="000000" w:themeColor="text1"/>
          <w:lang w:eastAsia="cs-CZ"/>
        </w:rPr>
        <w:t>vylúčenia medziročne klesol o 110 tis. ľudí na 960 tis. (o 1,4 p. b. na 18,4</w:t>
      </w:r>
      <w:r w:rsidRPr="004C5551">
        <w:rPr>
          <w:color w:val="000000" w:themeColor="text1"/>
          <w:lang w:eastAsia="cs-CZ"/>
        </w:rPr>
        <w:t> %), prič</w:t>
      </w:r>
      <w:r>
        <w:rPr>
          <w:color w:val="000000" w:themeColor="text1"/>
          <w:lang w:eastAsia="cs-CZ"/>
        </w:rPr>
        <w:t>om viac boli ohrozené ženy (18,7 %) ako muži (18,1</w:t>
      </w:r>
      <w:r w:rsidRPr="004C5551">
        <w:rPr>
          <w:color w:val="000000" w:themeColor="text1"/>
          <w:lang w:eastAsia="cs-CZ"/>
        </w:rPr>
        <w:t xml:space="preserve"> %), </w:t>
      </w:r>
      <w:r w:rsidRPr="00495D7D">
        <w:rPr>
          <w:color w:val="000000" w:themeColor="text1"/>
          <w:lang w:eastAsia="cs-CZ"/>
        </w:rPr>
        <w:t>hoci pokles bol vyšší u žien. Klesol</w:t>
      </w:r>
      <w:r w:rsidRPr="004C5551">
        <w:rPr>
          <w:color w:val="000000" w:themeColor="text1"/>
          <w:lang w:eastAsia="cs-CZ"/>
        </w:rPr>
        <w:t xml:space="preserve"> počet ľud</w:t>
      </w:r>
      <w:r>
        <w:rPr>
          <w:color w:val="000000" w:themeColor="text1"/>
          <w:lang w:eastAsia="cs-CZ"/>
        </w:rPr>
        <w:t>í v riziku chudoby (príjmovej),</w:t>
      </w:r>
      <w:r w:rsidRPr="004C5551">
        <w:rPr>
          <w:color w:val="000000" w:themeColor="text1"/>
          <w:lang w:eastAsia="cs-CZ"/>
        </w:rPr>
        <w:t xml:space="preserve"> závažne materiálne </w:t>
      </w:r>
      <w:proofErr w:type="spellStart"/>
      <w:r w:rsidRPr="004C5551">
        <w:rPr>
          <w:color w:val="000000" w:themeColor="text1"/>
          <w:lang w:eastAsia="cs-CZ"/>
        </w:rPr>
        <w:t>deprivovaných</w:t>
      </w:r>
      <w:proofErr w:type="spellEnd"/>
      <w:r w:rsidRPr="004C5551">
        <w:rPr>
          <w:color w:val="000000" w:themeColor="text1"/>
          <w:lang w:eastAsia="cs-CZ"/>
        </w:rPr>
        <w:t xml:space="preserve">, </w:t>
      </w:r>
      <w:r>
        <w:rPr>
          <w:color w:val="000000" w:themeColor="text1"/>
          <w:lang w:eastAsia="cs-CZ"/>
        </w:rPr>
        <w:t xml:space="preserve">ako aj počet </w:t>
      </w:r>
      <w:r w:rsidRPr="004C5551">
        <w:rPr>
          <w:color w:val="000000" w:themeColor="text1"/>
          <w:lang w:eastAsia="cs-CZ"/>
        </w:rPr>
        <w:t>ľudí žijúcich v domácnosti s nízkou intenz</w:t>
      </w:r>
      <w:r>
        <w:rPr>
          <w:color w:val="000000" w:themeColor="text1"/>
          <w:lang w:eastAsia="cs-CZ"/>
        </w:rPr>
        <w:t>itou práce. V roku 2014</w:t>
      </w:r>
      <w:r w:rsidRPr="004C5551">
        <w:rPr>
          <w:color w:val="000000" w:themeColor="text1"/>
          <w:lang w:eastAsia="cs-CZ"/>
        </w:rPr>
        <w:t xml:space="preserve"> bolo v SR </w:t>
      </w:r>
      <w:r>
        <w:rPr>
          <w:color w:val="000000" w:themeColor="text1"/>
          <w:lang w:eastAsia="cs-CZ"/>
        </w:rPr>
        <w:t>659</w:t>
      </w:r>
      <w:r w:rsidRPr="004C5551">
        <w:rPr>
          <w:color w:val="000000" w:themeColor="text1"/>
          <w:lang w:eastAsia="cs-CZ"/>
        </w:rPr>
        <w:t xml:space="preserve"> tis. </w:t>
      </w:r>
      <w:r w:rsidRPr="004C5551">
        <w:rPr>
          <w:b/>
          <w:color w:val="000000" w:themeColor="text1"/>
          <w:lang w:eastAsia="cs-CZ"/>
        </w:rPr>
        <w:t>ľudí v riziku chudoby</w:t>
      </w:r>
      <w:r>
        <w:rPr>
          <w:color w:val="000000" w:themeColor="text1"/>
          <w:lang w:eastAsia="cs-CZ"/>
        </w:rPr>
        <w:t xml:space="preserve"> (12,6 % oproti 17,2 % v </w:t>
      </w:r>
      <w:r w:rsidRPr="00702580">
        <w:rPr>
          <w:color w:val="000000" w:themeColor="text1"/>
          <w:lang w:eastAsia="cs-CZ"/>
        </w:rPr>
        <w:t xml:space="preserve">EU28), 514 tis. </w:t>
      </w:r>
      <w:r w:rsidRPr="00702580">
        <w:rPr>
          <w:b/>
          <w:color w:val="000000" w:themeColor="text1"/>
          <w:lang w:eastAsia="cs-CZ"/>
        </w:rPr>
        <w:t xml:space="preserve">ľudí závažne materiálne </w:t>
      </w:r>
      <w:proofErr w:type="spellStart"/>
      <w:r w:rsidRPr="00702580">
        <w:rPr>
          <w:b/>
          <w:color w:val="000000" w:themeColor="text1"/>
          <w:lang w:eastAsia="cs-CZ"/>
        </w:rPr>
        <w:t>deprivovaných</w:t>
      </w:r>
      <w:proofErr w:type="spellEnd"/>
      <w:r w:rsidRPr="00702580">
        <w:rPr>
          <w:color w:val="000000" w:themeColor="text1"/>
          <w:lang w:eastAsia="cs-CZ"/>
        </w:rPr>
        <w:t xml:space="preserve"> (9,9 % oproti 8,9 % v EU28) a 294 tis. osôb </w:t>
      </w:r>
      <w:r w:rsidRPr="00702580">
        <w:rPr>
          <w:b/>
          <w:color w:val="000000" w:themeColor="text1"/>
          <w:lang w:eastAsia="cs-CZ"/>
        </w:rPr>
        <w:t>žijúcich</w:t>
      </w:r>
      <w:r w:rsidRPr="004C5551">
        <w:rPr>
          <w:b/>
          <w:color w:val="000000" w:themeColor="text1"/>
          <w:lang w:eastAsia="cs-CZ"/>
        </w:rPr>
        <w:t xml:space="preserve"> v domácnostiach s veľmi nízkou intenzitou práce</w:t>
      </w:r>
      <w:r>
        <w:rPr>
          <w:color w:val="000000" w:themeColor="text1"/>
          <w:lang w:eastAsia="cs-CZ"/>
        </w:rPr>
        <w:t xml:space="preserve"> (7,1 % oproti 11,2</w:t>
      </w:r>
      <w:r w:rsidRPr="004C5551">
        <w:rPr>
          <w:color w:val="000000" w:themeColor="text1"/>
          <w:lang w:eastAsia="cs-CZ"/>
        </w:rPr>
        <w:t xml:space="preserve"> % v EU28). Najvyšší podiel osôb v riziku chudoby alebo sociálneho vylúčenia sa </w:t>
      </w:r>
      <w:r>
        <w:rPr>
          <w:color w:val="000000" w:themeColor="text1"/>
          <w:lang w:eastAsia="cs-CZ"/>
        </w:rPr>
        <w:t>bol</w:t>
      </w:r>
      <w:r w:rsidRPr="004C5551">
        <w:rPr>
          <w:color w:val="000000" w:themeColor="text1"/>
          <w:lang w:eastAsia="cs-CZ"/>
        </w:rPr>
        <w:t xml:space="preserve"> v Bul</w:t>
      </w:r>
      <w:r>
        <w:rPr>
          <w:color w:val="000000" w:themeColor="text1"/>
          <w:lang w:eastAsia="cs-CZ"/>
        </w:rPr>
        <w:t>harsku (40,1 %) a v Rumunsku (39,5</w:t>
      </w:r>
      <w:r w:rsidRPr="004C5551">
        <w:rPr>
          <w:color w:val="000000" w:themeColor="text1"/>
          <w:lang w:eastAsia="cs-CZ"/>
        </w:rPr>
        <w:t xml:space="preserve"> %) </w:t>
      </w:r>
      <w:r>
        <w:rPr>
          <w:color w:val="000000" w:themeColor="text1"/>
          <w:lang w:eastAsia="cs-CZ"/>
        </w:rPr>
        <w:t>a</w:t>
      </w:r>
      <w:r w:rsidRPr="004C5551">
        <w:rPr>
          <w:color w:val="000000" w:themeColor="text1"/>
          <w:lang w:eastAsia="cs-CZ"/>
        </w:rPr>
        <w:t> n</w:t>
      </w:r>
      <w:r>
        <w:rPr>
          <w:color w:val="000000" w:themeColor="text1"/>
          <w:lang w:eastAsia="cs-CZ"/>
        </w:rPr>
        <w:t xml:space="preserve">ajnižší v Českej republike (14,8 %), v Holandsku (16,5 %) </w:t>
      </w:r>
      <w:r w:rsidRPr="00DC1DBD">
        <w:rPr>
          <w:color w:val="000000" w:themeColor="text1"/>
          <w:lang w:eastAsia="cs-CZ"/>
        </w:rPr>
        <w:t xml:space="preserve">a vo Švédsku (16,9 %). </w:t>
      </w:r>
    </w:p>
    <w:p w:rsidR="00266850" w:rsidRPr="004C5551" w:rsidRDefault="00266850" w:rsidP="00266850">
      <w:pPr>
        <w:ind w:firstLine="567"/>
        <w:rPr>
          <w:color w:val="000000" w:themeColor="text1"/>
          <w:lang w:eastAsia="cs-CZ"/>
        </w:rPr>
      </w:pPr>
      <w:r w:rsidRPr="00DC1DBD">
        <w:rPr>
          <w:color w:val="000000" w:themeColor="text1"/>
          <w:lang w:eastAsia="cs-CZ"/>
        </w:rPr>
        <w:t>Z hľadiska veku vo vyššom riziku chudoby a sociálneho vylúčenia ako ostatné vekové skupiny sa nachádzajú deti, a to vo väčšine krajín EU28 vrátane Slovenska. V roku 2014 v EU28 trpelo aspoň jednou z troch foriem chudoby a sociálneho vylúčenia 27,8 % detí mladších ako 18 rokov (23,7 % ľudí nad 18 rokov a 17,8 % nad 65 rokov). Na Slovensku to bolo 23,6 % detí do 18 rokov v riziku chudoby a sociálneho vylúčenia oproti 17,2 % ľudí nad 18 rokov a 13,4 % ľudí nad 65 rokov. Pozitívne je, že podiel detí v riziku chudoby a sociálneho vylúčenia na Slovensku sa v roku 2014 medziročne znížil o 1,1 p. b., čo bolo viac ako v prípade podielu ohrozených chudobou a sociálnym vylúčením nad 18</w:t>
      </w:r>
      <w:r>
        <w:rPr>
          <w:color w:val="000000" w:themeColor="text1"/>
          <w:lang w:eastAsia="cs-CZ"/>
        </w:rPr>
        <w:t> rokov, ktorý klesol o 0,8 p. b</w:t>
      </w:r>
      <w:r w:rsidRPr="00DC1DBD">
        <w:rPr>
          <w:color w:val="000000" w:themeColor="text1"/>
          <w:lang w:eastAsia="cs-CZ"/>
        </w:rPr>
        <w:t>.</w:t>
      </w:r>
    </w:p>
    <w:p w:rsidR="00350BE2" w:rsidRPr="004C5551" w:rsidRDefault="00350BE2" w:rsidP="00350BE2">
      <w:pPr>
        <w:ind w:firstLine="567"/>
        <w:rPr>
          <w:color w:val="000000" w:themeColor="text1"/>
          <w:lang w:eastAsia="cs-CZ"/>
        </w:rPr>
      </w:pPr>
      <w:r w:rsidRPr="004C5551">
        <w:rPr>
          <w:color w:val="000000" w:themeColor="text1"/>
          <w:lang w:eastAsia="cs-CZ"/>
        </w:rPr>
        <w:t>Čo sa týka jednotlivých elementov, ktoré definujú riziko chudoby a sociálneho vylúčenia, najvyšší podiel ľudí s disponibilným príjmom pod hranicou rizika chudoby bol</w:t>
      </w:r>
      <w:r>
        <w:rPr>
          <w:color w:val="000000" w:themeColor="text1"/>
          <w:lang w:eastAsia="cs-CZ"/>
        </w:rPr>
        <w:t xml:space="preserve"> v roku 2014</w:t>
      </w:r>
      <w:r w:rsidRPr="004C5551">
        <w:rPr>
          <w:color w:val="000000" w:themeColor="text1"/>
          <w:lang w:eastAsia="cs-CZ"/>
        </w:rPr>
        <w:t xml:space="preserve"> </w:t>
      </w:r>
      <w:r>
        <w:rPr>
          <w:color w:val="000000" w:themeColor="text1"/>
          <w:lang w:eastAsia="cs-CZ"/>
        </w:rPr>
        <w:t>v Rumunsku (25,4</w:t>
      </w:r>
      <w:r w:rsidRPr="004C5551">
        <w:rPr>
          <w:color w:val="000000" w:themeColor="text1"/>
          <w:lang w:eastAsia="cs-CZ"/>
        </w:rPr>
        <w:t> %)</w:t>
      </w:r>
      <w:r>
        <w:rPr>
          <w:color w:val="000000" w:themeColor="text1"/>
          <w:lang w:eastAsia="cs-CZ"/>
        </w:rPr>
        <w:t xml:space="preserve">, </w:t>
      </w:r>
      <w:r w:rsidRPr="004C5551">
        <w:rPr>
          <w:color w:val="000000" w:themeColor="text1"/>
          <w:lang w:eastAsia="cs-CZ"/>
        </w:rPr>
        <w:t xml:space="preserve">vysoký nad 20 % bol aj </w:t>
      </w:r>
      <w:r>
        <w:rPr>
          <w:color w:val="000000" w:themeColor="text1"/>
          <w:lang w:eastAsia="cs-CZ"/>
        </w:rPr>
        <w:t>v Španielsku (22,2</w:t>
      </w:r>
      <w:r w:rsidRPr="004C5551">
        <w:rPr>
          <w:color w:val="000000" w:themeColor="text1"/>
          <w:lang w:eastAsia="cs-CZ"/>
        </w:rPr>
        <w:t> %)</w:t>
      </w:r>
      <w:r>
        <w:rPr>
          <w:color w:val="000000" w:themeColor="text1"/>
          <w:lang w:eastAsia="cs-CZ"/>
        </w:rPr>
        <w:t>,</w:t>
      </w:r>
      <w:r w:rsidRPr="004C5551">
        <w:rPr>
          <w:color w:val="000000" w:themeColor="text1"/>
          <w:lang w:eastAsia="cs-CZ"/>
        </w:rPr>
        <w:t xml:space="preserve"> </w:t>
      </w:r>
      <w:r>
        <w:rPr>
          <w:color w:val="000000" w:themeColor="text1"/>
          <w:lang w:eastAsia="cs-CZ"/>
        </w:rPr>
        <w:t>v Grécku (22</w:t>
      </w:r>
      <w:r w:rsidRPr="004C5551">
        <w:rPr>
          <w:color w:val="000000" w:themeColor="text1"/>
          <w:lang w:eastAsia="cs-CZ"/>
        </w:rPr>
        <w:t xml:space="preserve">,1 %), </w:t>
      </w:r>
      <w:r>
        <w:rPr>
          <w:color w:val="000000" w:themeColor="text1"/>
          <w:lang w:eastAsia="cs-CZ"/>
        </w:rPr>
        <w:t>v Estónsku (21,8 %)</w:t>
      </w:r>
      <w:r w:rsidRPr="004C5551">
        <w:rPr>
          <w:color w:val="000000" w:themeColor="text1"/>
          <w:lang w:eastAsia="cs-CZ"/>
        </w:rPr>
        <w:t>, v Bulharsku (21</w:t>
      </w:r>
      <w:r>
        <w:rPr>
          <w:color w:val="000000" w:themeColor="text1"/>
          <w:lang w:eastAsia="cs-CZ"/>
        </w:rPr>
        <w:t>,8 %) a v Lotyšsku (21,2 %). N</w:t>
      </w:r>
      <w:r w:rsidRPr="004C5551">
        <w:rPr>
          <w:color w:val="000000" w:themeColor="text1"/>
          <w:lang w:eastAsia="cs-CZ"/>
        </w:rPr>
        <w:t>ajnižší podiel ľudí s takýmto nízkym prí</w:t>
      </w:r>
      <w:r>
        <w:rPr>
          <w:color w:val="000000" w:themeColor="text1"/>
          <w:lang w:eastAsia="cs-CZ"/>
        </w:rPr>
        <w:t>jmom bol v Českej republike (9,7</w:t>
      </w:r>
      <w:r w:rsidRPr="004C5551">
        <w:rPr>
          <w:color w:val="000000" w:themeColor="text1"/>
          <w:lang w:eastAsia="cs-CZ"/>
        </w:rPr>
        <w:t xml:space="preserve"> %). Podiel ľudí v EU28, ktorí sú závažne materiálne </w:t>
      </w:r>
      <w:proofErr w:type="spellStart"/>
      <w:r w:rsidRPr="004C5551">
        <w:rPr>
          <w:color w:val="000000" w:themeColor="text1"/>
          <w:lang w:eastAsia="cs-CZ"/>
        </w:rPr>
        <w:t>dep</w:t>
      </w:r>
      <w:r>
        <w:rPr>
          <w:color w:val="000000" w:themeColor="text1"/>
          <w:lang w:eastAsia="cs-CZ"/>
        </w:rPr>
        <w:t>rivovaní</w:t>
      </w:r>
      <w:proofErr w:type="spellEnd"/>
      <w:r>
        <w:rPr>
          <w:color w:val="000000" w:themeColor="text1"/>
          <w:lang w:eastAsia="cs-CZ"/>
        </w:rPr>
        <w:t>, výrazne variuje od 0,7 % vo Švédsku až po 3</w:t>
      </w:r>
      <w:r w:rsidRPr="004C5551">
        <w:rPr>
          <w:color w:val="000000" w:themeColor="text1"/>
          <w:lang w:eastAsia="cs-CZ"/>
        </w:rPr>
        <w:t>3</w:t>
      </w:r>
      <w:r>
        <w:rPr>
          <w:color w:val="000000" w:themeColor="text1"/>
          <w:lang w:eastAsia="cs-CZ"/>
        </w:rPr>
        <w:t>,1</w:t>
      </w:r>
      <w:r w:rsidRPr="004C5551">
        <w:rPr>
          <w:color w:val="000000" w:themeColor="text1"/>
          <w:lang w:eastAsia="cs-CZ"/>
        </w:rPr>
        <w:t> % v Bulharsku. Podiel ľudí do 59 rokov žijúcich v domácnostiach s nízkou pracovnou intenzitou je najvyšší v </w:t>
      </w:r>
      <w:r>
        <w:rPr>
          <w:color w:val="000000" w:themeColor="text1"/>
          <w:lang w:eastAsia="cs-CZ"/>
        </w:rPr>
        <w:t>Írsku (21,1 %) a najnižší je v Luxembursku (6,1</w:t>
      </w:r>
      <w:r w:rsidRPr="004C5551">
        <w:rPr>
          <w:color w:val="000000" w:themeColor="text1"/>
          <w:lang w:eastAsia="cs-CZ"/>
        </w:rPr>
        <w:t xml:space="preserve"> %).</w:t>
      </w:r>
    </w:p>
    <w:p w:rsidR="000A7585" w:rsidRPr="00350BE2" w:rsidRDefault="000A7585" w:rsidP="000A7585">
      <w:pPr>
        <w:pStyle w:val="Nadpis7"/>
        <w:rPr>
          <w:color w:val="000000" w:themeColor="text1"/>
        </w:rPr>
      </w:pPr>
      <w:r w:rsidRPr="00350BE2">
        <w:rPr>
          <w:color w:val="000000" w:themeColor="text1"/>
        </w:rPr>
        <w:t>Tabuľka 5.1 Vývoj vybraných hlavných ukazovateľov stratégie Európa 2020</w:t>
      </w:r>
    </w:p>
    <w:p w:rsidR="000A7585" w:rsidRPr="00AE6EDB" w:rsidRDefault="00B15463" w:rsidP="000A7585">
      <w:pPr>
        <w:ind w:left="-426"/>
        <w:jc w:val="center"/>
        <w:rPr>
          <w:highlight w:val="cyan"/>
        </w:rPr>
      </w:pPr>
      <w:r w:rsidRPr="00B15463">
        <w:rPr>
          <w:noProof/>
        </w:rPr>
        <w:drawing>
          <wp:inline distT="0" distB="0" distL="0" distR="0" wp14:anchorId="5893333C" wp14:editId="22217843">
            <wp:extent cx="6292435" cy="18720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2435" cy="1872000"/>
                    </a:xfrm>
                    <a:prstGeom prst="rect">
                      <a:avLst/>
                    </a:prstGeom>
                    <a:noFill/>
                    <a:ln>
                      <a:noFill/>
                    </a:ln>
                  </pic:spPr>
                </pic:pic>
              </a:graphicData>
            </a:graphic>
          </wp:inline>
        </w:drawing>
      </w:r>
    </w:p>
    <w:p w:rsidR="000A7585" w:rsidRPr="00350BE2" w:rsidRDefault="000A7585" w:rsidP="000A7585">
      <w:pPr>
        <w:pStyle w:val="zdroj"/>
        <w:spacing w:after="0"/>
        <w:ind w:firstLine="142"/>
        <w:rPr>
          <w:color w:val="000000" w:themeColor="text1"/>
        </w:rPr>
      </w:pPr>
      <w:r w:rsidRPr="00350BE2">
        <w:rPr>
          <w:color w:val="000000" w:themeColor="text1"/>
        </w:rPr>
        <w:t>Zdroj: EUROSTAT</w:t>
      </w:r>
      <w:r w:rsidR="00350BE2" w:rsidRPr="00350BE2">
        <w:rPr>
          <w:color w:val="000000" w:themeColor="text1"/>
        </w:rPr>
        <w:t>, *ŠÚ SR</w:t>
      </w:r>
    </w:p>
    <w:p w:rsidR="00350BE2" w:rsidRPr="004C5551" w:rsidRDefault="00350BE2" w:rsidP="00350BE2">
      <w:pPr>
        <w:pStyle w:val="zdroj"/>
        <w:spacing w:before="0" w:after="0"/>
        <w:ind w:left="142" w:firstLine="0"/>
        <w:rPr>
          <w:color w:val="000000" w:themeColor="text1"/>
        </w:rPr>
      </w:pPr>
      <w:r w:rsidRPr="004C5551">
        <w:rPr>
          <w:color w:val="000000" w:themeColor="text1"/>
        </w:rPr>
        <w:t xml:space="preserve">Poznámky: Údaje o chudobe sú počítané ŠÚ SR na základe EU SILC, referenčný rok pre zisťovanie príjmu je predchádzajúci rok, </w:t>
      </w:r>
      <w:r>
        <w:rPr>
          <w:color w:val="000000" w:themeColor="text1"/>
        </w:rPr>
        <w:t xml:space="preserve">e – odhad, </w:t>
      </w:r>
      <w:r w:rsidRPr="004C5551">
        <w:rPr>
          <w:color w:val="000000" w:themeColor="text1"/>
        </w:rPr>
        <w:t>v roku 2011 v SR zmena v časovom rade pri miere nezamestnanosti 20 – 64 ročných a</w:t>
      </w:r>
      <w:r>
        <w:rPr>
          <w:color w:val="000000" w:themeColor="text1"/>
        </w:rPr>
        <w:t xml:space="preserve"> v roku 2014 pri </w:t>
      </w:r>
      <w:r w:rsidRPr="004C5551">
        <w:rPr>
          <w:color w:val="000000" w:themeColor="text1"/>
        </w:rPr>
        <w:t>podiele osôb predčasne opúšťajúcich vzdelávací systém</w:t>
      </w:r>
    </w:p>
    <w:p w:rsidR="00352824" w:rsidRDefault="00352824" w:rsidP="000A7585">
      <w:pPr>
        <w:rPr>
          <w:highlight w:val="cyan"/>
        </w:rPr>
        <w:sectPr w:rsidR="00352824" w:rsidSect="004F3C97">
          <w:headerReference w:type="even" r:id="rId90"/>
          <w:headerReference w:type="default" r:id="rId91"/>
          <w:type w:val="oddPage"/>
          <w:pgSz w:w="11906" w:h="16838"/>
          <w:pgMar w:top="1417" w:right="1417" w:bottom="1417" w:left="1417" w:header="708" w:footer="708" w:gutter="0"/>
          <w:cols w:space="708"/>
          <w:docGrid w:linePitch="360"/>
        </w:sectPr>
      </w:pPr>
    </w:p>
    <w:p w:rsidR="000A7585" w:rsidRPr="00AE6EDB" w:rsidRDefault="000A7585" w:rsidP="000A7585">
      <w:pPr>
        <w:rPr>
          <w:highlight w:val="cyan"/>
        </w:rPr>
        <w:sectPr w:rsidR="000A7585" w:rsidRPr="00AE6EDB" w:rsidSect="00352824">
          <w:headerReference w:type="even" r:id="rId92"/>
          <w:type w:val="evenPage"/>
          <w:pgSz w:w="11906" w:h="16838"/>
          <w:pgMar w:top="1417" w:right="1417" w:bottom="1417" w:left="1417" w:header="708" w:footer="708" w:gutter="0"/>
          <w:cols w:space="708"/>
          <w:docGrid w:linePitch="360"/>
        </w:sectPr>
      </w:pPr>
    </w:p>
    <w:p w:rsidR="000A7585" w:rsidRPr="00B15463" w:rsidRDefault="000A7585" w:rsidP="000A7585">
      <w:pPr>
        <w:pStyle w:val="Nadpis1"/>
        <w:numPr>
          <w:ilvl w:val="0"/>
          <w:numId w:val="0"/>
        </w:numPr>
        <w:ind w:left="432" w:hanging="432"/>
      </w:pPr>
      <w:bookmarkStart w:id="763" w:name="_Toc325438307"/>
      <w:bookmarkStart w:id="764" w:name="_Toc356482784"/>
      <w:bookmarkStart w:id="765" w:name="_Toc356482803"/>
      <w:bookmarkStart w:id="766" w:name="_Toc356482826"/>
      <w:bookmarkStart w:id="767" w:name="_Toc422233448"/>
      <w:bookmarkStart w:id="768" w:name="_Toc452469907"/>
      <w:bookmarkStart w:id="769" w:name="_Toc313879676"/>
      <w:r w:rsidRPr="00B15463">
        <w:t>Zoznam príloh</w:t>
      </w:r>
      <w:bookmarkEnd w:id="763"/>
      <w:bookmarkEnd w:id="764"/>
      <w:bookmarkEnd w:id="765"/>
      <w:bookmarkEnd w:id="766"/>
      <w:bookmarkEnd w:id="767"/>
      <w:bookmarkEnd w:id="768"/>
    </w:p>
    <w:p w:rsidR="000A7585" w:rsidRPr="00AE6EDB" w:rsidRDefault="000A7585" w:rsidP="000A7585">
      <w:pPr>
        <w:rPr>
          <w:highlight w:val="cyan"/>
        </w:rPr>
      </w:pPr>
    </w:p>
    <w:p w:rsidR="000A7585" w:rsidRPr="00AE6EDB" w:rsidRDefault="000A7585" w:rsidP="000A7585">
      <w:pPr>
        <w:pStyle w:val="nadpis2"/>
        <w:numPr>
          <w:ilvl w:val="0"/>
          <w:numId w:val="0"/>
        </w:numPr>
      </w:pPr>
      <w:bookmarkStart w:id="770" w:name="_Toc356482785"/>
      <w:bookmarkStart w:id="771" w:name="_Toc356482827"/>
      <w:bookmarkStart w:id="772" w:name="_Toc388534239"/>
      <w:bookmarkStart w:id="773" w:name="_Toc389646861"/>
      <w:bookmarkStart w:id="774" w:name="_Toc394062239"/>
      <w:bookmarkStart w:id="775" w:name="_Toc418672281"/>
      <w:bookmarkStart w:id="776" w:name="_Toc419355266"/>
      <w:bookmarkStart w:id="777" w:name="_Toc419795389"/>
      <w:bookmarkStart w:id="778" w:name="_Toc422151009"/>
      <w:bookmarkStart w:id="779" w:name="_Toc422233449"/>
      <w:bookmarkStart w:id="780" w:name="_Toc448846143"/>
      <w:bookmarkStart w:id="781" w:name="_Toc452469908"/>
      <w:r w:rsidRPr="00AE6EDB">
        <w:t>Príloha ku kapitole 1</w:t>
      </w:r>
      <w:bookmarkEnd w:id="770"/>
      <w:bookmarkEnd w:id="771"/>
      <w:bookmarkEnd w:id="772"/>
      <w:bookmarkEnd w:id="773"/>
      <w:bookmarkEnd w:id="774"/>
      <w:bookmarkEnd w:id="775"/>
      <w:bookmarkEnd w:id="776"/>
      <w:bookmarkEnd w:id="777"/>
      <w:bookmarkEnd w:id="778"/>
      <w:bookmarkEnd w:id="779"/>
      <w:bookmarkEnd w:id="780"/>
      <w:bookmarkEnd w:id="781"/>
      <w:r w:rsidRPr="00AE6EDB">
        <w:tab/>
      </w:r>
    </w:p>
    <w:p w:rsidR="000A7585" w:rsidRPr="00AE6EDB" w:rsidRDefault="000A7585" w:rsidP="000A7585">
      <w:pPr>
        <w:tabs>
          <w:tab w:val="left" w:pos="1418"/>
        </w:tabs>
        <w:rPr>
          <w:color w:val="000000" w:themeColor="text1"/>
        </w:rPr>
      </w:pPr>
      <w:r w:rsidRPr="00AE6EDB">
        <w:rPr>
          <w:color w:val="000000" w:themeColor="text1"/>
        </w:rPr>
        <w:t>Tabuľka 1</w:t>
      </w:r>
      <w:r w:rsidRPr="00AE6EDB">
        <w:rPr>
          <w:color w:val="000000" w:themeColor="text1"/>
        </w:rPr>
        <w:tab/>
        <w:t>Základné ukazovatele ekonomického vývoja SR</w:t>
      </w:r>
    </w:p>
    <w:p w:rsidR="000A7585" w:rsidRPr="00AE6EDB" w:rsidRDefault="000A7585" w:rsidP="000A7585">
      <w:pPr>
        <w:tabs>
          <w:tab w:val="left" w:pos="1418"/>
        </w:tabs>
        <w:rPr>
          <w:color w:val="000000" w:themeColor="text1"/>
        </w:rPr>
      </w:pPr>
      <w:r w:rsidRPr="00AE6EDB">
        <w:rPr>
          <w:color w:val="000000" w:themeColor="text1"/>
        </w:rPr>
        <w:t>Tabuľka 2</w:t>
      </w:r>
      <w:r w:rsidRPr="00AE6EDB">
        <w:rPr>
          <w:color w:val="000000" w:themeColor="text1"/>
        </w:rPr>
        <w:tab/>
        <w:t>Indexy spotrebiteľských cien</w:t>
      </w:r>
    </w:p>
    <w:p w:rsidR="000A7585" w:rsidRPr="00AE6EDB" w:rsidRDefault="000A7585" w:rsidP="000A7585">
      <w:pPr>
        <w:tabs>
          <w:tab w:val="left" w:pos="1418"/>
        </w:tabs>
        <w:rPr>
          <w:color w:val="000000" w:themeColor="text1"/>
        </w:rPr>
      </w:pPr>
      <w:r w:rsidRPr="00AE6EDB">
        <w:rPr>
          <w:color w:val="000000" w:themeColor="text1"/>
        </w:rPr>
        <w:t>Tabuľka 3</w:t>
      </w:r>
      <w:r w:rsidRPr="00AE6EDB">
        <w:rPr>
          <w:color w:val="000000" w:themeColor="text1"/>
        </w:rPr>
        <w:tab/>
        <w:t>Výstavba a úbytok bytov</w:t>
      </w:r>
    </w:p>
    <w:p w:rsidR="000A7585" w:rsidRPr="00AE6EDB" w:rsidRDefault="000A7585" w:rsidP="000A7585">
      <w:pPr>
        <w:tabs>
          <w:tab w:val="left" w:pos="2655"/>
        </w:tabs>
        <w:rPr>
          <w:color w:val="000000" w:themeColor="text1"/>
        </w:rPr>
      </w:pPr>
      <w:r w:rsidRPr="00AE6EDB">
        <w:rPr>
          <w:color w:val="000000" w:themeColor="text1"/>
        </w:rPr>
        <w:tab/>
      </w:r>
    </w:p>
    <w:p w:rsidR="000A7585" w:rsidRPr="00AE6EDB" w:rsidRDefault="000A7585" w:rsidP="000A7585">
      <w:pPr>
        <w:pStyle w:val="nadpis2"/>
        <w:numPr>
          <w:ilvl w:val="0"/>
          <w:numId w:val="0"/>
        </w:numPr>
      </w:pPr>
      <w:bookmarkStart w:id="782" w:name="_Toc356482786"/>
      <w:bookmarkStart w:id="783" w:name="_Toc356482828"/>
      <w:bookmarkStart w:id="784" w:name="_Toc388534240"/>
      <w:bookmarkStart w:id="785" w:name="_Toc389646862"/>
      <w:bookmarkStart w:id="786" w:name="_Toc394062240"/>
      <w:bookmarkStart w:id="787" w:name="_Toc418672282"/>
      <w:bookmarkStart w:id="788" w:name="_Toc419355267"/>
      <w:bookmarkStart w:id="789" w:name="_Toc419795390"/>
      <w:bookmarkStart w:id="790" w:name="_Toc422151010"/>
      <w:bookmarkStart w:id="791" w:name="_Toc422233450"/>
      <w:bookmarkStart w:id="792" w:name="_Toc448846144"/>
      <w:bookmarkStart w:id="793" w:name="_Toc452469909"/>
      <w:r w:rsidRPr="00AE6EDB">
        <w:t>Príloha ku kapitole 2</w:t>
      </w:r>
      <w:bookmarkEnd w:id="782"/>
      <w:bookmarkEnd w:id="783"/>
      <w:bookmarkEnd w:id="784"/>
      <w:bookmarkEnd w:id="785"/>
      <w:bookmarkEnd w:id="786"/>
      <w:bookmarkEnd w:id="787"/>
      <w:bookmarkEnd w:id="788"/>
      <w:bookmarkEnd w:id="789"/>
      <w:bookmarkEnd w:id="790"/>
      <w:bookmarkEnd w:id="791"/>
      <w:bookmarkEnd w:id="792"/>
      <w:bookmarkEnd w:id="793"/>
      <w:r w:rsidRPr="00AE6EDB">
        <w:tab/>
      </w:r>
    </w:p>
    <w:p w:rsidR="000A7585" w:rsidRPr="00AE6EDB" w:rsidRDefault="000A7585" w:rsidP="000A7585">
      <w:pPr>
        <w:tabs>
          <w:tab w:val="left" w:pos="1418"/>
        </w:tabs>
        <w:rPr>
          <w:color w:val="000000" w:themeColor="text1"/>
        </w:rPr>
      </w:pPr>
      <w:r w:rsidRPr="00AE6EDB">
        <w:rPr>
          <w:color w:val="000000" w:themeColor="text1"/>
        </w:rPr>
        <w:t>Tabuľka 1</w:t>
      </w:r>
      <w:r w:rsidRPr="00AE6EDB">
        <w:rPr>
          <w:color w:val="000000" w:themeColor="text1"/>
        </w:rPr>
        <w:tab/>
        <w:t>Miera zamestnanosti podľa veku a vzdelania v roku 201</w:t>
      </w:r>
      <w:r w:rsidR="00C25322" w:rsidRPr="00AE6EDB">
        <w:rPr>
          <w:color w:val="000000" w:themeColor="text1"/>
        </w:rPr>
        <w:t>5</w:t>
      </w:r>
      <w:r w:rsidRPr="00AE6EDB">
        <w:rPr>
          <w:color w:val="000000" w:themeColor="text1"/>
        </w:rPr>
        <w:t xml:space="preserve"> (priemer za rok v</w:t>
      </w:r>
      <w:r w:rsidR="005676EF">
        <w:rPr>
          <w:color w:val="000000" w:themeColor="text1"/>
        </w:rPr>
        <w:t> %</w:t>
      </w:r>
      <w:r w:rsidRPr="00AE6EDB">
        <w:rPr>
          <w:color w:val="000000" w:themeColor="text1"/>
        </w:rPr>
        <w:t>)</w:t>
      </w:r>
    </w:p>
    <w:p w:rsidR="000A7585" w:rsidRPr="00AE6EDB" w:rsidRDefault="000A7585" w:rsidP="000A7585">
      <w:pPr>
        <w:tabs>
          <w:tab w:val="left" w:pos="1418"/>
        </w:tabs>
        <w:rPr>
          <w:color w:val="000000" w:themeColor="text1"/>
        </w:rPr>
      </w:pPr>
      <w:r w:rsidRPr="00AE6EDB">
        <w:rPr>
          <w:color w:val="000000" w:themeColor="text1"/>
        </w:rPr>
        <w:t>Tabuľka 2</w:t>
      </w:r>
      <w:r w:rsidRPr="00AE6EDB">
        <w:rPr>
          <w:color w:val="000000" w:themeColor="text1"/>
        </w:rPr>
        <w:tab/>
        <w:t>Odvetvová štruktúra zamestnanosti podľa SK NACE Rev. 2</w:t>
      </w:r>
    </w:p>
    <w:p w:rsidR="000A7585" w:rsidRPr="00AE6EDB" w:rsidRDefault="000A7585" w:rsidP="000A7585">
      <w:pPr>
        <w:tabs>
          <w:tab w:val="left" w:pos="1418"/>
        </w:tabs>
        <w:rPr>
          <w:color w:val="000000" w:themeColor="text1"/>
        </w:rPr>
      </w:pPr>
      <w:r w:rsidRPr="00AE6EDB">
        <w:rPr>
          <w:color w:val="000000" w:themeColor="text1"/>
        </w:rPr>
        <w:t>Tabuľka 3</w:t>
      </w:r>
      <w:r w:rsidRPr="00AE6EDB">
        <w:rPr>
          <w:color w:val="000000" w:themeColor="text1"/>
        </w:rPr>
        <w:tab/>
        <w:t>Miera nezamestnanosti podľa veku a vzdelania v roku 201</w:t>
      </w:r>
      <w:r w:rsidR="00C25322" w:rsidRPr="00AE6EDB">
        <w:rPr>
          <w:color w:val="000000" w:themeColor="text1"/>
        </w:rPr>
        <w:t>5</w:t>
      </w:r>
      <w:r w:rsidRPr="00AE6EDB">
        <w:rPr>
          <w:color w:val="000000" w:themeColor="text1"/>
        </w:rPr>
        <w:t xml:space="preserve"> (priemer za rok v</w:t>
      </w:r>
      <w:r w:rsidR="005676EF">
        <w:rPr>
          <w:color w:val="000000" w:themeColor="text1"/>
        </w:rPr>
        <w:t> %</w:t>
      </w:r>
      <w:r w:rsidRPr="00AE6EDB">
        <w:rPr>
          <w:color w:val="000000" w:themeColor="text1"/>
        </w:rPr>
        <w:t xml:space="preserve">) </w:t>
      </w:r>
    </w:p>
    <w:p w:rsidR="000A7585" w:rsidRPr="00AE6EDB" w:rsidRDefault="000A7585" w:rsidP="000A7585">
      <w:pPr>
        <w:tabs>
          <w:tab w:val="left" w:pos="1418"/>
        </w:tabs>
        <w:rPr>
          <w:color w:val="000000" w:themeColor="text1"/>
        </w:rPr>
      </w:pPr>
      <w:r w:rsidRPr="00AE6EDB">
        <w:t>Tabuľka 4</w:t>
      </w:r>
      <w:r w:rsidRPr="00AE6EDB">
        <w:tab/>
        <w:t>Stav uchádzačov o zamestnanie absolventov škôl ku koncu roka 201</w:t>
      </w:r>
      <w:r w:rsidR="00C25322" w:rsidRPr="00AE6EDB">
        <w:t>5</w:t>
      </w:r>
    </w:p>
    <w:p w:rsidR="000A7585" w:rsidRPr="00AE6EDB" w:rsidRDefault="000A7585" w:rsidP="000A7585">
      <w:pPr>
        <w:tabs>
          <w:tab w:val="left" w:pos="1418"/>
        </w:tabs>
        <w:ind w:left="709" w:hanging="709"/>
        <w:rPr>
          <w:color w:val="000000" w:themeColor="text1"/>
        </w:rPr>
      </w:pPr>
      <w:r w:rsidRPr="00AE6EDB">
        <w:rPr>
          <w:color w:val="000000" w:themeColor="text1"/>
        </w:rPr>
        <w:t>Tabuľka 5</w:t>
      </w:r>
      <w:r w:rsidRPr="00AE6EDB">
        <w:rPr>
          <w:color w:val="000000" w:themeColor="text1"/>
        </w:rPr>
        <w:tab/>
        <w:t>Nástroje aktívnych opatrení trhu práce</w:t>
      </w:r>
    </w:p>
    <w:p w:rsidR="000A7585" w:rsidRPr="00AE6EDB" w:rsidRDefault="000A7585" w:rsidP="000A7585">
      <w:pPr>
        <w:tabs>
          <w:tab w:val="left" w:pos="1418"/>
        </w:tabs>
        <w:ind w:left="709" w:hanging="709"/>
        <w:rPr>
          <w:color w:val="000000" w:themeColor="text1"/>
        </w:rPr>
      </w:pPr>
      <w:r w:rsidRPr="00AE6EDB">
        <w:rPr>
          <w:color w:val="000000" w:themeColor="text1"/>
        </w:rPr>
        <w:tab/>
      </w:r>
      <w:r w:rsidRPr="00AE6EDB">
        <w:rPr>
          <w:color w:val="000000" w:themeColor="text1"/>
        </w:rPr>
        <w:tab/>
        <w:t>Prehľad realizácie aktívnych opatrení na trhu práce</w:t>
      </w:r>
    </w:p>
    <w:p w:rsidR="00C25322" w:rsidRPr="00AE6EDB" w:rsidRDefault="00C25322" w:rsidP="000A7585">
      <w:pPr>
        <w:tabs>
          <w:tab w:val="left" w:pos="1418"/>
        </w:tabs>
        <w:ind w:left="709" w:hanging="709"/>
        <w:rPr>
          <w:color w:val="000000" w:themeColor="text1"/>
        </w:rPr>
      </w:pPr>
      <w:r w:rsidRPr="00AE6EDB">
        <w:rPr>
          <w:color w:val="000000" w:themeColor="text1"/>
        </w:rPr>
        <w:t>Tabuľka 6</w:t>
      </w:r>
      <w:r w:rsidRPr="00AE6EDB">
        <w:rPr>
          <w:color w:val="000000" w:themeColor="text1"/>
        </w:rPr>
        <w:tab/>
        <w:t>Priemerná mesačná nominálna mzda a jej rast v rokoch 2014 a 2015 podľa krajov</w:t>
      </w:r>
    </w:p>
    <w:p w:rsidR="00C25322" w:rsidRPr="00AE6EDB" w:rsidRDefault="000A7585" w:rsidP="000A7585">
      <w:pPr>
        <w:tabs>
          <w:tab w:val="left" w:pos="1418"/>
        </w:tabs>
        <w:ind w:left="1418" w:hanging="1418"/>
        <w:rPr>
          <w:color w:val="000000" w:themeColor="text1"/>
        </w:rPr>
      </w:pPr>
      <w:r w:rsidRPr="00AE6EDB">
        <w:rPr>
          <w:color w:val="000000" w:themeColor="text1"/>
        </w:rPr>
        <w:t xml:space="preserve">Tabuľka </w:t>
      </w:r>
      <w:r w:rsidR="00C25322" w:rsidRPr="00AE6EDB">
        <w:rPr>
          <w:color w:val="000000" w:themeColor="text1"/>
        </w:rPr>
        <w:t>7</w:t>
      </w:r>
      <w:r w:rsidRPr="00AE6EDB">
        <w:rPr>
          <w:color w:val="000000" w:themeColor="text1"/>
        </w:rPr>
        <w:tab/>
      </w:r>
      <w:r w:rsidR="00C25322" w:rsidRPr="00AE6EDB">
        <w:rPr>
          <w:color w:val="000000" w:themeColor="text1"/>
        </w:rPr>
        <w:t>Priemerná hrubá mesačná mzda v podnikateľskej a nepodnikateľskej sfére podľa veku – rok 2015</w:t>
      </w:r>
    </w:p>
    <w:p w:rsidR="00C25322" w:rsidRPr="00AE6EDB" w:rsidRDefault="00C25322" w:rsidP="00C25322">
      <w:pPr>
        <w:tabs>
          <w:tab w:val="left" w:pos="1418"/>
        </w:tabs>
        <w:ind w:left="1418" w:hanging="1418"/>
        <w:rPr>
          <w:color w:val="000000" w:themeColor="text1"/>
        </w:rPr>
      </w:pPr>
      <w:r w:rsidRPr="00AE6EDB">
        <w:rPr>
          <w:color w:val="000000" w:themeColor="text1"/>
        </w:rPr>
        <w:t>Tabuľka 8</w:t>
      </w:r>
      <w:r w:rsidRPr="00AE6EDB">
        <w:rPr>
          <w:color w:val="000000" w:themeColor="text1"/>
        </w:rPr>
        <w:tab/>
        <w:t>Priemerná hrubá mesačná mzda v podnikateľskej a nepodnikateľskej sfére podľa regiónov – rok 2015</w:t>
      </w:r>
    </w:p>
    <w:p w:rsidR="00C25322" w:rsidRPr="00AE6EDB" w:rsidRDefault="00C25322" w:rsidP="000A7585">
      <w:pPr>
        <w:tabs>
          <w:tab w:val="left" w:pos="1418"/>
        </w:tabs>
        <w:ind w:left="1418" w:hanging="1418"/>
        <w:rPr>
          <w:color w:val="000000" w:themeColor="text1"/>
        </w:rPr>
      </w:pPr>
      <w:r w:rsidRPr="00AE6EDB">
        <w:rPr>
          <w:color w:val="000000" w:themeColor="text1"/>
        </w:rPr>
        <w:t>Tabuľka 9</w:t>
      </w:r>
      <w:r w:rsidRPr="00AE6EDB">
        <w:rPr>
          <w:color w:val="000000" w:themeColor="text1"/>
        </w:rPr>
        <w:tab/>
        <w:t>Priemerná hrubá mesačná mzda a vybrané zložky mzdy zamestnancov podľa pohlavia – rok 2015</w:t>
      </w:r>
    </w:p>
    <w:p w:rsidR="00C25322" w:rsidRPr="00AE6EDB" w:rsidRDefault="00C25322" w:rsidP="00C25322">
      <w:pPr>
        <w:tabs>
          <w:tab w:val="left" w:pos="1418"/>
        </w:tabs>
        <w:ind w:left="1418" w:hanging="1418"/>
        <w:rPr>
          <w:color w:val="000000" w:themeColor="text1"/>
        </w:rPr>
      </w:pPr>
      <w:r w:rsidRPr="00AE6EDB">
        <w:rPr>
          <w:color w:val="000000" w:themeColor="text1"/>
        </w:rPr>
        <w:t>Tabuľka 10</w:t>
      </w:r>
      <w:r w:rsidRPr="00AE6EDB">
        <w:rPr>
          <w:color w:val="000000" w:themeColor="text1"/>
        </w:rPr>
        <w:tab/>
        <w:t>Priemerná hrubá mesačná mzda v podnikateľskej a nepodnikateľskej sfére podľa stupňov vzdelania (plný pracovný čas) – rok 2015</w:t>
      </w:r>
    </w:p>
    <w:p w:rsidR="000A7585" w:rsidRPr="00AE6EDB" w:rsidRDefault="000A7585" w:rsidP="000A7585">
      <w:pPr>
        <w:tabs>
          <w:tab w:val="left" w:pos="1418"/>
        </w:tabs>
        <w:ind w:left="1418" w:hanging="1418"/>
        <w:rPr>
          <w:color w:val="000000" w:themeColor="text1"/>
        </w:rPr>
      </w:pPr>
      <w:r w:rsidRPr="00AE6EDB">
        <w:rPr>
          <w:color w:val="000000" w:themeColor="text1"/>
        </w:rPr>
        <w:t xml:space="preserve">Tabuľka </w:t>
      </w:r>
      <w:r w:rsidR="000C264A" w:rsidRPr="00AE6EDB">
        <w:rPr>
          <w:color w:val="000000" w:themeColor="text1"/>
        </w:rPr>
        <w:t>11</w:t>
      </w:r>
      <w:r w:rsidRPr="00AE6EDB">
        <w:rPr>
          <w:color w:val="000000" w:themeColor="text1"/>
        </w:rPr>
        <w:tab/>
        <w:t xml:space="preserve">Priemerná hrubá mesačná mzda v podnikateľskej a nepodnikateľskej sfére podľa hlavnej triedy </w:t>
      </w:r>
      <w:r w:rsidRPr="00AE6EDB">
        <w:t>SK ISCO-08</w:t>
      </w:r>
      <w:r w:rsidRPr="00AE6EDB">
        <w:rPr>
          <w:color w:val="000000" w:themeColor="text1"/>
        </w:rPr>
        <w:t xml:space="preserve"> a pohlavia (plný pracovný čas) – 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2</w:t>
      </w:r>
      <w:r w:rsidRPr="00AE6EDB">
        <w:rPr>
          <w:color w:val="000000" w:themeColor="text1"/>
        </w:rPr>
        <w:tab/>
        <w:t>Podiely zamestnancov v pásmach priemernej hrubej mesačnej mzdy – 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3</w:t>
      </w:r>
      <w:r w:rsidRPr="00AE6EDB">
        <w:rPr>
          <w:color w:val="000000" w:themeColor="text1"/>
        </w:rPr>
        <w:tab/>
        <w:t>Priemerný hodinový zárobok podľa krajov v podnikateľskej sfére – 4. štvrťrok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4</w:t>
      </w:r>
      <w:r w:rsidRPr="00AE6EDB">
        <w:rPr>
          <w:color w:val="000000" w:themeColor="text1"/>
        </w:rPr>
        <w:tab/>
        <w:t>Priemerný hodinový zárobok podľa odvetví v podnikateľskej sfére – 4. štvrťrok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5</w:t>
      </w:r>
      <w:r w:rsidRPr="00AE6EDB">
        <w:rPr>
          <w:color w:val="000000" w:themeColor="text1"/>
        </w:rPr>
        <w:tab/>
        <w:t>Priemerný hodinový zárobok podľa veľkosti organizácie v podnikateľskej sfére –4. štvrťrok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6</w:t>
      </w:r>
      <w:r w:rsidRPr="00AE6EDB">
        <w:rPr>
          <w:color w:val="000000" w:themeColor="text1"/>
        </w:rPr>
        <w:tab/>
        <w:t>Priemerný hodinový zárobok podľa veku v podnikateľskej sfére – 4. štvrťrok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7</w:t>
      </w:r>
      <w:r w:rsidRPr="00AE6EDB">
        <w:rPr>
          <w:color w:val="000000" w:themeColor="text1"/>
        </w:rPr>
        <w:tab/>
        <w:t>Priemerný hodinový zárobok podľa rodového členenia v podnikateľskej sfére – 4. štvrťrok 201</w:t>
      </w:r>
      <w:r w:rsidR="000C264A" w:rsidRPr="00AE6EDB">
        <w:rPr>
          <w:color w:val="000000" w:themeColor="text1"/>
        </w:rPr>
        <w:t>5</w:t>
      </w:r>
    </w:p>
    <w:p w:rsidR="000A7585" w:rsidRPr="00AE6EDB" w:rsidRDefault="000A7585" w:rsidP="000A7585">
      <w:pPr>
        <w:tabs>
          <w:tab w:val="left" w:pos="1418"/>
        </w:tabs>
        <w:ind w:left="1418" w:hanging="1418"/>
        <w:rPr>
          <w:color w:val="000000" w:themeColor="text1"/>
        </w:rPr>
      </w:pPr>
      <w:r w:rsidRPr="00AE6EDB">
        <w:rPr>
          <w:color w:val="000000" w:themeColor="text1"/>
        </w:rPr>
        <w:t>Tabuľka 1</w:t>
      </w:r>
      <w:r w:rsidR="000C264A" w:rsidRPr="00AE6EDB">
        <w:rPr>
          <w:color w:val="000000" w:themeColor="text1"/>
        </w:rPr>
        <w:t>8</w:t>
      </w:r>
      <w:r w:rsidRPr="00AE6EDB">
        <w:rPr>
          <w:color w:val="000000" w:themeColor="text1"/>
        </w:rPr>
        <w:tab/>
        <w:t>Mesačné náklady práce na zamestnanca v SR za rok 201</w:t>
      </w:r>
      <w:r w:rsidR="000C264A" w:rsidRPr="00AE6EDB">
        <w:rPr>
          <w:color w:val="000000" w:themeColor="text1"/>
        </w:rPr>
        <w:t>4</w:t>
      </w:r>
      <w:r w:rsidRPr="00AE6EDB">
        <w:rPr>
          <w:color w:val="000000" w:themeColor="text1"/>
        </w:rPr>
        <w:t xml:space="preserve"> podľa odvetví</w:t>
      </w:r>
    </w:p>
    <w:p w:rsidR="000A7585" w:rsidRPr="00AE6EDB" w:rsidRDefault="000A7585" w:rsidP="000A7585">
      <w:pPr>
        <w:tabs>
          <w:tab w:val="left" w:pos="1418"/>
        </w:tabs>
        <w:ind w:left="1418" w:hanging="1418"/>
        <w:rPr>
          <w:highlight w:val="cyan"/>
        </w:rPr>
      </w:pPr>
    </w:p>
    <w:p w:rsidR="000A7585" w:rsidRPr="00AE6EDB" w:rsidRDefault="000A7585" w:rsidP="000A7585">
      <w:pPr>
        <w:pStyle w:val="nadpis2"/>
        <w:numPr>
          <w:ilvl w:val="0"/>
          <w:numId w:val="0"/>
        </w:numPr>
      </w:pPr>
      <w:bookmarkStart w:id="794" w:name="_Toc356482787"/>
      <w:bookmarkStart w:id="795" w:name="_Toc356482829"/>
      <w:bookmarkStart w:id="796" w:name="_Toc388534241"/>
      <w:bookmarkStart w:id="797" w:name="_Toc389646863"/>
      <w:bookmarkStart w:id="798" w:name="_Toc394062241"/>
      <w:bookmarkStart w:id="799" w:name="_Toc418672283"/>
      <w:bookmarkStart w:id="800" w:name="_Toc419355268"/>
      <w:bookmarkStart w:id="801" w:name="_Toc419795391"/>
      <w:bookmarkStart w:id="802" w:name="_Toc422151011"/>
      <w:bookmarkStart w:id="803" w:name="_Toc422233451"/>
      <w:bookmarkStart w:id="804" w:name="_Toc448846145"/>
      <w:bookmarkStart w:id="805" w:name="_Toc452469910"/>
      <w:r w:rsidRPr="00AE6EDB">
        <w:t>Príloha ku kapitole 3</w:t>
      </w:r>
      <w:bookmarkEnd w:id="794"/>
      <w:bookmarkEnd w:id="795"/>
      <w:bookmarkEnd w:id="796"/>
      <w:bookmarkEnd w:id="797"/>
      <w:bookmarkEnd w:id="798"/>
      <w:bookmarkEnd w:id="799"/>
      <w:bookmarkEnd w:id="800"/>
      <w:bookmarkEnd w:id="801"/>
      <w:bookmarkEnd w:id="802"/>
      <w:bookmarkEnd w:id="803"/>
      <w:bookmarkEnd w:id="804"/>
      <w:bookmarkEnd w:id="805"/>
      <w:r w:rsidRPr="00AE6EDB">
        <w:tab/>
      </w:r>
    </w:p>
    <w:p w:rsidR="000A7585" w:rsidRPr="00AE6EDB" w:rsidRDefault="000A7585" w:rsidP="000A7585">
      <w:pPr>
        <w:ind w:left="1418" w:hanging="1418"/>
        <w:rPr>
          <w:color w:val="000000" w:themeColor="text1"/>
        </w:rPr>
      </w:pPr>
      <w:r w:rsidRPr="00AE6EDB">
        <w:rPr>
          <w:color w:val="000000" w:themeColor="text1"/>
        </w:rPr>
        <w:t xml:space="preserve">Tabuľka 1 </w:t>
      </w:r>
      <w:r w:rsidRPr="00AE6EDB">
        <w:rPr>
          <w:color w:val="000000" w:themeColor="text1"/>
        </w:rPr>
        <w:tab/>
        <w:t>Výdavky základného fondu nemocenského poistenia (ZFNP) a nemocenské dávky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2</w:t>
      </w:r>
      <w:r w:rsidRPr="00AE6EDB">
        <w:rPr>
          <w:color w:val="000000" w:themeColor="text1"/>
        </w:rPr>
        <w:tab/>
        <w:t>Počet poberateľov samostatne vyplácaných dôchodkov a v súbehu s vdovským, resp. vdoveckým dôchodkom k 31.12.201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3 </w:t>
      </w:r>
      <w:r w:rsidRPr="00AE6EDB">
        <w:rPr>
          <w:color w:val="000000" w:themeColor="text1"/>
        </w:rPr>
        <w:tab/>
        <w:t>Počet poberateľov dôchodku a výška sólo dôchodkovej dávky podľa pohlavia</w:t>
      </w:r>
    </w:p>
    <w:p w:rsidR="000A7585" w:rsidRPr="00AE6EDB" w:rsidRDefault="000A7585" w:rsidP="000A7585">
      <w:pPr>
        <w:ind w:left="1418" w:hanging="1418"/>
        <w:rPr>
          <w:color w:val="000000" w:themeColor="text1"/>
        </w:rPr>
      </w:pPr>
      <w:r w:rsidRPr="00AE6EDB">
        <w:rPr>
          <w:color w:val="000000" w:themeColor="text1"/>
        </w:rPr>
        <w:t xml:space="preserve">Tabuľka 4 </w:t>
      </w:r>
      <w:r w:rsidRPr="00AE6EDB">
        <w:rPr>
          <w:color w:val="000000" w:themeColor="text1"/>
        </w:rPr>
        <w:tab/>
        <w:t>Rozdelenie poberateľov podľa výšky dôchodkových dávok k 31. 12.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5 </w:t>
      </w:r>
      <w:r w:rsidRPr="00AE6EDB">
        <w:rPr>
          <w:color w:val="000000" w:themeColor="text1"/>
        </w:rPr>
        <w:tab/>
        <w:t>Prehľad výdavkov na dôchodkové dávky k 31. 12.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6 </w:t>
      </w:r>
      <w:r w:rsidRPr="00AE6EDB">
        <w:rPr>
          <w:color w:val="000000" w:themeColor="text1"/>
        </w:rPr>
        <w:tab/>
        <w:t>Výdavky základného fondu úrazového poistenia (ZFÚP)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7 </w:t>
      </w:r>
      <w:r w:rsidRPr="00AE6EDB">
        <w:rPr>
          <w:color w:val="000000" w:themeColor="text1"/>
        </w:rPr>
        <w:tab/>
        <w:t>Priemerná výška a počet vyplatených dávok úrazového poistenia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8 </w:t>
      </w:r>
      <w:r w:rsidRPr="00AE6EDB">
        <w:rPr>
          <w:color w:val="000000" w:themeColor="text1"/>
        </w:rPr>
        <w:tab/>
        <w:t>Štátne dávky týkajúce sa úrazového poistenia</w:t>
      </w:r>
    </w:p>
    <w:p w:rsidR="000A7585" w:rsidRPr="00AE6EDB" w:rsidRDefault="000A7585" w:rsidP="000A7585">
      <w:pPr>
        <w:ind w:left="1418" w:hanging="1418"/>
        <w:rPr>
          <w:color w:val="000000" w:themeColor="text1"/>
        </w:rPr>
      </w:pPr>
      <w:r w:rsidRPr="00AE6EDB">
        <w:rPr>
          <w:color w:val="000000" w:themeColor="text1"/>
        </w:rPr>
        <w:t xml:space="preserve">Tabuľka 9 </w:t>
      </w:r>
      <w:r w:rsidRPr="00AE6EDB">
        <w:rPr>
          <w:color w:val="000000" w:themeColor="text1"/>
        </w:rPr>
        <w:tab/>
        <w:t>Výdavky základného fondu garančného poistenia (ZFGP)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10</w:t>
      </w:r>
      <w:r w:rsidRPr="00AE6EDB">
        <w:rPr>
          <w:color w:val="000000" w:themeColor="text1"/>
        </w:rPr>
        <w:tab/>
        <w:t>Vyplatené dávky v nezamestnanosti, počet prípadov a priemerná výška dávky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11</w:t>
      </w:r>
      <w:r w:rsidRPr="00AE6EDB">
        <w:rPr>
          <w:color w:val="000000" w:themeColor="text1"/>
        </w:rPr>
        <w:tab/>
        <w:t>Počet poberateľov dávky v nezamestnanosti v členení podľa veku a pohlavia za rok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Graf 1 </w:t>
      </w:r>
      <w:r w:rsidRPr="00AE6EDB">
        <w:rPr>
          <w:color w:val="000000" w:themeColor="text1"/>
        </w:rPr>
        <w:tab/>
        <w:t>Rozdelenie sporiteľov v II. pilieri podľa veku k 31. 12.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Graf 2 </w:t>
      </w:r>
      <w:r w:rsidRPr="00AE6EDB">
        <w:rPr>
          <w:color w:val="000000" w:themeColor="text1"/>
        </w:rPr>
        <w:tab/>
        <w:t>Veková štruktúra sporiteľov v II. pilieri k 31. 12.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12</w:t>
      </w:r>
      <w:r w:rsidRPr="00AE6EDB">
        <w:rPr>
          <w:color w:val="000000" w:themeColor="text1"/>
        </w:rPr>
        <w:tab/>
        <w:t>Vývoj počtu poberateľov resocializačného príspevku v rok</w:t>
      </w:r>
      <w:r w:rsidR="000C264A" w:rsidRPr="00AE6EDB">
        <w:rPr>
          <w:color w:val="000000" w:themeColor="text1"/>
        </w:rPr>
        <w:t>och</w:t>
      </w:r>
      <w:r w:rsidRPr="00AE6EDB">
        <w:rPr>
          <w:color w:val="000000" w:themeColor="text1"/>
        </w:rPr>
        <w:t xml:space="preserve"> 201</w:t>
      </w:r>
      <w:r w:rsidR="000C264A" w:rsidRPr="00AE6EDB">
        <w:rPr>
          <w:color w:val="000000" w:themeColor="text1"/>
        </w:rPr>
        <w:t>4</w:t>
      </w:r>
      <w:r w:rsidRPr="00AE6EDB">
        <w:rPr>
          <w:color w:val="000000" w:themeColor="text1"/>
        </w:rPr>
        <w:t xml:space="preserve"> a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13</w:t>
      </w:r>
      <w:r w:rsidRPr="00AE6EDB">
        <w:rPr>
          <w:color w:val="000000" w:themeColor="text1"/>
        </w:rPr>
        <w:tab/>
        <w:t>Vývoj čerpania finančných prostriedkov na resocializačný príspevok za roky 201</w:t>
      </w:r>
      <w:r w:rsidR="000C264A" w:rsidRPr="00AE6EDB">
        <w:rPr>
          <w:color w:val="000000" w:themeColor="text1"/>
        </w:rPr>
        <w:t>4</w:t>
      </w:r>
      <w:r w:rsidRPr="00AE6EDB">
        <w:rPr>
          <w:color w:val="000000" w:themeColor="text1"/>
        </w:rPr>
        <w:t xml:space="preserve"> a 201</w:t>
      </w:r>
      <w:r w:rsidR="000C264A" w:rsidRPr="00AE6EDB">
        <w:rPr>
          <w:color w:val="000000" w:themeColor="text1"/>
        </w:rPr>
        <w:t>5</w:t>
      </w:r>
      <w:r w:rsidRPr="00AE6EDB">
        <w:rPr>
          <w:color w:val="000000" w:themeColor="text1"/>
        </w:rPr>
        <w:t xml:space="preserve"> </w:t>
      </w:r>
    </w:p>
    <w:p w:rsidR="000A7585" w:rsidRPr="00AE6EDB" w:rsidRDefault="000A7585" w:rsidP="000A7585">
      <w:pPr>
        <w:ind w:left="1418" w:hanging="1418"/>
        <w:rPr>
          <w:color w:val="000000" w:themeColor="text1"/>
        </w:rPr>
      </w:pPr>
      <w:r w:rsidRPr="00AE6EDB">
        <w:rPr>
          <w:color w:val="000000" w:themeColor="text1"/>
        </w:rPr>
        <w:t>Tabuľka 14</w:t>
      </w:r>
      <w:r w:rsidRPr="00AE6EDB">
        <w:rPr>
          <w:color w:val="000000" w:themeColor="text1"/>
        </w:rPr>
        <w:tab/>
        <w:t>Pomoc deťom týraným, sexuálne zneužívaným a šikanovaným v roku 201</w:t>
      </w:r>
      <w:r w:rsidR="000C264A"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Tabuľka 15</w:t>
      </w:r>
      <w:r w:rsidRPr="00AE6EDB">
        <w:rPr>
          <w:color w:val="000000" w:themeColor="text1"/>
        </w:rPr>
        <w:tab/>
        <w:t>Deti umiestnené na základe rozhodnutia súdu do zariadení na výkon rozhodnutia súdu</w:t>
      </w:r>
      <w:r w:rsidR="000C264A" w:rsidRPr="00AE6EDB">
        <w:rPr>
          <w:color w:val="000000" w:themeColor="text1"/>
        </w:rPr>
        <w:t xml:space="preserve"> </w:t>
      </w:r>
      <w:r w:rsidRPr="00AE6EDB">
        <w:rPr>
          <w:color w:val="000000" w:themeColor="text1"/>
        </w:rPr>
        <w:t>/predbežné opatrenie, výchovné opatrenie, ústavná starostlivosť a ochranná výchova/</w:t>
      </w:r>
    </w:p>
    <w:p w:rsidR="000A7585" w:rsidRPr="00AE6EDB" w:rsidRDefault="000A7585" w:rsidP="000A7585">
      <w:pPr>
        <w:ind w:left="1418" w:hanging="1418"/>
        <w:rPr>
          <w:color w:val="000000" w:themeColor="text1"/>
        </w:rPr>
      </w:pPr>
      <w:r w:rsidRPr="00AE6EDB">
        <w:rPr>
          <w:color w:val="000000" w:themeColor="text1"/>
        </w:rPr>
        <w:t>Tabuľka 16</w:t>
      </w:r>
      <w:r w:rsidRPr="00AE6EDB">
        <w:rPr>
          <w:color w:val="000000" w:themeColor="text1"/>
        </w:rPr>
        <w:tab/>
        <w:t>Jednotlivé formy starostlivosti v detských domovoch</w:t>
      </w:r>
    </w:p>
    <w:p w:rsidR="000A7585" w:rsidRPr="00AE6EDB" w:rsidRDefault="000A7585" w:rsidP="000A7585">
      <w:pPr>
        <w:ind w:left="1418" w:hanging="1418"/>
        <w:rPr>
          <w:color w:val="000000" w:themeColor="text1"/>
        </w:rPr>
      </w:pPr>
      <w:r w:rsidRPr="00AE6EDB">
        <w:rPr>
          <w:color w:val="000000" w:themeColor="text1"/>
        </w:rPr>
        <w:t>Tabuľka 17</w:t>
      </w:r>
      <w:r w:rsidRPr="00AE6EDB">
        <w:rPr>
          <w:color w:val="000000" w:themeColor="text1"/>
        </w:rPr>
        <w:tab/>
        <w:t>Počty umiestnených detí a mladých dospelých v jednotlivých formách starostlivosti v detských domovoch k 31.12. za roky</w:t>
      </w:r>
      <w:r w:rsidR="000C264A" w:rsidRPr="00AE6EDB">
        <w:rPr>
          <w:color w:val="000000" w:themeColor="text1"/>
        </w:rPr>
        <w:t xml:space="preserve"> 2014 a 2015</w:t>
      </w:r>
    </w:p>
    <w:p w:rsidR="000A7585" w:rsidRPr="00AE6EDB" w:rsidRDefault="000A7585" w:rsidP="000A7585">
      <w:pPr>
        <w:ind w:left="1418" w:hanging="1418"/>
        <w:rPr>
          <w:color w:val="000000" w:themeColor="text1"/>
        </w:rPr>
      </w:pPr>
      <w:r w:rsidRPr="00AE6EDB">
        <w:rPr>
          <w:color w:val="000000" w:themeColor="text1"/>
        </w:rPr>
        <w:t>Tabuľka 18</w:t>
      </w:r>
      <w:r w:rsidRPr="00AE6EDB">
        <w:rPr>
          <w:color w:val="000000" w:themeColor="text1"/>
        </w:rPr>
        <w:tab/>
        <w:t>Celkový počet detí zverených do jednotlivých foriem náhradnej rodinnej starostlivosti v</w:t>
      </w:r>
      <w:r w:rsidR="000C264A" w:rsidRPr="00AE6EDB">
        <w:rPr>
          <w:color w:val="000000" w:themeColor="text1"/>
        </w:rPr>
        <w:t> </w:t>
      </w:r>
      <w:r w:rsidRPr="00AE6EDB">
        <w:rPr>
          <w:color w:val="000000" w:themeColor="text1"/>
        </w:rPr>
        <w:t>rokoch</w:t>
      </w:r>
      <w:r w:rsidR="000C264A" w:rsidRPr="00AE6EDB">
        <w:rPr>
          <w:color w:val="000000" w:themeColor="text1"/>
        </w:rPr>
        <w:t xml:space="preserve"> 2014 a 2015</w:t>
      </w:r>
    </w:p>
    <w:p w:rsidR="000A7585" w:rsidRPr="00AE6EDB" w:rsidRDefault="000A7585" w:rsidP="000A7585">
      <w:pPr>
        <w:ind w:left="1418" w:hanging="1418"/>
        <w:rPr>
          <w:color w:val="000000" w:themeColor="text1"/>
        </w:rPr>
      </w:pPr>
      <w:r w:rsidRPr="00AE6EDB">
        <w:rPr>
          <w:color w:val="000000" w:themeColor="text1"/>
        </w:rPr>
        <w:t xml:space="preserve">Tabuľka 19 </w:t>
      </w:r>
      <w:r w:rsidRPr="00AE6EDB">
        <w:rPr>
          <w:color w:val="000000" w:themeColor="text1"/>
        </w:rPr>
        <w:tab/>
        <w:t>Základné štatistické údaje o činnosti RPPS za roky 201</w:t>
      </w:r>
      <w:r w:rsidR="00FF77E6" w:rsidRPr="00AE6EDB">
        <w:rPr>
          <w:color w:val="000000" w:themeColor="text1"/>
        </w:rPr>
        <w:t>4</w:t>
      </w:r>
      <w:r w:rsidRPr="00AE6EDB">
        <w:rPr>
          <w:color w:val="000000" w:themeColor="text1"/>
        </w:rPr>
        <w:t xml:space="preserve"> a 201</w:t>
      </w:r>
      <w:r w:rsidR="00FF77E6"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20 </w:t>
      </w:r>
      <w:r w:rsidRPr="00AE6EDB">
        <w:rPr>
          <w:color w:val="000000" w:themeColor="text1"/>
        </w:rPr>
        <w:tab/>
        <w:t>Činnosť referátov poradensko-psychologických služieb v roku 201</w:t>
      </w:r>
      <w:r w:rsidR="00FF77E6" w:rsidRPr="00AE6EDB">
        <w:rPr>
          <w:color w:val="000000" w:themeColor="text1"/>
        </w:rPr>
        <w:t>4</w:t>
      </w:r>
      <w:r w:rsidRPr="00AE6EDB">
        <w:rPr>
          <w:color w:val="000000" w:themeColor="text1"/>
        </w:rPr>
        <w:t xml:space="preserve"> a 201</w:t>
      </w:r>
      <w:r w:rsidR="00FF77E6" w:rsidRPr="00AE6EDB">
        <w:rPr>
          <w:color w:val="000000" w:themeColor="text1"/>
        </w:rPr>
        <w:t>5</w:t>
      </w:r>
    </w:p>
    <w:p w:rsidR="000A7585" w:rsidRPr="00AE6EDB" w:rsidRDefault="000A7585" w:rsidP="000A7585">
      <w:pPr>
        <w:ind w:left="1418" w:hanging="1418"/>
        <w:rPr>
          <w:color w:val="000000" w:themeColor="text1"/>
        </w:rPr>
      </w:pPr>
      <w:r w:rsidRPr="00AE6EDB">
        <w:rPr>
          <w:color w:val="000000" w:themeColor="text1"/>
        </w:rPr>
        <w:t xml:space="preserve">Tabuľka 21 </w:t>
      </w:r>
      <w:r w:rsidRPr="00AE6EDB">
        <w:rPr>
          <w:color w:val="000000" w:themeColor="text1"/>
        </w:rPr>
        <w:tab/>
        <w:t>Opatrovateľská služba poskytovaná obcami</w:t>
      </w:r>
    </w:p>
    <w:p w:rsidR="000A7585" w:rsidRPr="00AE6EDB" w:rsidRDefault="000A7585" w:rsidP="000A7585">
      <w:pPr>
        <w:ind w:left="1418" w:hanging="1418"/>
        <w:rPr>
          <w:color w:val="000000" w:themeColor="text1"/>
        </w:rPr>
      </w:pPr>
      <w:r w:rsidRPr="00AE6EDB">
        <w:rPr>
          <w:color w:val="000000" w:themeColor="text1"/>
        </w:rPr>
        <w:t xml:space="preserve">Tabuľka 22 </w:t>
      </w:r>
      <w:r w:rsidRPr="00AE6EDB">
        <w:rPr>
          <w:color w:val="000000" w:themeColor="text1"/>
        </w:rPr>
        <w:tab/>
        <w:t>Prepravná služba poskytovaná obcami</w:t>
      </w:r>
    </w:p>
    <w:p w:rsidR="000A7585" w:rsidRPr="00AE6EDB" w:rsidRDefault="000A7585" w:rsidP="000A7585">
      <w:pPr>
        <w:ind w:left="1418" w:hanging="1418"/>
        <w:rPr>
          <w:color w:val="000000" w:themeColor="text1"/>
        </w:rPr>
      </w:pPr>
      <w:r w:rsidRPr="00AE6EDB">
        <w:rPr>
          <w:color w:val="000000" w:themeColor="text1"/>
        </w:rPr>
        <w:t xml:space="preserve">Tabuľka 23 </w:t>
      </w:r>
      <w:r w:rsidRPr="00AE6EDB">
        <w:rPr>
          <w:color w:val="000000" w:themeColor="text1"/>
        </w:rPr>
        <w:tab/>
        <w:t>Počet zariadení sociálnych služieb a ich kapacita</w:t>
      </w:r>
    </w:p>
    <w:p w:rsidR="000A7585" w:rsidRPr="00AE6EDB" w:rsidRDefault="000A7585" w:rsidP="000A7585">
      <w:pPr>
        <w:ind w:left="1418" w:hanging="1418"/>
        <w:rPr>
          <w:color w:val="000000" w:themeColor="text1"/>
        </w:rPr>
      </w:pPr>
      <w:r w:rsidRPr="00AE6EDB">
        <w:rPr>
          <w:color w:val="000000" w:themeColor="text1"/>
        </w:rPr>
        <w:t xml:space="preserve">Tabuľka 24 </w:t>
      </w:r>
      <w:r w:rsidRPr="00AE6EDB">
        <w:rPr>
          <w:color w:val="000000" w:themeColor="text1"/>
        </w:rPr>
        <w:tab/>
        <w:t>Obyvatelia zariadení sociálnych služieb</w:t>
      </w:r>
    </w:p>
    <w:p w:rsidR="000A7585" w:rsidRPr="00AE6EDB" w:rsidRDefault="000A7585" w:rsidP="000A7585">
      <w:pPr>
        <w:ind w:left="1418" w:hanging="1418"/>
        <w:rPr>
          <w:color w:val="000000" w:themeColor="text1"/>
        </w:rPr>
      </w:pPr>
      <w:r w:rsidRPr="00AE6EDB">
        <w:rPr>
          <w:color w:val="000000" w:themeColor="text1"/>
        </w:rPr>
        <w:t xml:space="preserve">Tabuľka 25 </w:t>
      </w:r>
      <w:r w:rsidRPr="00AE6EDB">
        <w:rPr>
          <w:color w:val="000000" w:themeColor="text1"/>
        </w:rPr>
        <w:tab/>
        <w:t>Výdavky zariadení sociálnych služieb</w:t>
      </w:r>
    </w:p>
    <w:p w:rsidR="000A7585" w:rsidRPr="00AE6EDB" w:rsidRDefault="000A7585" w:rsidP="000A7585">
      <w:pPr>
        <w:ind w:left="1418" w:hanging="1418"/>
        <w:rPr>
          <w:color w:val="000000" w:themeColor="text1"/>
        </w:rPr>
      </w:pPr>
      <w:r w:rsidRPr="00AE6EDB">
        <w:rPr>
          <w:color w:val="000000" w:themeColor="text1"/>
        </w:rPr>
        <w:t xml:space="preserve">Tabuľka 26 </w:t>
      </w:r>
      <w:r w:rsidRPr="00AE6EDB">
        <w:rPr>
          <w:color w:val="000000" w:themeColor="text1"/>
        </w:rPr>
        <w:tab/>
        <w:t>Zamestnanci zariadení sociálnych služieb (spolu) za rok</w:t>
      </w:r>
      <w:r w:rsidR="00FF77E6" w:rsidRPr="00AE6EDB">
        <w:rPr>
          <w:color w:val="000000" w:themeColor="text1"/>
        </w:rPr>
        <w:t xml:space="preserve"> </w:t>
      </w:r>
      <w:r w:rsidRPr="00AE6EDB">
        <w:rPr>
          <w:color w:val="000000" w:themeColor="text1"/>
        </w:rPr>
        <w:t>201</w:t>
      </w:r>
      <w:r w:rsidR="00FF77E6" w:rsidRPr="00AE6EDB">
        <w:rPr>
          <w:color w:val="000000" w:themeColor="text1"/>
        </w:rPr>
        <w:t>4</w:t>
      </w:r>
    </w:p>
    <w:p w:rsidR="000A7585" w:rsidRPr="00AE6EDB" w:rsidRDefault="000A7585" w:rsidP="000A7585">
      <w:pPr>
        <w:ind w:left="1418" w:hanging="1418"/>
        <w:rPr>
          <w:color w:val="000000" w:themeColor="text1"/>
        </w:rPr>
      </w:pPr>
      <w:r w:rsidRPr="00AE6EDB">
        <w:rPr>
          <w:color w:val="000000" w:themeColor="text1"/>
        </w:rPr>
        <w:t xml:space="preserve">Tabuľka 27 </w:t>
      </w:r>
      <w:r w:rsidRPr="00AE6EDB">
        <w:rPr>
          <w:color w:val="000000" w:themeColor="text1"/>
        </w:rPr>
        <w:tab/>
        <w:t>Vybrané zariadenia sociálnych služieb zriadené alebo založené obcou alebo vyšším územným celkom</w:t>
      </w:r>
    </w:p>
    <w:p w:rsidR="000A7585" w:rsidRPr="00AE6EDB" w:rsidRDefault="000A7585" w:rsidP="000A7585">
      <w:pPr>
        <w:ind w:left="1418" w:hanging="1418"/>
        <w:rPr>
          <w:color w:val="000000" w:themeColor="text1"/>
        </w:rPr>
      </w:pPr>
      <w:r w:rsidRPr="00AE6EDB">
        <w:rPr>
          <w:color w:val="000000" w:themeColor="text1"/>
        </w:rPr>
        <w:t xml:space="preserve">Tabuľka 28 </w:t>
      </w:r>
      <w:r w:rsidRPr="00AE6EDB">
        <w:rPr>
          <w:color w:val="000000" w:themeColor="text1"/>
        </w:rPr>
        <w:tab/>
        <w:t>Počet občanov zaradených do poradovníka čakateľov na poskytovanie starostlivosti vo vybraných zariadeniach</w:t>
      </w:r>
    </w:p>
    <w:p w:rsidR="000A7585" w:rsidRPr="00AE6EDB" w:rsidRDefault="000A7585" w:rsidP="000A7585">
      <w:pPr>
        <w:ind w:left="1418" w:hanging="1418"/>
        <w:rPr>
          <w:color w:val="000000" w:themeColor="text1"/>
        </w:rPr>
      </w:pPr>
      <w:r w:rsidRPr="00AE6EDB">
        <w:rPr>
          <w:color w:val="000000" w:themeColor="text1"/>
        </w:rPr>
        <w:t>Tabuľka 29</w:t>
      </w:r>
      <w:r w:rsidRPr="00AE6EDB">
        <w:rPr>
          <w:color w:val="000000" w:themeColor="text1"/>
        </w:rPr>
        <w:tab/>
        <w:t>Vybrané druhy sociálnych služieb poskytované neverejnými poskytovateľmi sociálnych služieb</w:t>
      </w:r>
    </w:p>
    <w:p w:rsidR="000A7585" w:rsidRPr="001110A1" w:rsidRDefault="000A7585" w:rsidP="000A7585">
      <w:pPr>
        <w:ind w:left="1418" w:hanging="1418"/>
        <w:rPr>
          <w:color w:val="000000" w:themeColor="text1"/>
        </w:rPr>
      </w:pPr>
      <w:r w:rsidRPr="001110A1">
        <w:rPr>
          <w:color w:val="000000" w:themeColor="text1"/>
        </w:rPr>
        <w:t>Tabuľka 30</w:t>
      </w:r>
      <w:r w:rsidRPr="001110A1">
        <w:rPr>
          <w:color w:val="000000" w:themeColor="text1"/>
        </w:rPr>
        <w:tab/>
        <w:t>Počet zamestnancov, objemy platov a vybrané zložky platu v eurách za rok 201</w:t>
      </w:r>
      <w:r w:rsidR="001110A1" w:rsidRPr="001110A1">
        <w:rPr>
          <w:color w:val="000000" w:themeColor="text1"/>
        </w:rPr>
        <w:t>5</w:t>
      </w:r>
      <w:r w:rsidRPr="001110A1">
        <w:rPr>
          <w:color w:val="000000" w:themeColor="text1"/>
        </w:rPr>
        <w:t xml:space="preserve"> v zariadeniach sociálnych služieb podľa agregovaných zamestnaní. </w:t>
      </w:r>
    </w:p>
    <w:p w:rsidR="000A7585" w:rsidRPr="00AE6EDB" w:rsidRDefault="000A7585" w:rsidP="000A7585">
      <w:pPr>
        <w:ind w:left="1418" w:hanging="1418"/>
        <w:rPr>
          <w:color w:val="000000" w:themeColor="text1"/>
        </w:rPr>
      </w:pPr>
      <w:r w:rsidRPr="00AE6EDB">
        <w:rPr>
          <w:color w:val="000000" w:themeColor="text1"/>
        </w:rPr>
        <w:t xml:space="preserve">Tabuľka 31 </w:t>
      </w:r>
      <w:r w:rsidRPr="00AE6EDB">
        <w:rPr>
          <w:color w:val="000000" w:themeColor="text1"/>
        </w:rPr>
        <w:tab/>
        <w:t>Hrubé výdavky na sociálnu ochranu, 201</w:t>
      </w:r>
      <w:r w:rsidR="00FF77E6" w:rsidRPr="00AE6EDB">
        <w:rPr>
          <w:color w:val="000000" w:themeColor="text1"/>
        </w:rPr>
        <w:t>3</w:t>
      </w:r>
    </w:p>
    <w:p w:rsidR="000A7585" w:rsidRPr="00AE6EDB" w:rsidRDefault="000A7585" w:rsidP="000A7585">
      <w:pPr>
        <w:ind w:left="1418" w:hanging="1418"/>
        <w:rPr>
          <w:color w:val="000000" w:themeColor="text1"/>
        </w:rPr>
      </w:pPr>
      <w:r w:rsidRPr="00AE6EDB">
        <w:rPr>
          <w:color w:val="000000" w:themeColor="text1"/>
        </w:rPr>
        <w:t xml:space="preserve">Tabuľka 32 </w:t>
      </w:r>
      <w:r w:rsidRPr="00AE6EDB">
        <w:rPr>
          <w:color w:val="000000" w:themeColor="text1"/>
        </w:rPr>
        <w:tab/>
        <w:t>Príjmy na sociálnu ochranu, 201</w:t>
      </w:r>
      <w:r w:rsidR="00FF77E6" w:rsidRPr="00AE6EDB">
        <w:rPr>
          <w:color w:val="000000" w:themeColor="text1"/>
        </w:rPr>
        <w:t>3</w:t>
      </w:r>
    </w:p>
    <w:p w:rsidR="000A7585" w:rsidRPr="00AE6EDB" w:rsidRDefault="000A7585" w:rsidP="000A7585">
      <w:pPr>
        <w:ind w:left="1418" w:hanging="1418"/>
        <w:rPr>
          <w:color w:val="000000" w:themeColor="text1"/>
        </w:rPr>
      </w:pPr>
      <w:r w:rsidRPr="00AE6EDB">
        <w:rPr>
          <w:color w:val="000000" w:themeColor="text1"/>
        </w:rPr>
        <w:t xml:space="preserve">Tabuľka 33 </w:t>
      </w:r>
      <w:r w:rsidRPr="00AE6EDB">
        <w:rPr>
          <w:color w:val="000000" w:themeColor="text1"/>
        </w:rPr>
        <w:tab/>
        <w:t>Výdavky na dôchodky a štruktúra podľa kategórií dôchodkov, 201</w:t>
      </w:r>
      <w:r w:rsidR="00FF77E6" w:rsidRPr="00AE6EDB">
        <w:rPr>
          <w:color w:val="000000" w:themeColor="text1"/>
        </w:rPr>
        <w:t>3</w:t>
      </w:r>
    </w:p>
    <w:p w:rsidR="000A7585" w:rsidRPr="00AE6EDB" w:rsidRDefault="000A7585" w:rsidP="000A7585">
      <w:pPr>
        <w:ind w:left="1418" w:hanging="1418"/>
        <w:rPr>
          <w:color w:val="000000" w:themeColor="text1"/>
        </w:rPr>
      </w:pPr>
      <w:r w:rsidRPr="00AE6EDB">
        <w:rPr>
          <w:color w:val="000000" w:themeColor="text1"/>
        </w:rPr>
        <w:t xml:space="preserve">Tabuľka 34 </w:t>
      </w:r>
      <w:r w:rsidRPr="00AE6EDB">
        <w:rPr>
          <w:color w:val="000000" w:themeColor="text1"/>
        </w:rPr>
        <w:tab/>
        <w:t>Počet poberateľov dôchodkov podľa rodu, indexy 201</w:t>
      </w:r>
      <w:r w:rsidR="00FF77E6" w:rsidRPr="00AE6EDB">
        <w:rPr>
          <w:color w:val="000000" w:themeColor="text1"/>
        </w:rPr>
        <w:t>3</w:t>
      </w:r>
      <w:r w:rsidRPr="00AE6EDB">
        <w:rPr>
          <w:color w:val="000000" w:themeColor="text1"/>
        </w:rPr>
        <w:t>/201</w:t>
      </w:r>
      <w:r w:rsidR="00FF77E6" w:rsidRPr="00AE6EDB">
        <w:rPr>
          <w:color w:val="000000" w:themeColor="text1"/>
        </w:rPr>
        <w:t xml:space="preserve">2 </w:t>
      </w:r>
      <w:r w:rsidRPr="00AE6EDB">
        <w:rPr>
          <w:color w:val="000000" w:themeColor="text1"/>
        </w:rPr>
        <w:t>a 201</w:t>
      </w:r>
      <w:r w:rsidR="00FF77E6" w:rsidRPr="00AE6EDB">
        <w:rPr>
          <w:color w:val="000000" w:themeColor="text1"/>
        </w:rPr>
        <w:t>3</w:t>
      </w:r>
      <w:r w:rsidRPr="00AE6EDB">
        <w:rPr>
          <w:color w:val="000000" w:themeColor="text1"/>
        </w:rPr>
        <w:t>/2006</w:t>
      </w:r>
    </w:p>
    <w:p w:rsidR="000A7585" w:rsidRPr="00AE6EDB" w:rsidRDefault="000A7585" w:rsidP="000A7585">
      <w:pPr>
        <w:ind w:left="1418" w:hanging="1418"/>
        <w:rPr>
          <w:color w:val="000000" w:themeColor="text1"/>
        </w:rPr>
      </w:pPr>
      <w:r w:rsidRPr="00AE6EDB">
        <w:rPr>
          <w:color w:val="000000" w:themeColor="text1"/>
        </w:rPr>
        <w:t xml:space="preserve">Tabuľka 35 </w:t>
      </w:r>
      <w:r w:rsidRPr="00AE6EDB">
        <w:rPr>
          <w:color w:val="000000" w:themeColor="text1"/>
        </w:rPr>
        <w:tab/>
        <w:t>Dane a odv</w:t>
      </w:r>
      <w:r w:rsidR="00FF77E6" w:rsidRPr="00AE6EDB">
        <w:rPr>
          <w:color w:val="000000" w:themeColor="text1"/>
        </w:rPr>
        <w:t>ody platené zo sociálnych dávok</w:t>
      </w:r>
      <w:r w:rsidRPr="00AE6EDB">
        <w:rPr>
          <w:color w:val="000000" w:themeColor="text1"/>
        </w:rPr>
        <w:t>,</w:t>
      </w:r>
      <w:r w:rsidR="00FF77E6" w:rsidRPr="00AE6EDB">
        <w:rPr>
          <w:color w:val="000000" w:themeColor="text1"/>
        </w:rPr>
        <w:t xml:space="preserve"> </w:t>
      </w:r>
      <w:r w:rsidRPr="00AE6EDB">
        <w:rPr>
          <w:color w:val="000000" w:themeColor="text1"/>
        </w:rPr>
        <w:t>201</w:t>
      </w:r>
      <w:r w:rsidR="00FF77E6" w:rsidRPr="00AE6EDB">
        <w:rPr>
          <w:color w:val="000000" w:themeColor="text1"/>
        </w:rPr>
        <w:t>2</w:t>
      </w:r>
    </w:p>
    <w:p w:rsidR="000A7585" w:rsidRPr="00AE6EDB" w:rsidRDefault="000A7585" w:rsidP="000A7585">
      <w:pPr>
        <w:ind w:left="1418" w:hanging="1418"/>
        <w:rPr>
          <w:color w:val="000000" w:themeColor="text1"/>
        </w:rPr>
      </w:pPr>
      <w:r w:rsidRPr="00AE6EDB">
        <w:rPr>
          <w:color w:val="000000" w:themeColor="text1"/>
        </w:rPr>
        <w:t>Tabuľka 36a</w:t>
      </w:r>
      <w:r w:rsidRPr="00AE6EDB">
        <w:rPr>
          <w:color w:val="000000" w:themeColor="text1"/>
        </w:rPr>
        <w:tab/>
        <w:t xml:space="preserve">Projekty OP </w:t>
      </w:r>
      <w:proofErr w:type="spellStart"/>
      <w:r w:rsidRPr="00AE6EDB">
        <w:rPr>
          <w:color w:val="000000" w:themeColor="text1"/>
        </w:rPr>
        <w:t>ZaSI</w:t>
      </w:r>
      <w:proofErr w:type="spellEnd"/>
      <w:r w:rsidRPr="00AE6EDB">
        <w:rPr>
          <w:color w:val="000000" w:themeColor="text1"/>
        </w:rPr>
        <w:t xml:space="preserve"> </w:t>
      </w:r>
      <w:proofErr w:type="spellStart"/>
      <w:r w:rsidRPr="00AE6EDB">
        <w:rPr>
          <w:color w:val="000000" w:themeColor="text1"/>
        </w:rPr>
        <w:t>zazmluvnené</w:t>
      </w:r>
      <w:proofErr w:type="spellEnd"/>
      <w:r w:rsidRPr="00AE6EDB">
        <w:rPr>
          <w:color w:val="000000" w:themeColor="text1"/>
        </w:rPr>
        <w:t xml:space="preserve"> v roku 2015</w:t>
      </w:r>
    </w:p>
    <w:p w:rsidR="000A7585" w:rsidRPr="00AE6EDB" w:rsidRDefault="000A7585" w:rsidP="000A7585">
      <w:pPr>
        <w:ind w:left="1418" w:hanging="1418"/>
        <w:rPr>
          <w:color w:val="000000" w:themeColor="text1"/>
        </w:rPr>
      </w:pPr>
      <w:r w:rsidRPr="00AE6EDB">
        <w:rPr>
          <w:color w:val="000000" w:themeColor="text1"/>
        </w:rPr>
        <w:t>Tabuľka 36b</w:t>
      </w:r>
      <w:r w:rsidRPr="00AE6EDB">
        <w:rPr>
          <w:color w:val="000000" w:themeColor="text1"/>
        </w:rPr>
        <w:tab/>
        <w:t xml:space="preserve">Národné projekty OP ĽZ </w:t>
      </w:r>
      <w:proofErr w:type="spellStart"/>
      <w:r w:rsidRPr="00AE6EDB">
        <w:rPr>
          <w:color w:val="000000" w:themeColor="text1"/>
        </w:rPr>
        <w:t>zazmluvnené</w:t>
      </w:r>
      <w:proofErr w:type="spellEnd"/>
      <w:r w:rsidRPr="00AE6EDB">
        <w:rPr>
          <w:color w:val="000000" w:themeColor="text1"/>
        </w:rPr>
        <w:t xml:space="preserve"> v roku 2015</w:t>
      </w:r>
    </w:p>
    <w:p w:rsidR="000A7585" w:rsidRPr="00AE6EDB" w:rsidRDefault="000A7585" w:rsidP="000A7585">
      <w:pPr>
        <w:ind w:left="1418" w:hanging="1418"/>
        <w:rPr>
          <w:color w:val="000000" w:themeColor="text1"/>
        </w:rPr>
      </w:pPr>
      <w:r w:rsidRPr="00AE6EDB">
        <w:rPr>
          <w:color w:val="000000" w:themeColor="text1"/>
        </w:rPr>
        <w:t>Tabuľka 37</w:t>
      </w:r>
      <w:r w:rsidRPr="00AE6EDB">
        <w:rPr>
          <w:color w:val="000000" w:themeColor="text1"/>
        </w:rPr>
        <w:tab/>
        <w:t>Čerpanie výdavkov kapitoly 22 – MPSVR SR podľa programového rozpočtovania</w:t>
      </w:r>
    </w:p>
    <w:p w:rsidR="000A7585" w:rsidRPr="00AE6EDB" w:rsidRDefault="000A7585" w:rsidP="000A7585">
      <w:pPr>
        <w:ind w:left="1134" w:hanging="1134"/>
        <w:rPr>
          <w:color w:val="000000" w:themeColor="text1"/>
          <w:highlight w:val="cyan"/>
        </w:rPr>
      </w:pPr>
    </w:p>
    <w:p w:rsidR="000A7585" w:rsidRPr="00AE6EDB" w:rsidRDefault="000A7585" w:rsidP="000A7585">
      <w:pPr>
        <w:pStyle w:val="nadpis2"/>
        <w:numPr>
          <w:ilvl w:val="0"/>
          <w:numId w:val="0"/>
        </w:numPr>
        <w:ind w:left="576" w:hanging="576"/>
      </w:pPr>
      <w:bookmarkStart w:id="806" w:name="_Toc356482788"/>
      <w:bookmarkStart w:id="807" w:name="_Toc356482830"/>
      <w:bookmarkStart w:id="808" w:name="_Toc388534242"/>
      <w:bookmarkStart w:id="809" w:name="_Toc389646864"/>
      <w:bookmarkStart w:id="810" w:name="_Toc394062242"/>
      <w:bookmarkStart w:id="811" w:name="_Toc418672284"/>
      <w:bookmarkStart w:id="812" w:name="_Toc419355269"/>
      <w:bookmarkStart w:id="813" w:name="_Toc419795392"/>
      <w:bookmarkStart w:id="814" w:name="_Toc422151012"/>
      <w:bookmarkStart w:id="815" w:name="_Toc422233452"/>
      <w:bookmarkStart w:id="816" w:name="_Toc448846146"/>
      <w:bookmarkStart w:id="817" w:name="_Toc452469911"/>
      <w:r w:rsidRPr="00AE6EDB">
        <w:t>Príloha ku kapitole 4</w:t>
      </w:r>
      <w:bookmarkEnd w:id="806"/>
      <w:bookmarkEnd w:id="807"/>
      <w:bookmarkEnd w:id="808"/>
      <w:bookmarkEnd w:id="809"/>
      <w:bookmarkEnd w:id="810"/>
      <w:bookmarkEnd w:id="811"/>
      <w:bookmarkEnd w:id="812"/>
      <w:bookmarkEnd w:id="813"/>
      <w:bookmarkEnd w:id="814"/>
      <w:bookmarkEnd w:id="815"/>
      <w:bookmarkEnd w:id="816"/>
      <w:bookmarkEnd w:id="817"/>
      <w:r w:rsidRPr="00AE6EDB">
        <w:tab/>
      </w:r>
    </w:p>
    <w:p w:rsidR="000A7585" w:rsidRPr="00AE6EDB" w:rsidRDefault="000A7585" w:rsidP="000A7585">
      <w:pPr>
        <w:ind w:left="1134" w:hanging="1134"/>
        <w:rPr>
          <w:color w:val="000000" w:themeColor="text1"/>
          <w:highlight w:val="cyan"/>
        </w:rPr>
      </w:pPr>
    </w:p>
    <w:p w:rsidR="000A7585" w:rsidRPr="00AE6EDB" w:rsidRDefault="000A7585" w:rsidP="000A7585">
      <w:pPr>
        <w:ind w:left="1418" w:hanging="1418"/>
        <w:rPr>
          <w:color w:val="000000" w:themeColor="text1"/>
        </w:rPr>
      </w:pPr>
      <w:r w:rsidRPr="00AE6EDB">
        <w:rPr>
          <w:color w:val="000000" w:themeColor="text1"/>
        </w:rPr>
        <w:t>Tabuľka 1</w:t>
      </w:r>
      <w:r w:rsidRPr="00AE6EDB">
        <w:rPr>
          <w:color w:val="000000" w:themeColor="text1"/>
        </w:rPr>
        <w:tab/>
        <w:t>Zoznam vybraných indikátorov sociálnej inklúzie (201</w:t>
      </w:r>
      <w:r w:rsidR="00C33FCB" w:rsidRPr="00AE6EDB">
        <w:rPr>
          <w:color w:val="000000" w:themeColor="text1"/>
        </w:rPr>
        <w:t>3</w:t>
      </w:r>
      <w:r w:rsidRPr="00AE6EDB">
        <w:rPr>
          <w:color w:val="000000" w:themeColor="text1"/>
        </w:rPr>
        <w:t xml:space="preserve"> – 201</w:t>
      </w:r>
      <w:r w:rsidR="00C33FCB" w:rsidRPr="00AE6EDB">
        <w:rPr>
          <w:color w:val="000000" w:themeColor="text1"/>
        </w:rPr>
        <w:t>4</w:t>
      </w:r>
      <w:r w:rsidRPr="00AE6EDB">
        <w:rPr>
          <w:color w:val="000000" w:themeColor="text1"/>
        </w:rPr>
        <w:t>)</w:t>
      </w:r>
    </w:p>
    <w:p w:rsidR="000A7585" w:rsidRPr="00AE6EDB" w:rsidRDefault="000A7585" w:rsidP="000A7585">
      <w:pPr>
        <w:ind w:left="1134" w:hanging="1134"/>
        <w:rPr>
          <w:color w:val="000000" w:themeColor="text1"/>
          <w:highlight w:val="cyan"/>
        </w:rPr>
      </w:pPr>
    </w:p>
    <w:p w:rsidR="000A7585" w:rsidRPr="00B15463" w:rsidRDefault="000A7585" w:rsidP="000A7585">
      <w:pPr>
        <w:pStyle w:val="nadpis2"/>
        <w:numPr>
          <w:ilvl w:val="0"/>
          <w:numId w:val="0"/>
        </w:numPr>
      </w:pPr>
      <w:bookmarkStart w:id="818" w:name="_Toc356482789"/>
      <w:bookmarkStart w:id="819" w:name="_Toc356482831"/>
      <w:bookmarkStart w:id="820" w:name="_Toc388534243"/>
      <w:bookmarkStart w:id="821" w:name="_Toc389646865"/>
      <w:bookmarkStart w:id="822" w:name="_Toc394062243"/>
      <w:bookmarkStart w:id="823" w:name="_Toc418672285"/>
      <w:bookmarkStart w:id="824" w:name="_Toc419355270"/>
      <w:bookmarkStart w:id="825" w:name="_Toc419795393"/>
      <w:bookmarkStart w:id="826" w:name="_Toc422151013"/>
      <w:bookmarkStart w:id="827" w:name="_Toc422233453"/>
      <w:bookmarkStart w:id="828" w:name="_Toc448846147"/>
      <w:bookmarkStart w:id="829" w:name="_Toc452469912"/>
      <w:r w:rsidRPr="00B15463">
        <w:t>Príloha ku kapitole 5</w:t>
      </w:r>
      <w:bookmarkEnd w:id="818"/>
      <w:bookmarkEnd w:id="819"/>
      <w:bookmarkEnd w:id="820"/>
      <w:bookmarkEnd w:id="821"/>
      <w:bookmarkEnd w:id="822"/>
      <w:bookmarkEnd w:id="823"/>
      <w:bookmarkEnd w:id="824"/>
      <w:bookmarkEnd w:id="825"/>
      <w:bookmarkEnd w:id="826"/>
      <w:bookmarkEnd w:id="827"/>
      <w:bookmarkEnd w:id="828"/>
      <w:bookmarkEnd w:id="829"/>
      <w:r w:rsidRPr="00B15463">
        <w:tab/>
      </w:r>
    </w:p>
    <w:p w:rsidR="000A7585" w:rsidRPr="00B15463" w:rsidRDefault="000A7585" w:rsidP="000A7585">
      <w:pPr>
        <w:ind w:left="1418" w:hanging="1418"/>
        <w:rPr>
          <w:color w:val="000000" w:themeColor="text1"/>
        </w:rPr>
      </w:pPr>
      <w:bookmarkStart w:id="830" w:name="_Toc313879809"/>
      <w:r w:rsidRPr="00B15463">
        <w:rPr>
          <w:color w:val="000000" w:themeColor="text1"/>
        </w:rPr>
        <w:t xml:space="preserve">Tabuľka 1 </w:t>
      </w:r>
      <w:r w:rsidRPr="00B15463">
        <w:rPr>
          <w:color w:val="000000" w:themeColor="text1"/>
        </w:rPr>
        <w:tab/>
        <w:t>Porovnanie vybraných indikátorov v kontexte stratégie Európa 2020 medzi krajinami EU28 v roku</w:t>
      </w:r>
      <w:bookmarkEnd w:id="830"/>
      <w:r w:rsidRPr="00B15463">
        <w:rPr>
          <w:color w:val="000000" w:themeColor="text1"/>
        </w:rPr>
        <w:t xml:space="preserve"> </w:t>
      </w:r>
      <w:r w:rsidR="00B15463" w:rsidRPr="00B15463">
        <w:rPr>
          <w:color w:val="000000" w:themeColor="text1"/>
        </w:rPr>
        <w:t xml:space="preserve">2015 </w:t>
      </w:r>
      <w:r w:rsidRPr="00B15463">
        <w:rPr>
          <w:color w:val="000000" w:themeColor="text1"/>
        </w:rPr>
        <w:t>– makroekonomické prostredie</w:t>
      </w:r>
    </w:p>
    <w:p w:rsidR="000A7585" w:rsidRPr="00B15463" w:rsidRDefault="000A7585" w:rsidP="000A7585">
      <w:pPr>
        <w:ind w:left="1418" w:hanging="1418"/>
        <w:rPr>
          <w:color w:val="000000" w:themeColor="text1"/>
        </w:rPr>
        <w:sectPr w:rsidR="000A7585" w:rsidRPr="00B15463" w:rsidSect="004F3C97">
          <w:headerReference w:type="even" r:id="rId93"/>
          <w:headerReference w:type="default" r:id="rId94"/>
          <w:footerReference w:type="default" r:id="rId95"/>
          <w:headerReference w:type="first" r:id="rId96"/>
          <w:pgSz w:w="11906" w:h="16838"/>
          <w:pgMar w:top="1417" w:right="1417" w:bottom="1417" w:left="1417" w:header="708" w:footer="708" w:gutter="0"/>
          <w:cols w:space="708"/>
          <w:titlePg/>
          <w:docGrid w:linePitch="360"/>
        </w:sectPr>
      </w:pPr>
      <w:bookmarkStart w:id="831" w:name="_Toc313879810"/>
      <w:r w:rsidRPr="00B15463">
        <w:rPr>
          <w:color w:val="000000" w:themeColor="text1"/>
        </w:rPr>
        <w:t xml:space="preserve">Tabuľka 2 </w:t>
      </w:r>
      <w:r w:rsidRPr="00B15463">
        <w:rPr>
          <w:color w:val="000000" w:themeColor="text1"/>
        </w:rPr>
        <w:tab/>
        <w:t>Porovnanie vybraných indikátorov v kontexte stratégie Európa 2020 medzi krajinami EU28 v poslednom dostupnom roku</w:t>
      </w:r>
      <w:bookmarkEnd w:id="831"/>
      <w:r w:rsidRPr="00B15463">
        <w:rPr>
          <w:color w:val="000000" w:themeColor="text1"/>
        </w:rPr>
        <w:t xml:space="preserve"> – inteligentný a inkluzívny rast</w:t>
      </w:r>
    </w:p>
    <w:p w:rsidR="000A7585" w:rsidRPr="00AE6EDB" w:rsidRDefault="000A7585" w:rsidP="000A7585">
      <w:pPr>
        <w:ind w:left="851" w:hanging="851"/>
        <w:rPr>
          <w:color w:val="000000" w:themeColor="text1"/>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ind w:left="432"/>
        <w:jc w:val="center"/>
      </w:pPr>
      <w:bookmarkStart w:id="832" w:name="_Toc313879670"/>
      <w:bookmarkStart w:id="833" w:name="_Toc387413123"/>
      <w:bookmarkStart w:id="834" w:name="_Toc387659189"/>
      <w:bookmarkStart w:id="835" w:name="_Toc388534244"/>
      <w:bookmarkStart w:id="836" w:name="_Toc389646866"/>
      <w:bookmarkStart w:id="837" w:name="_Toc394062244"/>
      <w:bookmarkStart w:id="838" w:name="_Toc418672286"/>
      <w:bookmarkStart w:id="839" w:name="_Toc419355271"/>
      <w:bookmarkStart w:id="840" w:name="_Toc419795394"/>
      <w:bookmarkStart w:id="841" w:name="_Toc422151014"/>
      <w:bookmarkStart w:id="842" w:name="_Toc422233454"/>
      <w:bookmarkStart w:id="843" w:name="_Toc452469913"/>
      <w:r w:rsidRPr="00AE6EDB">
        <w:t>Príloha ku kapitole 1</w:t>
      </w:r>
      <w:bookmarkEnd w:id="832"/>
      <w:bookmarkEnd w:id="833"/>
      <w:bookmarkEnd w:id="834"/>
      <w:bookmarkEnd w:id="835"/>
      <w:bookmarkEnd w:id="836"/>
      <w:bookmarkEnd w:id="837"/>
      <w:bookmarkEnd w:id="838"/>
      <w:bookmarkEnd w:id="839"/>
      <w:bookmarkEnd w:id="840"/>
      <w:bookmarkEnd w:id="841"/>
      <w:bookmarkEnd w:id="842"/>
      <w:bookmarkEnd w:id="843"/>
    </w:p>
    <w:p w:rsidR="00352824" w:rsidRDefault="00352824" w:rsidP="000A7585">
      <w:pPr>
        <w:rPr>
          <w:highlight w:val="cyan"/>
        </w:rPr>
        <w:sectPr w:rsidR="00352824" w:rsidSect="004F3C97">
          <w:headerReference w:type="first" r:id="rId97"/>
          <w:footerReference w:type="first" r:id="rId98"/>
          <w:type w:val="oddPage"/>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type w:val="evenPage"/>
          <w:pgSz w:w="11906" w:h="16838"/>
          <w:pgMar w:top="1417" w:right="1417" w:bottom="1417" w:left="1417" w:header="708" w:footer="708" w:gutter="0"/>
          <w:cols w:space="708"/>
          <w:titlePg/>
          <w:docGrid w:linePitch="360"/>
        </w:sectPr>
      </w:pPr>
    </w:p>
    <w:p w:rsidR="000A7585" w:rsidRPr="00AE6EDB" w:rsidRDefault="000A7585" w:rsidP="000A7585">
      <w:pPr>
        <w:pStyle w:val="Nadpis7"/>
      </w:pPr>
      <w:bookmarkStart w:id="844" w:name="_Toc313879671"/>
      <w:r w:rsidRPr="00AE6EDB">
        <w:t>Tabuľka 1 Základné ukazovatele ekonomického vývoja SR</w:t>
      </w:r>
    </w:p>
    <w:tbl>
      <w:tblPr>
        <w:tblW w:w="8548" w:type="dxa"/>
        <w:jc w:val="center"/>
        <w:tblCellMar>
          <w:left w:w="70" w:type="dxa"/>
          <w:right w:w="70" w:type="dxa"/>
        </w:tblCellMar>
        <w:tblLook w:val="04A0" w:firstRow="1" w:lastRow="0" w:firstColumn="1" w:lastColumn="0" w:noHBand="0" w:noVBand="1"/>
      </w:tblPr>
      <w:tblGrid>
        <w:gridCol w:w="4211"/>
        <w:gridCol w:w="896"/>
        <w:gridCol w:w="700"/>
        <w:gridCol w:w="701"/>
        <w:gridCol w:w="680"/>
        <w:gridCol w:w="680"/>
        <w:gridCol w:w="680"/>
      </w:tblGrid>
      <w:tr w:rsidR="000A7585" w:rsidRPr="00AE6EDB" w:rsidTr="00DE0EEC">
        <w:trPr>
          <w:trHeight w:val="510"/>
          <w:jc w:val="center"/>
        </w:trPr>
        <w:tc>
          <w:tcPr>
            <w:tcW w:w="42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color w:val="000000"/>
                <w:sz w:val="20"/>
                <w:szCs w:val="20"/>
              </w:rPr>
            </w:pPr>
            <w:r w:rsidRPr="00AE6EDB">
              <w:rPr>
                <w:b/>
                <w:bCs/>
                <w:color w:val="000000"/>
                <w:sz w:val="20"/>
                <w:szCs w:val="20"/>
              </w:rPr>
              <w:t>Ukazovateľ</w:t>
            </w:r>
          </w:p>
        </w:tc>
        <w:tc>
          <w:tcPr>
            <w:tcW w:w="896"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color w:val="000000"/>
                <w:sz w:val="20"/>
                <w:szCs w:val="20"/>
              </w:rPr>
            </w:pPr>
            <w:r w:rsidRPr="00AE6EDB">
              <w:rPr>
                <w:b/>
                <w:bCs/>
                <w:color w:val="000000"/>
                <w:sz w:val="20"/>
                <w:szCs w:val="20"/>
              </w:rPr>
              <w:t xml:space="preserve">Merná jednotka </w:t>
            </w:r>
          </w:p>
        </w:tc>
        <w:tc>
          <w:tcPr>
            <w:tcW w:w="70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color w:val="000000"/>
                <w:sz w:val="20"/>
                <w:szCs w:val="20"/>
              </w:rPr>
            </w:pPr>
            <w:r w:rsidRPr="00AE6EDB">
              <w:rPr>
                <w:b/>
                <w:bCs/>
                <w:color w:val="000000"/>
                <w:sz w:val="20"/>
                <w:szCs w:val="20"/>
              </w:rPr>
              <w:t>2011</w:t>
            </w:r>
          </w:p>
        </w:tc>
        <w:tc>
          <w:tcPr>
            <w:tcW w:w="701"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color w:val="000000"/>
                <w:sz w:val="20"/>
                <w:szCs w:val="20"/>
              </w:rPr>
            </w:pPr>
            <w:r w:rsidRPr="00AE6EDB">
              <w:rPr>
                <w:b/>
                <w:bCs/>
                <w:color w:val="000000"/>
                <w:sz w:val="20"/>
                <w:szCs w:val="20"/>
              </w:rPr>
              <w:t>2012</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color w:val="000000"/>
                <w:sz w:val="20"/>
                <w:szCs w:val="20"/>
              </w:rPr>
            </w:pPr>
            <w:r w:rsidRPr="00AE6EDB">
              <w:rPr>
                <w:b/>
                <w:bCs/>
                <w:color w:val="000000"/>
                <w:sz w:val="20"/>
                <w:szCs w:val="20"/>
              </w:rPr>
              <w:t>2013</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bCs/>
                <w:color w:val="000000"/>
                <w:sz w:val="20"/>
                <w:szCs w:val="20"/>
              </w:rPr>
            </w:pPr>
            <w:r w:rsidRPr="00AE6EDB">
              <w:rPr>
                <w:b/>
                <w:bCs/>
                <w:color w:val="000000"/>
                <w:sz w:val="20"/>
                <w:szCs w:val="20"/>
              </w:rPr>
              <w:t>2014</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bCs/>
                <w:color w:val="000000"/>
                <w:sz w:val="20"/>
                <w:szCs w:val="20"/>
              </w:rPr>
            </w:pPr>
            <w:r w:rsidRPr="00AE6EDB">
              <w:rPr>
                <w:b/>
                <w:bCs/>
                <w:color w:val="000000"/>
                <w:sz w:val="20"/>
                <w:szCs w:val="20"/>
              </w:rPr>
              <w:t>2015</w:t>
            </w:r>
          </w:p>
        </w:tc>
      </w:tr>
      <w:tr w:rsidR="000A7585" w:rsidRPr="00AE6EDB" w:rsidTr="00DE0EEC">
        <w:trPr>
          <w:trHeight w:val="158"/>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color w:val="000000"/>
                <w:sz w:val="20"/>
                <w:szCs w:val="20"/>
              </w:rPr>
            </w:pPr>
            <w:r w:rsidRPr="00AE6EDB">
              <w:rPr>
                <w:b/>
                <w:bCs/>
                <w:color w:val="000000"/>
                <w:sz w:val="20"/>
                <w:szCs w:val="20"/>
              </w:rPr>
              <w:t xml:space="preserve"> HRUBÝ DOMÁCI PRODUKT </w:t>
            </w:r>
            <w:r w:rsidRPr="00AE6EDB">
              <w:rPr>
                <w:color w:val="000000"/>
                <w:sz w:val="20"/>
                <w:szCs w:val="20"/>
                <w:vertAlign w:val="superscript"/>
              </w:rPr>
              <w:t>1)</w:t>
            </w:r>
            <w:r w:rsidRPr="00AE6EDB">
              <w:rPr>
                <w:b/>
                <w:bCs/>
                <w:color w:val="000000"/>
                <w:sz w:val="20"/>
                <w:szCs w:val="20"/>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rPr>
                <w:color w:val="000000"/>
                <w:sz w:val="20"/>
                <w:szCs w:val="20"/>
              </w:rPr>
            </w:pPr>
            <w:r w:rsidRPr="00AE6EDB">
              <w:rPr>
                <w:color w:val="000000"/>
                <w:sz w:val="20"/>
                <w:szCs w:val="20"/>
              </w:rPr>
              <w:t> </w:t>
            </w:r>
          </w:p>
        </w:tc>
        <w:tc>
          <w:tcPr>
            <w:tcW w:w="680" w:type="dxa"/>
            <w:tcBorders>
              <w:top w:val="nil"/>
              <w:left w:val="nil"/>
              <w:bottom w:val="single" w:sz="4" w:space="0" w:color="auto"/>
              <w:right w:val="single" w:sz="4" w:space="0" w:color="auto"/>
            </w:tcBorders>
          </w:tcPr>
          <w:p w:rsidR="000A7585" w:rsidRPr="00AE6EDB" w:rsidRDefault="000A7585" w:rsidP="00DE0EEC">
            <w:pPr>
              <w:jc w:val="center"/>
              <w:rPr>
                <w:b/>
                <w:bCs/>
                <w:color w:val="000000"/>
                <w:sz w:val="20"/>
                <w:szCs w:val="20"/>
              </w:rPr>
            </w:pPr>
          </w:p>
        </w:tc>
        <w:tc>
          <w:tcPr>
            <w:tcW w:w="680" w:type="dxa"/>
            <w:tcBorders>
              <w:top w:val="nil"/>
              <w:left w:val="nil"/>
              <w:bottom w:val="single" w:sz="4" w:space="0" w:color="auto"/>
              <w:right w:val="single" w:sz="4" w:space="0" w:color="auto"/>
            </w:tcBorders>
          </w:tcPr>
          <w:p w:rsidR="000A7585" w:rsidRPr="00AE6EDB" w:rsidRDefault="000A7585" w:rsidP="00DE0EEC">
            <w:pPr>
              <w:jc w:val="center"/>
              <w:rPr>
                <w:b/>
                <w:bCs/>
                <w:color w:val="000000"/>
                <w:sz w:val="20"/>
                <w:szCs w:val="20"/>
              </w:rPr>
            </w:pPr>
          </w:p>
        </w:tc>
      </w:tr>
      <w:tr w:rsidR="000A7585" w:rsidRPr="00AE6EDB" w:rsidTr="00DE0EEC">
        <w:trPr>
          <w:trHeight w:val="6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 Hrubý domáci produkt v bežných cenách</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mld.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70,4</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72,4</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73,8</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20"/>
                <w:szCs w:val="20"/>
              </w:rPr>
            </w:pPr>
            <w:r w:rsidRPr="00AE6EDB">
              <w:rPr>
                <w:bCs/>
                <w:color w:val="000000"/>
                <w:sz w:val="18"/>
                <w:szCs w:val="20"/>
              </w:rPr>
              <w:t>75,6</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78,1</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 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104,5</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102,8</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102,0</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102,3</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103,3</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Hrubý domáci produkt v </w:t>
            </w:r>
            <w:proofErr w:type="spellStart"/>
            <w:r w:rsidRPr="00AE6EDB">
              <w:rPr>
                <w:color w:val="000000"/>
                <w:sz w:val="20"/>
                <w:szCs w:val="20"/>
              </w:rPr>
              <w:t>s.c</w:t>
            </w:r>
            <w:proofErr w:type="spellEnd"/>
            <w:r w:rsidRPr="00AE6EDB">
              <w:rPr>
                <w:color w:val="000000"/>
                <w:sz w:val="20"/>
                <w:szCs w:val="20"/>
              </w:rPr>
              <w:t xml:space="preserve">. </w:t>
            </w:r>
            <w:r w:rsidRPr="00AE6EDB">
              <w:rPr>
                <w:color w:val="000000"/>
                <w:sz w:val="20"/>
                <w:szCs w:val="20"/>
                <w:vertAlign w:val="superscript"/>
              </w:rPr>
              <w:t>2)</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mld.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69,3</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70,4</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71,4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73,2</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75,5</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102,8</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101,5</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101,4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102,5</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103,6</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31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color w:val="000000"/>
                <w:sz w:val="20"/>
                <w:szCs w:val="20"/>
              </w:rPr>
            </w:pPr>
            <w:r w:rsidRPr="00AE6EDB">
              <w:rPr>
                <w:b/>
                <w:bCs/>
                <w:color w:val="000000"/>
                <w:sz w:val="20"/>
                <w:szCs w:val="20"/>
              </w:rPr>
              <w:t xml:space="preserve">INFLÁCIA </w:t>
            </w:r>
            <w:r w:rsidRPr="00AE6EDB">
              <w:rPr>
                <w:color w:val="000000"/>
                <w:sz w:val="20"/>
                <w:szCs w:val="20"/>
                <w:vertAlign w:val="superscript"/>
              </w:rPr>
              <w:t>3)</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Medziročná miera inflácie</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posledný mesiac obdobia</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4,4</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3,2</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0,4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-0,1</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-0,5</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v priemere za obdobie</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3,9</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3,6</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-0,1</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-0,3</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color w:val="000000"/>
                <w:sz w:val="20"/>
                <w:szCs w:val="20"/>
              </w:rPr>
            </w:pPr>
            <w:r w:rsidRPr="00AE6EDB">
              <w:rPr>
                <w:b/>
                <w:bCs/>
                <w:color w:val="000000"/>
                <w:sz w:val="20"/>
                <w:szCs w:val="20"/>
              </w:rPr>
              <w:t>EKONOMICKÁ AKTIVITA PODĽA VZPS</w:t>
            </w:r>
            <w:r w:rsidRPr="00AE6EDB">
              <w:rPr>
                <w:color w:val="000000"/>
                <w:sz w:val="20"/>
                <w:szCs w:val="20"/>
                <w:vertAlign w:val="superscript"/>
              </w:rPr>
              <w:t>4)</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Počet pracujúcich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tis. osôb</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54295F" w:rsidP="00DE0EEC">
            <w:pPr>
              <w:jc w:val="right"/>
              <w:rPr>
                <w:color w:val="000000"/>
                <w:sz w:val="18"/>
                <w:szCs w:val="18"/>
              </w:rPr>
            </w:pPr>
            <w:r>
              <w:rPr>
                <w:color w:val="000000"/>
                <w:sz w:val="18"/>
                <w:szCs w:val="18"/>
              </w:rPr>
              <w:t>2 3</w:t>
            </w:r>
            <w:r w:rsidR="000A7585" w:rsidRPr="00AE6EDB">
              <w:rPr>
                <w:color w:val="000000"/>
                <w:sz w:val="18"/>
                <w:szCs w:val="18"/>
              </w:rPr>
              <w:t>15,3</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54295F" w:rsidP="00DE0EEC">
            <w:pPr>
              <w:jc w:val="right"/>
              <w:rPr>
                <w:color w:val="000000"/>
                <w:sz w:val="18"/>
                <w:szCs w:val="18"/>
              </w:rPr>
            </w:pPr>
            <w:r>
              <w:rPr>
                <w:color w:val="000000"/>
                <w:sz w:val="18"/>
                <w:szCs w:val="18"/>
              </w:rPr>
              <w:t>2 3</w:t>
            </w:r>
            <w:r w:rsidR="000A7585" w:rsidRPr="00AE6EDB">
              <w:rPr>
                <w:color w:val="000000"/>
                <w:sz w:val="18"/>
                <w:szCs w:val="18"/>
              </w:rPr>
              <w:t>29,0</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54295F" w:rsidP="00DE0EEC">
            <w:pPr>
              <w:jc w:val="right"/>
              <w:rPr>
                <w:color w:val="000000"/>
                <w:sz w:val="18"/>
                <w:szCs w:val="18"/>
              </w:rPr>
            </w:pPr>
            <w:r>
              <w:rPr>
                <w:color w:val="000000"/>
                <w:sz w:val="18"/>
                <w:szCs w:val="18"/>
              </w:rPr>
              <w:t>2 3</w:t>
            </w:r>
            <w:r w:rsidR="000A7585" w:rsidRPr="00AE6EDB">
              <w:rPr>
                <w:color w:val="000000"/>
                <w:sz w:val="18"/>
                <w:szCs w:val="18"/>
              </w:rPr>
              <w:t>29,3</w:t>
            </w:r>
          </w:p>
        </w:tc>
        <w:tc>
          <w:tcPr>
            <w:tcW w:w="680" w:type="dxa"/>
            <w:tcBorders>
              <w:top w:val="nil"/>
              <w:left w:val="nil"/>
              <w:bottom w:val="single" w:sz="4" w:space="0" w:color="auto"/>
              <w:right w:val="single" w:sz="4" w:space="0" w:color="auto"/>
            </w:tcBorders>
            <w:vAlign w:val="center"/>
          </w:tcPr>
          <w:p w:rsidR="000A7585" w:rsidRPr="00AE6EDB" w:rsidRDefault="0054295F" w:rsidP="00DE0EEC">
            <w:pPr>
              <w:jc w:val="right"/>
              <w:rPr>
                <w:bCs/>
                <w:color w:val="000000"/>
                <w:sz w:val="18"/>
                <w:szCs w:val="20"/>
              </w:rPr>
            </w:pPr>
            <w:r>
              <w:rPr>
                <w:bCs/>
                <w:color w:val="000000"/>
                <w:sz w:val="18"/>
                <w:szCs w:val="20"/>
              </w:rPr>
              <w:t>2 3</w:t>
            </w:r>
            <w:r w:rsidR="000A7585" w:rsidRPr="00AE6EDB">
              <w:rPr>
                <w:bCs/>
                <w:color w:val="000000"/>
                <w:sz w:val="18"/>
                <w:szCs w:val="20"/>
              </w:rPr>
              <w:t>63,0</w:t>
            </w:r>
          </w:p>
        </w:tc>
        <w:tc>
          <w:tcPr>
            <w:tcW w:w="680" w:type="dxa"/>
            <w:tcBorders>
              <w:top w:val="nil"/>
              <w:left w:val="nil"/>
              <w:bottom w:val="single" w:sz="4" w:space="0" w:color="auto"/>
              <w:right w:val="single" w:sz="4" w:space="0" w:color="auto"/>
            </w:tcBorders>
            <w:vAlign w:val="center"/>
          </w:tcPr>
          <w:p w:rsidR="000A7585" w:rsidRPr="00AE6EDB" w:rsidRDefault="0054295F" w:rsidP="00DE0EEC">
            <w:pPr>
              <w:jc w:val="right"/>
              <w:rPr>
                <w:bCs/>
                <w:color w:val="000000"/>
                <w:sz w:val="18"/>
                <w:szCs w:val="20"/>
              </w:rPr>
            </w:pPr>
            <w:r>
              <w:rPr>
                <w:bCs/>
                <w:color w:val="000000"/>
                <w:sz w:val="18"/>
                <w:szCs w:val="20"/>
              </w:rPr>
              <w:t>2 4</w:t>
            </w:r>
            <w:r w:rsidR="000A7585" w:rsidRPr="00AE6EDB">
              <w:rPr>
                <w:bCs/>
                <w:color w:val="000000"/>
                <w:sz w:val="18"/>
                <w:szCs w:val="20"/>
              </w:rPr>
              <w:t>24,0</w:t>
            </w:r>
          </w:p>
        </w:tc>
      </w:tr>
      <w:tr w:rsidR="000A7585" w:rsidRPr="00AE6EDB" w:rsidTr="00DE0EEC">
        <w:trPr>
          <w:trHeight w:val="77"/>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99,9</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100,6</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100,0</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101,4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102,6</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Počet nezamestnaných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tis. osôb</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364,6</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377,5</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386,0</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358,7</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314,3</w:t>
            </w:r>
          </w:p>
        </w:tc>
      </w:tr>
      <w:tr w:rsidR="000A7585" w:rsidRPr="00AE6EDB" w:rsidTr="00DE0EEC">
        <w:trPr>
          <w:trHeight w:val="8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93,7</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103,5</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102,3</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92,9</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87,6</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Miera nezamestnanosti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13,6</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14,0</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14,2</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13,2</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11,5</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color w:val="000000"/>
                <w:sz w:val="20"/>
                <w:szCs w:val="20"/>
              </w:rPr>
            </w:pPr>
            <w:r w:rsidRPr="00AE6EDB">
              <w:rPr>
                <w:b/>
                <w:bCs/>
                <w:color w:val="000000"/>
                <w:sz w:val="20"/>
                <w:szCs w:val="20"/>
              </w:rPr>
              <w:t>ZAMESTNANOSŤ</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Priemerný počet zamestnaných osôb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v hospodárstve spolu </w:t>
            </w:r>
            <w:r w:rsidRPr="00AE6EDB">
              <w:rPr>
                <w:color w:val="000000"/>
                <w:sz w:val="20"/>
                <w:szCs w:val="20"/>
                <w:vertAlign w:val="superscript"/>
              </w:rPr>
              <w:t>5)</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tis. osôb</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54295F" w:rsidP="00DE0EEC">
            <w:pPr>
              <w:jc w:val="right"/>
              <w:rPr>
                <w:color w:val="000000"/>
                <w:sz w:val="18"/>
                <w:szCs w:val="18"/>
              </w:rPr>
            </w:pPr>
            <w:r>
              <w:rPr>
                <w:color w:val="000000"/>
                <w:sz w:val="18"/>
                <w:szCs w:val="18"/>
              </w:rPr>
              <w:t>2 1</w:t>
            </w:r>
            <w:r w:rsidR="000A7585" w:rsidRPr="00AE6EDB">
              <w:rPr>
                <w:color w:val="000000"/>
                <w:sz w:val="18"/>
                <w:szCs w:val="18"/>
              </w:rPr>
              <w:t>92,5</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54295F" w:rsidP="00DE0EEC">
            <w:pPr>
              <w:jc w:val="right"/>
              <w:rPr>
                <w:color w:val="000000"/>
                <w:sz w:val="18"/>
                <w:szCs w:val="18"/>
              </w:rPr>
            </w:pPr>
            <w:r>
              <w:rPr>
                <w:color w:val="000000"/>
                <w:sz w:val="18"/>
                <w:szCs w:val="18"/>
              </w:rPr>
              <w:t>2 1</w:t>
            </w:r>
            <w:r w:rsidR="000A7585" w:rsidRPr="00AE6EDB">
              <w:rPr>
                <w:color w:val="000000"/>
                <w:sz w:val="18"/>
                <w:szCs w:val="18"/>
              </w:rPr>
              <w:t>91,3</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54295F" w:rsidP="00DE0EEC">
            <w:pPr>
              <w:jc w:val="right"/>
              <w:rPr>
                <w:color w:val="000000"/>
                <w:sz w:val="18"/>
                <w:szCs w:val="18"/>
              </w:rPr>
            </w:pPr>
            <w:r>
              <w:rPr>
                <w:color w:val="000000"/>
                <w:sz w:val="18"/>
                <w:szCs w:val="18"/>
              </w:rPr>
              <w:t>2 1</w:t>
            </w:r>
            <w:r w:rsidR="000A7585" w:rsidRPr="00AE6EDB">
              <w:rPr>
                <w:color w:val="000000"/>
                <w:sz w:val="18"/>
                <w:szCs w:val="18"/>
              </w:rPr>
              <w:t>76,1</w:t>
            </w:r>
          </w:p>
        </w:tc>
        <w:tc>
          <w:tcPr>
            <w:tcW w:w="680" w:type="dxa"/>
            <w:tcBorders>
              <w:top w:val="nil"/>
              <w:left w:val="nil"/>
              <w:bottom w:val="single" w:sz="4" w:space="0" w:color="auto"/>
              <w:right w:val="single" w:sz="4" w:space="0" w:color="auto"/>
            </w:tcBorders>
            <w:vAlign w:val="center"/>
          </w:tcPr>
          <w:p w:rsidR="000A7585" w:rsidRPr="00AE6EDB" w:rsidRDefault="0054295F" w:rsidP="00DE0EEC">
            <w:pPr>
              <w:jc w:val="right"/>
              <w:rPr>
                <w:bCs/>
                <w:color w:val="000000"/>
                <w:sz w:val="18"/>
                <w:szCs w:val="20"/>
              </w:rPr>
            </w:pPr>
            <w:r>
              <w:rPr>
                <w:bCs/>
                <w:color w:val="000000"/>
                <w:sz w:val="18"/>
                <w:szCs w:val="20"/>
              </w:rPr>
              <w:t>2 2</w:t>
            </w:r>
            <w:r w:rsidR="000A7585" w:rsidRPr="00AE6EDB">
              <w:rPr>
                <w:bCs/>
                <w:color w:val="000000"/>
                <w:sz w:val="18"/>
                <w:szCs w:val="20"/>
              </w:rPr>
              <w:t>04,6</w:t>
            </w:r>
          </w:p>
        </w:tc>
        <w:tc>
          <w:tcPr>
            <w:tcW w:w="680" w:type="dxa"/>
            <w:tcBorders>
              <w:top w:val="nil"/>
              <w:left w:val="nil"/>
              <w:bottom w:val="single" w:sz="4" w:space="0" w:color="auto"/>
              <w:right w:val="single" w:sz="4" w:space="0" w:color="auto"/>
            </w:tcBorders>
            <w:vAlign w:val="center"/>
          </w:tcPr>
          <w:p w:rsidR="000A7585" w:rsidRPr="00AE6EDB" w:rsidRDefault="0054295F" w:rsidP="00DE0EEC">
            <w:pPr>
              <w:jc w:val="right"/>
              <w:rPr>
                <w:bCs/>
                <w:color w:val="000000"/>
                <w:sz w:val="18"/>
                <w:szCs w:val="20"/>
              </w:rPr>
            </w:pPr>
            <w:r>
              <w:rPr>
                <w:bCs/>
                <w:color w:val="000000"/>
                <w:sz w:val="18"/>
                <w:szCs w:val="20"/>
              </w:rPr>
              <w:t>2 2</w:t>
            </w:r>
            <w:r w:rsidR="000A7585" w:rsidRPr="00AE6EDB">
              <w:rPr>
                <w:bCs/>
                <w:color w:val="000000"/>
                <w:sz w:val="18"/>
                <w:szCs w:val="20"/>
              </w:rPr>
              <w:t>51,6</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101,9</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99,9</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99,3</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101,3</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102,1</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color w:val="000000"/>
                <w:sz w:val="20"/>
                <w:szCs w:val="20"/>
              </w:rPr>
            </w:pPr>
            <w:r w:rsidRPr="00AE6EDB">
              <w:rPr>
                <w:b/>
                <w:bCs/>
                <w:color w:val="000000"/>
                <w:sz w:val="20"/>
                <w:szCs w:val="20"/>
              </w:rPr>
              <w:t>PRIEMERNÁ MESAČNÁ MZDA</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7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zamestnanca za hospodárstvo spolu </w:t>
            </w:r>
            <w:r w:rsidRPr="00AE6EDB">
              <w:rPr>
                <w:color w:val="000000"/>
                <w:sz w:val="20"/>
                <w:szCs w:val="20"/>
                <w:vertAlign w:val="superscript"/>
              </w:rPr>
              <w:t>6)</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 </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nominálna</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786</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805</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824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858</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883</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index, rovnaké obdobie </w:t>
            </w:r>
            <w:proofErr w:type="spellStart"/>
            <w:r w:rsidRPr="00AE6EDB">
              <w:rPr>
                <w:color w:val="000000"/>
                <w:sz w:val="20"/>
                <w:szCs w:val="20"/>
              </w:rPr>
              <w:t>predchádz</w:t>
            </w:r>
            <w:proofErr w:type="spellEnd"/>
            <w:r w:rsidRPr="00AE6EDB">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102,2</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102,4</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102,4</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104,1</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102,9</w:t>
            </w:r>
          </w:p>
        </w:tc>
      </w:tr>
      <w:tr w:rsidR="000A7585" w:rsidRPr="00AE6EDB" w:rsidTr="00DE0EEC">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color w:val="000000"/>
                <w:sz w:val="20"/>
                <w:szCs w:val="20"/>
              </w:rPr>
            </w:pPr>
            <w:r w:rsidRPr="00AE6EDB">
              <w:rPr>
                <w:color w:val="000000"/>
                <w:sz w:val="20"/>
                <w:szCs w:val="20"/>
              </w:rPr>
              <w:t xml:space="preserve">reálna </w:t>
            </w:r>
            <w:r w:rsidRPr="00AE6EDB">
              <w:rPr>
                <w:color w:val="000000" w:themeColor="text1"/>
              </w:rPr>
              <w:t>–</w:t>
            </w:r>
            <w:r w:rsidRPr="00AE6EDB">
              <w:rPr>
                <w:color w:val="000000"/>
                <w:sz w:val="20"/>
                <w:szCs w:val="20"/>
              </w:rPr>
              <w:t xml:space="preserve"> index, rovnaké obdobie </w:t>
            </w:r>
            <w:proofErr w:type="spellStart"/>
            <w:r w:rsidRPr="00AE6EDB">
              <w:rPr>
                <w:color w:val="000000"/>
                <w:sz w:val="20"/>
                <w:szCs w:val="20"/>
              </w:rPr>
              <w:t>predchádz</w:t>
            </w:r>
            <w:proofErr w:type="spellEnd"/>
            <w:r w:rsidRPr="00AE6EDB">
              <w:rPr>
                <w:color w:val="000000"/>
                <w:sz w:val="20"/>
                <w:szCs w:val="20"/>
              </w:rPr>
              <w:t>. roku = 10</w:t>
            </w:r>
            <w:r w:rsidR="0054295F">
              <w:rPr>
                <w:color w:val="000000"/>
                <w:sz w:val="20"/>
                <w:szCs w:val="20"/>
              </w:rPr>
              <w:t>0 7</w:t>
            </w:r>
            <w:r w:rsidRPr="00AE6EDB">
              <w:rPr>
                <w:color w:val="000000"/>
                <w:sz w:val="20"/>
                <w:szCs w:val="20"/>
                <w:vertAlign w:val="superscript"/>
              </w:rPr>
              <w:t>)</w:t>
            </w:r>
          </w:p>
        </w:tc>
        <w:tc>
          <w:tcPr>
            <w:tcW w:w="896"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center"/>
              <w:rPr>
                <w:color w:val="000000"/>
                <w:sz w:val="20"/>
                <w:szCs w:val="20"/>
              </w:rPr>
            </w:pPr>
            <w:r w:rsidRPr="00AE6EDB">
              <w:rPr>
                <w:color w:val="000000"/>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98,4</w:t>
            </w:r>
          </w:p>
        </w:tc>
        <w:tc>
          <w:tcPr>
            <w:tcW w:w="701" w:type="dxa"/>
            <w:tcBorders>
              <w:top w:val="nil"/>
              <w:left w:val="nil"/>
              <w:bottom w:val="single" w:sz="4" w:space="0" w:color="auto"/>
              <w:right w:val="single" w:sz="4" w:space="0" w:color="auto"/>
            </w:tcBorders>
            <w:shd w:val="clear" w:color="auto" w:fill="auto"/>
            <w:noWrap/>
            <w:vAlign w:val="center"/>
            <w:hideMark/>
          </w:tcPr>
          <w:p w:rsidR="000A7585" w:rsidRPr="00AE6EDB" w:rsidRDefault="000A7585" w:rsidP="00DE0EEC">
            <w:pPr>
              <w:jc w:val="right"/>
              <w:rPr>
                <w:color w:val="000000"/>
                <w:sz w:val="18"/>
                <w:szCs w:val="18"/>
              </w:rPr>
            </w:pPr>
            <w:r w:rsidRPr="00AE6EDB">
              <w:rPr>
                <w:color w:val="000000"/>
                <w:sz w:val="18"/>
                <w:szCs w:val="18"/>
              </w:rPr>
              <w:t>98,8</w:t>
            </w:r>
          </w:p>
        </w:tc>
        <w:tc>
          <w:tcPr>
            <w:tcW w:w="680" w:type="dxa"/>
            <w:tcBorders>
              <w:top w:val="nil"/>
              <w:left w:val="nil"/>
              <w:bottom w:val="single" w:sz="4" w:space="0" w:color="auto"/>
              <w:right w:val="single" w:sz="4" w:space="0" w:color="auto"/>
            </w:tcBorders>
            <w:shd w:val="clear" w:color="auto" w:fill="auto"/>
            <w:vAlign w:val="center"/>
            <w:hideMark/>
          </w:tcPr>
          <w:p w:rsidR="000A7585" w:rsidRPr="00AE6EDB" w:rsidRDefault="000A7585" w:rsidP="00DE0EEC">
            <w:pPr>
              <w:jc w:val="right"/>
              <w:rPr>
                <w:color w:val="000000"/>
                <w:sz w:val="18"/>
                <w:szCs w:val="18"/>
              </w:rPr>
            </w:pPr>
            <w:r w:rsidRPr="00AE6EDB">
              <w:rPr>
                <w:color w:val="000000"/>
                <w:sz w:val="18"/>
                <w:szCs w:val="18"/>
              </w:rPr>
              <w:t>101,0</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104,2</w:t>
            </w:r>
          </w:p>
        </w:tc>
        <w:tc>
          <w:tcPr>
            <w:tcW w:w="680" w:type="dxa"/>
            <w:tcBorders>
              <w:top w:val="nil"/>
              <w:left w:val="nil"/>
              <w:bottom w:val="single" w:sz="4" w:space="0" w:color="auto"/>
              <w:right w:val="single" w:sz="4" w:space="0" w:color="auto"/>
            </w:tcBorders>
            <w:vAlign w:val="center"/>
          </w:tcPr>
          <w:p w:rsidR="000A7585" w:rsidRPr="00AE6EDB" w:rsidRDefault="000A7585" w:rsidP="00DE0EEC">
            <w:pPr>
              <w:jc w:val="right"/>
              <w:rPr>
                <w:bCs/>
                <w:color w:val="000000"/>
                <w:sz w:val="18"/>
                <w:szCs w:val="20"/>
              </w:rPr>
            </w:pPr>
            <w:r w:rsidRPr="00AE6EDB">
              <w:rPr>
                <w:bCs/>
                <w:color w:val="000000"/>
                <w:sz w:val="18"/>
                <w:szCs w:val="20"/>
              </w:rPr>
              <w:t>103,2</w:t>
            </w:r>
          </w:p>
        </w:tc>
      </w:tr>
    </w:tbl>
    <w:p w:rsidR="000A7585" w:rsidRPr="00AE6EDB" w:rsidRDefault="000A7585" w:rsidP="000A7585">
      <w:pPr>
        <w:pStyle w:val="zdroj"/>
        <w:spacing w:after="0"/>
        <w:ind w:left="142" w:firstLine="3"/>
      </w:pPr>
      <w:r w:rsidRPr="00AE6EDB">
        <w:t>Zdroj: ŠÚ SR Štatistická správa o základných vývojových tendenciách v hospodárstve SR v 4.štvrťroku 2015</w:t>
      </w:r>
    </w:p>
    <w:p w:rsidR="000A7585" w:rsidRPr="00AE6EDB" w:rsidRDefault="000A7585" w:rsidP="000A7585">
      <w:pPr>
        <w:pStyle w:val="zdroj"/>
        <w:spacing w:before="0" w:after="0"/>
        <w:ind w:left="142" w:firstLine="3"/>
      </w:pPr>
      <w:r w:rsidRPr="00AE6EDB">
        <w:t>1) metodika ESA 2010, údaje od roku 2014 sú spresnenými štvrťročnými odhadmi</w:t>
      </w:r>
    </w:p>
    <w:p w:rsidR="000A7585" w:rsidRPr="00AE6EDB" w:rsidRDefault="000A7585" w:rsidP="000A7585">
      <w:pPr>
        <w:pStyle w:val="zdroj"/>
        <w:spacing w:before="0" w:after="0"/>
        <w:ind w:left="142" w:firstLine="3"/>
      </w:pPr>
      <w:r w:rsidRPr="00AE6EDB">
        <w:t>2) v stálych cenách vypočítaných reťazením objemov k referenčnému roku 2010</w:t>
      </w:r>
    </w:p>
    <w:p w:rsidR="000A7585" w:rsidRPr="00AE6EDB" w:rsidRDefault="000A7585" w:rsidP="000A7585">
      <w:pPr>
        <w:pStyle w:val="zdroj"/>
        <w:spacing w:before="0" w:after="0"/>
        <w:ind w:left="142" w:firstLine="3"/>
      </w:pPr>
      <w:r w:rsidRPr="00AE6EDB">
        <w:t>3) počítaná zo spotrebiteľských cien, od roku 2005 s ročnou aktualizáciou váh</w:t>
      </w:r>
    </w:p>
    <w:p w:rsidR="000A7585" w:rsidRPr="00AE6EDB" w:rsidRDefault="000A7585" w:rsidP="000A7585">
      <w:pPr>
        <w:pStyle w:val="zdroj"/>
        <w:spacing w:before="0" w:after="0"/>
        <w:ind w:left="142" w:firstLine="3"/>
      </w:pPr>
      <w:r w:rsidRPr="00AE6EDB">
        <w:t xml:space="preserve">4) VZPS </w:t>
      </w:r>
      <w:r w:rsidRPr="00AE6EDB">
        <w:rPr>
          <w:color w:val="000000" w:themeColor="text1"/>
        </w:rPr>
        <w:t>–</w:t>
      </w:r>
      <w:r w:rsidRPr="00AE6EDB">
        <w:t xml:space="preserve"> výberové zisťovanie pracovných síl; v priemere za obdobie; pracujúci v zmysle VZPS sú všetky osoby vo veku od 15 rokov, ktoré v sledovanom (referenčnom) týždni vykonávajú aspoň 1 hodinu prácu za mzdu, plat alebo iný druh odmeny alebo prácu za účelom dosiahnutia zisku, vrátane osôb vykonávajúcich prácu na základe dohôd, sezónnych pracovníkov, osôb na riadnej materskej dovolenke, osôb pracujúcich v zahraničí menej ako 1 rok, osôb dochádzajúcich za prácou do zahraničia a osôb platených na aktivačných prácach; </w:t>
      </w:r>
    </w:p>
    <w:p w:rsidR="000A7585" w:rsidRPr="00AE6EDB" w:rsidRDefault="000A7585" w:rsidP="000A7585">
      <w:pPr>
        <w:pStyle w:val="zdroj"/>
        <w:spacing w:before="0" w:after="0"/>
        <w:ind w:left="142" w:firstLine="3"/>
      </w:pPr>
      <w:r w:rsidRPr="00AE6EDB">
        <w:t>5) zo štvrťročného štatistického výkazníctva; zamestnané osoby sú zamestnanci a podnikatelia; bez žien na materskej dovolenke</w:t>
      </w:r>
    </w:p>
    <w:p w:rsidR="000A7585" w:rsidRPr="00AE6EDB" w:rsidRDefault="000A7585" w:rsidP="000A7585">
      <w:pPr>
        <w:pStyle w:val="zdroj"/>
        <w:spacing w:before="0" w:after="0"/>
        <w:ind w:left="142" w:firstLine="3"/>
      </w:pPr>
      <w:r w:rsidRPr="00AE6EDB">
        <w:t xml:space="preserve">6) zo štvrťročného štatistického výkazníctva; bez podnikateľských príjmov; údaje upravené o štatistický odhad neevidovaných miezd </w:t>
      </w:r>
    </w:p>
    <w:p w:rsidR="000A7585" w:rsidRPr="00AE6EDB" w:rsidRDefault="000A7585" w:rsidP="000A7585">
      <w:pPr>
        <w:pStyle w:val="zdroj"/>
        <w:spacing w:before="0" w:after="0"/>
        <w:ind w:left="142" w:firstLine="3"/>
      </w:pPr>
      <w:r w:rsidRPr="00AE6EDB">
        <w:t>7) index reálnej mzdy je vypočítaný ako podiel indexu nominálnej mzdy a indexu spotrebiteľských cien</w:t>
      </w:r>
    </w:p>
    <w:p w:rsidR="000A7585" w:rsidRPr="00AE6EDB" w:rsidRDefault="000A7585" w:rsidP="000A7585">
      <w:pPr>
        <w:spacing w:after="200" w:line="276" w:lineRule="auto"/>
        <w:jc w:val="left"/>
        <w:rPr>
          <w:i/>
          <w:sz w:val="20"/>
          <w:szCs w:val="20"/>
        </w:rPr>
      </w:pPr>
      <w:r w:rsidRPr="00AE6EDB">
        <w:br w:type="page"/>
      </w:r>
    </w:p>
    <w:p w:rsidR="000A7585" w:rsidRPr="00AE6EDB" w:rsidRDefault="000A7585" w:rsidP="000A7585">
      <w:pPr>
        <w:pStyle w:val="Nadpis7"/>
      </w:pPr>
      <w:r w:rsidRPr="00AE6EDB">
        <w:t>Tabuľka 2 Indexy spotrebiteľských cien</w:t>
      </w:r>
    </w:p>
    <w:tbl>
      <w:tblPr>
        <w:tblW w:w="9355" w:type="dxa"/>
        <w:jc w:val="center"/>
        <w:tblCellMar>
          <w:left w:w="70" w:type="dxa"/>
          <w:right w:w="70" w:type="dxa"/>
        </w:tblCellMar>
        <w:tblLook w:val="04A0" w:firstRow="1" w:lastRow="0" w:firstColumn="1" w:lastColumn="0" w:noHBand="0" w:noVBand="1"/>
      </w:tblPr>
      <w:tblGrid>
        <w:gridCol w:w="3246"/>
        <w:gridCol w:w="1440"/>
        <w:gridCol w:w="992"/>
        <w:gridCol w:w="850"/>
        <w:gridCol w:w="1029"/>
        <w:gridCol w:w="973"/>
        <w:gridCol w:w="825"/>
      </w:tblGrid>
      <w:tr w:rsidR="000A7585" w:rsidRPr="00AE6EDB" w:rsidTr="00DE0EEC">
        <w:trPr>
          <w:trHeight w:val="255"/>
          <w:jc w:val="center"/>
        </w:trPr>
        <w:tc>
          <w:tcPr>
            <w:tcW w:w="9355" w:type="dxa"/>
            <w:gridSpan w:val="7"/>
            <w:tcBorders>
              <w:top w:val="single" w:sz="4" w:space="0" w:color="auto"/>
              <w:left w:val="single" w:sz="4" w:space="0" w:color="auto"/>
              <w:bottom w:val="single" w:sz="4" w:space="0" w:color="auto"/>
              <w:right w:val="single" w:sz="4" w:space="0" w:color="000000"/>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Rovnaké obdobie predchádzajúceho roka = 100</w:t>
            </w:r>
          </w:p>
        </w:tc>
      </w:tr>
      <w:tr w:rsidR="000A7585" w:rsidRPr="00AE6EDB" w:rsidTr="00DE0EEC">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sz w:val="20"/>
                <w:szCs w:val="20"/>
              </w:rPr>
            </w:pPr>
            <w:r w:rsidRPr="00AE6EDB">
              <w:rPr>
                <w:sz w:val="20"/>
                <w:szCs w:val="20"/>
              </w:rPr>
              <w:t> </w:t>
            </w:r>
          </w:p>
        </w:tc>
        <w:tc>
          <w:tcPr>
            <w:tcW w:w="1440"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Stále</w:t>
            </w:r>
          </w:p>
        </w:tc>
        <w:tc>
          <w:tcPr>
            <w:tcW w:w="4669" w:type="dxa"/>
            <w:gridSpan w:val="5"/>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2015</w:t>
            </w:r>
          </w:p>
        </w:tc>
      </w:tr>
      <w:tr w:rsidR="000A7585" w:rsidRPr="00AE6EDB" w:rsidTr="00DE0EEC">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Odbory COICOP</w:t>
            </w:r>
          </w:p>
        </w:tc>
        <w:tc>
          <w:tcPr>
            <w:tcW w:w="1440"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váhy</w:t>
            </w:r>
          </w:p>
        </w:tc>
        <w:tc>
          <w:tcPr>
            <w:tcW w:w="4669" w:type="dxa"/>
            <w:gridSpan w:val="5"/>
            <w:vMerge/>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rPr>
                <w:b/>
                <w:sz w:val="20"/>
                <w:szCs w:val="20"/>
              </w:rPr>
            </w:pP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shd w:val="clear" w:color="auto" w:fill="FF9999" w:themeFill="accent3" w:themeFillTint="66"/>
            <w:noWrap/>
            <w:vAlign w:val="bottom"/>
            <w:hideMark/>
          </w:tcPr>
          <w:p w:rsidR="000A7585" w:rsidRPr="00AE6EDB" w:rsidRDefault="000A7585" w:rsidP="00DE0EEC">
            <w:pPr>
              <w:rPr>
                <w:b/>
                <w:sz w:val="20"/>
                <w:szCs w:val="20"/>
              </w:rPr>
            </w:pPr>
            <w:r w:rsidRPr="00AE6EDB">
              <w:rPr>
                <w:b/>
                <w:sz w:val="20"/>
                <w:szCs w:val="20"/>
              </w:rPr>
              <w:t> </w:t>
            </w:r>
          </w:p>
        </w:tc>
        <w:tc>
          <w:tcPr>
            <w:tcW w:w="1440" w:type="dxa"/>
            <w:tcBorders>
              <w:top w:val="nil"/>
              <w:left w:val="nil"/>
              <w:bottom w:val="single" w:sz="4" w:space="0" w:color="auto"/>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v</w:t>
            </w:r>
            <w:r w:rsidRPr="00AE6EDB">
              <w:rPr>
                <w:b/>
                <w:sz w:val="20"/>
                <w:szCs w:val="20"/>
                <w:vertAlign w:val="superscript"/>
              </w:rPr>
              <w:t xml:space="preserve"> o</w:t>
            </w:r>
            <w:r w:rsidRPr="00AE6EDB">
              <w:rPr>
                <w:b/>
                <w:sz w:val="20"/>
                <w:szCs w:val="20"/>
              </w:rPr>
              <w:t>/</w:t>
            </w:r>
            <w:proofErr w:type="spellStart"/>
            <w:r w:rsidRPr="00AE6EDB">
              <w:rPr>
                <w:b/>
                <w:sz w:val="20"/>
                <w:szCs w:val="20"/>
                <w:vertAlign w:val="subscript"/>
              </w:rPr>
              <w:t>oo</w:t>
            </w:r>
            <w:proofErr w:type="spellEnd"/>
            <w:r w:rsidRPr="00AE6EDB">
              <w:rPr>
                <w:b/>
                <w:sz w:val="20"/>
                <w:szCs w:val="20"/>
                <w:vertAlign w:val="subscript"/>
              </w:rPr>
              <w:t xml:space="preserve"> </w:t>
            </w:r>
          </w:p>
        </w:tc>
        <w:tc>
          <w:tcPr>
            <w:tcW w:w="992" w:type="dxa"/>
            <w:tcBorders>
              <w:top w:val="single" w:sz="4" w:space="0" w:color="auto"/>
              <w:left w:val="nil"/>
              <w:bottom w:val="single" w:sz="4" w:space="0" w:color="auto"/>
              <w:right w:val="nil"/>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marec</w:t>
            </w:r>
          </w:p>
        </w:tc>
        <w:tc>
          <w:tcPr>
            <w:tcW w:w="850"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jún</w:t>
            </w:r>
          </w:p>
        </w:tc>
        <w:tc>
          <w:tcPr>
            <w:tcW w:w="1029"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september</w:t>
            </w:r>
          </w:p>
        </w:tc>
        <w:tc>
          <w:tcPr>
            <w:tcW w:w="973"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december</w:t>
            </w:r>
          </w:p>
        </w:tc>
        <w:tc>
          <w:tcPr>
            <w:tcW w:w="82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rok</w:t>
            </w:r>
          </w:p>
        </w:tc>
      </w:tr>
      <w:tr w:rsidR="000A7585" w:rsidRPr="00AE6EDB" w:rsidTr="00DE0EEC">
        <w:trPr>
          <w:trHeight w:val="255"/>
          <w:jc w:val="center"/>
        </w:trPr>
        <w:tc>
          <w:tcPr>
            <w:tcW w:w="3246" w:type="dxa"/>
            <w:tcBorders>
              <w:top w:val="single" w:sz="4" w:space="0" w:color="auto"/>
              <w:left w:val="single" w:sz="4" w:space="0" w:color="auto"/>
              <w:bottom w:val="single" w:sz="4" w:space="0" w:color="auto"/>
              <w:right w:val="single" w:sz="4" w:space="0" w:color="auto"/>
            </w:tcBorders>
            <w:noWrap/>
            <w:vAlign w:val="bottom"/>
            <w:hideMark/>
          </w:tcPr>
          <w:p w:rsidR="000A7585" w:rsidRPr="00AE6EDB" w:rsidRDefault="000A7585" w:rsidP="00DE0EEC">
            <w:pPr>
              <w:rPr>
                <w:b/>
                <w:bCs/>
                <w:sz w:val="20"/>
                <w:szCs w:val="20"/>
              </w:rPr>
            </w:pPr>
            <w:r w:rsidRPr="00AE6EDB">
              <w:rPr>
                <w:b/>
                <w:bCs/>
                <w:sz w:val="20"/>
                <w:szCs w:val="20"/>
              </w:rPr>
              <w:t xml:space="preserve"> Úhrn za SR</w:t>
            </w:r>
          </w:p>
        </w:tc>
        <w:tc>
          <w:tcPr>
            <w:tcW w:w="1440" w:type="dxa"/>
            <w:tcBorders>
              <w:top w:val="nil"/>
              <w:left w:val="nil"/>
              <w:bottom w:val="single" w:sz="4" w:space="0" w:color="auto"/>
              <w:right w:val="single" w:sz="4" w:space="0" w:color="auto"/>
            </w:tcBorders>
            <w:noWrap/>
            <w:vAlign w:val="center"/>
          </w:tcPr>
          <w:p w:rsidR="000A7585" w:rsidRPr="00AE6EDB" w:rsidRDefault="0054295F" w:rsidP="00DE0EEC">
            <w:pPr>
              <w:ind w:right="221"/>
              <w:jc w:val="right"/>
              <w:rPr>
                <w:sz w:val="20"/>
                <w:szCs w:val="20"/>
              </w:rPr>
            </w:pPr>
            <w:r>
              <w:rPr>
                <w:sz w:val="20"/>
                <w:szCs w:val="20"/>
              </w:rPr>
              <w:t>1 0</w:t>
            </w:r>
            <w:r w:rsidR="000A7585" w:rsidRPr="00AE6EDB">
              <w:rPr>
                <w:sz w:val="20"/>
                <w:szCs w:val="20"/>
              </w:rPr>
              <w:t>00,00</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99,9</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99,5</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99,5</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xml:space="preserve"> v tom:</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Potraviny a nealkoholické nápoje</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166,981</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98,7</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100,3</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100,3</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Alkoholické nápoje a tabak </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49,590</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101,2</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100,8</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Odevy a obuv</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43,078</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101,5</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100,5</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100,6</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100,9</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jc w:val="left"/>
              <w:rPr>
                <w:sz w:val="20"/>
                <w:szCs w:val="20"/>
              </w:rPr>
            </w:pPr>
            <w:r w:rsidRPr="00AE6EDB">
              <w:rPr>
                <w:sz w:val="20"/>
                <w:szCs w:val="20"/>
              </w:rPr>
              <w:t xml:space="preserve"> Bývanie, voda, elektrina, </w:t>
            </w:r>
            <w:r w:rsidRPr="00AE6EDB">
              <w:rPr>
                <w:sz w:val="20"/>
                <w:szCs w:val="20"/>
              </w:rPr>
              <w:br/>
              <w:t>plyn a iné palivá</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279,405</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99,4</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99,3</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98,3</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98,2</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99,0</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Nábytok, vybavenie domácnosti </w:t>
            </w:r>
            <w:r w:rsidRPr="00AE6EDB">
              <w:rPr>
                <w:sz w:val="20"/>
                <w:szCs w:val="20"/>
              </w:rPr>
              <w:br/>
              <w:t>a bežná údržba domu</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63,966</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102,1</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102,4</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101,8</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100,3</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Zdravie</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45,087</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100,5</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100,9</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101,2</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Doprava</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79,360</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93,6</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94,6</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92,7</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95,2</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93,8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Pošty a telekomunikácie</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35,543</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99,6</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100,0</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99,8</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99,7</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99,8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Rekreácia a kultúra</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83,172</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100,8</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100,6</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101,2</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100,8</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Vzdelávanie</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17,766</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103,0</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102,3</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101,4</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101,3</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102,3</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Hotely, kaviarne a reštaurácie</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60,829</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101,5</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101,5</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101,8</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102,3</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101,7</w:t>
            </w:r>
          </w:p>
        </w:tc>
      </w:tr>
      <w:tr w:rsidR="000A7585" w:rsidRPr="00AE6EDB" w:rsidTr="00DE0EEC">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0A7585" w:rsidRPr="00AE6EDB" w:rsidRDefault="000A7585" w:rsidP="00DE0EEC">
            <w:pPr>
              <w:rPr>
                <w:sz w:val="20"/>
                <w:szCs w:val="20"/>
              </w:rPr>
            </w:pPr>
            <w:r w:rsidRPr="00AE6EDB">
              <w:rPr>
                <w:sz w:val="20"/>
                <w:szCs w:val="20"/>
              </w:rPr>
              <w:t xml:space="preserve"> Rozličné tovary a služby</w:t>
            </w:r>
          </w:p>
        </w:tc>
        <w:tc>
          <w:tcPr>
            <w:tcW w:w="1440" w:type="dxa"/>
            <w:tcBorders>
              <w:top w:val="nil"/>
              <w:left w:val="nil"/>
              <w:bottom w:val="single" w:sz="4" w:space="0" w:color="auto"/>
              <w:right w:val="single" w:sz="4" w:space="0" w:color="auto"/>
            </w:tcBorders>
            <w:noWrap/>
            <w:vAlign w:val="center"/>
          </w:tcPr>
          <w:p w:rsidR="000A7585" w:rsidRPr="00AE6EDB" w:rsidRDefault="000A7585" w:rsidP="00DE0EEC">
            <w:pPr>
              <w:ind w:right="221"/>
              <w:jc w:val="right"/>
              <w:rPr>
                <w:sz w:val="20"/>
                <w:szCs w:val="20"/>
              </w:rPr>
            </w:pPr>
            <w:r w:rsidRPr="00AE6EDB">
              <w:rPr>
                <w:sz w:val="20"/>
                <w:szCs w:val="20"/>
              </w:rPr>
              <w:t>75,225</w:t>
            </w:r>
          </w:p>
        </w:tc>
        <w:tc>
          <w:tcPr>
            <w:tcW w:w="992"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101,8</w:t>
            </w:r>
          </w:p>
        </w:tc>
        <w:tc>
          <w:tcPr>
            <w:tcW w:w="85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1029"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101,0</w:t>
            </w:r>
          </w:p>
        </w:tc>
        <w:tc>
          <w:tcPr>
            <w:tcW w:w="97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101,1</w:t>
            </w:r>
          </w:p>
        </w:tc>
        <w:tc>
          <w:tcPr>
            <w:tcW w:w="825" w:type="dxa"/>
            <w:tcBorders>
              <w:top w:val="single" w:sz="4" w:space="0" w:color="auto"/>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101,3</w:t>
            </w:r>
          </w:p>
        </w:tc>
      </w:tr>
    </w:tbl>
    <w:p w:rsidR="000A7585" w:rsidRPr="00AE6EDB" w:rsidRDefault="000A7585" w:rsidP="000A7585">
      <w:pPr>
        <w:pStyle w:val="zdroj"/>
        <w:ind w:left="567" w:firstLine="0"/>
      </w:pPr>
      <w:r w:rsidRPr="00AE6EDB">
        <w:t>Zdroj: ŠÚ SR Štatistická správa o základných vývojových tendenciách v hospodárstve SR v 4. štvrťroku 2015</w:t>
      </w:r>
    </w:p>
    <w:p w:rsidR="000A7585" w:rsidRPr="00AE6EDB" w:rsidRDefault="000A7585" w:rsidP="000A7585"/>
    <w:p w:rsidR="000A7585" w:rsidRPr="00AE6EDB" w:rsidRDefault="000A7585" w:rsidP="000A7585">
      <w:pPr>
        <w:pStyle w:val="Nadpis7"/>
      </w:pPr>
      <w:r w:rsidRPr="00AE6EDB">
        <w:t>Tabuľka 3 Výstavba a úbytok bytov</w:t>
      </w:r>
    </w:p>
    <w:tbl>
      <w:tblPr>
        <w:tblW w:w="8227" w:type="dxa"/>
        <w:jc w:val="center"/>
        <w:tblCellMar>
          <w:left w:w="70" w:type="dxa"/>
          <w:right w:w="70" w:type="dxa"/>
        </w:tblCellMar>
        <w:tblLook w:val="04A0" w:firstRow="1" w:lastRow="0" w:firstColumn="1" w:lastColumn="0" w:noHBand="0" w:noVBand="1"/>
      </w:tblPr>
      <w:tblGrid>
        <w:gridCol w:w="2427"/>
        <w:gridCol w:w="352"/>
        <w:gridCol w:w="885"/>
        <w:gridCol w:w="1040"/>
        <w:gridCol w:w="1263"/>
        <w:gridCol w:w="735"/>
        <w:gridCol w:w="1525"/>
      </w:tblGrid>
      <w:tr w:rsidR="000A7585" w:rsidRPr="00AE6EDB" w:rsidTr="00DE0EEC">
        <w:trPr>
          <w:trHeight w:val="255"/>
          <w:jc w:val="center"/>
        </w:trPr>
        <w:tc>
          <w:tcPr>
            <w:tcW w:w="2779" w:type="dxa"/>
            <w:gridSpan w:val="2"/>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sz w:val="20"/>
                <w:szCs w:val="20"/>
              </w:rPr>
            </w:pPr>
            <w:r w:rsidRPr="00AE6EDB">
              <w:rPr>
                <w:b/>
                <w:bCs/>
                <w:sz w:val="20"/>
                <w:szCs w:val="20"/>
              </w:rPr>
              <w:t>Ukazovateľ</w:t>
            </w:r>
          </w:p>
        </w:tc>
        <w:tc>
          <w:tcPr>
            <w:tcW w:w="3188" w:type="dxa"/>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Počet bytov</w:t>
            </w:r>
          </w:p>
        </w:tc>
        <w:tc>
          <w:tcPr>
            <w:tcW w:w="2260" w:type="dxa"/>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Úbytok bytov</w:t>
            </w:r>
          </w:p>
        </w:tc>
      </w:tr>
      <w:tr w:rsidR="000A7585" w:rsidRPr="00AE6EDB" w:rsidTr="00DE0EEC">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začatých</w:t>
            </w:r>
          </w:p>
        </w:tc>
        <w:tc>
          <w:tcPr>
            <w:tcW w:w="1040"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proofErr w:type="spellStart"/>
            <w:r w:rsidRPr="00AE6EDB">
              <w:rPr>
                <w:b/>
                <w:sz w:val="20"/>
                <w:szCs w:val="20"/>
              </w:rPr>
              <w:t>rozosta</w:t>
            </w:r>
            <w:proofErr w:type="spellEnd"/>
            <w:r w:rsidRPr="00AE6EDB">
              <w:rPr>
                <w:b/>
                <w:sz w:val="20"/>
                <w:szCs w:val="20"/>
              </w:rPr>
              <w:t>-</w:t>
            </w:r>
          </w:p>
        </w:tc>
        <w:tc>
          <w:tcPr>
            <w:tcW w:w="1263" w:type="dxa"/>
            <w:tcBorders>
              <w:top w:val="nil"/>
              <w:left w:val="nil"/>
              <w:bottom w:val="nil"/>
              <w:right w:val="single" w:sz="4" w:space="0" w:color="auto"/>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dokončených</w:t>
            </w:r>
          </w:p>
        </w:tc>
        <w:tc>
          <w:tcPr>
            <w:tcW w:w="735" w:type="dxa"/>
            <w:tcBorders>
              <w:top w:val="nil"/>
              <w:left w:val="nil"/>
              <w:bottom w:val="nil"/>
              <w:right w:val="single" w:sz="4" w:space="0" w:color="auto"/>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spolu</w:t>
            </w:r>
          </w:p>
        </w:tc>
        <w:tc>
          <w:tcPr>
            <w:tcW w:w="1525" w:type="dxa"/>
            <w:tcBorders>
              <w:top w:val="nil"/>
              <w:left w:val="nil"/>
              <w:bottom w:val="nil"/>
              <w:right w:val="single" w:sz="4" w:space="0" w:color="auto"/>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 xml:space="preserve">z toho </w:t>
            </w:r>
          </w:p>
        </w:tc>
      </w:tr>
      <w:tr w:rsidR="000A7585" w:rsidRPr="00AE6EDB" w:rsidTr="00DE0EEC">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v roku</w:t>
            </w:r>
          </w:p>
        </w:tc>
        <w:tc>
          <w:tcPr>
            <w:tcW w:w="1040" w:type="dxa"/>
            <w:tcBorders>
              <w:top w:val="nil"/>
              <w:left w:val="nil"/>
              <w:bottom w:val="nil"/>
              <w:right w:val="single" w:sz="4" w:space="0" w:color="auto"/>
            </w:tcBorders>
            <w:shd w:val="clear" w:color="auto" w:fill="FF9999" w:themeFill="accent3" w:themeFillTint="66"/>
            <w:noWrap/>
            <w:vAlign w:val="center"/>
            <w:hideMark/>
          </w:tcPr>
          <w:p w:rsidR="000A7585" w:rsidRPr="00AE6EDB" w:rsidRDefault="000A7585" w:rsidP="00DE0EEC">
            <w:pPr>
              <w:jc w:val="center"/>
              <w:rPr>
                <w:b/>
                <w:sz w:val="20"/>
                <w:szCs w:val="20"/>
              </w:rPr>
            </w:pPr>
            <w:proofErr w:type="spellStart"/>
            <w:r w:rsidRPr="00AE6EDB">
              <w:rPr>
                <w:b/>
                <w:sz w:val="20"/>
                <w:szCs w:val="20"/>
              </w:rPr>
              <w:t>vaných</w:t>
            </w:r>
            <w:proofErr w:type="spellEnd"/>
            <w:r w:rsidRPr="00AE6EDB">
              <w:rPr>
                <w:b/>
                <w:sz w:val="20"/>
                <w:szCs w:val="20"/>
              </w:rPr>
              <w:t xml:space="preserve"> k</w:t>
            </w:r>
          </w:p>
        </w:tc>
        <w:tc>
          <w:tcPr>
            <w:tcW w:w="1263"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v roku</w:t>
            </w:r>
          </w:p>
        </w:tc>
        <w:tc>
          <w:tcPr>
            <w:tcW w:w="735"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v roku</w:t>
            </w:r>
          </w:p>
        </w:tc>
        <w:tc>
          <w:tcPr>
            <w:tcW w:w="1525" w:type="dxa"/>
            <w:tcBorders>
              <w:top w:val="nil"/>
              <w:left w:val="nil"/>
              <w:bottom w:val="nil"/>
              <w:right w:val="single" w:sz="4" w:space="0" w:color="auto"/>
            </w:tcBorders>
            <w:shd w:val="clear" w:color="auto" w:fill="FF9999" w:themeFill="accent3" w:themeFillTint="66"/>
            <w:noWrap/>
            <w:vAlign w:val="bottom"/>
            <w:hideMark/>
          </w:tcPr>
          <w:p w:rsidR="000A7585" w:rsidRPr="00AE6EDB" w:rsidRDefault="000A7585" w:rsidP="00DE0EEC">
            <w:pPr>
              <w:jc w:val="center"/>
              <w:rPr>
                <w:b/>
                <w:sz w:val="20"/>
                <w:szCs w:val="20"/>
              </w:rPr>
            </w:pPr>
            <w:r w:rsidRPr="00AE6EDB">
              <w:rPr>
                <w:b/>
                <w:sz w:val="20"/>
                <w:szCs w:val="20"/>
              </w:rPr>
              <w:t>asanáciou</w:t>
            </w:r>
          </w:p>
        </w:tc>
      </w:tr>
      <w:tr w:rsidR="000A7585" w:rsidRPr="00AE6EDB" w:rsidTr="00DE0EEC">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rPr>
                <w:b/>
                <w:bCs/>
                <w:sz w:val="20"/>
                <w:szCs w:val="20"/>
              </w:rPr>
            </w:pPr>
          </w:p>
        </w:tc>
        <w:tc>
          <w:tcPr>
            <w:tcW w:w="885" w:type="dxa"/>
            <w:tcBorders>
              <w:top w:val="nil"/>
              <w:left w:val="nil"/>
              <w:bottom w:val="single" w:sz="4" w:space="0" w:color="auto"/>
              <w:right w:val="single" w:sz="4" w:space="0" w:color="auto"/>
            </w:tcBorders>
            <w:shd w:val="clear" w:color="auto" w:fill="FF9999" w:themeFill="accent3" w:themeFillTint="66"/>
            <w:noWrap/>
            <w:hideMark/>
          </w:tcPr>
          <w:p w:rsidR="000A7585" w:rsidRPr="00AE6EDB" w:rsidRDefault="000A7585" w:rsidP="00DE0EEC">
            <w:pPr>
              <w:jc w:val="center"/>
              <w:rPr>
                <w:b/>
                <w:sz w:val="20"/>
                <w:szCs w:val="20"/>
              </w:rPr>
            </w:pPr>
            <w:r w:rsidRPr="00AE6EDB">
              <w:rPr>
                <w:b/>
                <w:sz w:val="20"/>
                <w:szCs w:val="20"/>
              </w:rPr>
              <w:t>2015</w:t>
            </w:r>
          </w:p>
        </w:tc>
        <w:tc>
          <w:tcPr>
            <w:tcW w:w="1040" w:type="dxa"/>
            <w:tcBorders>
              <w:top w:val="nil"/>
              <w:left w:val="nil"/>
              <w:bottom w:val="single" w:sz="4" w:space="0" w:color="auto"/>
              <w:right w:val="single" w:sz="4" w:space="0" w:color="auto"/>
            </w:tcBorders>
            <w:shd w:val="clear" w:color="auto" w:fill="FF9999" w:themeFill="accent3" w:themeFillTint="66"/>
            <w:noWrap/>
            <w:hideMark/>
          </w:tcPr>
          <w:p w:rsidR="000A7585" w:rsidRPr="00AE6EDB" w:rsidRDefault="000A7585" w:rsidP="00DE0EEC">
            <w:pPr>
              <w:jc w:val="center"/>
              <w:rPr>
                <w:b/>
                <w:sz w:val="20"/>
                <w:szCs w:val="20"/>
              </w:rPr>
            </w:pPr>
            <w:r w:rsidRPr="00AE6EDB">
              <w:rPr>
                <w:b/>
                <w:sz w:val="20"/>
                <w:szCs w:val="20"/>
              </w:rPr>
              <w:t>31.12.2015</w:t>
            </w:r>
          </w:p>
        </w:tc>
        <w:tc>
          <w:tcPr>
            <w:tcW w:w="1263" w:type="dxa"/>
            <w:tcBorders>
              <w:top w:val="nil"/>
              <w:left w:val="nil"/>
              <w:bottom w:val="single" w:sz="4" w:space="0" w:color="auto"/>
              <w:right w:val="single" w:sz="4" w:space="0" w:color="auto"/>
            </w:tcBorders>
            <w:shd w:val="clear" w:color="auto" w:fill="FF9999" w:themeFill="accent3" w:themeFillTint="66"/>
            <w:noWrap/>
            <w:hideMark/>
          </w:tcPr>
          <w:p w:rsidR="000A7585" w:rsidRPr="00AE6EDB" w:rsidRDefault="000A7585" w:rsidP="00DE0EEC">
            <w:pPr>
              <w:jc w:val="center"/>
              <w:rPr>
                <w:b/>
                <w:sz w:val="20"/>
                <w:szCs w:val="20"/>
              </w:rPr>
            </w:pPr>
            <w:r w:rsidRPr="00AE6EDB">
              <w:rPr>
                <w:b/>
                <w:sz w:val="20"/>
                <w:szCs w:val="20"/>
              </w:rPr>
              <w:t>2015</w:t>
            </w:r>
          </w:p>
        </w:tc>
        <w:tc>
          <w:tcPr>
            <w:tcW w:w="735" w:type="dxa"/>
            <w:tcBorders>
              <w:top w:val="nil"/>
              <w:left w:val="nil"/>
              <w:bottom w:val="single" w:sz="4" w:space="0" w:color="auto"/>
              <w:right w:val="single" w:sz="4" w:space="0" w:color="auto"/>
            </w:tcBorders>
            <w:shd w:val="clear" w:color="auto" w:fill="FF9999" w:themeFill="accent3" w:themeFillTint="66"/>
            <w:noWrap/>
            <w:hideMark/>
          </w:tcPr>
          <w:p w:rsidR="000A7585" w:rsidRPr="00AE6EDB" w:rsidRDefault="000A7585" w:rsidP="00DE0EEC">
            <w:pPr>
              <w:jc w:val="center"/>
              <w:rPr>
                <w:b/>
                <w:sz w:val="20"/>
                <w:szCs w:val="20"/>
              </w:rPr>
            </w:pPr>
            <w:r w:rsidRPr="00AE6EDB">
              <w:rPr>
                <w:b/>
                <w:sz w:val="20"/>
                <w:szCs w:val="20"/>
              </w:rPr>
              <w:t>2015</w:t>
            </w:r>
          </w:p>
        </w:tc>
        <w:tc>
          <w:tcPr>
            <w:tcW w:w="1525" w:type="dxa"/>
            <w:tcBorders>
              <w:top w:val="nil"/>
              <w:left w:val="nil"/>
              <w:bottom w:val="single" w:sz="4" w:space="0" w:color="auto"/>
              <w:right w:val="single" w:sz="4" w:space="0" w:color="auto"/>
            </w:tcBorders>
            <w:shd w:val="clear" w:color="auto" w:fill="FF9999" w:themeFill="accent3" w:themeFillTint="66"/>
            <w:noWrap/>
            <w:hideMark/>
          </w:tcPr>
          <w:p w:rsidR="000A7585" w:rsidRPr="00AE6EDB" w:rsidRDefault="000A7585" w:rsidP="00DE0EEC">
            <w:pPr>
              <w:jc w:val="center"/>
              <w:rPr>
                <w:b/>
                <w:sz w:val="20"/>
                <w:szCs w:val="20"/>
              </w:rPr>
            </w:pPr>
            <w:r w:rsidRPr="00AE6EDB">
              <w:rPr>
                <w:b/>
                <w:sz w:val="20"/>
                <w:szCs w:val="20"/>
              </w:rPr>
              <w:t>v r. 2015</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885"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1040"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1263" w:type="dxa"/>
            <w:tcBorders>
              <w:top w:val="nil"/>
              <w:left w:val="nil"/>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c>
          <w:tcPr>
            <w:tcW w:w="735" w:type="dxa"/>
            <w:tcBorders>
              <w:top w:val="nil"/>
              <w:left w:val="nil"/>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c>
          <w:tcPr>
            <w:tcW w:w="1525" w:type="dxa"/>
            <w:tcBorders>
              <w:top w:val="nil"/>
              <w:left w:val="nil"/>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b/>
                <w:bCs/>
                <w:sz w:val="20"/>
                <w:szCs w:val="20"/>
              </w:rPr>
            </w:pPr>
            <w:r w:rsidRPr="00AE6EDB">
              <w:rPr>
                <w:b/>
                <w:bCs/>
                <w:sz w:val="20"/>
                <w:szCs w:val="20"/>
              </w:rPr>
              <w:t>Byty spolu</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a)</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w:t>
            </w:r>
            <w:r w:rsidR="00AC44CB">
              <w:rPr>
                <w:sz w:val="20"/>
                <w:szCs w:val="20"/>
              </w:rPr>
              <w:t>9 6</w:t>
            </w:r>
            <w:r w:rsidRPr="00AE6EDB">
              <w:rPr>
                <w:sz w:val="20"/>
                <w:szCs w:val="20"/>
              </w:rPr>
              <w:t>40</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6</w:t>
            </w:r>
            <w:r w:rsidR="00AC44CB">
              <w:rPr>
                <w:sz w:val="20"/>
                <w:szCs w:val="20"/>
              </w:rPr>
              <w:t>6 2</w:t>
            </w:r>
            <w:r w:rsidRPr="00AE6EDB">
              <w:rPr>
                <w:sz w:val="20"/>
                <w:szCs w:val="20"/>
              </w:rPr>
              <w:t>68</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w:t>
            </w:r>
            <w:r w:rsidR="00AC44CB">
              <w:rPr>
                <w:sz w:val="20"/>
                <w:szCs w:val="20"/>
              </w:rPr>
              <w:t>5 4</w:t>
            </w:r>
            <w:r w:rsidRPr="00AE6EDB">
              <w:rPr>
                <w:sz w:val="20"/>
                <w:szCs w:val="20"/>
              </w:rPr>
              <w:t>71</w:t>
            </w:r>
          </w:p>
        </w:tc>
        <w:tc>
          <w:tcPr>
            <w:tcW w:w="735" w:type="dxa"/>
            <w:tcBorders>
              <w:top w:val="nil"/>
              <w:left w:val="nil"/>
              <w:bottom w:val="single" w:sz="4" w:space="0" w:color="auto"/>
              <w:right w:val="single" w:sz="4" w:space="0" w:color="auto"/>
            </w:tcBorders>
            <w:noWrap/>
            <w:vAlign w:val="center"/>
          </w:tcPr>
          <w:p w:rsidR="000A7585" w:rsidRPr="00AE6EDB" w:rsidRDefault="0054295F" w:rsidP="00DE0EEC">
            <w:pPr>
              <w:ind w:right="113"/>
              <w:jc w:val="right"/>
              <w:rPr>
                <w:sz w:val="20"/>
                <w:szCs w:val="20"/>
              </w:rPr>
            </w:pPr>
            <w:r>
              <w:rPr>
                <w:sz w:val="20"/>
                <w:szCs w:val="20"/>
              </w:rPr>
              <w:t>1 2</w:t>
            </w:r>
            <w:r w:rsidR="000A7585" w:rsidRPr="00AE6EDB">
              <w:rPr>
                <w:sz w:val="20"/>
                <w:szCs w:val="20"/>
              </w:rPr>
              <w:t>92</w:t>
            </w:r>
          </w:p>
        </w:tc>
        <w:tc>
          <w:tcPr>
            <w:tcW w:w="1525" w:type="dxa"/>
            <w:tcBorders>
              <w:top w:val="nil"/>
              <w:left w:val="nil"/>
              <w:bottom w:val="single" w:sz="4" w:space="0" w:color="auto"/>
              <w:right w:val="single" w:sz="4" w:space="0" w:color="auto"/>
            </w:tcBorders>
            <w:noWrap/>
            <w:vAlign w:val="center"/>
          </w:tcPr>
          <w:p w:rsidR="000A7585" w:rsidRPr="00AE6EDB" w:rsidRDefault="0054295F" w:rsidP="00DE0EEC">
            <w:pPr>
              <w:ind w:right="113"/>
              <w:jc w:val="right"/>
              <w:rPr>
                <w:sz w:val="20"/>
                <w:szCs w:val="20"/>
              </w:rPr>
            </w:pPr>
            <w:r>
              <w:rPr>
                <w:sz w:val="20"/>
                <w:szCs w:val="20"/>
              </w:rPr>
              <w:t>1 1</w:t>
            </w:r>
            <w:r w:rsidR="000A7585" w:rsidRPr="00AE6EDB">
              <w:rPr>
                <w:sz w:val="20"/>
                <w:szCs w:val="20"/>
              </w:rPr>
              <w:t>58</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b)</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124,0</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106,8</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103,2</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107,0</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104,4</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xml:space="preserve"> v tom sektor:</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r>
      <w:tr w:rsidR="000A7585" w:rsidRPr="00AE6EDB" w:rsidTr="00DE0EEC">
        <w:trPr>
          <w:trHeight w:val="255"/>
          <w:jc w:val="center"/>
        </w:trPr>
        <w:tc>
          <w:tcPr>
            <w:tcW w:w="2427" w:type="dxa"/>
            <w:vMerge w:val="restart"/>
            <w:tcBorders>
              <w:top w:val="nil"/>
              <w:left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xml:space="preserve"> verejný</w:t>
            </w:r>
          </w:p>
          <w:p w:rsidR="000A7585" w:rsidRPr="00AE6EDB" w:rsidRDefault="000A7585" w:rsidP="00DE0EEC">
            <w:pPr>
              <w:rPr>
                <w:sz w:val="20"/>
                <w:szCs w:val="20"/>
              </w:rPr>
            </w:pPr>
            <w:r w:rsidRPr="00AE6EDB">
              <w:rPr>
                <w:sz w:val="20"/>
                <w:szCs w:val="20"/>
              </w:rPr>
              <w:t>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a)</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212</w:t>
            </w:r>
          </w:p>
        </w:tc>
        <w:tc>
          <w:tcPr>
            <w:tcW w:w="1040" w:type="dxa"/>
            <w:tcBorders>
              <w:top w:val="nil"/>
              <w:left w:val="nil"/>
              <w:bottom w:val="single" w:sz="4" w:space="0" w:color="auto"/>
              <w:right w:val="single" w:sz="4" w:space="0" w:color="auto"/>
            </w:tcBorders>
            <w:noWrap/>
            <w:vAlign w:val="center"/>
          </w:tcPr>
          <w:p w:rsidR="000A7585" w:rsidRPr="00AE6EDB" w:rsidRDefault="0054295F" w:rsidP="00DE0EEC">
            <w:pPr>
              <w:ind w:right="113"/>
              <w:jc w:val="right"/>
              <w:rPr>
                <w:sz w:val="20"/>
                <w:szCs w:val="20"/>
              </w:rPr>
            </w:pPr>
            <w:r>
              <w:rPr>
                <w:sz w:val="20"/>
                <w:szCs w:val="20"/>
              </w:rPr>
              <w:t>2 0</w:t>
            </w:r>
            <w:r w:rsidR="000A7585" w:rsidRPr="00AE6EDB">
              <w:rPr>
                <w:sz w:val="20"/>
                <w:szCs w:val="20"/>
              </w:rPr>
              <w:t>77</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354</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7</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7</w:t>
            </w:r>
          </w:p>
        </w:tc>
      </w:tr>
      <w:tr w:rsidR="000A7585" w:rsidRPr="00AE6EDB" w:rsidTr="00DE0EEC">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b)</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50,9</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91,4</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52,1</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12,7</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12,7</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r>
      <w:tr w:rsidR="000A7585" w:rsidRPr="00AE6EDB" w:rsidTr="00DE0EEC">
        <w:trPr>
          <w:trHeight w:val="255"/>
          <w:jc w:val="center"/>
        </w:trPr>
        <w:tc>
          <w:tcPr>
            <w:tcW w:w="2427" w:type="dxa"/>
            <w:vMerge w:val="restart"/>
            <w:tcBorders>
              <w:top w:val="nil"/>
              <w:left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xml:space="preserve"> súkromný</w:t>
            </w:r>
          </w:p>
          <w:p w:rsidR="000A7585" w:rsidRPr="00AE6EDB" w:rsidRDefault="000A7585" w:rsidP="00DE0EEC">
            <w:pPr>
              <w:rPr>
                <w:sz w:val="20"/>
                <w:szCs w:val="20"/>
              </w:rPr>
            </w:pPr>
            <w:r w:rsidRPr="00AE6EDB">
              <w:rPr>
                <w:sz w:val="20"/>
                <w:szCs w:val="20"/>
              </w:rPr>
              <w:t>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a)</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w:t>
            </w:r>
            <w:r w:rsidR="00AC44CB">
              <w:rPr>
                <w:sz w:val="20"/>
                <w:szCs w:val="20"/>
              </w:rPr>
              <w:t>9 4</w:t>
            </w:r>
            <w:r w:rsidRPr="00AE6EDB">
              <w:rPr>
                <w:sz w:val="20"/>
                <w:szCs w:val="20"/>
              </w:rPr>
              <w:t>28</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6</w:t>
            </w:r>
            <w:r w:rsidR="0054295F">
              <w:rPr>
                <w:sz w:val="20"/>
                <w:szCs w:val="20"/>
              </w:rPr>
              <w:t>4 1</w:t>
            </w:r>
            <w:r w:rsidRPr="00AE6EDB">
              <w:rPr>
                <w:sz w:val="20"/>
                <w:szCs w:val="20"/>
              </w:rPr>
              <w:t>91</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w:t>
            </w:r>
            <w:r w:rsidR="00AC44CB">
              <w:rPr>
                <w:sz w:val="20"/>
                <w:szCs w:val="20"/>
              </w:rPr>
              <w:t>5 1</w:t>
            </w:r>
            <w:r w:rsidRPr="00AE6EDB">
              <w:rPr>
                <w:sz w:val="20"/>
                <w:szCs w:val="20"/>
              </w:rPr>
              <w:t>17</w:t>
            </w:r>
          </w:p>
        </w:tc>
        <w:tc>
          <w:tcPr>
            <w:tcW w:w="735" w:type="dxa"/>
            <w:tcBorders>
              <w:top w:val="nil"/>
              <w:left w:val="nil"/>
              <w:bottom w:val="single" w:sz="4" w:space="0" w:color="auto"/>
              <w:right w:val="single" w:sz="4" w:space="0" w:color="auto"/>
            </w:tcBorders>
            <w:noWrap/>
            <w:vAlign w:val="center"/>
          </w:tcPr>
          <w:p w:rsidR="000A7585" w:rsidRPr="00AE6EDB" w:rsidRDefault="0054295F" w:rsidP="00DE0EEC">
            <w:pPr>
              <w:ind w:right="113"/>
              <w:jc w:val="right"/>
              <w:rPr>
                <w:sz w:val="20"/>
                <w:szCs w:val="20"/>
              </w:rPr>
            </w:pPr>
            <w:r>
              <w:rPr>
                <w:sz w:val="20"/>
                <w:szCs w:val="20"/>
              </w:rPr>
              <w:t>1 2</w:t>
            </w:r>
            <w:r w:rsidR="000A7585" w:rsidRPr="00AE6EDB">
              <w:rPr>
                <w:sz w:val="20"/>
                <w:szCs w:val="20"/>
              </w:rPr>
              <w:t>85</w:t>
            </w:r>
          </w:p>
        </w:tc>
        <w:tc>
          <w:tcPr>
            <w:tcW w:w="1525" w:type="dxa"/>
            <w:tcBorders>
              <w:top w:val="nil"/>
              <w:left w:val="nil"/>
              <w:bottom w:val="single" w:sz="4" w:space="0" w:color="auto"/>
              <w:right w:val="single" w:sz="4" w:space="0" w:color="auto"/>
            </w:tcBorders>
            <w:noWrap/>
            <w:vAlign w:val="center"/>
          </w:tcPr>
          <w:p w:rsidR="000A7585" w:rsidRPr="00AE6EDB" w:rsidRDefault="0054295F" w:rsidP="00DE0EEC">
            <w:pPr>
              <w:ind w:right="113"/>
              <w:jc w:val="right"/>
              <w:rPr>
                <w:sz w:val="20"/>
                <w:szCs w:val="20"/>
              </w:rPr>
            </w:pPr>
            <w:r>
              <w:rPr>
                <w:sz w:val="20"/>
                <w:szCs w:val="20"/>
              </w:rPr>
              <w:t>1 1</w:t>
            </w:r>
            <w:r w:rsidR="000A7585" w:rsidRPr="00AE6EDB">
              <w:rPr>
                <w:sz w:val="20"/>
                <w:szCs w:val="20"/>
              </w:rPr>
              <w:t>51</w:t>
            </w:r>
          </w:p>
        </w:tc>
      </w:tr>
      <w:tr w:rsidR="000A7585" w:rsidRPr="00AE6EDB" w:rsidTr="00DE0EEC">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b)</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125,0</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107,4</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105,7</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111,4</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109,2</w:t>
            </w:r>
          </w:p>
        </w:tc>
      </w:tr>
      <w:tr w:rsidR="000A7585" w:rsidRPr="00AE6EDB" w:rsidTr="00DE0EEC">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0A7585" w:rsidRPr="00AE6EDB" w:rsidRDefault="000A7585" w:rsidP="00DE0EEC">
            <w:pPr>
              <w:rPr>
                <w:sz w:val="20"/>
                <w:szCs w:val="20"/>
              </w:rPr>
            </w:pPr>
            <w:r w:rsidRPr="00AE6EDB">
              <w:rPr>
                <w:sz w:val="20"/>
                <w:szCs w:val="20"/>
              </w:rPr>
              <w:t xml:space="preserve"> z úhrnu bytov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 </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p>
        </w:tc>
      </w:tr>
      <w:tr w:rsidR="000A7585" w:rsidRPr="00AE6EDB" w:rsidTr="00DE0EEC">
        <w:trPr>
          <w:trHeight w:val="255"/>
          <w:jc w:val="center"/>
        </w:trPr>
        <w:tc>
          <w:tcPr>
            <w:tcW w:w="2427" w:type="dxa"/>
            <w:vMerge w:val="restart"/>
            <w:tcBorders>
              <w:top w:val="nil"/>
              <w:left w:val="single" w:sz="4" w:space="0" w:color="auto"/>
              <w:right w:val="single" w:sz="4" w:space="0" w:color="auto"/>
            </w:tcBorders>
            <w:noWrap/>
            <w:vAlign w:val="bottom"/>
            <w:hideMark/>
          </w:tcPr>
          <w:p w:rsidR="000A7585" w:rsidRPr="00AE6EDB" w:rsidRDefault="000A7585" w:rsidP="00DE0EEC">
            <w:pPr>
              <w:rPr>
                <w:b/>
                <w:bCs/>
                <w:sz w:val="20"/>
                <w:szCs w:val="20"/>
              </w:rPr>
            </w:pPr>
            <w:r w:rsidRPr="00AE6EDB">
              <w:rPr>
                <w:b/>
                <w:bCs/>
                <w:sz w:val="20"/>
                <w:szCs w:val="20"/>
              </w:rPr>
              <w:t>Byty v rodinných</w:t>
            </w:r>
          </w:p>
          <w:p w:rsidR="000A7585" w:rsidRPr="00AE6EDB" w:rsidRDefault="000A7585" w:rsidP="00DE0EEC">
            <w:pPr>
              <w:rPr>
                <w:b/>
                <w:bCs/>
                <w:sz w:val="20"/>
                <w:szCs w:val="20"/>
              </w:rPr>
            </w:pPr>
            <w:r w:rsidRPr="00AE6EDB">
              <w:rPr>
                <w:b/>
                <w:bCs/>
                <w:sz w:val="20"/>
                <w:szCs w:val="20"/>
              </w:rPr>
              <w:t xml:space="preserve"> domoch </w:t>
            </w:r>
          </w:p>
        </w:tc>
        <w:tc>
          <w:tcPr>
            <w:tcW w:w="352" w:type="dxa"/>
            <w:tcBorders>
              <w:top w:val="nil"/>
              <w:left w:val="nil"/>
              <w:bottom w:val="single" w:sz="4" w:space="0" w:color="auto"/>
              <w:right w:val="single" w:sz="4" w:space="0" w:color="auto"/>
            </w:tcBorders>
            <w:noWrap/>
            <w:vAlign w:val="bottom"/>
            <w:hideMark/>
          </w:tcPr>
          <w:p w:rsidR="000A7585" w:rsidRPr="00AE6EDB" w:rsidRDefault="000A7585" w:rsidP="00DE0EEC">
            <w:pPr>
              <w:jc w:val="right"/>
              <w:rPr>
                <w:sz w:val="20"/>
                <w:szCs w:val="20"/>
              </w:rPr>
            </w:pPr>
            <w:r w:rsidRPr="00AE6EDB">
              <w:rPr>
                <w:sz w:val="20"/>
                <w:szCs w:val="20"/>
              </w:rPr>
              <w:t>a)</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w:t>
            </w:r>
            <w:r w:rsidR="0054295F">
              <w:rPr>
                <w:sz w:val="20"/>
                <w:szCs w:val="20"/>
              </w:rPr>
              <w:t>1 1</w:t>
            </w:r>
            <w:r w:rsidRPr="00AE6EDB">
              <w:rPr>
                <w:sz w:val="20"/>
                <w:szCs w:val="20"/>
              </w:rPr>
              <w:t>35</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4</w:t>
            </w:r>
            <w:r w:rsidR="0054295F">
              <w:rPr>
                <w:sz w:val="20"/>
                <w:szCs w:val="20"/>
              </w:rPr>
              <w:t>2 7</w:t>
            </w:r>
            <w:r w:rsidRPr="00AE6EDB">
              <w:rPr>
                <w:sz w:val="20"/>
                <w:szCs w:val="20"/>
              </w:rPr>
              <w:t>68</w:t>
            </w:r>
          </w:p>
        </w:tc>
        <w:tc>
          <w:tcPr>
            <w:tcW w:w="1263" w:type="dxa"/>
            <w:tcBorders>
              <w:top w:val="nil"/>
              <w:left w:val="nil"/>
              <w:bottom w:val="single" w:sz="4" w:space="0" w:color="auto"/>
              <w:right w:val="single" w:sz="4" w:space="0" w:color="auto"/>
            </w:tcBorders>
            <w:noWrap/>
            <w:vAlign w:val="center"/>
          </w:tcPr>
          <w:p w:rsidR="000A7585" w:rsidRPr="00AE6EDB" w:rsidRDefault="00AC44CB" w:rsidP="00DE0EEC">
            <w:pPr>
              <w:ind w:right="113"/>
              <w:jc w:val="right"/>
              <w:rPr>
                <w:sz w:val="20"/>
                <w:szCs w:val="20"/>
              </w:rPr>
            </w:pPr>
            <w:r>
              <w:rPr>
                <w:sz w:val="20"/>
                <w:szCs w:val="20"/>
              </w:rPr>
              <w:t>9 8</w:t>
            </w:r>
            <w:r w:rsidR="000A7585" w:rsidRPr="00AE6EDB">
              <w:rPr>
                <w:sz w:val="20"/>
                <w:szCs w:val="20"/>
              </w:rPr>
              <w:t>60</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w:t>
            </w:r>
          </w:p>
        </w:tc>
      </w:tr>
      <w:tr w:rsidR="000A7585" w:rsidRPr="00AE6EDB" w:rsidTr="00DE0EEC">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0A7585" w:rsidRPr="00AE6EDB" w:rsidRDefault="000A7585" w:rsidP="00DE0EEC">
            <w:pPr>
              <w:rPr>
                <w:b/>
                <w:bCs/>
                <w:sz w:val="20"/>
                <w:szCs w:val="20"/>
              </w:rPr>
            </w:pPr>
          </w:p>
        </w:tc>
        <w:tc>
          <w:tcPr>
            <w:tcW w:w="352" w:type="dxa"/>
            <w:tcBorders>
              <w:top w:val="nil"/>
              <w:left w:val="nil"/>
              <w:bottom w:val="single" w:sz="4" w:space="0" w:color="auto"/>
              <w:right w:val="single" w:sz="4" w:space="0" w:color="auto"/>
            </w:tcBorders>
            <w:noWrap/>
            <w:vAlign w:val="center"/>
            <w:hideMark/>
          </w:tcPr>
          <w:p w:rsidR="000A7585" w:rsidRPr="00AE6EDB" w:rsidRDefault="000A7585" w:rsidP="00DE0EEC">
            <w:pPr>
              <w:jc w:val="center"/>
              <w:rPr>
                <w:sz w:val="20"/>
                <w:szCs w:val="20"/>
              </w:rPr>
            </w:pPr>
          </w:p>
          <w:p w:rsidR="000A7585" w:rsidRPr="00AE6EDB" w:rsidRDefault="000A7585" w:rsidP="00DE0EEC">
            <w:pPr>
              <w:jc w:val="center"/>
              <w:rPr>
                <w:sz w:val="20"/>
                <w:szCs w:val="20"/>
              </w:rPr>
            </w:pPr>
            <w:r w:rsidRPr="00AE6EDB">
              <w:rPr>
                <w:sz w:val="20"/>
                <w:szCs w:val="20"/>
              </w:rPr>
              <w:t>b)</w:t>
            </w:r>
          </w:p>
        </w:tc>
        <w:tc>
          <w:tcPr>
            <w:tcW w:w="88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116,3</w:t>
            </w:r>
          </w:p>
        </w:tc>
        <w:tc>
          <w:tcPr>
            <w:tcW w:w="1040"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106,4</w:t>
            </w:r>
          </w:p>
        </w:tc>
        <w:tc>
          <w:tcPr>
            <w:tcW w:w="1263"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98,2</w:t>
            </w:r>
          </w:p>
        </w:tc>
        <w:tc>
          <w:tcPr>
            <w:tcW w:w="73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w:t>
            </w:r>
          </w:p>
        </w:tc>
        <w:tc>
          <w:tcPr>
            <w:tcW w:w="1525" w:type="dxa"/>
            <w:tcBorders>
              <w:top w:val="nil"/>
              <w:left w:val="nil"/>
              <w:bottom w:val="single" w:sz="4" w:space="0" w:color="auto"/>
              <w:right w:val="single" w:sz="4" w:space="0" w:color="auto"/>
            </w:tcBorders>
            <w:noWrap/>
            <w:vAlign w:val="center"/>
          </w:tcPr>
          <w:p w:rsidR="000A7585" w:rsidRPr="00AE6EDB" w:rsidRDefault="000A7585" w:rsidP="00DE0EEC">
            <w:pPr>
              <w:ind w:right="113"/>
              <w:jc w:val="right"/>
              <w:rPr>
                <w:sz w:val="20"/>
                <w:szCs w:val="20"/>
              </w:rPr>
            </w:pPr>
            <w:r w:rsidRPr="00AE6EDB">
              <w:rPr>
                <w:sz w:val="20"/>
                <w:szCs w:val="20"/>
              </w:rPr>
              <w:t>,</w:t>
            </w:r>
          </w:p>
        </w:tc>
      </w:tr>
    </w:tbl>
    <w:p w:rsidR="000A7585" w:rsidRPr="00AE6EDB" w:rsidRDefault="000A7585" w:rsidP="000A7585">
      <w:pPr>
        <w:pStyle w:val="zdroj"/>
        <w:ind w:left="142" w:firstLine="0"/>
      </w:pPr>
      <w:r w:rsidRPr="00AE6EDB">
        <w:t>Zdroj: ŠÚ SR Štatistická správa o základných vývojových tendenciách v hospodárstve SR v 4. štvrťroku 2015</w:t>
      </w:r>
    </w:p>
    <w:p w:rsidR="000A7585" w:rsidRPr="00AE6EDB" w:rsidRDefault="000A7585" w:rsidP="000A7585">
      <w:pPr>
        <w:pStyle w:val="zdroj"/>
        <w:spacing w:before="0" w:after="0"/>
        <w:ind w:left="142" w:firstLine="570"/>
      </w:pPr>
      <w:r w:rsidRPr="00AE6EDB">
        <w:t>a) počet</w:t>
      </w:r>
    </w:p>
    <w:p w:rsidR="000A7585" w:rsidRPr="00AE6EDB" w:rsidRDefault="000A7585" w:rsidP="000A7585">
      <w:pPr>
        <w:pStyle w:val="zdroj"/>
        <w:spacing w:before="0" w:after="0"/>
        <w:ind w:left="142" w:firstLine="570"/>
        <w:rPr>
          <w:i w:val="0"/>
        </w:rPr>
      </w:pPr>
      <w:r w:rsidRPr="00AE6EDB">
        <w:t>b) indexy, rovnaké obdobie predchádzajúceho roka = 100</w:t>
      </w:r>
      <w:bookmarkEnd w:id="844"/>
    </w:p>
    <w:p w:rsidR="000A7585" w:rsidRPr="00AE6EDB" w:rsidRDefault="000A7585" w:rsidP="000A7585">
      <w:pPr>
        <w:pStyle w:val="zdroj"/>
        <w:spacing w:before="0"/>
        <w:rPr>
          <w:highlight w:val="cyan"/>
        </w:rPr>
      </w:pPr>
    </w:p>
    <w:p w:rsidR="000A7585" w:rsidRPr="00AE6EDB" w:rsidRDefault="000A7585" w:rsidP="000A7585">
      <w:pPr>
        <w:pStyle w:val="zdroj"/>
        <w:spacing w:before="0"/>
        <w:rPr>
          <w:highlight w:val="cyan"/>
        </w:rPr>
      </w:pPr>
    </w:p>
    <w:p w:rsidR="00352824" w:rsidRDefault="00352824" w:rsidP="000A7585">
      <w:pPr>
        <w:rPr>
          <w:highlight w:val="cyan"/>
        </w:rPr>
        <w:sectPr w:rsidR="00352824" w:rsidSect="004F3C97">
          <w:headerReference w:type="even" r:id="rId99"/>
          <w:headerReference w:type="default" r:id="rId100"/>
          <w:footerReference w:type="even" r:id="rId101"/>
          <w:footerReference w:type="default" r:id="rId102"/>
          <w:headerReference w:type="first" r:id="rId103"/>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headerReference w:type="first" r:id="rId104"/>
          <w:type w:val="evenPage"/>
          <w:pgSz w:w="11906" w:h="16838"/>
          <w:pgMar w:top="1417" w:right="1417" w:bottom="1417" w:left="1417" w:header="708" w:footer="708" w:gutter="0"/>
          <w:cols w:space="708"/>
          <w:titlePg/>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jc w:val="center"/>
      </w:pPr>
      <w:bookmarkStart w:id="845" w:name="_Toc387413124"/>
      <w:bookmarkStart w:id="846" w:name="_Toc387659190"/>
      <w:bookmarkStart w:id="847" w:name="_Toc388534245"/>
      <w:bookmarkStart w:id="848" w:name="_Toc389646867"/>
      <w:bookmarkStart w:id="849" w:name="_Toc394062245"/>
      <w:bookmarkStart w:id="850" w:name="_Toc418672287"/>
      <w:bookmarkStart w:id="851" w:name="_Toc419355272"/>
      <w:bookmarkStart w:id="852" w:name="_Toc419795395"/>
      <w:bookmarkStart w:id="853" w:name="_Toc422151015"/>
      <w:bookmarkStart w:id="854" w:name="_Toc422233455"/>
      <w:bookmarkStart w:id="855" w:name="_Toc452469914"/>
      <w:bookmarkStart w:id="856" w:name="_Toc313879696"/>
      <w:bookmarkEnd w:id="769"/>
      <w:r w:rsidRPr="00AE6EDB">
        <w:t>Príloha ku kapitole 2</w:t>
      </w:r>
      <w:bookmarkEnd w:id="845"/>
      <w:bookmarkEnd w:id="846"/>
      <w:bookmarkEnd w:id="847"/>
      <w:bookmarkEnd w:id="848"/>
      <w:bookmarkEnd w:id="849"/>
      <w:bookmarkEnd w:id="850"/>
      <w:bookmarkEnd w:id="851"/>
      <w:bookmarkEnd w:id="852"/>
      <w:bookmarkEnd w:id="853"/>
      <w:bookmarkEnd w:id="854"/>
      <w:bookmarkEnd w:id="855"/>
    </w:p>
    <w:p w:rsidR="00352824" w:rsidRDefault="00352824" w:rsidP="000A7585">
      <w:pPr>
        <w:sectPr w:rsidR="00352824" w:rsidSect="004F3C97">
          <w:headerReference w:type="first" r:id="rId105"/>
          <w:type w:val="oddPage"/>
          <w:pgSz w:w="11906" w:h="16838"/>
          <w:pgMar w:top="1417" w:right="1417" w:bottom="1417" w:left="1417" w:header="708" w:footer="708" w:gutter="0"/>
          <w:cols w:space="708"/>
          <w:titlePg/>
          <w:docGrid w:linePitch="360"/>
        </w:sectPr>
      </w:pPr>
    </w:p>
    <w:p w:rsidR="000A7585" w:rsidRPr="00AE6EDB" w:rsidRDefault="000A7585" w:rsidP="000A7585">
      <w:pPr>
        <w:sectPr w:rsidR="000A7585" w:rsidRPr="00AE6EDB" w:rsidSect="00352824">
          <w:type w:val="evenPage"/>
          <w:pgSz w:w="11906" w:h="16838"/>
          <w:pgMar w:top="1417" w:right="1417" w:bottom="1417" w:left="1417" w:header="708" w:footer="708" w:gutter="0"/>
          <w:cols w:space="708"/>
          <w:titlePg/>
          <w:docGrid w:linePitch="360"/>
        </w:sectPr>
      </w:pPr>
    </w:p>
    <w:p w:rsidR="000A7585" w:rsidRPr="00AE6EDB" w:rsidRDefault="000A7585" w:rsidP="000A7585">
      <w:pPr>
        <w:pStyle w:val="Nadpis7"/>
      </w:pPr>
      <w:r w:rsidRPr="00AE6EDB">
        <w:t>Tabuľka 1 Miera zamestnanosti podľa veku a vzdelania v roku 2015</w:t>
      </w:r>
      <w:r w:rsidRPr="00AE6EDB">
        <w:br/>
        <w:t>(priemer za rok v</w:t>
      </w:r>
      <w:r w:rsidR="005676EF">
        <w:t> %</w:t>
      </w:r>
      <w:r w:rsidRPr="00AE6EDB">
        <w:t>)</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8"/>
        <w:gridCol w:w="1509"/>
        <w:gridCol w:w="1509"/>
        <w:gridCol w:w="1509"/>
      </w:tblGrid>
      <w:tr w:rsidR="000A7585" w:rsidRPr="00AE6EDB" w:rsidTr="00DE0EEC">
        <w:trPr>
          <w:trHeight w:val="284"/>
          <w:jc w:val="center"/>
        </w:trPr>
        <w:tc>
          <w:tcPr>
            <w:tcW w:w="3768"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Ukazovateľ</w:t>
            </w:r>
          </w:p>
        </w:tc>
        <w:tc>
          <w:tcPr>
            <w:tcW w:w="1509"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Spolu</w:t>
            </w:r>
          </w:p>
        </w:tc>
        <w:tc>
          <w:tcPr>
            <w:tcW w:w="1509"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Muži</w:t>
            </w:r>
          </w:p>
        </w:tc>
        <w:tc>
          <w:tcPr>
            <w:tcW w:w="1509"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Ženy</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firstLine="0"/>
              <w:jc w:val="left"/>
              <w:rPr>
                <w:b/>
                <w:color w:val="333300"/>
                <w:lang w:val="sk-SK"/>
              </w:rPr>
            </w:pPr>
            <w:bookmarkStart w:id="857" w:name="_Toc313879678"/>
            <w:r w:rsidRPr="00AE6EDB">
              <w:rPr>
                <w:b/>
                <w:color w:val="333300"/>
                <w:szCs w:val="22"/>
                <w:lang w:val="sk-SK"/>
              </w:rPr>
              <w:t>15+ roční</w:t>
            </w:r>
          </w:p>
        </w:tc>
        <w:tc>
          <w:tcPr>
            <w:tcW w:w="1509" w:type="dxa"/>
            <w:noWrap/>
            <w:vAlign w:val="bottom"/>
          </w:tcPr>
          <w:p w:rsidR="000A7585" w:rsidRPr="00AE6EDB" w:rsidRDefault="000A7585" w:rsidP="00DE0EEC">
            <w:pPr>
              <w:pStyle w:val="BodyText21"/>
              <w:widowControl/>
              <w:spacing w:before="0"/>
              <w:ind w:right="397" w:firstLine="0"/>
              <w:jc w:val="right"/>
              <w:rPr>
                <w:b/>
                <w:lang w:val="sk-SK"/>
              </w:rPr>
            </w:pPr>
            <w:r w:rsidRPr="00AE6EDB">
              <w:rPr>
                <w:b/>
                <w:lang w:val="sk-SK"/>
              </w:rPr>
              <w:t>52,8</w:t>
            </w:r>
          </w:p>
        </w:tc>
        <w:tc>
          <w:tcPr>
            <w:tcW w:w="1509" w:type="dxa"/>
            <w:noWrap/>
            <w:vAlign w:val="bottom"/>
          </w:tcPr>
          <w:p w:rsidR="000A7585" w:rsidRPr="00AE6EDB" w:rsidRDefault="000A7585" w:rsidP="00DE0EEC">
            <w:pPr>
              <w:pStyle w:val="BodyText21"/>
              <w:widowControl/>
              <w:spacing w:before="0"/>
              <w:ind w:right="397" w:firstLine="0"/>
              <w:jc w:val="right"/>
              <w:rPr>
                <w:b/>
                <w:lang w:val="sk-SK"/>
              </w:rPr>
            </w:pPr>
            <w:r w:rsidRPr="00AE6EDB">
              <w:rPr>
                <w:b/>
                <w:lang w:val="sk-SK"/>
              </w:rPr>
              <w:t>60,9</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45,3</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15 – 64 roční</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62,7</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69,4</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55,9</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20 – 64 roční</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67,7</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75,0</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r w:rsidRPr="00AE6EDB">
              <w:rPr>
                <w:b/>
                <w:lang w:val="sk-SK"/>
              </w:rPr>
              <w:t>60,3</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Podľa vekových skupín</w:t>
            </w:r>
          </w:p>
        </w:tc>
        <w:tc>
          <w:tcPr>
            <w:tcW w:w="1509" w:type="dxa"/>
            <w:noWrap/>
            <w:vAlign w:val="bottom"/>
          </w:tcPr>
          <w:p w:rsidR="000A7585" w:rsidRPr="00AE6EDB" w:rsidRDefault="000A7585" w:rsidP="00DE0EEC">
            <w:pPr>
              <w:jc w:val="center"/>
              <w:rPr>
                <w:b/>
                <w:bCs/>
              </w:rPr>
            </w:pPr>
          </w:p>
        </w:tc>
        <w:tc>
          <w:tcPr>
            <w:tcW w:w="1509" w:type="dxa"/>
            <w:noWrap/>
            <w:vAlign w:val="bottom"/>
          </w:tcPr>
          <w:p w:rsidR="000A7585" w:rsidRPr="00AE6EDB" w:rsidRDefault="000A7585" w:rsidP="00DE0EEC">
            <w:pPr>
              <w:pStyle w:val="BodyText21"/>
              <w:widowControl/>
              <w:spacing w:before="0"/>
              <w:ind w:right="397" w:firstLine="0"/>
              <w:jc w:val="right"/>
              <w:rPr>
                <w:b/>
                <w:lang w:val="sk-SK"/>
              </w:rPr>
            </w:pPr>
          </w:p>
        </w:tc>
        <w:tc>
          <w:tcPr>
            <w:tcW w:w="1509" w:type="dxa"/>
            <w:noWrap/>
            <w:vAlign w:val="bottom"/>
          </w:tcPr>
          <w:p w:rsidR="000A7585" w:rsidRPr="00AE6EDB" w:rsidRDefault="000A7585" w:rsidP="00DE0EEC">
            <w:pPr>
              <w:pStyle w:val="BodyText21"/>
              <w:widowControl/>
              <w:spacing w:before="0"/>
              <w:ind w:right="397" w:firstLine="0"/>
              <w:jc w:val="right"/>
              <w:rPr>
                <w:b/>
                <w:lang w:val="sk-SK"/>
              </w:rPr>
            </w:pP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15 </w:t>
            </w:r>
            <w:r w:rsidRPr="00AE6EDB">
              <w:rPr>
                <w:bCs/>
                <w:sz w:val="20"/>
                <w:szCs w:val="16"/>
                <w:lang w:val="sk-SK"/>
              </w:rPr>
              <w:t>–</w:t>
            </w:r>
            <w:r w:rsidRPr="00AE6EDB">
              <w:rPr>
                <w:color w:val="333300"/>
                <w:szCs w:val="22"/>
                <w:lang w:val="sk-SK"/>
              </w:rPr>
              <w:t xml:space="preserve"> 19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3,0</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2,2</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20 </w:t>
            </w:r>
            <w:r w:rsidRPr="00AE6EDB">
              <w:rPr>
                <w:bCs/>
                <w:sz w:val="20"/>
                <w:szCs w:val="16"/>
                <w:lang w:val="sk-SK"/>
              </w:rPr>
              <w:t>–</w:t>
            </w:r>
            <w:r w:rsidRPr="00AE6EDB">
              <w:rPr>
                <w:color w:val="333300"/>
                <w:szCs w:val="22"/>
                <w:lang w:val="sk-SK"/>
              </w:rPr>
              <w:t xml:space="preserve"> 24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39,6</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48,1</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30,6</w:t>
            </w:r>
          </w:p>
        </w:tc>
      </w:tr>
      <w:tr w:rsidR="000A7585" w:rsidRPr="00AE6EDB" w:rsidTr="00DE0EEC">
        <w:trPr>
          <w:trHeight w:val="284"/>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25 </w:t>
            </w:r>
            <w:r w:rsidRPr="00AE6EDB">
              <w:rPr>
                <w:bCs/>
                <w:sz w:val="20"/>
                <w:szCs w:val="16"/>
                <w:lang w:val="sk-SK"/>
              </w:rPr>
              <w:t>–</w:t>
            </w:r>
            <w:r w:rsidRPr="00AE6EDB">
              <w:rPr>
                <w:color w:val="333300"/>
                <w:szCs w:val="22"/>
                <w:lang w:val="sk-SK"/>
              </w:rPr>
              <w:t xml:space="preserve"> 29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72,7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83,5</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61,5</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30 </w:t>
            </w:r>
            <w:r w:rsidRPr="00AE6EDB">
              <w:rPr>
                <w:bCs/>
                <w:sz w:val="20"/>
                <w:szCs w:val="16"/>
                <w:lang w:val="sk-SK"/>
              </w:rPr>
              <w:t>–</w:t>
            </w:r>
            <w:r w:rsidRPr="00AE6EDB">
              <w:rPr>
                <w:color w:val="333300"/>
                <w:szCs w:val="22"/>
                <w:lang w:val="sk-SK"/>
              </w:rPr>
              <w:t xml:space="preserve"> 34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73,0</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86,5</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58,8</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35 </w:t>
            </w:r>
            <w:r w:rsidRPr="00AE6EDB">
              <w:rPr>
                <w:bCs/>
                <w:sz w:val="20"/>
                <w:szCs w:val="16"/>
                <w:lang w:val="sk-SK"/>
              </w:rPr>
              <w:t>–</w:t>
            </w:r>
            <w:r w:rsidRPr="00AE6EDB">
              <w:rPr>
                <w:color w:val="333300"/>
                <w:szCs w:val="22"/>
                <w:lang w:val="sk-SK"/>
              </w:rPr>
              <w:t xml:space="preserve"> 39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79,5</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88,1</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70,4</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40 </w:t>
            </w:r>
            <w:r w:rsidRPr="00AE6EDB">
              <w:rPr>
                <w:bCs/>
                <w:sz w:val="20"/>
                <w:szCs w:val="16"/>
                <w:lang w:val="sk-SK"/>
              </w:rPr>
              <w:t>–</w:t>
            </w:r>
            <w:r w:rsidRPr="00AE6EDB">
              <w:rPr>
                <w:color w:val="333300"/>
                <w:szCs w:val="22"/>
                <w:lang w:val="sk-SK"/>
              </w:rPr>
              <w:t xml:space="preserve"> 44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83,7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86,7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80,6</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45 </w:t>
            </w:r>
            <w:r w:rsidRPr="00AE6EDB">
              <w:rPr>
                <w:bCs/>
                <w:sz w:val="20"/>
                <w:szCs w:val="16"/>
                <w:lang w:val="sk-SK"/>
              </w:rPr>
              <w:t>–</w:t>
            </w:r>
            <w:r w:rsidRPr="00AE6EDB">
              <w:rPr>
                <w:color w:val="333300"/>
                <w:szCs w:val="22"/>
                <w:lang w:val="sk-SK"/>
              </w:rPr>
              <w:t xml:space="preserve"> 49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83,1</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84,6</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81,5</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50 </w:t>
            </w:r>
            <w:r w:rsidRPr="00AE6EDB">
              <w:rPr>
                <w:bCs/>
                <w:sz w:val="20"/>
                <w:szCs w:val="16"/>
                <w:lang w:val="sk-SK"/>
              </w:rPr>
              <w:t>–</w:t>
            </w:r>
            <w:r w:rsidRPr="00AE6EDB">
              <w:rPr>
                <w:color w:val="333300"/>
                <w:szCs w:val="22"/>
                <w:lang w:val="sk-SK"/>
              </w:rPr>
              <w:t xml:space="preserve"> 54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77,9</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80,3</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75,6</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55 </w:t>
            </w:r>
            <w:r w:rsidRPr="00AE6EDB">
              <w:rPr>
                <w:bCs/>
                <w:sz w:val="20"/>
                <w:szCs w:val="16"/>
                <w:lang w:val="sk-SK"/>
              </w:rPr>
              <w:t>–</w:t>
            </w:r>
            <w:r w:rsidRPr="00AE6EDB">
              <w:rPr>
                <w:color w:val="333300"/>
                <w:szCs w:val="22"/>
                <w:lang w:val="sk-SK"/>
              </w:rPr>
              <w:t xml:space="preserve"> 59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69,7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74,3</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65,4</w:t>
            </w:r>
          </w:p>
        </w:tc>
      </w:tr>
      <w:tr w:rsidR="000A7585" w:rsidRPr="00AE6EDB" w:rsidTr="00DE0EEC">
        <w:trPr>
          <w:trHeight w:val="284"/>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60 </w:t>
            </w:r>
            <w:r w:rsidRPr="00AE6EDB">
              <w:rPr>
                <w:bCs/>
                <w:sz w:val="20"/>
                <w:szCs w:val="16"/>
                <w:lang w:val="sk-SK"/>
              </w:rPr>
              <w:t>–</w:t>
            </w:r>
            <w:r w:rsidRPr="00AE6EDB">
              <w:rPr>
                <w:color w:val="333300"/>
                <w:szCs w:val="22"/>
                <w:lang w:val="sk-SK"/>
              </w:rPr>
              <w:t xml:space="preserve"> 64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22,8</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30,7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15,8</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65 a viac roční</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2,5</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4,1</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1,5</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 xml:space="preserve">Podľa vzdelania (15 </w:t>
            </w:r>
            <w:r w:rsidRPr="00AE6EDB">
              <w:rPr>
                <w:bCs/>
                <w:sz w:val="20"/>
                <w:szCs w:val="16"/>
                <w:lang w:val="sk-SK"/>
              </w:rPr>
              <w:t>–</w:t>
            </w:r>
            <w:r w:rsidRPr="00AE6EDB">
              <w:rPr>
                <w:b/>
                <w:color w:val="333300"/>
                <w:szCs w:val="22"/>
                <w:lang w:val="sk-SK"/>
              </w:rPr>
              <w:t xml:space="preserve"> 64 roční)</w:t>
            </w:r>
          </w:p>
        </w:tc>
        <w:tc>
          <w:tcPr>
            <w:tcW w:w="1509" w:type="dxa"/>
            <w:noWrap/>
            <w:vAlign w:val="center"/>
          </w:tcPr>
          <w:p w:rsidR="000A7585" w:rsidRPr="00AE6EDB" w:rsidRDefault="000A7585" w:rsidP="00DE0EEC">
            <w:pPr>
              <w:pStyle w:val="BodyText21"/>
              <w:widowControl/>
              <w:spacing w:before="0"/>
              <w:ind w:right="397" w:firstLine="0"/>
              <w:jc w:val="right"/>
              <w:rPr>
                <w:b/>
                <w:lang w:val="sk-SK"/>
              </w:rPr>
            </w:pPr>
          </w:p>
        </w:tc>
        <w:tc>
          <w:tcPr>
            <w:tcW w:w="1509" w:type="dxa"/>
            <w:noWrap/>
            <w:vAlign w:val="center"/>
          </w:tcPr>
          <w:p w:rsidR="000A7585" w:rsidRPr="00AE6EDB" w:rsidRDefault="000A7585" w:rsidP="00DE0EEC">
            <w:pPr>
              <w:jc w:val="right"/>
              <w:rPr>
                <w:rFonts w:ascii="Arial" w:hAnsi="Arial" w:cs="Arial"/>
                <w:color w:val="253C73"/>
                <w:sz w:val="24"/>
              </w:rPr>
            </w:pPr>
          </w:p>
        </w:tc>
        <w:tc>
          <w:tcPr>
            <w:tcW w:w="1509" w:type="dxa"/>
            <w:noWrap/>
            <w:vAlign w:val="bottom"/>
          </w:tcPr>
          <w:p w:rsidR="000A7585" w:rsidRPr="00AE6EDB" w:rsidRDefault="000A7585" w:rsidP="00DE0EEC">
            <w:pPr>
              <w:pStyle w:val="BodyText21"/>
              <w:widowControl/>
              <w:spacing w:before="0"/>
              <w:ind w:right="397" w:firstLine="0"/>
              <w:jc w:val="right"/>
              <w:rPr>
                <w:lang w:val="sk-SK"/>
              </w:rPr>
            </w:pP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Základné</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18,0</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18,9</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17,2</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Stredné odborné (učňovské) bez maturity</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65,9</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71,8</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57,2</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Úplné stredné odborné (učňovské) s maturitou</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74,8</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83,0</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62,3</w:t>
            </w:r>
          </w:p>
        </w:tc>
      </w:tr>
      <w:tr w:rsidR="000A7585" w:rsidRPr="00AE6EDB" w:rsidTr="00DE0EEC">
        <w:trPr>
          <w:trHeight w:val="284"/>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Úplné stredné všeobecné</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42,4</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47,8</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38,9</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Úplné stredné odborné</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74,6</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82,7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67,1</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Vyššie odborné</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70,7</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84,1</w:t>
            </w:r>
          </w:p>
        </w:tc>
        <w:tc>
          <w:tcPr>
            <w:tcW w:w="1509" w:type="dxa"/>
            <w:noWrap/>
            <w:vAlign w:val="center"/>
          </w:tcPr>
          <w:p w:rsidR="000A7585" w:rsidRPr="00AE6EDB" w:rsidRDefault="000A7585" w:rsidP="00DE0EEC">
            <w:pPr>
              <w:pStyle w:val="BodyText21"/>
              <w:widowControl/>
              <w:spacing w:before="0"/>
              <w:ind w:right="397" w:firstLine="0"/>
              <w:jc w:val="right"/>
              <w:rPr>
                <w:lang w:val="sk-SK"/>
              </w:rPr>
            </w:pPr>
            <w:r w:rsidRPr="00AE6EDB">
              <w:rPr>
                <w:lang w:val="sk-SK"/>
              </w:rPr>
              <w:t>63,7</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Vysokoškolské </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76,8</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84,1</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71,2</w:t>
            </w:r>
          </w:p>
        </w:tc>
      </w:tr>
      <w:tr w:rsidR="000A7585" w:rsidRPr="00AE6EDB" w:rsidTr="00DE0EEC">
        <w:trPr>
          <w:trHeight w:val="285"/>
          <w:jc w:val="center"/>
        </w:trPr>
        <w:tc>
          <w:tcPr>
            <w:tcW w:w="3768"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Bez školského vzdelania</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3,9</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7,0</w:t>
            </w:r>
          </w:p>
        </w:tc>
        <w:tc>
          <w:tcPr>
            <w:tcW w:w="1509" w:type="dxa"/>
            <w:noWrap/>
            <w:vAlign w:val="bottom"/>
          </w:tcPr>
          <w:p w:rsidR="000A7585" w:rsidRPr="00AE6EDB" w:rsidRDefault="000A7585" w:rsidP="00DE0EEC">
            <w:pPr>
              <w:pStyle w:val="BodyText21"/>
              <w:widowControl/>
              <w:spacing w:before="0"/>
              <w:ind w:right="397" w:firstLine="0"/>
              <w:jc w:val="right"/>
              <w:rPr>
                <w:lang w:val="sk-SK"/>
              </w:rPr>
            </w:pPr>
            <w:r w:rsidRPr="00AE6EDB">
              <w:rPr>
                <w:lang w:val="sk-SK"/>
              </w:rPr>
              <w:t>-</w:t>
            </w:r>
          </w:p>
        </w:tc>
      </w:tr>
    </w:tbl>
    <w:p w:rsidR="000A7585" w:rsidRPr="00AE6EDB" w:rsidRDefault="000A7585" w:rsidP="000A7585">
      <w:pPr>
        <w:pStyle w:val="zdroj"/>
        <w:ind w:firstLine="440"/>
      </w:pPr>
      <w:r w:rsidRPr="00AE6EDB">
        <w:t>Zdroj: ŠÚ SR, VZPS</w:t>
      </w:r>
      <w:r w:rsidRPr="00AE6EDB">
        <w:tab/>
      </w:r>
    </w:p>
    <w:p w:rsidR="000A7585" w:rsidRPr="00AE6EDB" w:rsidRDefault="000A7585" w:rsidP="000A7585">
      <w:pPr>
        <w:pStyle w:val="zdroj"/>
        <w:ind w:firstLine="440"/>
        <w:rPr>
          <w:highlight w:val="cyan"/>
        </w:rPr>
      </w:pPr>
    </w:p>
    <w:p w:rsidR="000A7585" w:rsidRPr="00AE6EDB" w:rsidRDefault="000A7585" w:rsidP="000A7585">
      <w:pPr>
        <w:pStyle w:val="Nadpis7"/>
      </w:pPr>
      <w:r w:rsidRPr="00AE6EDB">
        <w:rPr>
          <w:highlight w:val="cyan"/>
        </w:rPr>
        <w:br w:type="page"/>
      </w:r>
      <w:r w:rsidRPr="00AE6EDB">
        <w:t>Tabuľka 2 Odvetvová štruktúra zamestnanosti podľa SK NACE Rev. 2</w:t>
      </w:r>
    </w:p>
    <w:tbl>
      <w:tblPr>
        <w:tblStyle w:val="Mriekatabuky"/>
        <w:tblW w:w="0" w:type="auto"/>
        <w:jc w:val="center"/>
        <w:tblLayout w:type="fixed"/>
        <w:tblLook w:val="04A0" w:firstRow="1" w:lastRow="0" w:firstColumn="1" w:lastColumn="0" w:noHBand="0" w:noVBand="1"/>
      </w:tblPr>
      <w:tblGrid>
        <w:gridCol w:w="2835"/>
        <w:gridCol w:w="1311"/>
        <w:gridCol w:w="851"/>
        <w:gridCol w:w="850"/>
        <w:gridCol w:w="1134"/>
        <w:gridCol w:w="993"/>
        <w:gridCol w:w="850"/>
      </w:tblGrid>
      <w:tr w:rsidR="00440D13" w:rsidRPr="00AE6EDB" w:rsidTr="00E74326">
        <w:trPr>
          <w:jc w:val="center"/>
        </w:trPr>
        <w:tc>
          <w:tcPr>
            <w:tcW w:w="2835" w:type="dxa"/>
            <w:shd w:val="clear" w:color="auto" w:fill="FF9999" w:themeFill="accent3" w:themeFillTint="66"/>
            <w:vAlign w:val="center"/>
          </w:tcPr>
          <w:p w:rsidR="00440D13" w:rsidRPr="00AE6EDB" w:rsidRDefault="00440D13" w:rsidP="00440D13">
            <w:pPr>
              <w:ind w:firstLine="0"/>
              <w:jc w:val="right"/>
              <w:rPr>
                <w:b/>
                <w:sz w:val="20"/>
              </w:rPr>
            </w:pPr>
          </w:p>
        </w:tc>
        <w:tc>
          <w:tcPr>
            <w:tcW w:w="3012" w:type="dxa"/>
            <w:gridSpan w:val="3"/>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2014</w:t>
            </w:r>
          </w:p>
        </w:tc>
        <w:tc>
          <w:tcPr>
            <w:tcW w:w="2977" w:type="dxa"/>
            <w:gridSpan w:val="3"/>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2015</w:t>
            </w:r>
          </w:p>
        </w:tc>
      </w:tr>
      <w:tr w:rsidR="00440D13" w:rsidRPr="00AE6EDB" w:rsidTr="00E74326">
        <w:trPr>
          <w:jc w:val="center"/>
        </w:trPr>
        <w:tc>
          <w:tcPr>
            <w:tcW w:w="2835" w:type="dxa"/>
            <w:shd w:val="clear" w:color="auto" w:fill="FF9999" w:themeFill="accent3" w:themeFillTint="66"/>
            <w:vAlign w:val="center"/>
          </w:tcPr>
          <w:p w:rsidR="00440D13" w:rsidRPr="00AE6EDB" w:rsidRDefault="00440D13" w:rsidP="00440D13">
            <w:pPr>
              <w:ind w:firstLine="0"/>
              <w:jc w:val="left"/>
              <w:rPr>
                <w:b/>
                <w:sz w:val="20"/>
              </w:rPr>
            </w:pPr>
          </w:p>
        </w:tc>
        <w:tc>
          <w:tcPr>
            <w:tcW w:w="1311" w:type="dxa"/>
            <w:shd w:val="clear" w:color="auto" w:fill="FF9999" w:themeFill="accent3" w:themeFillTint="66"/>
            <w:vAlign w:val="center"/>
          </w:tcPr>
          <w:p w:rsidR="00440D13" w:rsidRPr="00AE6EDB" w:rsidRDefault="00E74326" w:rsidP="00440D13">
            <w:pPr>
              <w:ind w:firstLine="0"/>
              <w:jc w:val="center"/>
              <w:rPr>
                <w:b/>
                <w:sz w:val="20"/>
              </w:rPr>
            </w:pPr>
            <w:r w:rsidRPr="00AE6EDB">
              <w:rPr>
                <w:b/>
                <w:sz w:val="20"/>
              </w:rPr>
              <w:t xml:space="preserve">priemerný </w:t>
            </w:r>
            <w:r w:rsidR="00440D13" w:rsidRPr="00AE6EDB">
              <w:rPr>
                <w:b/>
                <w:sz w:val="20"/>
              </w:rPr>
              <w:t>počet zamest</w:t>
            </w:r>
            <w:r w:rsidR="00440D13" w:rsidRPr="00AE6EDB">
              <w:rPr>
                <w:b/>
                <w:sz w:val="20"/>
              </w:rPr>
              <w:softHyphen/>
            </w:r>
            <w:r w:rsidR="00440D13" w:rsidRPr="00AE6EDB">
              <w:rPr>
                <w:b/>
                <w:sz w:val="20"/>
              </w:rPr>
              <w:softHyphen/>
              <w:t>naných</w:t>
            </w:r>
          </w:p>
        </w:tc>
        <w:tc>
          <w:tcPr>
            <w:tcW w:w="851" w:type="dxa"/>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index rastu 2014 /2013</w:t>
            </w:r>
          </w:p>
        </w:tc>
        <w:tc>
          <w:tcPr>
            <w:tcW w:w="850" w:type="dxa"/>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podiel</w:t>
            </w:r>
          </w:p>
        </w:tc>
        <w:tc>
          <w:tcPr>
            <w:tcW w:w="1134" w:type="dxa"/>
            <w:shd w:val="clear" w:color="auto" w:fill="FF9999" w:themeFill="accent3" w:themeFillTint="66"/>
            <w:vAlign w:val="center"/>
          </w:tcPr>
          <w:p w:rsidR="00440D13" w:rsidRPr="00AE6EDB" w:rsidRDefault="00F45681" w:rsidP="00440D13">
            <w:pPr>
              <w:ind w:firstLine="0"/>
              <w:jc w:val="center"/>
              <w:rPr>
                <w:b/>
                <w:sz w:val="20"/>
              </w:rPr>
            </w:pPr>
            <w:r w:rsidRPr="00AE6EDB">
              <w:rPr>
                <w:b/>
                <w:sz w:val="20"/>
              </w:rPr>
              <w:t>priemerný počet</w:t>
            </w:r>
            <w:r w:rsidR="00440D13" w:rsidRPr="00AE6EDB">
              <w:rPr>
                <w:b/>
                <w:sz w:val="20"/>
              </w:rPr>
              <w:t xml:space="preserve"> zamest</w:t>
            </w:r>
            <w:r w:rsidR="00440D13" w:rsidRPr="00AE6EDB">
              <w:rPr>
                <w:b/>
                <w:sz w:val="20"/>
              </w:rPr>
              <w:softHyphen/>
              <w:t>naných</w:t>
            </w:r>
          </w:p>
        </w:tc>
        <w:tc>
          <w:tcPr>
            <w:tcW w:w="993" w:type="dxa"/>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index rastu 2015 /2014</w:t>
            </w:r>
          </w:p>
        </w:tc>
        <w:tc>
          <w:tcPr>
            <w:tcW w:w="850" w:type="dxa"/>
            <w:shd w:val="clear" w:color="auto" w:fill="FF9999" w:themeFill="accent3" w:themeFillTint="66"/>
            <w:vAlign w:val="center"/>
          </w:tcPr>
          <w:p w:rsidR="00440D13" w:rsidRPr="00AE6EDB" w:rsidRDefault="00440D13" w:rsidP="00440D13">
            <w:pPr>
              <w:ind w:firstLine="0"/>
              <w:jc w:val="center"/>
              <w:rPr>
                <w:b/>
                <w:sz w:val="20"/>
              </w:rPr>
            </w:pPr>
            <w:r w:rsidRPr="00AE6EDB">
              <w:rPr>
                <w:b/>
                <w:sz w:val="20"/>
              </w:rPr>
              <w:t>podiel</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Hospodárstvo spolu</w:t>
            </w:r>
          </w:p>
        </w:tc>
        <w:tc>
          <w:tcPr>
            <w:tcW w:w="1311" w:type="dxa"/>
            <w:vAlign w:val="center"/>
          </w:tcPr>
          <w:p w:rsidR="00440D13" w:rsidRPr="00AE6EDB" w:rsidRDefault="0054295F" w:rsidP="00440D13">
            <w:pPr>
              <w:ind w:firstLine="0"/>
              <w:jc w:val="right"/>
              <w:rPr>
                <w:sz w:val="20"/>
              </w:rPr>
            </w:pPr>
            <w:r>
              <w:rPr>
                <w:sz w:val="20"/>
              </w:rPr>
              <w:t>2 2</w:t>
            </w:r>
            <w:r w:rsidR="00440D13" w:rsidRPr="00AE6EDB">
              <w:rPr>
                <w:sz w:val="20"/>
              </w:rPr>
              <w:t>0</w:t>
            </w:r>
            <w:r>
              <w:rPr>
                <w:sz w:val="20"/>
              </w:rPr>
              <w:t>4 6</w:t>
            </w:r>
            <w:r w:rsidR="00440D13" w:rsidRPr="00AE6EDB">
              <w:rPr>
                <w:sz w:val="20"/>
              </w:rPr>
              <w:t>46</w:t>
            </w:r>
          </w:p>
        </w:tc>
        <w:tc>
          <w:tcPr>
            <w:tcW w:w="851" w:type="dxa"/>
            <w:vAlign w:val="center"/>
          </w:tcPr>
          <w:p w:rsidR="00440D13" w:rsidRPr="00AE6EDB" w:rsidRDefault="004802A1" w:rsidP="00440D13">
            <w:pPr>
              <w:ind w:firstLine="0"/>
              <w:jc w:val="right"/>
              <w:rPr>
                <w:sz w:val="20"/>
              </w:rPr>
            </w:pPr>
            <w:r w:rsidRPr="00AE6EDB">
              <w:rPr>
                <w:sz w:val="20"/>
              </w:rPr>
              <w:t>101,3</w:t>
            </w:r>
          </w:p>
        </w:tc>
        <w:tc>
          <w:tcPr>
            <w:tcW w:w="850" w:type="dxa"/>
            <w:vAlign w:val="center"/>
          </w:tcPr>
          <w:p w:rsidR="00440D13" w:rsidRPr="00AE6EDB" w:rsidRDefault="00440D13" w:rsidP="00440D13">
            <w:pPr>
              <w:ind w:firstLine="0"/>
              <w:jc w:val="right"/>
              <w:rPr>
                <w:sz w:val="20"/>
              </w:rPr>
            </w:pPr>
            <w:r w:rsidRPr="00AE6EDB">
              <w:rPr>
                <w:sz w:val="20"/>
              </w:rPr>
              <w:t>100,0%</w:t>
            </w:r>
          </w:p>
        </w:tc>
        <w:tc>
          <w:tcPr>
            <w:tcW w:w="1134" w:type="dxa"/>
            <w:vAlign w:val="center"/>
          </w:tcPr>
          <w:p w:rsidR="00440D13" w:rsidRPr="00AE6EDB" w:rsidRDefault="0054295F" w:rsidP="00440D13">
            <w:pPr>
              <w:ind w:firstLine="0"/>
              <w:jc w:val="right"/>
              <w:rPr>
                <w:sz w:val="20"/>
              </w:rPr>
            </w:pPr>
            <w:r>
              <w:rPr>
                <w:sz w:val="20"/>
              </w:rPr>
              <w:t>2 2</w:t>
            </w:r>
            <w:r w:rsidR="004802A1" w:rsidRPr="00AE6EDB">
              <w:rPr>
                <w:sz w:val="20"/>
              </w:rPr>
              <w:t>5</w:t>
            </w:r>
            <w:r>
              <w:rPr>
                <w:sz w:val="20"/>
              </w:rPr>
              <w:t>1 6</w:t>
            </w:r>
            <w:r w:rsidR="004802A1" w:rsidRPr="00AE6EDB">
              <w:rPr>
                <w:sz w:val="20"/>
              </w:rPr>
              <w:t>31</w:t>
            </w:r>
          </w:p>
        </w:tc>
        <w:tc>
          <w:tcPr>
            <w:tcW w:w="993" w:type="dxa"/>
            <w:vAlign w:val="center"/>
          </w:tcPr>
          <w:p w:rsidR="00440D13" w:rsidRPr="00AE6EDB" w:rsidRDefault="004802A1" w:rsidP="00440D13">
            <w:pPr>
              <w:ind w:firstLine="0"/>
              <w:jc w:val="right"/>
              <w:rPr>
                <w:sz w:val="20"/>
              </w:rPr>
            </w:pPr>
            <w:r w:rsidRPr="00AE6EDB">
              <w:rPr>
                <w:sz w:val="20"/>
              </w:rPr>
              <w:t>102,1</w:t>
            </w:r>
          </w:p>
        </w:tc>
        <w:tc>
          <w:tcPr>
            <w:tcW w:w="850" w:type="dxa"/>
            <w:vAlign w:val="center"/>
          </w:tcPr>
          <w:p w:rsidR="00440D13" w:rsidRPr="00AE6EDB" w:rsidRDefault="0032730A" w:rsidP="00440D13">
            <w:pPr>
              <w:ind w:firstLine="0"/>
              <w:jc w:val="right"/>
              <w:rPr>
                <w:sz w:val="20"/>
              </w:rPr>
            </w:pPr>
            <w:r w:rsidRPr="00AE6EDB">
              <w:rPr>
                <w:sz w:val="20"/>
              </w:rPr>
              <w:t>100,0%</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A Poľnohospodárstvo, lesníctvo a rybolov</w:t>
            </w:r>
          </w:p>
        </w:tc>
        <w:tc>
          <w:tcPr>
            <w:tcW w:w="1311" w:type="dxa"/>
            <w:vAlign w:val="center"/>
          </w:tcPr>
          <w:p w:rsidR="00440D13" w:rsidRPr="00AE6EDB" w:rsidRDefault="00440D13" w:rsidP="00440D13">
            <w:pPr>
              <w:ind w:firstLine="0"/>
              <w:jc w:val="right"/>
              <w:rPr>
                <w:sz w:val="20"/>
              </w:rPr>
            </w:pPr>
            <w:r w:rsidRPr="00AE6EDB">
              <w:rPr>
                <w:sz w:val="20"/>
              </w:rPr>
              <w:t>9</w:t>
            </w:r>
            <w:r w:rsidR="0054295F">
              <w:rPr>
                <w:sz w:val="20"/>
              </w:rPr>
              <w:t>1 7</w:t>
            </w:r>
            <w:r w:rsidRPr="00AE6EDB">
              <w:rPr>
                <w:sz w:val="20"/>
              </w:rPr>
              <w:t>44</w:t>
            </w:r>
          </w:p>
        </w:tc>
        <w:tc>
          <w:tcPr>
            <w:tcW w:w="851" w:type="dxa"/>
            <w:vAlign w:val="center"/>
          </w:tcPr>
          <w:p w:rsidR="00440D13" w:rsidRPr="00AE6EDB" w:rsidRDefault="004802A1" w:rsidP="00440D13">
            <w:pPr>
              <w:ind w:firstLine="0"/>
              <w:jc w:val="right"/>
              <w:rPr>
                <w:sz w:val="20"/>
              </w:rPr>
            </w:pPr>
            <w:r w:rsidRPr="00AE6EDB">
              <w:rPr>
                <w:sz w:val="20"/>
              </w:rPr>
              <w:t>99,3</w:t>
            </w:r>
          </w:p>
        </w:tc>
        <w:tc>
          <w:tcPr>
            <w:tcW w:w="850" w:type="dxa"/>
            <w:vAlign w:val="center"/>
          </w:tcPr>
          <w:p w:rsidR="00440D13" w:rsidRPr="00AE6EDB" w:rsidRDefault="00440D13" w:rsidP="00440D13">
            <w:pPr>
              <w:ind w:firstLine="0"/>
              <w:jc w:val="right"/>
              <w:rPr>
                <w:sz w:val="20"/>
              </w:rPr>
            </w:pPr>
            <w:r w:rsidRPr="00AE6EDB">
              <w:rPr>
                <w:sz w:val="20"/>
              </w:rPr>
              <w:t>4,2%</w:t>
            </w:r>
          </w:p>
        </w:tc>
        <w:tc>
          <w:tcPr>
            <w:tcW w:w="1134" w:type="dxa"/>
            <w:vAlign w:val="center"/>
          </w:tcPr>
          <w:p w:rsidR="00440D13" w:rsidRPr="00AE6EDB" w:rsidRDefault="004802A1" w:rsidP="00440D13">
            <w:pPr>
              <w:ind w:firstLine="0"/>
              <w:jc w:val="right"/>
              <w:rPr>
                <w:sz w:val="20"/>
              </w:rPr>
            </w:pPr>
            <w:r w:rsidRPr="00AE6EDB">
              <w:rPr>
                <w:sz w:val="20"/>
              </w:rPr>
              <w:t>9</w:t>
            </w:r>
            <w:r w:rsidR="0054295F">
              <w:rPr>
                <w:sz w:val="20"/>
              </w:rPr>
              <w:t>3 6</w:t>
            </w:r>
            <w:r w:rsidRPr="00AE6EDB">
              <w:rPr>
                <w:sz w:val="20"/>
              </w:rPr>
              <w:t>18</w:t>
            </w:r>
          </w:p>
        </w:tc>
        <w:tc>
          <w:tcPr>
            <w:tcW w:w="993" w:type="dxa"/>
            <w:vAlign w:val="center"/>
          </w:tcPr>
          <w:p w:rsidR="00440D13" w:rsidRPr="00AE6EDB" w:rsidRDefault="004802A1" w:rsidP="00440D13">
            <w:pPr>
              <w:ind w:firstLine="0"/>
              <w:jc w:val="right"/>
              <w:rPr>
                <w:sz w:val="20"/>
              </w:rPr>
            </w:pPr>
            <w:r w:rsidRPr="00AE6EDB">
              <w:rPr>
                <w:sz w:val="20"/>
              </w:rPr>
              <w:t>102,0</w:t>
            </w:r>
          </w:p>
        </w:tc>
        <w:tc>
          <w:tcPr>
            <w:tcW w:w="850" w:type="dxa"/>
            <w:vAlign w:val="center"/>
          </w:tcPr>
          <w:p w:rsidR="00440D13" w:rsidRPr="00AE6EDB" w:rsidRDefault="0032730A" w:rsidP="00440D13">
            <w:pPr>
              <w:ind w:firstLine="0"/>
              <w:jc w:val="right"/>
              <w:rPr>
                <w:sz w:val="20"/>
              </w:rPr>
            </w:pPr>
            <w:r w:rsidRPr="00AE6EDB">
              <w:rPr>
                <w:sz w:val="20"/>
              </w:rPr>
              <w:t>4,2%</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B,C,D,E Priemysel spolu</w:t>
            </w:r>
          </w:p>
        </w:tc>
        <w:tc>
          <w:tcPr>
            <w:tcW w:w="1311" w:type="dxa"/>
            <w:vAlign w:val="center"/>
          </w:tcPr>
          <w:p w:rsidR="00440D13" w:rsidRPr="00AE6EDB" w:rsidRDefault="00440D13" w:rsidP="00440D13">
            <w:pPr>
              <w:ind w:firstLine="0"/>
              <w:jc w:val="right"/>
              <w:rPr>
                <w:sz w:val="20"/>
              </w:rPr>
            </w:pPr>
            <w:r w:rsidRPr="00AE6EDB">
              <w:rPr>
                <w:sz w:val="20"/>
              </w:rPr>
              <w:t>49</w:t>
            </w:r>
            <w:r w:rsidR="00AC44CB">
              <w:rPr>
                <w:sz w:val="20"/>
              </w:rPr>
              <w:t>9 4</w:t>
            </w:r>
            <w:r w:rsidRPr="00AE6EDB">
              <w:rPr>
                <w:sz w:val="20"/>
              </w:rPr>
              <w:t>39</w:t>
            </w:r>
          </w:p>
        </w:tc>
        <w:tc>
          <w:tcPr>
            <w:tcW w:w="851" w:type="dxa"/>
            <w:vAlign w:val="center"/>
          </w:tcPr>
          <w:p w:rsidR="00440D13" w:rsidRPr="00AE6EDB" w:rsidRDefault="004802A1" w:rsidP="00440D13">
            <w:pPr>
              <w:ind w:firstLine="0"/>
              <w:jc w:val="right"/>
              <w:rPr>
                <w:sz w:val="20"/>
              </w:rPr>
            </w:pPr>
            <w:r w:rsidRPr="00AE6EDB">
              <w:rPr>
                <w:sz w:val="20"/>
              </w:rPr>
              <w:t>101,6</w:t>
            </w:r>
          </w:p>
        </w:tc>
        <w:tc>
          <w:tcPr>
            <w:tcW w:w="850" w:type="dxa"/>
            <w:vAlign w:val="center"/>
          </w:tcPr>
          <w:p w:rsidR="00440D13" w:rsidRPr="00AE6EDB" w:rsidRDefault="00440D13" w:rsidP="00440D13">
            <w:pPr>
              <w:ind w:firstLine="0"/>
              <w:jc w:val="right"/>
              <w:rPr>
                <w:sz w:val="20"/>
              </w:rPr>
            </w:pPr>
            <w:r w:rsidRPr="00AE6EDB">
              <w:rPr>
                <w:sz w:val="20"/>
              </w:rPr>
              <w:t>22,7%</w:t>
            </w:r>
          </w:p>
        </w:tc>
        <w:tc>
          <w:tcPr>
            <w:tcW w:w="1134" w:type="dxa"/>
            <w:vAlign w:val="center"/>
          </w:tcPr>
          <w:p w:rsidR="00440D13" w:rsidRPr="00AE6EDB" w:rsidRDefault="004802A1" w:rsidP="00440D13">
            <w:pPr>
              <w:ind w:firstLine="0"/>
              <w:jc w:val="right"/>
              <w:rPr>
                <w:sz w:val="20"/>
              </w:rPr>
            </w:pPr>
            <w:r w:rsidRPr="00AE6EDB">
              <w:rPr>
                <w:sz w:val="20"/>
              </w:rPr>
              <w:t>50</w:t>
            </w:r>
            <w:r w:rsidR="00AC44CB">
              <w:rPr>
                <w:sz w:val="20"/>
              </w:rPr>
              <w:t>8 7</w:t>
            </w:r>
            <w:r w:rsidRPr="00AE6EDB">
              <w:rPr>
                <w:sz w:val="20"/>
              </w:rPr>
              <w:t>14</w:t>
            </w:r>
          </w:p>
        </w:tc>
        <w:tc>
          <w:tcPr>
            <w:tcW w:w="993" w:type="dxa"/>
            <w:vAlign w:val="center"/>
          </w:tcPr>
          <w:p w:rsidR="00440D13" w:rsidRPr="00AE6EDB" w:rsidRDefault="004802A1" w:rsidP="00440D13">
            <w:pPr>
              <w:ind w:firstLine="0"/>
              <w:jc w:val="right"/>
              <w:rPr>
                <w:sz w:val="20"/>
              </w:rPr>
            </w:pPr>
            <w:r w:rsidRPr="00AE6EDB">
              <w:rPr>
                <w:sz w:val="20"/>
              </w:rPr>
              <w:t>101,9</w:t>
            </w:r>
          </w:p>
        </w:tc>
        <w:tc>
          <w:tcPr>
            <w:tcW w:w="850" w:type="dxa"/>
            <w:vAlign w:val="center"/>
          </w:tcPr>
          <w:p w:rsidR="00440D13" w:rsidRPr="00AE6EDB" w:rsidRDefault="0032730A" w:rsidP="00440D13">
            <w:pPr>
              <w:ind w:firstLine="0"/>
              <w:jc w:val="right"/>
              <w:rPr>
                <w:sz w:val="20"/>
              </w:rPr>
            </w:pPr>
            <w:r w:rsidRPr="00AE6EDB">
              <w:rPr>
                <w:sz w:val="20"/>
              </w:rPr>
              <w:t>22,6%</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B Ťažba a dobývanie</w:t>
            </w:r>
          </w:p>
        </w:tc>
        <w:tc>
          <w:tcPr>
            <w:tcW w:w="1311" w:type="dxa"/>
            <w:vAlign w:val="center"/>
          </w:tcPr>
          <w:p w:rsidR="00440D13" w:rsidRPr="00AE6EDB" w:rsidRDefault="00AC44CB" w:rsidP="00440D13">
            <w:pPr>
              <w:ind w:firstLine="0"/>
              <w:jc w:val="right"/>
              <w:rPr>
                <w:sz w:val="20"/>
              </w:rPr>
            </w:pPr>
            <w:r>
              <w:rPr>
                <w:sz w:val="20"/>
              </w:rPr>
              <w:t>6 9</w:t>
            </w:r>
            <w:r w:rsidR="00440D13" w:rsidRPr="00AE6EDB">
              <w:rPr>
                <w:sz w:val="20"/>
              </w:rPr>
              <w:t>35</w:t>
            </w:r>
          </w:p>
        </w:tc>
        <w:tc>
          <w:tcPr>
            <w:tcW w:w="851" w:type="dxa"/>
            <w:vAlign w:val="center"/>
          </w:tcPr>
          <w:p w:rsidR="00440D13" w:rsidRPr="00AE6EDB" w:rsidRDefault="004802A1" w:rsidP="00440D13">
            <w:pPr>
              <w:ind w:firstLine="0"/>
              <w:jc w:val="right"/>
              <w:rPr>
                <w:sz w:val="20"/>
              </w:rPr>
            </w:pPr>
            <w:r w:rsidRPr="00AE6EDB">
              <w:rPr>
                <w:sz w:val="20"/>
              </w:rPr>
              <w:t>97,6</w:t>
            </w:r>
          </w:p>
        </w:tc>
        <w:tc>
          <w:tcPr>
            <w:tcW w:w="850" w:type="dxa"/>
            <w:vAlign w:val="center"/>
          </w:tcPr>
          <w:p w:rsidR="00440D13" w:rsidRPr="00AE6EDB" w:rsidRDefault="00440D13" w:rsidP="00440D13">
            <w:pPr>
              <w:ind w:firstLine="0"/>
              <w:jc w:val="right"/>
              <w:rPr>
                <w:sz w:val="20"/>
              </w:rPr>
            </w:pPr>
            <w:r w:rsidRPr="00AE6EDB">
              <w:rPr>
                <w:sz w:val="20"/>
              </w:rPr>
              <w:t>0,3%</w:t>
            </w:r>
          </w:p>
        </w:tc>
        <w:tc>
          <w:tcPr>
            <w:tcW w:w="1134" w:type="dxa"/>
            <w:vAlign w:val="center"/>
          </w:tcPr>
          <w:p w:rsidR="00440D13" w:rsidRPr="00AE6EDB" w:rsidRDefault="00AC44CB" w:rsidP="00440D13">
            <w:pPr>
              <w:ind w:firstLine="0"/>
              <w:jc w:val="right"/>
              <w:rPr>
                <w:sz w:val="20"/>
              </w:rPr>
            </w:pPr>
            <w:r>
              <w:rPr>
                <w:sz w:val="20"/>
              </w:rPr>
              <w:t>6 7</w:t>
            </w:r>
            <w:r w:rsidR="004802A1" w:rsidRPr="00AE6EDB">
              <w:rPr>
                <w:sz w:val="20"/>
              </w:rPr>
              <w:t>42</w:t>
            </w:r>
          </w:p>
        </w:tc>
        <w:tc>
          <w:tcPr>
            <w:tcW w:w="993" w:type="dxa"/>
            <w:vAlign w:val="center"/>
          </w:tcPr>
          <w:p w:rsidR="00440D13" w:rsidRPr="00AE6EDB" w:rsidRDefault="004802A1" w:rsidP="00440D13">
            <w:pPr>
              <w:ind w:firstLine="0"/>
              <w:jc w:val="right"/>
              <w:rPr>
                <w:sz w:val="20"/>
              </w:rPr>
            </w:pPr>
            <w:r w:rsidRPr="00AE6EDB">
              <w:rPr>
                <w:sz w:val="20"/>
              </w:rPr>
              <w:t>97,2</w:t>
            </w:r>
          </w:p>
        </w:tc>
        <w:tc>
          <w:tcPr>
            <w:tcW w:w="850" w:type="dxa"/>
            <w:vAlign w:val="center"/>
          </w:tcPr>
          <w:p w:rsidR="00440D13" w:rsidRPr="00AE6EDB" w:rsidRDefault="0032730A" w:rsidP="00440D13">
            <w:pPr>
              <w:ind w:firstLine="0"/>
              <w:jc w:val="right"/>
              <w:rPr>
                <w:sz w:val="20"/>
              </w:rPr>
            </w:pPr>
            <w:r w:rsidRPr="00AE6EDB">
              <w:rPr>
                <w:sz w:val="20"/>
              </w:rPr>
              <w:t>0,3%</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C Priemyselná výroba</w:t>
            </w:r>
          </w:p>
        </w:tc>
        <w:tc>
          <w:tcPr>
            <w:tcW w:w="1311" w:type="dxa"/>
            <w:vAlign w:val="center"/>
          </w:tcPr>
          <w:p w:rsidR="00440D13" w:rsidRPr="00AE6EDB" w:rsidRDefault="00440D13" w:rsidP="00440D13">
            <w:pPr>
              <w:ind w:firstLine="0"/>
              <w:jc w:val="right"/>
              <w:rPr>
                <w:sz w:val="20"/>
              </w:rPr>
            </w:pPr>
            <w:r w:rsidRPr="00AE6EDB">
              <w:rPr>
                <w:sz w:val="20"/>
              </w:rPr>
              <w:t>45</w:t>
            </w:r>
            <w:r w:rsidR="0054295F">
              <w:rPr>
                <w:sz w:val="20"/>
              </w:rPr>
              <w:t>3 5</w:t>
            </w:r>
            <w:r w:rsidRPr="00AE6EDB">
              <w:rPr>
                <w:sz w:val="20"/>
              </w:rPr>
              <w:t>35</w:t>
            </w:r>
          </w:p>
        </w:tc>
        <w:tc>
          <w:tcPr>
            <w:tcW w:w="851" w:type="dxa"/>
            <w:vAlign w:val="center"/>
          </w:tcPr>
          <w:p w:rsidR="00440D13" w:rsidRPr="00AE6EDB" w:rsidRDefault="004802A1" w:rsidP="00440D13">
            <w:pPr>
              <w:ind w:firstLine="0"/>
              <w:jc w:val="right"/>
              <w:rPr>
                <w:sz w:val="20"/>
              </w:rPr>
            </w:pPr>
            <w:r w:rsidRPr="00AE6EDB">
              <w:rPr>
                <w:sz w:val="20"/>
              </w:rPr>
              <w:t>101,8</w:t>
            </w:r>
          </w:p>
        </w:tc>
        <w:tc>
          <w:tcPr>
            <w:tcW w:w="850" w:type="dxa"/>
            <w:vAlign w:val="center"/>
          </w:tcPr>
          <w:p w:rsidR="00440D13" w:rsidRPr="00AE6EDB" w:rsidRDefault="00440D13" w:rsidP="00440D13">
            <w:pPr>
              <w:ind w:firstLine="0"/>
              <w:jc w:val="right"/>
              <w:rPr>
                <w:sz w:val="20"/>
              </w:rPr>
            </w:pPr>
            <w:r w:rsidRPr="00AE6EDB">
              <w:rPr>
                <w:sz w:val="20"/>
              </w:rPr>
              <w:t>20,6%</w:t>
            </w:r>
          </w:p>
        </w:tc>
        <w:tc>
          <w:tcPr>
            <w:tcW w:w="1134" w:type="dxa"/>
            <w:vAlign w:val="center"/>
          </w:tcPr>
          <w:p w:rsidR="00440D13" w:rsidRPr="00AE6EDB" w:rsidRDefault="004802A1" w:rsidP="00440D13">
            <w:pPr>
              <w:ind w:firstLine="0"/>
              <w:jc w:val="right"/>
              <w:rPr>
                <w:sz w:val="20"/>
              </w:rPr>
            </w:pPr>
            <w:r w:rsidRPr="00AE6EDB">
              <w:rPr>
                <w:sz w:val="20"/>
              </w:rPr>
              <w:t>46</w:t>
            </w:r>
            <w:r w:rsidR="0054295F">
              <w:rPr>
                <w:sz w:val="20"/>
              </w:rPr>
              <w:t>3 6</w:t>
            </w:r>
            <w:r w:rsidRPr="00AE6EDB">
              <w:rPr>
                <w:sz w:val="20"/>
              </w:rPr>
              <w:t>06</w:t>
            </w:r>
          </w:p>
        </w:tc>
        <w:tc>
          <w:tcPr>
            <w:tcW w:w="993" w:type="dxa"/>
            <w:vAlign w:val="center"/>
          </w:tcPr>
          <w:p w:rsidR="00440D13" w:rsidRPr="00AE6EDB" w:rsidRDefault="004802A1" w:rsidP="00440D13">
            <w:pPr>
              <w:ind w:firstLine="0"/>
              <w:jc w:val="right"/>
              <w:rPr>
                <w:sz w:val="20"/>
              </w:rPr>
            </w:pPr>
            <w:r w:rsidRPr="00AE6EDB">
              <w:rPr>
                <w:sz w:val="20"/>
              </w:rPr>
              <w:t>102,2</w:t>
            </w:r>
          </w:p>
        </w:tc>
        <w:tc>
          <w:tcPr>
            <w:tcW w:w="850" w:type="dxa"/>
            <w:vAlign w:val="center"/>
          </w:tcPr>
          <w:p w:rsidR="00440D13" w:rsidRPr="00AE6EDB" w:rsidRDefault="0032730A" w:rsidP="00440D13">
            <w:pPr>
              <w:ind w:firstLine="0"/>
              <w:jc w:val="right"/>
              <w:rPr>
                <w:sz w:val="20"/>
              </w:rPr>
            </w:pPr>
            <w:r w:rsidRPr="00AE6EDB">
              <w:rPr>
                <w:sz w:val="20"/>
              </w:rPr>
              <w:t>20,6%</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D Dodávka elektriny, plynu, pary a studeného vzduchu</w:t>
            </w:r>
          </w:p>
        </w:tc>
        <w:tc>
          <w:tcPr>
            <w:tcW w:w="1311" w:type="dxa"/>
            <w:vAlign w:val="center"/>
          </w:tcPr>
          <w:p w:rsidR="00440D13" w:rsidRPr="00AE6EDB" w:rsidRDefault="00440D13" w:rsidP="00440D13">
            <w:pPr>
              <w:ind w:firstLine="0"/>
              <w:jc w:val="right"/>
              <w:rPr>
                <w:sz w:val="20"/>
              </w:rPr>
            </w:pPr>
            <w:r w:rsidRPr="00AE6EDB">
              <w:rPr>
                <w:sz w:val="20"/>
              </w:rPr>
              <w:t>1</w:t>
            </w:r>
            <w:r w:rsidR="00AC44CB">
              <w:rPr>
                <w:sz w:val="20"/>
              </w:rPr>
              <w:t>8 1</w:t>
            </w:r>
            <w:r w:rsidRPr="00AE6EDB">
              <w:rPr>
                <w:sz w:val="20"/>
              </w:rPr>
              <w:t>36</w:t>
            </w:r>
          </w:p>
        </w:tc>
        <w:tc>
          <w:tcPr>
            <w:tcW w:w="851" w:type="dxa"/>
            <w:vAlign w:val="center"/>
          </w:tcPr>
          <w:p w:rsidR="00440D13" w:rsidRPr="00AE6EDB" w:rsidRDefault="004802A1" w:rsidP="00440D13">
            <w:pPr>
              <w:ind w:firstLine="0"/>
              <w:jc w:val="right"/>
              <w:rPr>
                <w:sz w:val="20"/>
              </w:rPr>
            </w:pPr>
            <w:r w:rsidRPr="00AE6EDB">
              <w:rPr>
                <w:sz w:val="20"/>
              </w:rPr>
              <w:t>103,4</w:t>
            </w:r>
          </w:p>
        </w:tc>
        <w:tc>
          <w:tcPr>
            <w:tcW w:w="850" w:type="dxa"/>
            <w:vAlign w:val="center"/>
          </w:tcPr>
          <w:p w:rsidR="00440D13" w:rsidRPr="00AE6EDB" w:rsidRDefault="00440D13" w:rsidP="00440D13">
            <w:pPr>
              <w:ind w:firstLine="0"/>
              <w:jc w:val="right"/>
              <w:rPr>
                <w:sz w:val="20"/>
              </w:rPr>
            </w:pPr>
            <w:r w:rsidRPr="00AE6EDB">
              <w:rPr>
                <w:sz w:val="20"/>
              </w:rPr>
              <w:t>0,8%</w:t>
            </w:r>
          </w:p>
        </w:tc>
        <w:tc>
          <w:tcPr>
            <w:tcW w:w="1134" w:type="dxa"/>
            <w:vAlign w:val="center"/>
          </w:tcPr>
          <w:p w:rsidR="00440D13" w:rsidRPr="00AE6EDB" w:rsidRDefault="004802A1" w:rsidP="00440D13">
            <w:pPr>
              <w:ind w:firstLine="0"/>
              <w:jc w:val="right"/>
              <w:rPr>
                <w:sz w:val="20"/>
              </w:rPr>
            </w:pPr>
            <w:r w:rsidRPr="00AE6EDB">
              <w:rPr>
                <w:sz w:val="20"/>
              </w:rPr>
              <w:t>1</w:t>
            </w:r>
            <w:r w:rsidR="00AC44CB">
              <w:rPr>
                <w:sz w:val="20"/>
              </w:rPr>
              <w:t>7 7</w:t>
            </w:r>
            <w:r w:rsidRPr="00AE6EDB">
              <w:rPr>
                <w:sz w:val="20"/>
              </w:rPr>
              <w:t>65</w:t>
            </w:r>
          </w:p>
        </w:tc>
        <w:tc>
          <w:tcPr>
            <w:tcW w:w="993" w:type="dxa"/>
            <w:vAlign w:val="center"/>
          </w:tcPr>
          <w:p w:rsidR="00440D13" w:rsidRPr="00AE6EDB" w:rsidRDefault="004802A1" w:rsidP="00440D13">
            <w:pPr>
              <w:ind w:firstLine="0"/>
              <w:jc w:val="right"/>
              <w:rPr>
                <w:sz w:val="20"/>
              </w:rPr>
            </w:pPr>
            <w:r w:rsidRPr="00AE6EDB">
              <w:rPr>
                <w:sz w:val="20"/>
              </w:rPr>
              <w:t>98,0</w:t>
            </w:r>
          </w:p>
        </w:tc>
        <w:tc>
          <w:tcPr>
            <w:tcW w:w="850" w:type="dxa"/>
            <w:vAlign w:val="center"/>
          </w:tcPr>
          <w:p w:rsidR="00440D13" w:rsidRPr="00AE6EDB" w:rsidRDefault="0032730A" w:rsidP="00440D13">
            <w:pPr>
              <w:ind w:firstLine="0"/>
              <w:jc w:val="right"/>
              <w:rPr>
                <w:sz w:val="20"/>
              </w:rPr>
            </w:pPr>
            <w:r w:rsidRPr="00AE6EDB">
              <w:rPr>
                <w:sz w:val="20"/>
              </w:rPr>
              <w:t>0,8%</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E Dodávka vody, čistenie a odvod odpadových vôd, odpady a služby odstraňovania odpadov</w:t>
            </w:r>
          </w:p>
        </w:tc>
        <w:tc>
          <w:tcPr>
            <w:tcW w:w="1311" w:type="dxa"/>
            <w:vAlign w:val="center"/>
          </w:tcPr>
          <w:p w:rsidR="00440D13" w:rsidRPr="00AE6EDB" w:rsidRDefault="00440D13" w:rsidP="00440D13">
            <w:pPr>
              <w:ind w:firstLine="0"/>
              <w:jc w:val="right"/>
              <w:rPr>
                <w:sz w:val="20"/>
              </w:rPr>
            </w:pPr>
            <w:r w:rsidRPr="00AE6EDB">
              <w:rPr>
                <w:sz w:val="20"/>
              </w:rPr>
              <w:t>2</w:t>
            </w:r>
            <w:r w:rsidR="0054295F">
              <w:rPr>
                <w:sz w:val="20"/>
              </w:rPr>
              <w:t>0 8</w:t>
            </w:r>
            <w:r w:rsidRPr="00AE6EDB">
              <w:rPr>
                <w:sz w:val="20"/>
              </w:rPr>
              <w:t>33</w:t>
            </w:r>
          </w:p>
        </w:tc>
        <w:tc>
          <w:tcPr>
            <w:tcW w:w="851" w:type="dxa"/>
            <w:vAlign w:val="center"/>
          </w:tcPr>
          <w:p w:rsidR="00440D13" w:rsidRPr="00AE6EDB" w:rsidRDefault="004802A1" w:rsidP="00440D13">
            <w:pPr>
              <w:ind w:firstLine="0"/>
              <w:jc w:val="right"/>
              <w:rPr>
                <w:sz w:val="20"/>
              </w:rPr>
            </w:pPr>
            <w:r w:rsidRPr="00AE6EDB">
              <w:rPr>
                <w:sz w:val="20"/>
              </w:rPr>
              <w:t>96,8</w:t>
            </w:r>
          </w:p>
        </w:tc>
        <w:tc>
          <w:tcPr>
            <w:tcW w:w="850" w:type="dxa"/>
            <w:vAlign w:val="center"/>
          </w:tcPr>
          <w:p w:rsidR="00440D13" w:rsidRPr="00AE6EDB" w:rsidRDefault="00440D13" w:rsidP="00440D13">
            <w:pPr>
              <w:ind w:firstLine="0"/>
              <w:jc w:val="right"/>
              <w:rPr>
                <w:sz w:val="20"/>
              </w:rPr>
            </w:pPr>
            <w:r w:rsidRPr="00AE6EDB">
              <w:rPr>
                <w:sz w:val="20"/>
              </w:rPr>
              <w:t>0,9%</w:t>
            </w:r>
          </w:p>
        </w:tc>
        <w:tc>
          <w:tcPr>
            <w:tcW w:w="1134" w:type="dxa"/>
            <w:vAlign w:val="center"/>
          </w:tcPr>
          <w:p w:rsidR="00440D13" w:rsidRPr="00AE6EDB" w:rsidRDefault="004802A1" w:rsidP="00440D13">
            <w:pPr>
              <w:ind w:firstLine="0"/>
              <w:jc w:val="right"/>
              <w:rPr>
                <w:sz w:val="20"/>
              </w:rPr>
            </w:pPr>
            <w:r w:rsidRPr="00AE6EDB">
              <w:rPr>
                <w:sz w:val="20"/>
              </w:rPr>
              <w:t>2</w:t>
            </w:r>
            <w:r w:rsidR="0054295F">
              <w:rPr>
                <w:sz w:val="20"/>
              </w:rPr>
              <w:t>0 6</w:t>
            </w:r>
            <w:r w:rsidRPr="00AE6EDB">
              <w:rPr>
                <w:sz w:val="20"/>
              </w:rPr>
              <w:t>01</w:t>
            </w:r>
          </w:p>
        </w:tc>
        <w:tc>
          <w:tcPr>
            <w:tcW w:w="993" w:type="dxa"/>
            <w:vAlign w:val="center"/>
          </w:tcPr>
          <w:p w:rsidR="00440D13" w:rsidRPr="00AE6EDB" w:rsidRDefault="004802A1" w:rsidP="00440D13">
            <w:pPr>
              <w:ind w:firstLine="0"/>
              <w:jc w:val="right"/>
              <w:rPr>
                <w:sz w:val="20"/>
              </w:rPr>
            </w:pPr>
            <w:r w:rsidRPr="00AE6EDB">
              <w:rPr>
                <w:sz w:val="20"/>
              </w:rPr>
              <w:t>98,9</w:t>
            </w:r>
          </w:p>
        </w:tc>
        <w:tc>
          <w:tcPr>
            <w:tcW w:w="850" w:type="dxa"/>
            <w:vAlign w:val="center"/>
          </w:tcPr>
          <w:p w:rsidR="00440D13" w:rsidRPr="00AE6EDB" w:rsidRDefault="0032730A" w:rsidP="00440D13">
            <w:pPr>
              <w:ind w:firstLine="0"/>
              <w:jc w:val="right"/>
              <w:rPr>
                <w:sz w:val="20"/>
              </w:rPr>
            </w:pPr>
            <w:r w:rsidRPr="00AE6EDB">
              <w:rPr>
                <w:sz w:val="20"/>
              </w:rPr>
              <w:t>0,9%</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F Stavebníctvo</w:t>
            </w:r>
          </w:p>
        </w:tc>
        <w:tc>
          <w:tcPr>
            <w:tcW w:w="1311" w:type="dxa"/>
            <w:vAlign w:val="center"/>
          </w:tcPr>
          <w:p w:rsidR="00440D13" w:rsidRPr="00AE6EDB" w:rsidRDefault="00440D13" w:rsidP="00440D13">
            <w:pPr>
              <w:ind w:firstLine="0"/>
              <w:jc w:val="right"/>
              <w:rPr>
                <w:sz w:val="20"/>
              </w:rPr>
            </w:pPr>
            <w:r w:rsidRPr="00AE6EDB">
              <w:rPr>
                <w:sz w:val="20"/>
              </w:rPr>
              <w:t>15</w:t>
            </w:r>
            <w:r w:rsidR="00AC44CB">
              <w:rPr>
                <w:sz w:val="20"/>
              </w:rPr>
              <w:t>6 7</w:t>
            </w:r>
            <w:r w:rsidRPr="00AE6EDB">
              <w:rPr>
                <w:sz w:val="20"/>
              </w:rPr>
              <w:t>85</w:t>
            </w:r>
          </w:p>
        </w:tc>
        <w:tc>
          <w:tcPr>
            <w:tcW w:w="851" w:type="dxa"/>
            <w:vAlign w:val="center"/>
          </w:tcPr>
          <w:p w:rsidR="00440D13" w:rsidRPr="00AE6EDB" w:rsidRDefault="004802A1" w:rsidP="00440D13">
            <w:pPr>
              <w:ind w:firstLine="0"/>
              <w:jc w:val="right"/>
              <w:rPr>
                <w:sz w:val="20"/>
              </w:rPr>
            </w:pPr>
            <w:r w:rsidRPr="00AE6EDB">
              <w:rPr>
                <w:sz w:val="20"/>
              </w:rPr>
              <w:t>98,9</w:t>
            </w:r>
          </w:p>
        </w:tc>
        <w:tc>
          <w:tcPr>
            <w:tcW w:w="850" w:type="dxa"/>
            <w:vAlign w:val="center"/>
          </w:tcPr>
          <w:p w:rsidR="00440D13" w:rsidRPr="00AE6EDB" w:rsidRDefault="00440D13" w:rsidP="00440D13">
            <w:pPr>
              <w:ind w:firstLine="0"/>
              <w:jc w:val="right"/>
              <w:rPr>
                <w:sz w:val="20"/>
              </w:rPr>
            </w:pPr>
            <w:r w:rsidRPr="00AE6EDB">
              <w:rPr>
                <w:sz w:val="20"/>
              </w:rPr>
              <w:t>7,1%</w:t>
            </w:r>
          </w:p>
        </w:tc>
        <w:tc>
          <w:tcPr>
            <w:tcW w:w="1134" w:type="dxa"/>
            <w:vAlign w:val="center"/>
          </w:tcPr>
          <w:p w:rsidR="00440D13" w:rsidRPr="00AE6EDB" w:rsidRDefault="004802A1" w:rsidP="00440D13">
            <w:pPr>
              <w:ind w:firstLine="0"/>
              <w:jc w:val="right"/>
              <w:rPr>
                <w:sz w:val="20"/>
              </w:rPr>
            </w:pPr>
            <w:r w:rsidRPr="00AE6EDB">
              <w:rPr>
                <w:sz w:val="20"/>
              </w:rPr>
              <w:t>15</w:t>
            </w:r>
            <w:r w:rsidR="00AC44CB">
              <w:rPr>
                <w:sz w:val="20"/>
              </w:rPr>
              <w:t>5 4</w:t>
            </w:r>
            <w:r w:rsidRPr="00AE6EDB">
              <w:rPr>
                <w:sz w:val="20"/>
              </w:rPr>
              <w:t>90</w:t>
            </w:r>
          </w:p>
        </w:tc>
        <w:tc>
          <w:tcPr>
            <w:tcW w:w="993" w:type="dxa"/>
            <w:vAlign w:val="center"/>
          </w:tcPr>
          <w:p w:rsidR="00440D13" w:rsidRPr="00AE6EDB" w:rsidRDefault="004802A1" w:rsidP="00440D13">
            <w:pPr>
              <w:ind w:firstLine="0"/>
              <w:jc w:val="right"/>
              <w:rPr>
                <w:sz w:val="20"/>
              </w:rPr>
            </w:pPr>
            <w:r w:rsidRPr="00AE6EDB">
              <w:rPr>
                <w:sz w:val="20"/>
              </w:rPr>
              <w:t>99,2</w:t>
            </w:r>
          </w:p>
        </w:tc>
        <w:tc>
          <w:tcPr>
            <w:tcW w:w="850" w:type="dxa"/>
            <w:vAlign w:val="center"/>
          </w:tcPr>
          <w:p w:rsidR="00440D13" w:rsidRPr="00AE6EDB" w:rsidRDefault="0032730A" w:rsidP="00440D13">
            <w:pPr>
              <w:ind w:firstLine="0"/>
              <w:jc w:val="right"/>
              <w:rPr>
                <w:sz w:val="20"/>
              </w:rPr>
            </w:pPr>
            <w:r w:rsidRPr="00AE6EDB">
              <w:rPr>
                <w:sz w:val="20"/>
              </w:rPr>
              <w:t>6,9%</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G Veľkoobchod a maloobchod; oprava motorových vozidiel a motocyklov</w:t>
            </w:r>
          </w:p>
        </w:tc>
        <w:tc>
          <w:tcPr>
            <w:tcW w:w="1311" w:type="dxa"/>
            <w:vAlign w:val="center"/>
          </w:tcPr>
          <w:p w:rsidR="00440D13" w:rsidRPr="00AE6EDB" w:rsidRDefault="00440D13" w:rsidP="00440D13">
            <w:pPr>
              <w:ind w:firstLine="0"/>
              <w:jc w:val="right"/>
              <w:rPr>
                <w:sz w:val="20"/>
              </w:rPr>
            </w:pPr>
            <w:r w:rsidRPr="00AE6EDB">
              <w:rPr>
                <w:sz w:val="20"/>
              </w:rPr>
              <w:t>36</w:t>
            </w:r>
            <w:r w:rsidR="0054295F">
              <w:rPr>
                <w:sz w:val="20"/>
              </w:rPr>
              <w:t>1 0</w:t>
            </w:r>
            <w:r w:rsidRPr="00AE6EDB">
              <w:rPr>
                <w:sz w:val="20"/>
              </w:rPr>
              <w:t>29</w:t>
            </w:r>
          </w:p>
        </w:tc>
        <w:tc>
          <w:tcPr>
            <w:tcW w:w="851" w:type="dxa"/>
            <w:vAlign w:val="center"/>
          </w:tcPr>
          <w:p w:rsidR="00440D13" w:rsidRPr="00AE6EDB" w:rsidRDefault="004802A1" w:rsidP="00440D13">
            <w:pPr>
              <w:ind w:firstLine="0"/>
              <w:jc w:val="right"/>
              <w:rPr>
                <w:sz w:val="20"/>
              </w:rPr>
            </w:pPr>
            <w:r w:rsidRPr="00AE6EDB">
              <w:rPr>
                <w:sz w:val="20"/>
              </w:rPr>
              <w:t>101,3</w:t>
            </w:r>
          </w:p>
        </w:tc>
        <w:tc>
          <w:tcPr>
            <w:tcW w:w="850" w:type="dxa"/>
            <w:vAlign w:val="center"/>
          </w:tcPr>
          <w:p w:rsidR="00440D13" w:rsidRPr="00AE6EDB" w:rsidRDefault="00440D13" w:rsidP="00440D13">
            <w:pPr>
              <w:ind w:firstLine="0"/>
              <w:jc w:val="right"/>
              <w:rPr>
                <w:sz w:val="20"/>
              </w:rPr>
            </w:pPr>
            <w:r w:rsidRPr="00AE6EDB">
              <w:rPr>
                <w:sz w:val="20"/>
              </w:rPr>
              <w:t>16,4%</w:t>
            </w:r>
          </w:p>
        </w:tc>
        <w:tc>
          <w:tcPr>
            <w:tcW w:w="1134" w:type="dxa"/>
            <w:vAlign w:val="center"/>
          </w:tcPr>
          <w:p w:rsidR="00440D13" w:rsidRPr="00AE6EDB" w:rsidRDefault="004802A1" w:rsidP="00440D13">
            <w:pPr>
              <w:ind w:firstLine="0"/>
              <w:jc w:val="right"/>
              <w:rPr>
                <w:sz w:val="20"/>
              </w:rPr>
            </w:pPr>
            <w:r w:rsidRPr="00AE6EDB">
              <w:rPr>
                <w:sz w:val="20"/>
              </w:rPr>
              <w:t>36</w:t>
            </w:r>
            <w:r w:rsidR="0054295F">
              <w:rPr>
                <w:sz w:val="20"/>
              </w:rPr>
              <w:t>2 3</w:t>
            </w:r>
            <w:r w:rsidRPr="00AE6EDB">
              <w:rPr>
                <w:sz w:val="20"/>
              </w:rPr>
              <w:t>63</w:t>
            </w:r>
          </w:p>
        </w:tc>
        <w:tc>
          <w:tcPr>
            <w:tcW w:w="993" w:type="dxa"/>
            <w:vAlign w:val="center"/>
          </w:tcPr>
          <w:p w:rsidR="00440D13" w:rsidRPr="00AE6EDB" w:rsidRDefault="004802A1" w:rsidP="00440D13">
            <w:pPr>
              <w:ind w:firstLine="0"/>
              <w:jc w:val="right"/>
              <w:rPr>
                <w:sz w:val="20"/>
              </w:rPr>
            </w:pPr>
            <w:r w:rsidRPr="00AE6EDB">
              <w:rPr>
                <w:sz w:val="20"/>
              </w:rPr>
              <w:t>100,4</w:t>
            </w:r>
          </w:p>
        </w:tc>
        <w:tc>
          <w:tcPr>
            <w:tcW w:w="850" w:type="dxa"/>
            <w:vAlign w:val="center"/>
          </w:tcPr>
          <w:p w:rsidR="00440D13" w:rsidRPr="00AE6EDB" w:rsidRDefault="0032730A" w:rsidP="00440D13">
            <w:pPr>
              <w:ind w:firstLine="0"/>
              <w:jc w:val="right"/>
              <w:rPr>
                <w:sz w:val="20"/>
              </w:rPr>
            </w:pPr>
            <w:r w:rsidRPr="00AE6EDB">
              <w:rPr>
                <w:sz w:val="20"/>
              </w:rPr>
              <w:t>16,1%</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H Doprava a skladovanie</w:t>
            </w:r>
          </w:p>
        </w:tc>
        <w:tc>
          <w:tcPr>
            <w:tcW w:w="1311" w:type="dxa"/>
            <w:vAlign w:val="center"/>
          </w:tcPr>
          <w:p w:rsidR="00440D13" w:rsidRPr="00AE6EDB" w:rsidRDefault="00440D13" w:rsidP="00440D13">
            <w:pPr>
              <w:ind w:firstLine="0"/>
              <w:jc w:val="right"/>
              <w:rPr>
                <w:sz w:val="20"/>
              </w:rPr>
            </w:pPr>
            <w:r w:rsidRPr="00AE6EDB">
              <w:rPr>
                <w:sz w:val="20"/>
              </w:rPr>
              <w:t>14</w:t>
            </w:r>
            <w:r w:rsidR="0054295F">
              <w:rPr>
                <w:sz w:val="20"/>
              </w:rPr>
              <w:t>2 6</w:t>
            </w:r>
            <w:r w:rsidRPr="00AE6EDB">
              <w:rPr>
                <w:sz w:val="20"/>
              </w:rPr>
              <w:t>15</w:t>
            </w:r>
          </w:p>
        </w:tc>
        <w:tc>
          <w:tcPr>
            <w:tcW w:w="851" w:type="dxa"/>
            <w:vAlign w:val="center"/>
          </w:tcPr>
          <w:p w:rsidR="00440D13" w:rsidRPr="00AE6EDB" w:rsidRDefault="004802A1" w:rsidP="00440D13">
            <w:pPr>
              <w:ind w:firstLine="0"/>
              <w:jc w:val="right"/>
              <w:rPr>
                <w:sz w:val="20"/>
              </w:rPr>
            </w:pPr>
            <w:r w:rsidRPr="00AE6EDB">
              <w:rPr>
                <w:sz w:val="20"/>
              </w:rPr>
              <w:t>99,5</w:t>
            </w:r>
          </w:p>
        </w:tc>
        <w:tc>
          <w:tcPr>
            <w:tcW w:w="850" w:type="dxa"/>
            <w:vAlign w:val="center"/>
          </w:tcPr>
          <w:p w:rsidR="00440D13" w:rsidRPr="00AE6EDB" w:rsidRDefault="00440D13" w:rsidP="00440D13">
            <w:pPr>
              <w:ind w:firstLine="0"/>
              <w:jc w:val="right"/>
              <w:rPr>
                <w:sz w:val="20"/>
              </w:rPr>
            </w:pPr>
            <w:r w:rsidRPr="00AE6EDB">
              <w:rPr>
                <w:sz w:val="20"/>
              </w:rPr>
              <w:t>6,5%</w:t>
            </w:r>
          </w:p>
        </w:tc>
        <w:tc>
          <w:tcPr>
            <w:tcW w:w="1134" w:type="dxa"/>
            <w:vAlign w:val="center"/>
          </w:tcPr>
          <w:p w:rsidR="00440D13" w:rsidRPr="00AE6EDB" w:rsidRDefault="004802A1" w:rsidP="00440D13">
            <w:pPr>
              <w:ind w:firstLine="0"/>
              <w:jc w:val="right"/>
              <w:rPr>
                <w:sz w:val="20"/>
              </w:rPr>
            </w:pPr>
            <w:r w:rsidRPr="00AE6EDB">
              <w:rPr>
                <w:sz w:val="20"/>
              </w:rPr>
              <w:t>14</w:t>
            </w:r>
            <w:r w:rsidR="00AC44CB">
              <w:rPr>
                <w:sz w:val="20"/>
              </w:rPr>
              <w:t>5 1</w:t>
            </w:r>
            <w:r w:rsidRPr="00AE6EDB">
              <w:rPr>
                <w:sz w:val="20"/>
              </w:rPr>
              <w:t>65</w:t>
            </w:r>
          </w:p>
        </w:tc>
        <w:tc>
          <w:tcPr>
            <w:tcW w:w="993" w:type="dxa"/>
            <w:vAlign w:val="center"/>
          </w:tcPr>
          <w:p w:rsidR="00440D13" w:rsidRPr="00AE6EDB" w:rsidRDefault="004802A1" w:rsidP="00440D13">
            <w:pPr>
              <w:ind w:firstLine="0"/>
              <w:jc w:val="right"/>
              <w:rPr>
                <w:sz w:val="20"/>
              </w:rPr>
            </w:pPr>
            <w:r w:rsidRPr="00AE6EDB">
              <w:rPr>
                <w:sz w:val="20"/>
              </w:rPr>
              <w:t>101,8</w:t>
            </w:r>
          </w:p>
        </w:tc>
        <w:tc>
          <w:tcPr>
            <w:tcW w:w="850" w:type="dxa"/>
            <w:vAlign w:val="center"/>
          </w:tcPr>
          <w:p w:rsidR="00440D13" w:rsidRPr="00AE6EDB" w:rsidRDefault="0032730A" w:rsidP="00440D13">
            <w:pPr>
              <w:ind w:firstLine="0"/>
              <w:jc w:val="right"/>
              <w:rPr>
                <w:sz w:val="20"/>
              </w:rPr>
            </w:pPr>
            <w:r w:rsidRPr="00AE6EDB">
              <w:rPr>
                <w:sz w:val="20"/>
              </w:rPr>
              <w:t>6,4%</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I Ubytovacie a stravovacie služby</w:t>
            </w:r>
          </w:p>
        </w:tc>
        <w:tc>
          <w:tcPr>
            <w:tcW w:w="1311" w:type="dxa"/>
            <w:vAlign w:val="center"/>
          </w:tcPr>
          <w:p w:rsidR="00440D13" w:rsidRPr="00AE6EDB" w:rsidRDefault="00440D13" w:rsidP="00440D13">
            <w:pPr>
              <w:ind w:firstLine="0"/>
              <w:jc w:val="right"/>
              <w:rPr>
                <w:sz w:val="20"/>
              </w:rPr>
            </w:pPr>
            <w:r w:rsidRPr="00AE6EDB">
              <w:rPr>
                <w:sz w:val="20"/>
              </w:rPr>
              <w:t>5</w:t>
            </w:r>
            <w:r w:rsidR="00AC44CB">
              <w:rPr>
                <w:sz w:val="20"/>
              </w:rPr>
              <w:t>6 6</w:t>
            </w:r>
            <w:r w:rsidRPr="00AE6EDB">
              <w:rPr>
                <w:sz w:val="20"/>
              </w:rPr>
              <w:t>76</w:t>
            </w:r>
          </w:p>
        </w:tc>
        <w:tc>
          <w:tcPr>
            <w:tcW w:w="851" w:type="dxa"/>
            <w:vAlign w:val="center"/>
          </w:tcPr>
          <w:p w:rsidR="00440D13" w:rsidRPr="00AE6EDB" w:rsidRDefault="004802A1" w:rsidP="00440D13">
            <w:pPr>
              <w:ind w:firstLine="0"/>
              <w:jc w:val="right"/>
              <w:rPr>
                <w:sz w:val="20"/>
              </w:rPr>
            </w:pPr>
            <w:r w:rsidRPr="00AE6EDB">
              <w:rPr>
                <w:sz w:val="20"/>
              </w:rPr>
              <w:t>108,4</w:t>
            </w:r>
          </w:p>
        </w:tc>
        <w:tc>
          <w:tcPr>
            <w:tcW w:w="850" w:type="dxa"/>
            <w:vAlign w:val="center"/>
          </w:tcPr>
          <w:p w:rsidR="00440D13" w:rsidRPr="00AE6EDB" w:rsidRDefault="00440D13" w:rsidP="00440D13">
            <w:pPr>
              <w:ind w:firstLine="0"/>
              <w:jc w:val="right"/>
              <w:rPr>
                <w:sz w:val="20"/>
              </w:rPr>
            </w:pPr>
            <w:r w:rsidRPr="00AE6EDB">
              <w:rPr>
                <w:sz w:val="20"/>
              </w:rPr>
              <w:t>2,6%</w:t>
            </w:r>
          </w:p>
        </w:tc>
        <w:tc>
          <w:tcPr>
            <w:tcW w:w="1134" w:type="dxa"/>
            <w:vAlign w:val="center"/>
          </w:tcPr>
          <w:p w:rsidR="00440D13" w:rsidRPr="00AE6EDB" w:rsidRDefault="004802A1" w:rsidP="00440D13">
            <w:pPr>
              <w:ind w:firstLine="0"/>
              <w:jc w:val="right"/>
              <w:rPr>
                <w:sz w:val="20"/>
              </w:rPr>
            </w:pPr>
            <w:r w:rsidRPr="00AE6EDB">
              <w:rPr>
                <w:sz w:val="20"/>
              </w:rPr>
              <w:t>5</w:t>
            </w:r>
            <w:r w:rsidR="00AC44CB">
              <w:rPr>
                <w:sz w:val="20"/>
              </w:rPr>
              <w:t>7 1</w:t>
            </w:r>
            <w:r w:rsidRPr="00AE6EDB">
              <w:rPr>
                <w:sz w:val="20"/>
              </w:rPr>
              <w:t>27</w:t>
            </w:r>
          </w:p>
        </w:tc>
        <w:tc>
          <w:tcPr>
            <w:tcW w:w="993" w:type="dxa"/>
            <w:vAlign w:val="center"/>
          </w:tcPr>
          <w:p w:rsidR="00440D13" w:rsidRPr="00AE6EDB" w:rsidRDefault="004802A1" w:rsidP="00440D13">
            <w:pPr>
              <w:ind w:firstLine="0"/>
              <w:jc w:val="right"/>
              <w:rPr>
                <w:sz w:val="20"/>
              </w:rPr>
            </w:pPr>
            <w:r w:rsidRPr="00AE6EDB">
              <w:rPr>
                <w:sz w:val="20"/>
              </w:rPr>
              <w:t>100,8</w:t>
            </w:r>
          </w:p>
        </w:tc>
        <w:tc>
          <w:tcPr>
            <w:tcW w:w="850" w:type="dxa"/>
            <w:vAlign w:val="center"/>
          </w:tcPr>
          <w:p w:rsidR="00440D13" w:rsidRPr="00AE6EDB" w:rsidRDefault="0032730A" w:rsidP="00440D13">
            <w:pPr>
              <w:ind w:firstLine="0"/>
              <w:jc w:val="right"/>
              <w:rPr>
                <w:sz w:val="20"/>
              </w:rPr>
            </w:pPr>
            <w:r w:rsidRPr="00AE6EDB">
              <w:rPr>
                <w:sz w:val="20"/>
              </w:rPr>
              <w:t>2,5%</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J Informácie a komunikácia</w:t>
            </w:r>
          </w:p>
        </w:tc>
        <w:tc>
          <w:tcPr>
            <w:tcW w:w="1311" w:type="dxa"/>
            <w:vAlign w:val="center"/>
          </w:tcPr>
          <w:p w:rsidR="00440D13" w:rsidRPr="00AE6EDB" w:rsidRDefault="00440D13" w:rsidP="00440D13">
            <w:pPr>
              <w:ind w:firstLine="0"/>
              <w:jc w:val="right"/>
              <w:rPr>
                <w:sz w:val="20"/>
              </w:rPr>
            </w:pPr>
            <w:r w:rsidRPr="00AE6EDB">
              <w:rPr>
                <w:sz w:val="20"/>
              </w:rPr>
              <w:t>6</w:t>
            </w:r>
            <w:r w:rsidR="0054295F">
              <w:rPr>
                <w:sz w:val="20"/>
              </w:rPr>
              <w:t>1 7</w:t>
            </w:r>
            <w:r w:rsidRPr="00AE6EDB">
              <w:rPr>
                <w:sz w:val="20"/>
              </w:rPr>
              <w:t>13</w:t>
            </w:r>
          </w:p>
        </w:tc>
        <w:tc>
          <w:tcPr>
            <w:tcW w:w="851" w:type="dxa"/>
            <w:vAlign w:val="center"/>
          </w:tcPr>
          <w:p w:rsidR="00440D13" w:rsidRPr="00AE6EDB" w:rsidRDefault="004802A1" w:rsidP="00440D13">
            <w:pPr>
              <w:ind w:firstLine="0"/>
              <w:jc w:val="right"/>
              <w:rPr>
                <w:sz w:val="20"/>
              </w:rPr>
            </w:pPr>
            <w:r w:rsidRPr="00AE6EDB">
              <w:rPr>
                <w:sz w:val="20"/>
              </w:rPr>
              <w:t>108,2</w:t>
            </w:r>
          </w:p>
        </w:tc>
        <w:tc>
          <w:tcPr>
            <w:tcW w:w="850" w:type="dxa"/>
            <w:vAlign w:val="center"/>
          </w:tcPr>
          <w:p w:rsidR="00440D13" w:rsidRPr="00AE6EDB" w:rsidRDefault="00440D13" w:rsidP="00440D13">
            <w:pPr>
              <w:ind w:firstLine="0"/>
              <w:jc w:val="right"/>
              <w:rPr>
                <w:sz w:val="20"/>
              </w:rPr>
            </w:pPr>
            <w:r w:rsidRPr="00AE6EDB">
              <w:rPr>
                <w:sz w:val="20"/>
              </w:rPr>
              <w:t>2,8%</w:t>
            </w:r>
          </w:p>
        </w:tc>
        <w:tc>
          <w:tcPr>
            <w:tcW w:w="1134" w:type="dxa"/>
            <w:vAlign w:val="center"/>
          </w:tcPr>
          <w:p w:rsidR="00440D13" w:rsidRPr="00AE6EDB" w:rsidRDefault="004802A1" w:rsidP="00440D13">
            <w:pPr>
              <w:ind w:firstLine="0"/>
              <w:jc w:val="right"/>
              <w:rPr>
                <w:sz w:val="20"/>
              </w:rPr>
            </w:pPr>
            <w:r w:rsidRPr="00AE6EDB">
              <w:rPr>
                <w:sz w:val="20"/>
              </w:rPr>
              <w:t>6</w:t>
            </w:r>
            <w:r w:rsidR="0054295F">
              <w:rPr>
                <w:sz w:val="20"/>
              </w:rPr>
              <w:t>3 7</w:t>
            </w:r>
            <w:r w:rsidRPr="00AE6EDB">
              <w:rPr>
                <w:sz w:val="20"/>
              </w:rPr>
              <w:t>46</w:t>
            </w:r>
          </w:p>
        </w:tc>
        <w:tc>
          <w:tcPr>
            <w:tcW w:w="993" w:type="dxa"/>
            <w:vAlign w:val="center"/>
          </w:tcPr>
          <w:p w:rsidR="00440D13" w:rsidRPr="00AE6EDB" w:rsidRDefault="004802A1" w:rsidP="00440D13">
            <w:pPr>
              <w:ind w:firstLine="0"/>
              <w:jc w:val="right"/>
              <w:rPr>
                <w:sz w:val="20"/>
              </w:rPr>
            </w:pPr>
            <w:r w:rsidRPr="00AE6EDB">
              <w:rPr>
                <w:sz w:val="20"/>
              </w:rPr>
              <w:t>103,3</w:t>
            </w:r>
          </w:p>
        </w:tc>
        <w:tc>
          <w:tcPr>
            <w:tcW w:w="850" w:type="dxa"/>
            <w:vAlign w:val="center"/>
          </w:tcPr>
          <w:p w:rsidR="00440D13" w:rsidRPr="00AE6EDB" w:rsidRDefault="0032730A" w:rsidP="00440D13">
            <w:pPr>
              <w:ind w:firstLine="0"/>
              <w:jc w:val="right"/>
              <w:rPr>
                <w:sz w:val="20"/>
              </w:rPr>
            </w:pPr>
            <w:r w:rsidRPr="00AE6EDB">
              <w:rPr>
                <w:sz w:val="20"/>
              </w:rPr>
              <w:t>2,8%</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K Finančné a poisťovacie činnosti</w:t>
            </w:r>
          </w:p>
        </w:tc>
        <w:tc>
          <w:tcPr>
            <w:tcW w:w="1311" w:type="dxa"/>
            <w:vAlign w:val="center"/>
          </w:tcPr>
          <w:p w:rsidR="00440D13" w:rsidRPr="00AE6EDB" w:rsidRDefault="00440D13" w:rsidP="00440D13">
            <w:pPr>
              <w:ind w:firstLine="0"/>
              <w:jc w:val="right"/>
              <w:rPr>
                <w:sz w:val="20"/>
              </w:rPr>
            </w:pPr>
            <w:r w:rsidRPr="00AE6EDB">
              <w:rPr>
                <w:sz w:val="20"/>
              </w:rPr>
              <w:t>4</w:t>
            </w:r>
            <w:r w:rsidR="0054295F">
              <w:rPr>
                <w:sz w:val="20"/>
              </w:rPr>
              <w:t>1 3</w:t>
            </w:r>
            <w:r w:rsidRPr="00AE6EDB">
              <w:rPr>
                <w:sz w:val="20"/>
              </w:rPr>
              <w:t>48</w:t>
            </w:r>
          </w:p>
        </w:tc>
        <w:tc>
          <w:tcPr>
            <w:tcW w:w="851" w:type="dxa"/>
            <w:vAlign w:val="center"/>
          </w:tcPr>
          <w:p w:rsidR="00440D13" w:rsidRPr="00AE6EDB" w:rsidRDefault="004802A1" w:rsidP="00440D13">
            <w:pPr>
              <w:ind w:firstLine="0"/>
              <w:jc w:val="right"/>
              <w:rPr>
                <w:sz w:val="20"/>
              </w:rPr>
            </w:pPr>
            <w:r w:rsidRPr="00AE6EDB">
              <w:rPr>
                <w:sz w:val="20"/>
              </w:rPr>
              <w:t>99,8</w:t>
            </w:r>
          </w:p>
        </w:tc>
        <w:tc>
          <w:tcPr>
            <w:tcW w:w="850" w:type="dxa"/>
            <w:vAlign w:val="center"/>
          </w:tcPr>
          <w:p w:rsidR="00440D13" w:rsidRPr="00AE6EDB" w:rsidRDefault="00440D13" w:rsidP="00440D13">
            <w:pPr>
              <w:ind w:firstLine="0"/>
              <w:jc w:val="right"/>
              <w:rPr>
                <w:sz w:val="20"/>
              </w:rPr>
            </w:pPr>
            <w:r w:rsidRPr="00AE6EDB">
              <w:rPr>
                <w:sz w:val="20"/>
              </w:rPr>
              <w:t>1,9%</w:t>
            </w:r>
          </w:p>
        </w:tc>
        <w:tc>
          <w:tcPr>
            <w:tcW w:w="1134" w:type="dxa"/>
            <w:vAlign w:val="center"/>
          </w:tcPr>
          <w:p w:rsidR="00440D13" w:rsidRPr="00AE6EDB" w:rsidRDefault="004802A1" w:rsidP="00440D13">
            <w:pPr>
              <w:ind w:firstLine="0"/>
              <w:jc w:val="right"/>
              <w:rPr>
                <w:sz w:val="20"/>
              </w:rPr>
            </w:pPr>
            <w:r w:rsidRPr="00AE6EDB">
              <w:rPr>
                <w:sz w:val="20"/>
              </w:rPr>
              <w:t>4</w:t>
            </w:r>
            <w:r w:rsidR="0054295F">
              <w:rPr>
                <w:sz w:val="20"/>
              </w:rPr>
              <w:t>2 3</w:t>
            </w:r>
            <w:r w:rsidRPr="00AE6EDB">
              <w:rPr>
                <w:sz w:val="20"/>
              </w:rPr>
              <w:t>63</w:t>
            </w:r>
          </w:p>
        </w:tc>
        <w:tc>
          <w:tcPr>
            <w:tcW w:w="993" w:type="dxa"/>
            <w:vAlign w:val="center"/>
          </w:tcPr>
          <w:p w:rsidR="00440D13" w:rsidRPr="00AE6EDB" w:rsidRDefault="004802A1" w:rsidP="00440D13">
            <w:pPr>
              <w:ind w:firstLine="0"/>
              <w:jc w:val="right"/>
              <w:rPr>
                <w:sz w:val="20"/>
              </w:rPr>
            </w:pPr>
            <w:r w:rsidRPr="00AE6EDB">
              <w:rPr>
                <w:sz w:val="20"/>
              </w:rPr>
              <w:t>102,5</w:t>
            </w:r>
          </w:p>
        </w:tc>
        <w:tc>
          <w:tcPr>
            <w:tcW w:w="850" w:type="dxa"/>
            <w:vAlign w:val="center"/>
          </w:tcPr>
          <w:p w:rsidR="00440D13" w:rsidRPr="00AE6EDB" w:rsidRDefault="0032730A" w:rsidP="00440D13">
            <w:pPr>
              <w:ind w:firstLine="0"/>
              <w:jc w:val="right"/>
              <w:rPr>
                <w:sz w:val="20"/>
              </w:rPr>
            </w:pPr>
            <w:r w:rsidRPr="00AE6EDB">
              <w:rPr>
                <w:sz w:val="20"/>
              </w:rPr>
              <w:t>1,9%</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L Činnosti v oblasti nehnuteľností</w:t>
            </w:r>
          </w:p>
        </w:tc>
        <w:tc>
          <w:tcPr>
            <w:tcW w:w="1311" w:type="dxa"/>
            <w:vAlign w:val="center"/>
          </w:tcPr>
          <w:p w:rsidR="00440D13" w:rsidRPr="00AE6EDB" w:rsidRDefault="00440D13" w:rsidP="00440D13">
            <w:pPr>
              <w:ind w:firstLine="0"/>
              <w:jc w:val="right"/>
              <w:rPr>
                <w:sz w:val="20"/>
              </w:rPr>
            </w:pPr>
            <w:r w:rsidRPr="00AE6EDB">
              <w:rPr>
                <w:sz w:val="20"/>
              </w:rPr>
              <w:t>2</w:t>
            </w:r>
            <w:r w:rsidR="0054295F">
              <w:rPr>
                <w:sz w:val="20"/>
              </w:rPr>
              <w:t>2 3</w:t>
            </w:r>
            <w:r w:rsidRPr="00AE6EDB">
              <w:rPr>
                <w:sz w:val="20"/>
              </w:rPr>
              <w:t>64</w:t>
            </w:r>
          </w:p>
        </w:tc>
        <w:tc>
          <w:tcPr>
            <w:tcW w:w="851" w:type="dxa"/>
            <w:vAlign w:val="center"/>
          </w:tcPr>
          <w:p w:rsidR="00440D13" w:rsidRPr="00AE6EDB" w:rsidRDefault="004802A1" w:rsidP="00440D13">
            <w:pPr>
              <w:ind w:firstLine="0"/>
              <w:jc w:val="right"/>
              <w:rPr>
                <w:sz w:val="20"/>
              </w:rPr>
            </w:pPr>
            <w:r w:rsidRPr="00AE6EDB">
              <w:rPr>
                <w:sz w:val="20"/>
              </w:rPr>
              <w:t>101,3</w:t>
            </w:r>
          </w:p>
        </w:tc>
        <w:tc>
          <w:tcPr>
            <w:tcW w:w="850" w:type="dxa"/>
            <w:vAlign w:val="center"/>
          </w:tcPr>
          <w:p w:rsidR="00440D13" w:rsidRPr="00AE6EDB" w:rsidRDefault="00440D13" w:rsidP="00440D13">
            <w:pPr>
              <w:ind w:firstLine="0"/>
              <w:jc w:val="right"/>
              <w:rPr>
                <w:sz w:val="20"/>
              </w:rPr>
            </w:pPr>
            <w:r w:rsidRPr="00AE6EDB">
              <w:rPr>
                <w:sz w:val="20"/>
              </w:rPr>
              <w:t>1,0%</w:t>
            </w:r>
          </w:p>
        </w:tc>
        <w:tc>
          <w:tcPr>
            <w:tcW w:w="1134" w:type="dxa"/>
            <w:vAlign w:val="center"/>
          </w:tcPr>
          <w:p w:rsidR="00440D13" w:rsidRPr="00AE6EDB" w:rsidRDefault="004802A1" w:rsidP="00440D13">
            <w:pPr>
              <w:ind w:firstLine="0"/>
              <w:jc w:val="right"/>
              <w:rPr>
                <w:sz w:val="20"/>
              </w:rPr>
            </w:pPr>
            <w:r w:rsidRPr="00AE6EDB">
              <w:rPr>
                <w:sz w:val="20"/>
              </w:rPr>
              <w:t>2</w:t>
            </w:r>
            <w:r w:rsidR="0054295F">
              <w:rPr>
                <w:sz w:val="20"/>
              </w:rPr>
              <w:t>2 1</w:t>
            </w:r>
            <w:r w:rsidRPr="00AE6EDB">
              <w:rPr>
                <w:sz w:val="20"/>
              </w:rPr>
              <w:t>93</w:t>
            </w:r>
          </w:p>
        </w:tc>
        <w:tc>
          <w:tcPr>
            <w:tcW w:w="993" w:type="dxa"/>
            <w:vAlign w:val="center"/>
          </w:tcPr>
          <w:p w:rsidR="00440D13" w:rsidRPr="00AE6EDB" w:rsidRDefault="004802A1" w:rsidP="00440D13">
            <w:pPr>
              <w:ind w:firstLine="0"/>
              <w:jc w:val="right"/>
              <w:rPr>
                <w:sz w:val="20"/>
              </w:rPr>
            </w:pPr>
            <w:r w:rsidRPr="00AE6EDB">
              <w:rPr>
                <w:sz w:val="20"/>
              </w:rPr>
              <w:t>99,2</w:t>
            </w:r>
          </w:p>
        </w:tc>
        <w:tc>
          <w:tcPr>
            <w:tcW w:w="850" w:type="dxa"/>
            <w:vAlign w:val="center"/>
          </w:tcPr>
          <w:p w:rsidR="00440D13" w:rsidRPr="00AE6EDB" w:rsidRDefault="0032730A" w:rsidP="00440D13">
            <w:pPr>
              <w:ind w:firstLine="0"/>
              <w:jc w:val="right"/>
              <w:rPr>
                <w:sz w:val="20"/>
              </w:rPr>
            </w:pPr>
            <w:r w:rsidRPr="00AE6EDB">
              <w:rPr>
                <w:sz w:val="20"/>
              </w:rPr>
              <w:t>1,0%</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M Odborné, vedecké a technické činnosti</w:t>
            </w:r>
          </w:p>
        </w:tc>
        <w:tc>
          <w:tcPr>
            <w:tcW w:w="1311" w:type="dxa"/>
            <w:vAlign w:val="center"/>
          </w:tcPr>
          <w:p w:rsidR="00440D13" w:rsidRPr="00AE6EDB" w:rsidRDefault="00440D13" w:rsidP="00440D13">
            <w:pPr>
              <w:ind w:firstLine="0"/>
              <w:jc w:val="right"/>
              <w:rPr>
                <w:sz w:val="20"/>
              </w:rPr>
            </w:pPr>
            <w:r w:rsidRPr="00AE6EDB">
              <w:rPr>
                <w:sz w:val="20"/>
              </w:rPr>
              <w:t>9</w:t>
            </w:r>
            <w:r w:rsidR="0054295F">
              <w:rPr>
                <w:sz w:val="20"/>
              </w:rPr>
              <w:t>2 9</w:t>
            </w:r>
            <w:r w:rsidRPr="00AE6EDB">
              <w:rPr>
                <w:sz w:val="20"/>
              </w:rPr>
              <w:t>48</w:t>
            </w:r>
          </w:p>
        </w:tc>
        <w:tc>
          <w:tcPr>
            <w:tcW w:w="851" w:type="dxa"/>
            <w:vAlign w:val="center"/>
          </w:tcPr>
          <w:p w:rsidR="00440D13" w:rsidRPr="00AE6EDB" w:rsidRDefault="004802A1" w:rsidP="00440D13">
            <w:pPr>
              <w:ind w:firstLine="0"/>
              <w:jc w:val="right"/>
              <w:rPr>
                <w:sz w:val="20"/>
              </w:rPr>
            </w:pPr>
            <w:r w:rsidRPr="00AE6EDB">
              <w:rPr>
                <w:sz w:val="20"/>
              </w:rPr>
              <w:t>96,7</w:t>
            </w:r>
          </w:p>
        </w:tc>
        <w:tc>
          <w:tcPr>
            <w:tcW w:w="850" w:type="dxa"/>
            <w:vAlign w:val="center"/>
          </w:tcPr>
          <w:p w:rsidR="00440D13" w:rsidRPr="00AE6EDB" w:rsidRDefault="00440D13" w:rsidP="00440D13">
            <w:pPr>
              <w:ind w:firstLine="0"/>
              <w:jc w:val="right"/>
              <w:rPr>
                <w:sz w:val="20"/>
              </w:rPr>
            </w:pPr>
            <w:r w:rsidRPr="00AE6EDB">
              <w:rPr>
                <w:sz w:val="20"/>
              </w:rPr>
              <w:t>4,2%</w:t>
            </w:r>
          </w:p>
        </w:tc>
        <w:tc>
          <w:tcPr>
            <w:tcW w:w="1134" w:type="dxa"/>
            <w:vAlign w:val="center"/>
          </w:tcPr>
          <w:p w:rsidR="00440D13" w:rsidRPr="00AE6EDB" w:rsidRDefault="004802A1" w:rsidP="00440D13">
            <w:pPr>
              <w:ind w:firstLine="0"/>
              <w:jc w:val="right"/>
              <w:rPr>
                <w:sz w:val="20"/>
              </w:rPr>
            </w:pPr>
            <w:r w:rsidRPr="00AE6EDB">
              <w:rPr>
                <w:sz w:val="20"/>
              </w:rPr>
              <w:t>10</w:t>
            </w:r>
            <w:r w:rsidR="0054295F">
              <w:rPr>
                <w:sz w:val="20"/>
              </w:rPr>
              <w:t>2 0</w:t>
            </w:r>
            <w:r w:rsidRPr="00AE6EDB">
              <w:rPr>
                <w:sz w:val="20"/>
              </w:rPr>
              <w:t>16</w:t>
            </w:r>
          </w:p>
        </w:tc>
        <w:tc>
          <w:tcPr>
            <w:tcW w:w="993" w:type="dxa"/>
            <w:vAlign w:val="center"/>
          </w:tcPr>
          <w:p w:rsidR="00440D13" w:rsidRPr="00AE6EDB" w:rsidRDefault="004802A1" w:rsidP="00440D13">
            <w:pPr>
              <w:ind w:firstLine="0"/>
              <w:jc w:val="right"/>
              <w:rPr>
                <w:sz w:val="20"/>
              </w:rPr>
            </w:pPr>
            <w:r w:rsidRPr="00AE6EDB">
              <w:rPr>
                <w:sz w:val="20"/>
              </w:rPr>
              <w:t>109,8</w:t>
            </w:r>
          </w:p>
        </w:tc>
        <w:tc>
          <w:tcPr>
            <w:tcW w:w="850" w:type="dxa"/>
            <w:vAlign w:val="center"/>
          </w:tcPr>
          <w:p w:rsidR="00440D13" w:rsidRPr="00AE6EDB" w:rsidRDefault="0032730A" w:rsidP="00440D13">
            <w:pPr>
              <w:ind w:firstLine="0"/>
              <w:jc w:val="right"/>
              <w:rPr>
                <w:sz w:val="20"/>
              </w:rPr>
            </w:pPr>
            <w:r w:rsidRPr="00AE6EDB">
              <w:rPr>
                <w:sz w:val="20"/>
              </w:rPr>
              <w:t>4,5%</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N Administratívne a podporné služby</w:t>
            </w:r>
          </w:p>
        </w:tc>
        <w:tc>
          <w:tcPr>
            <w:tcW w:w="1311" w:type="dxa"/>
            <w:vAlign w:val="center"/>
          </w:tcPr>
          <w:p w:rsidR="00440D13" w:rsidRPr="00AE6EDB" w:rsidRDefault="00440D13" w:rsidP="00440D13">
            <w:pPr>
              <w:ind w:firstLine="0"/>
              <w:jc w:val="right"/>
              <w:rPr>
                <w:sz w:val="20"/>
              </w:rPr>
            </w:pPr>
            <w:r w:rsidRPr="00AE6EDB">
              <w:rPr>
                <w:sz w:val="20"/>
              </w:rPr>
              <w:t>12</w:t>
            </w:r>
            <w:r w:rsidR="0054295F">
              <w:rPr>
                <w:sz w:val="20"/>
              </w:rPr>
              <w:t>2 0</w:t>
            </w:r>
            <w:r w:rsidRPr="00AE6EDB">
              <w:rPr>
                <w:sz w:val="20"/>
              </w:rPr>
              <w:t>11</w:t>
            </w:r>
          </w:p>
        </w:tc>
        <w:tc>
          <w:tcPr>
            <w:tcW w:w="851" w:type="dxa"/>
            <w:vAlign w:val="center"/>
          </w:tcPr>
          <w:p w:rsidR="00440D13" w:rsidRPr="00AE6EDB" w:rsidRDefault="004802A1" w:rsidP="00440D13">
            <w:pPr>
              <w:ind w:firstLine="0"/>
              <w:jc w:val="right"/>
              <w:rPr>
                <w:sz w:val="20"/>
              </w:rPr>
            </w:pPr>
            <w:r w:rsidRPr="00AE6EDB">
              <w:rPr>
                <w:sz w:val="20"/>
              </w:rPr>
              <w:t>103,2</w:t>
            </w:r>
          </w:p>
        </w:tc>
        <w:tc>
          <w:tcPr>
            <w:tcW w:w="850" w:type="dxa"/>
            <w:vAlign w:val="center"/>
          </w:tcPr>
          <w:p w:rsidR="00440D13" w:rsidRPr="00AE6EDB" w:rsidRDefault="00440D13" w:rsidP="00440D13">
            <w:pPr>
              <w:ind w:firstLine="0"/>
              <w:jc w:val="right"/>
              <w:rPr>
                <w:sz w:val="20"/>
              </w:rPr>
            </w:pPr>
            <w:r w:rsidRPr="00AE6EDB">
              <w:rPr>
                <w:sz w:val="20"/>
              </w:rPr>
              <w:t>5,5%</w:t>
            </w:r>
          </w:p>
        </w:tc>
        <w:tc>
          <w:tcPr>
            <w:tcW w:w="1134" w:type="dxa"/>
            <w:vAlign w:val="center"/>
          </w:tcPr>
          <w:p w:rsidR="00440D13" w:rsidRPr="00AE6EDB" w:rsidRDefault="004802A1" w:rsidP="00440D13">
            <w:pPr>
              <w:ind w:firstLine="0"/>
              <w:jc w:val="right"/>
              <w:rPr>
                <w:sz w:val="20"/>
              </w:rPr>
            </w:pPr>
            <w:r w:rsidRPr="00AE6EDB">
              <w:rPr>
                <w:sz w:val="20"/>
              </w:rPr>
              <w:t>13</w:t>
            </w:r>
            <w:r w:rsidR="00AC44CB">
              <w:rPr>
                <w:sz w:val="20"/>
              </w:rPr>
              <w:t>6 3</w:t>
            </w:r>
            <w:r w:rsidRPr="00AE6EDB">
              <w:rPr>
                <w:sz w:val="20"/>
              </w:rPr>
              <w:t>21</w:t>
            </w:r>
          </w:p>
        </w:tc>
        <w:tc>
          <w:tcPr>
            <w:tcW w:w="993" w:type="dxa"/>
            <w:vAlign w:val="center"/>
          </w:tcPr>
          <w:p w:rsidR="00440D13" w:rsidRPr="00AE6EDB" w:rsidRDefault="004802A1" w:rsidP="00440D13">
            <w:pPr>
              <w:ind w:firstLine="0"/>
              <w:jc w:val="right"/>
              <w:rPr>
                <w:sz w:val="20"/>
              </w:rPr>
            </w:pPr>
            <w:r w:rsidRPr="00AE6EDB">
              <w:rPr>
                <w:sz w:val="20"/>
              </w:rPr>
              <w:t>111,7</w:t>
            </w:r>
          </w:p>
        </w:tc>
        <w:tc>
          <w:tcPr>
            <w:tcW w:w="850" w:type="dxa"/>
            <w:vAlign w:val="center"/>
          </w:tcPr>
          <w:p w:rsidR="00440D13" w:rsidRPr="00AE6EDB" w:rsidRDefault="0032730A" w:rsidP="00440D13">
            <w:pPr>
              <w:ind w:firstLine="0"/>
              <w:jc w:val="right"/>
              <w:rPr>
                <w:sz w:val="20"/>
              </w:rPr>
            </w:pPr>
            <w:r w:rsidRPr="00AE6EDB">
              <w:rPr>
                <w:sz w:val="20"/>
              </w:rPr>
              <w:t>6,1%</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O Verejná správa a obrana; povinné sociálne zabezpečenie</w:t>
            </w:r>
          </w:p>
        </w:tc>
        <w:tc>
          <w:tcPr>
            <w:tcW w:w="1311" w:type="dxa"/>
            <w:vAlign w:val="center"/>
          </w:tcPr>
          <w:p w:rsidR="00440D13" w:rsidRPr="00AE6EDB" w:rsidRDefault="00440D13" w:rsidP="00440D13">
            <w:pPr>
              <w:ind w:firstLine="0"/>
              <w:jc w:val="right"/>
              <w:rPr>
                <w:sz w:val="20"/>
              </w:rPr>
            </w:pPr>
            <w:r w:rsidRPr="00AE6EDB">
              <w:rPr>
                <w:sz w:val="20"/>
              </w:rPr>
              <w:t>14</w:t>
            </w:r>
            <w:r w:rsidR="0054295F">
              <w:rPr>
                <w:sz w:val="20"/>
              </w:rPr>
              <w:t>4 0</w:t>
            </w:r>
            <w:r w:rsidRPr="00AE6EDB">
              <w:rPr>
                <w:sz w:val="20"/>
              </w:rPr>
              <w:t>81</w:t>
            </w:r>
          </w:p>
        </w:tc>
        <w:tc>
          <w:tcPr>
            <w:tcW w:w="851" w:type="dxa"/>
            <w:vAlign w:val="center"/>
          </w:tcPr>
          <w:p w:rsidR="00440D13" w:rsidRPr="00AE6EDB" w:rsidRDefault="004802A1" w:rsidP="00440D13">
            <w:pPr>
              <w:ind w:firstLine="0"/>
              <w:jc w:val="right"/>
              <w:rPr>
                <w:sz w:val="20"/>
              </w:rPr>
            </w:pPr>
            <w:r w:rsidRPr="00AE6EDB">
              <w:rPr>
                <w:sz w:val="20"/>
              </w:rPr>
              <w:t>101,4</w:t>
            </w:r>
          </w:p>
        </w:tc>
        <w:tc>
          <w:tcPr>
            <w:tcW w:w="850" w:type="dxa"/>
            <w:vAlign w:val="center"/>
          </w:tcPr>
          <w:p w:rsidR="00440D13" w:rsidRPr="00AE6EDB" w:rsidRDefault="00440D13" w:rsidP="00440D13">
            <w:pPr>
              <w:ind w:firstLine="0"/>
              <w:jc w:val="right"/>
              <w:rPr>
                <w:sz w:val="20"/>
              </w:rPr>
            </w:pPr>
            <w:r w:rsidRPr="00AE6EDB">
              <w:rPr>
                <w:sz w:val="20"/>
              </w:rPr>
              <w:t>6,5%</w:t>
            </w:r>
          </w:p>
        </w:tc>
        <w:tc>
          <w:tcPr>
            <w:tcW w:w="1134" w:type="dxa"/>
            <w:vAlign w:val="center"/>
          </w:tcPr>
          <w:p w:rsidR="00440D13" w:rsidRPr="00AE6EDB" w:rsidRDefault="004802A1" w:rsidP="00440D13">
            <w:pPr>
              <w:ind w:firstLine="0"/>
              <w:jc w:val="right"/>
              <w:rPr>
                <w:sz w:val="20"/>
              </w:rPr>
            </w:pPr>
            <w:r w:rsidRPr="00AE6EDB">
              <w:rPr>
                <w:sz w:val="20"/>
              </w:rPr>
              <w:t>14</w:t>
            </w:r>
            <w:r w:rsidR="00AC44CB">
              <w:rPr>
                <w:sz w:val="20"/>
              </w:rPr>
              <w:t>5 6</w:t>
            </w:r>
            <w:r w:rsidRPr="00AE6EDB">
              <w:rPr>
                <w:sz w:val="20"/>
              </w:rPr>
              <w:t>13</w:t>
            </w:r>
          </w:p>
        </w:tc>
        <w:tc>
          <w:tcPr>
            <w:tcW w:w="993" w:type="dxa"/>
            <w:vAlign w:val="center"/>
          </w:tcPr>
          <w:p w:rsidR="00440D13" w:rsidRPr="00AE6EDB" w:rsidRDefault="004802A1" w:rsidP="00440D13">
            <w:pPr>
              <w:ind w:firstLine="0"/>
              <w:jc w:val="right"/>
              <w:rPr>
                <w:sz w:val="20"/>
              </w:rPr>
            </w:pPr>
            <w:r w:rsidRPr="00AE6EDB">
              <w:rPr>
                <w:sz w:val="20"/>
              </w:rPr>
              <w:t>101,1</w:t>
            </w:r>
          </w:p>
        </w:tc>
        <w:tc>
          <w:tcPr>
            <w:tcW w:w="850" w:type="dxa"/>
            <w:vAlign w:val="center"/>
          </w:tcPr>
          <w:p w:rsidR="00440D13" w:rsidRPr="00AE6EDB" w:rsidRDefault="0032730A" w:rsidP="00440D13">
            <w:pPr>
              <w:ind w:firstLine="0"/>
              <w:jc w:val="right"/>
              <w:rPr>
                <w:sz w:val="20"/>
              </w:rPr>
            </w:pPr>
            <w:r w:rsidRPr="00AE6EDB">
              <w:rPr>
                <w:sz w:val="20"/>
              </w:rPr>
              <w:t>6,5%</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P Vzdelávanie</w:t>
            </w:r>
          </w:p>
        </w:tc>
        <w:tc>
          <w:tcPr>
            <w:tcW w:w="1311" w:type="dxa"/>
            <w:vAlign w:val="center"/>
          </w:tcPr>
          <w:p w:rsidR="00440D13" w:rsidRPr="00AE6EDB" w:rsidRDefault="00440D13" w:rsidP="00440D13">
            <w:pPr>
              <w:ind w:firstLine="0"/>
              <w:jc w:val="right"/>
              <w:rPr>
                <w:sz w:val="20"/>
              </w:rPr>
            </w:pPr>
            <w:r w:rsidRPr="00AE6EDB">
              <w:rPr>
                <w:sz w:val="20"/>
              </w:rPr>
              <w:t>16</w:t>
            </w:r>
            <w:r w:rsidR="00AC44CB">
              <w:rPr>
                <w:sz w:val="20"/>
              </w:rPr>
              <w:t>5 1</w:t>
            </w:r>
            <w:r w:rsidRPr="00AE6EDB">
              <w:rPr>
                <w:sz w:val="20"/>
              </w:rPr>
              <w:t>13</w:t>
            </w:r>
          </w:p>
        </w:tc>
        <w:tc>
          <w:tcPr>
            <w:tcW w:w="851" w:type="dxa"/>
            <w:vAlign w:val="center"/>
          </w:tcPr>
          <w:p w:rsidR="00440D13" w:rsidRPr="00AE6EDB" w:rsidRDefault="004802A1" w:rsidP="00440D13">
            <w:pPr>
              <w:ind w:firstLine="0"/>
              <w:jc w:val="right"/>
              <w:rPr>
                <w:sz w:val="20"/>
              </w:rPr>
            </w:pPr>
            <w:r w:rsidRPr="00AE6EDB">
              <w:rPr>
                <w:sz w:val="20"/>
              </w:rPr>
              <w:t>100,7</w:t>
            </w:r>
          </w:p>
        </w:tc>
        <w:tc>
          <w:tcPr>
            <w:tcW w:w="850" w:type="dxa"/>
            <w:vAlign w:val="center"/>
          </w:tcPr>
          <w:p w:rsidR="00440D13" w:rsidRPr="00AE6EDB" w:rsidRDefault="00440D13" w:rsidP="00440D13">
            <w:pPr>
              <w:ind w:firstLine="0"/>
              <w:jc w:val="right"/>
              <w:rPr>
                <w:sz w:val="20"/>
              </w:rPr>
            </w:pPr>
            <w:r w:rsidRPr="00AE6EDB">
              <w:rPr>
                <w:sz w:val="20"/>
              </w:rPr>
              <w:t>7,5%</w:t>
            </w:r>
          </w:p>
        </w:tc>
        <w:tc>
          <w:tcPr>
            <w:tcW w:w="1134" w:type="dxa"/>
            <w:vAlign w:val="center"/>
          </w:tcPr>
          <w:p w:rsidR="00440D13" w:rsidRPr="00AE6EDB" w:rsidRDefault="004802A1" w:rsidP="00440D13">
            <w:pPr>
              <w:ind w:firstLine="0"/>
              <w:jc w:val="right"/>
              <w:rPr>
                <w:sz w:val="20"/>
              </w:rPr>
            </w:pPr>
            <w:r w:rsidRPr="00AE6EDB">
              <w:rPr>
                <w:sz w:val="20"/>
              </w:rPr>
              <w:t>16</w:t>
            </w:r>
            <w:r w:rsidR="00AC44CB">
              <w:rPr>
                <w:sz w:val="20"/>
              </w:rPr>
              <w:t>5 4</w:t>
            </w:r>
            <w:r w:rsidRPr="00AE6EDB">
              <w:rPr>
                <w:sz w:val="20"/>
              </w:rPr>
              <w:t>37</w:t>
            </w:r>
          </w:p>
        </w:tc>
        <w:tc>
          <w:tcPr>
            <w:tcW w:w="993" w:type="dxa"/>
            <w:vAlign w:val="center"/>
          </w:tcPr>
          <w:p w:rsidR="00440D13" w:rsidRPr="00AE6EDB" w:rsidRDefault="004802A1" w:rsidP="00440D13">
            <w:pPr>
              <w:ind w:firstLine="0"/>
              <w:jc w:val="right"/>
              <w:rPr>
                <w:sz w:val="20"/>
              </w:rPr>
            </w:pPr>
            <w:r w:rsidRPr="00AE6EDB">
              <w:rPr>
                <w:sz w:val="20"/>
              </w:rPr>
              <w:t>100,2</w:t>
            </w:r>
          </w:p>
        </w:tc>
        <w:tc>
          <w:tcPr>
            <w:tcW w:w="850" w:type="dxa"/>
            <w:vAlign w:val="center"/>
          </w:tcPr>
          <w:p w:rsidR="00440D13" w:rsidRPr="00AE6EDB" w:rsidRDefault="0032730A" w:rsidP="00440D13">
            <w:pPr>
              <w:ind w:firstLine="0"/>
              <w:jc w:val="right"/>
              <w:rPr>
                <w:sz w:val="20"/>
              </w:rPr>
            </w:pPr>
            <w:r w:rsidRPr="00AE6EDB">
              <w:rPr>
                <w:sz w:val="20"/>
              </w:rPr>
              <w:t>7,3%</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Q Zdravotníctvo a sociálna pomoc</w:t>
            </w:r>
          </w:p>
        </w:tc>
        <w:tc>
          <w:tcPr>
            <w:tcW w:w="1311" w:type="dxa"/>
            <w:vAlign w:val="center"/>
          </w:tcPr>
          <w:p w:rsidR="00440D13" w:rsidRPr="00AE6EDB" w:rsidRDefault="00440D13" w:rsidP="00440D13">
            <w:pPr>
              <w:ind w:firstLine="0"/>
              <w:jc w:val="right"/>
              <w:rPr>
                <w:sz w:val="20"/>
              </w:rPr>
            </w:pPr>
            <w:r w:rsidRPr="00AE6EDB">
              <w:rPr>
                <w:sz w:val="20"/>
              </w:rPr>
              <w:t>14</w:t>
            </w:r>
            <w:r w:rsidR="00AC44CB">
              <w:rPr>
                <w:sz w:val="20"/>
              </w:rPr>
              <w:t>7 3</w:t>
            </w:r>
            <w:r w:rsidRPr="00AE6EDB">
              <w:rPr>
                <w:sz w:val="20"/>
              </w:rPr>
              <w:t>44</w:t>
            </w:r>
          </w:p>
        </w:tc>
        <w:tc>
          <w:tcPr>
            <w:tcW w:w="851" w:type="dxa"/>
            <w:vAlign w:val="center"/>
          </w:tcPr>
          <w:p w:rsidR="00440D13" w:rsidRPr="00AE6EDB" w:rsidRDefault="004802A1" w:rsidP="00440D13">
            <w:pPr>
              <w:ind w:firstLine="0"/>
              <w:jc w:val="right"/>
              <w:rPr>
                <w:sz w:val="20"/>
              </w:rPr>
            </w:pPr>
            <w:r w:rsidRPr="00AE6EDB">
              <w:rPr>
                <w:sz w:val="20"/>
              </w:rPr>
              <w:t>103,7</w:t>
            </w:r>
          </w:p>
        </w:tc>
        <w:tc>
          <w:tcPr>
            <w:tcW w:w="850" w:type="dxa"/>
            <w:vAlign w:val="center"/>
          </w:tcPr>
          <w:p w:rsidR="00440D13" w:rsidRPr="00AE6EDB" w:rsidRDefault="00440D13" w:rsidP="00440D13">
            <w:pPr>
              <w:ind w:firstLine="0"/>
              <w:jc w:val="right"/>
              <w:rPr>
                <w:sz w:val="20"/>
              </w:rPr>
            </w:pPr>
            <w:r w:rsidRPr="00AE6EDB">
              <w:rPr>
                <w:sz w:val="20"/>
              </w:rPr>
              <w:t>6,7%</w:t>
            </w:r>
          </w:p>
        </w:tc>
        <w:tc>
          <w:tcPr>
            <w:tcW w:w="1134" w:type="dxa"/>
            <w:vAlign w:val="center"/>
          </w:tcPr>
          <w:p w:rsidR="00440D13" w:rsidRPr="00AE6EDB" w:rsidRDefault="004802A1" w:rsidP="00440D13">
            <w:pPr>
              <w:ind w:firstLine="0"/>
              <w:jc w:val="right"/>
              <w:rPr>
                <w:sz w:val="20"/>
              </w:rPr>
            </w:pPr>
            <w:r w:rsidRPr="00AE6EDB">
              <w:rPr>
                <w:sz w:val="20"/>
              </w:rPr>
              <w:t>15</w:t>
            </w:r>
            <w:r w:rsidR="0054295F">
              <w:rPr>
                <w:sz w:val="20"/>
              </w:rPr>
              <w:t>0 5</w:t>
            </w:r>
            <w:r w:rsidRPr="00AE6EDB">
              <w:rPr>
                <w:sz w:val="20"/>
              </w:rPr>
              <w:t>55</w:t>
            </w:r>
          </w:p>
        </w:tc>
        <w:tc>
          <w:tcPr>
            <w:tcW w:w="993" w:type="dxa"/>
            <w:vAlign w:val="center"/>
          </w:tcPr>
          <w:p w:rsidR="00440D13" w:rsidRPr="00AE6EDB" w:rsidRDefault="004802A1" w:rsidP="00440D13">
            <w:pPr>
              <w:ind w:firstLine="0"/>
              <w:jc w:val="right"/>
              <w:rPr>
                <w:sz w:val="20"/>
              </w:rPr>
            </w:pPr>
            <w:r w:rsidRPr="00AE6EDB">
              <w:rPr>
                <w:sz w:val="20"/>
              </w:rPr>
              <w:t>102,2</w:t>
            </w:r>
          </w:p>
        </w:tc>
        <w:tc>
          <w:tcPr>
            <w:tcW w:w="850" w:type="dxa"/>
            <w:vAlign w:val="center"/>
          </w:tcPr>
          <w:p w:rsidR="00440D13" w:rsidRPr="00AE6EDB" w:rsidRDefault="0032730A" w:rsidP="00440D13">
            <w:pPr>
              <w:ind w:firstLine="0"/>
              <w:jc w:val="right"/>
              <w:rPr>
                <w:sz w:val="20"/>
              </w:rPr>
            </w:pPr>
            <w:r w:rsidRPr="00AE6EDB">
              <w:rPr>
                <w:sz w:val="20"/>
              </w:rPr>
              <w:t>6,7%</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R Umenie, zábava a rekreácia</w:t>
            </w:r>
          </w:p>
        </w:tc>
        <w:tc>
          <w:tcPr>
            <w:tcW w:w="1311" w:type="dxa"/>
            <w:vAlign w:val="center"/>
          </w:tcPr>
          <w:p w:rsidR="00440D13" w:rsidRPr="00AE6EDB" w:rsidRDefault="00440D13" w:rsidP="00440D13">
            <w:pPr>
              <w:ind w:firstLine="0"/>
              <w:jc w:val="right"/>
              <w:rPr>
                <w:sz w:val="20"/>
              </w:rPr>
            </w:pPr>
            <w:r w:rsidRPr="00AE6EDB">
              <w:rPr>
                <w:sz w:val="20"/>
              </w:rPr>
              <w:t>4</w:t>
            </w:r>
            <w:r w:rsidR="00AC44CB">
              <w:rPr>
                <w:sz w:val="20"/>
              </w:rPr>
              <w:t>8 6</w:t>
            </w:r>
            <w:r w:rsidRPr="00AE6EDB">
              <w:rPr>
                <w:sz w:val="20"/>
              </w:rPr>
              <w:t>18</w:t>
            </w:r>
          </w:p>
        </w:tc>
        <w:tc>
          <w:tcPr>
            <w:tcW w:w="851" w:type="dxa"/>
            <w:vAlign w:val="center"/>
          </w:tcPr>
          <w:p w:rsidR="00440D13" w:rsidRPr="00AE6EDB" w:rsidRDefault="004802A1" w:rsidP="00440D13">
            <w:pPr>
              <w:ind w:firstLine="0"/>
              <w:jc w:val="right"/>
              <w:rPr>
                <w:sz w:val="20"/>
              </w:rPr>
            </w:pPr>
            <w:r w:rsidRPr="00AE6EDB">
              <w:rPr>
                <w:sz w:val="20"/>
              </w:rPr>
              <w:t>106,0</w:t>
            </w:r>
          </w:p>
        </w:tc>
        <w:tc>
          <w:tcPr>
            <w:tcW w:w="850" w:type="dxa"/>
            <w:vAlign w:val="center"/>
          </w:tcPr>
          <w:p w:rsidR="00440D13" w:rsidRPr="00AE6EDB" w:rsidRDefault="00440D13" w:rsidP="00440D13">
            <w:pPr>
              <w:ind w:firstLine="0"/>
              <w:jc w:val="right"/>
              <w:rPr>
                <w:sz w:val="20"/>
              </w:rPr>
            </w:pPr>
            <w:r w:rsidRPr="00AE6EDB">
              <w:rPr>
                <w:sz w:val="20"/>
              </w:rPr>
              <w:t>2,2%</w:t>
            </w:r>
          </w:p>
        </w:tc>
        <w:tc>
          <w:tcPr>
            <w:tcW w:w="1134" w:type="dxa"/>
            <w:vAlign w:val="center"/>
          </w:tcPr>
          <w:p w:rsidR="00440D13" w:rsidRPr="00AE6EDB" w:rsidRDefault="004802A1" w:rsidP="00440D13">
            <w:pPr>
              <w:ind w:firstLine="0"/>
              <w:jc w:val="right"/>
              <w:rPr>
                <w:sz w:val="20"/>
              </w:rPr>
            </w:pPr>
            <w:r w:rsidRPr="00AE6EDB">
              <w:rPr>
                <w:sz w:val="20"/>
              </w:rPr>
              <w:t>4</w:t>
            </w:r>
            <w:r w:rsidR="00AC44CB">
              <w:rPr>
                <w:sz w:val="20"/>
              </w:rPr>
              <w:t>8 8</w:t>
            </w:r>
            <w:r w:rsidRPr="00AE6EDB">
              <w:rPr>
                <w:sz w:val="20"/>
              </w:rPr>
              <w:t>66</w:t>
            </w:r>
          </w:p>
        </w:tc>
        <w:tc>
          <w:tcPr>
            <w:tcW w:w="993" w:type="dxa"/>
            <w:vAlign w:val="center"/>
          </w:tcPr>
          <w:p w:rsidR="00440D13" w:rsidRPr="00AE6EDB" w:rsidRDefault="004802A1" w:rsidP="00440D13">
            <w:pPr>
              <w:ind w:firstLine="0"/>
              <w:jc w:val="right"/>
              <w:rPr>
                <w:sz w:val="20"/>
              </w:rPr>
            </w:pPr>
            <w:r w:rsidRPr="00AE6EDB">
              <w:rPr>
                <w:sz w:val="20"/>
              </w:rPr>
              <w:t>100,5</w:t>
            </w:r>
          </w:p>
        </w:tc>
        <w:tc>
          <w:tcPr>
            <w:tcW w:w="850" w:type="dxa"/>
            <w:vAlign w:val="center"/>
          </w:tcPr>
          <w:p w:rsidR="00440D13" w:rsidRPr="00AE6EDB" w:rsidRDefault="0032730A" w:rsidP="00440D13">
            <w:pPr>
              <w:ind w:firstLine="0"/>
              <w:jc w:val="right"/>
              <w:rPr>
                <w:sz w:val="20"/>
              </w:rPr>
            </w:pPr>
            <w:r w:rsidRPr="00AE6EDB">
              <w:rPr>
                <w:sz w:val="20"/>
              </w:rPr>
              <w:t>2,2%</w:t>
            </w:r>
          </w:p>
        </w:tc>
      </w:tr>
      <w:tr w:rsidR="00440D13" w:rsidRPr="00AE6EDB" w:rsidTr="00E74326">
        <w:trPr>
          <w:jc w:val="center"/>
        </w:trPr>
        <w:tc>
          <w:tcPr>
            <w:tcW w:w="2835" w:type="dxa"/>
            <w:vAlign w:val="center"/>
          </w:tcPr>
          <w:p w:rsidR="00440D13" w:rsidRPr="00AE6EDB" w:rsidRDefault="00440D13" w:rsidP="00440D13">
            <w:pPr>
              <w:ind w:firstLine="0"/>
              <w:jc w:val="left"/>
              <w:rPr>
                <w:sz w:val="20"/>
              </w:rPr>
            </w:pPr>
            <w:r w:rsidRPr="00AE6EDB">
              <w:rPr>
                <w:sz w:val="20"/>
              </w:rPr>
              <w:t>S Ostatné činnosti</w:t>
            </w:r>
          </w:p>
        </w:tc>
        <w:tc>
          <w:tcPr>
            <w:tcW w:w="1311" w:type="dxa"/>
            <w:vAlign w:val="center"/>
          </w:tcPr>
          <w:p w:rsidR="00440D13" w:rsidRPr="00AE6EDB" w:rsidRDefault="00440D13" w:rsidP="00440D13">
            <w:pPr>
              <w:ind w:firstLine="0"/>
              <w:jc w:val="right"/>
              <w:rPr>
                <w:sz w:val="20"/>
              </w:rPr>
            </w:pPr>
            <w:r w:rsidRPr="00AE6EDB">
              <w:rPr>
                <w:sz w:val="20"/>
              </w:rPr>
              <w:t>5</w:t>
            </w:r>
            <w:r w:rsidR="0054295F">
              <w:rPr>
                <w:sz w:val="20"/>
              </w:rPr>
              <w:t>0 8</w:t>
            </w:r>
            <w:r w:rsidRPr="00AE6EDB">
              <w:rPr>
                <w:sz w:val="20"/>
              </w:rPr>
              <w:t>24</w:t>
            </w:r>
          </w:p>
        </w:tc>
        <w:tc>
          <w:tcPr>
            <w:tcW w:w="851" w:type="dxa"/>
            <w:vAlign w:val="center"/>
          </w:tcPr>
          <w:p w:rsidR="00440D13" w:rsidRPr="00AE6EDB" w:rsidRDefault="004802A1" w:rsidP="00440D13">
            <w:pPr>
              <w:ind w:firstLine="0"/>
              <w:jc w:val="right"/>
              <w:rPr>
                <w:sz w:val="20"/>
              </w:rPr>
            </w:pPr>
            <w:r w:rsidRPr="00AE6EDB">
              <w:rPr>
                <w:sz w:val="20"/>
              </w:rPr>
              <w:t>96,5</w:t>
            </w:r>
          </w:p>
        </w:tc>
        <w:tc>
          <w:tcPr>
            <w:tcW w:w="850" w:type="dxa"/>
            <w:vAlign w:val="center"/>
          </w:tcPr>
          <w:p w:rsidR="00440D13" w:rsidRPr="00AE6EDB" w:rsidRDefault="00440D13" w:rsidP="00440D13">
            <w:pPr>
              <w:ind w:firstLine="0"/>
              <w:jc w:val="right"/>
              <w:rPr>
                <w:sz w:val="20"/>
              </w:rPr>
            </w:pPr>
            <w:r w:rsidRPr="00AE6EDB">
              <w:rPr>
                <w:sz w:val="20"/>
              </w:rPr>
              <w:t>2,3%</w:t>
            </w:r>
          </w:p>
        </w:tc>
        <w:tc>
          <w:tcPr>
            <w:tcW w:w="1134" w:type="dxa"/>
            <w:vAlign w:val="center"/>
          </w:tcPr>
          <w:p w:rsidR="00440D13" w:rsidRPr="00AE6EDB" w:rsidRDefault="004802A1" w:rsidP="00440D13">
            <w:pPr>
              <w:ind w:firstLine="0"/>
              <w:jc w:val="right"/>
              <w:rPr>
                <w:sz w:val="20"/>
              </w:rPr>
            </w:pPr>
            <w:r w:rsidRPr="00AE6EDB">
              <w:rPr>
                <w:sz w:val="20"/>
              </w:rPr>
              <w:t>5</w:t>
            </w:r>
            <w:r w:rsidR="0054295F">
              <w:rPr>
                <w:sz w:val="20"/>
              </w:rPr>
              <w:t>2 0</w:t>
            </w:r>
            <w:r w:rsidRPr="00AE6EDB">
              <w:rPr>
                <w:sz w:val="20"/>
              </w:rPr>
              <w:t>49</w:t>
            </w:r>
          </w:p>
        </w:tc>
        <w:tc>
          <w:tcPr>
            <w:tcW w:w="993" w:type="dxa"/>
            <w:vAlign w:val="center"/>
          </w:tcPr>
          <w:p w:rsidR="00440D13" w:rsidRPr="00AE6EDB" w:rsidRDefault="004802A1" w:rsidP="00440D13">
            <w:pPr>
              <w:ind w:firstLine="0"/>
              <w:jc w:val="right"/>
              <w:rPr>
                <w:sz w:val="20"/>
              </w:rPr>
            </w:pPr>
            <w:r w:rsidRPr="00AE6EDB">
              <w:rPr>
                <w:sz w:val="20"/>
              </w:rPr>
              <w:t>102,4</w:t>
            </w:r>
          </w:p>
        </w:tc>
        <w:tc>
          <w:tcPr>
            <w:tcW w:w="850" w:type="dxa"/>
            <w:vAlign w:val="center"/>
          </w:tcPr>
          <w:p w:rsidR="00440D13" w:rsidRPr="00AE6EDB" w:rsidRDefault="0032730A" w:rsidP="00440D13">
            <w:pPr>
              <w:ind w:firstLine="0"/>
              <w:jc w:val="right"/>
              <w:rPr>
                <w:sz w:val="20"/>
              </w:rPr>
            </w:pPr>
            <w:r w:rsidRPr="00AE6EDB">
              <w:rPr>
                <w:sz w:val="20"/>
              </w:rPr>
              <w:t>2,3%</w:t>
            </w:r>
          </w:p>
        </w:tc>
      </w:tr>
    </w:tbl>
    <w:p w:rsidR="000A7585" w:rsidRPr="00AE6EDB" w:rsidRDefault="000A7585" w:rsidP="000A7585">
      <w:pPr>
        <w:pStyle w:val="zdroj"/>
        <w:ind w:firstLine="425"/>
      </w:pPr>
      <w:r w:rsidRPr="00AE6EDB">
        <w:t>Zdroj: ŠÚ SR, štvrťročné výkazníctvo</w:t>
      </w:r>
    </w:p>
    <w:p w:rsidR="000A7585" w:rsidRPr="00AE6EDB" w:rsidRDefault="000A7585" w:rsidP="000A7585">
      <w:pPr>
        <w:rPr>
          <w:highlight w:val="cyan"/>
        </w:rPr>
      </w:pPr>
    </w:p>
    <w:p w:rsidR="000A7585" w:rsidRPr="00AE6EDB" w:rsidRDefault="000A7585" w:rsidP="000A7585">
      <w:pPr>
        <w:jc w:val="left"/>
        <w:rPr>
          <w:b/>
          <w:highlight w:val="cyan"/>
        </w:rPr>
      </w:pPr>
      <w:r w:rsidRPr="00AE6EDB">
        <w:rPr>
          <w:highlight w:val="cyan"/>
        </w:rPr>
        <w:br w:type="page"/>
      </w:r>
    </w:p>
    <w:p w:rsidR="000A7585" w:rsidRPr="00AE6EDB" w:rsidRDefault="000A7585" w:rsidP="000A7585">
      <w:pPr>
        <w:pStyle w:val="Nadpis7"/>
      </w:pPr>
      <w:r w:rsidRPr="00AE6EDB">
        <w:t xml:space="preserve">Tabuľka 3 Miera nezamestnanosti podľa veku a vzdelania v roku 2015 </w:t>
      </w:r>
      <w:r w:rsidRPr="00AE6EDB">
        <w:br/>
        <w:t>(priemer za rok v</w:t>
      </w:r>
      <w:r w:rsidR="005676EF">
        <w:t> %</w:t>
      </w:r>
      <w:r w:rsidRPr="00AE6EDB">
        <w:t>)</w:t>
      </w:r>
      <w:bookmarkEnd w:id="857"/>
      <w:r w:rsidRPr="00AE6EDB">
        <w:t xml:space="preserve"> </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7"/>
        <w:gridCol w:w="1508"/>
        <w:gridCol w:w="1508"/>
        <w:gridCol w:w="1508"/>
      </w:tblGrid>
      <w:tr w:rsidR="000A7585" w:rsidRPr="00AE6EDB" w:rsidTr="00DE0EEC">
        <w:trPr>
          <w:trHeight w:val="300"/>
          <w:tblHeader/>
          <w:jc w:val="center"/>
        </w:trPr>
        <w:tc>
          <w:tcPr>
            <w:tcW w:w="4017"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Ukazovateľ</w:t>
            </w:r>
          </w:p>
        </w:tc>
        <w:tc>
          <w:tcPr>
            <w:tcW w:w="1508"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Spolu</w:t>
            </w:r>
          </w:p>
        </w:tc>
        <w:tc>
          <w:tcPr>
            <w:tcW w:w="1508"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Muži</w:t>
            </w:r>
          </w:p>
        </w:tc>
        <w:tc>
          <w:tcPr>
            <w:tcW w:w="1508" w:type="dxa"/>
            <w:shd w:val="clear" w:color="auto" w:fill="FF9999" w:themeFill="accent3" w:themeFillTint="66"/>
            <w:noWrap/>
            <w:vAlign w:val="center"/>
          </w:tcPr>
          <w:p w:rsidR="000A7585" w:rsidRPr="00AE6EDB" w:rsidRDefault="000A7585" w:rsidP="00DE0EEC">
            <w:pPr>
              <w:pStyle w:val="BodyText21"/>
              <w:widowControl/>
              <w:spacing w:before="0"/>
              <w:ind w:firstLine="0"/>
              <w:jc w:val="center"/>
              <w:rPr>
                <w:b/>
                <w:color w:val="333300"/>
                <w:lang w:val="sk-SK"/>
              </w:rPr>
            </w:pPr>
            <w:r w:rsidRPr="00AE6EDB">
              <w:rPr>
                <w:b/>
                <w:color w:val="333300"/>
                <w:szCs w:val="22"/>
                <w:lang w:val="sk-SK"/>
              </w:rPr>
              <w:t>Ženy</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Spolu</w:t>
            </w:r>
          </w:p>
        </w:tc>
        <w:tc>
          <w:tcPr>
            <w:tcW w:w="1508" w:type="dxa"/>
            <w:noWrap/>
            <w:vAlign w:val="bottom"/>
          </w:tcPr>
          <w:p w:rsidR="000A7585" w:rsidRPr="00AE6EDB" w:rsidRDefault="000A7585" w:rsidP="00DE0EEC">
            <w:pPr>
              <w:ind w:right="397"/>
              <w:jc w:val="right"/>
              <w:rPr>
                <w:b/>
                <w:bCs/>
              </w:rPr>
            </w:pPr>
            <w:r w:rsidRPr="00AE6EDB">
              <w:rPr>
                <w:b/>
                <w:bCs/>
              </w:rPr>
              <w:t>11,5</w:t>
            </w:r>
          </w:p>
        </w:tc>
        <w:tc>
          <w:tcPr>
            <w:tcW w:w="1508" w:type="dxa"/>
            <w:noWrap/>
            <w:vAlign w:val="bottom"/>
          </w:tcPr>
          <w:p w:rsidR="000A7585" w:rsidRPr="00AE6EDB" w:rsidRDefault="000A7585" w:rsidP="00DE0EEC">
            <w:pPr>
              <w:ind w:right="397"/>
              <w:jc w:val="right"/>
              <w:rPr>
                <w:b/>
                <w:bCs/>
              </w:rPr>
            </w:pPr>
            <w:r w:rsidRPr="00AE6EDB">
              <w:rPr>
                <w:b/>
                <w:bCs/>
              </w:rPr>
              <w:t>10,3</w:t>
            </w:r>
          </w:p>
        </w:tc>
        <w:tc>
          <w:tcPr>
            <w:tcW w:w="1508" w:type="dxa"/>
            <w:noWrap/>
            <w:vAlign w:val="bottom"/>
          </w:tcPr>
          <w:p w:rsidR="000A7585" w:rsidRPr="00AE6EDB" w:rsidRDefault="000A7585" w:rsidP="00DE0EEC">
            <w:pPr>
              <w:ind w:right="397"/>
              <w:jc w:val="right"/>
              <w:rPr>
                <w:b/>
                <w:bCs/>
              </w:rPr>
            </w:pPr>
            <w:r w:rsidRPr="00AE6EDB">
              <w:rPr>
                <w:b/>
                <w:bCs/>
              </w:rPr>
              <w:t>12,9</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firstLine="0"/>
              <w:jc w:val="left"/>
              <w:rPr>
                <w:b/>
                <w:color w:val="333300"/>
                <w:lang w:val="sk-SK"/>
              </w:rPr>
            </w:pPr>
            <w:r w:rsidRPr="00AE6EDB">
              <w:rPr>
                <w:b/>
                <w:color w:val="333300"/>
                <w:szCs w:val="22"/>
                <w:lang w:val="sk-SK"/>
              </w:rPr>
              <w:t>Podľa vekových skupín</w:t>
            </w:r>
          </w:p>
        </w:tc>
        <w:tc>
          <w:tcPr>
            <w:tcW w:w="1508" w:type="dxa"/>
            <w:noWrap/>
            <w:vAlign w:val="bottom"/>
          </w:tcPr>
          <w:p w:rsidR="000A7585" w:rsidRPr="00AE6EDB" w:rsidRDefault="000A7585" w:rsidP="00DE0EEC">
            <w:pPr>
              <w:ind w:right="397"/>
              <w:jc w:val="right"/>
            </w:pPr>
          </w:p>
        </w:tc>
        <w:tc>
          <w:tcPr>
            <w:tcW w:w="1508" w:type="dxa"/>
            <w:noWrap/>
            <w:vAlign w:val="bottom"/>
          </w:tcPr>
          <w:p w:rsidR="000A7585" w:rsidRPr="00AE6EDB" w:rsidRDefault="000A7585" w:rsidP="00DE0EEC">
            <w:pPr>
              <w:pStyle w:val="BodyText21"/>
              <w:widowControl/>
              <w:spacing w:before="0"/>
              <w:ind w:right="397" w:firstLine="0"/>
              <w:jc w:val="right"/>
              <w:rPr>
                <w:lang w:val="sk-SK"/>
              </w:rPr>
            </w:pPr>
          </w:p>
        </w:tc>
        <w:tc>
          <w:tcPr>
            <w:tcW w:w="1508" w:type="dxa"/>
            <w:noWrap/>
            <w:vAlign w:val="bottom"/>
          </w:tcPr>
          <w:p w:rsidR="000A7585" w:rsidRPr="00AE6EDB" w:rsidRDefault="000A7585" w:rsidP="00DE0EEC">
            <w:pPr>
              <w:pStyle w:val="BodyText21"/>
              <w:widowControl/>
              <w:spacing w:before="0"/>
              <w:ind w:right="397" w:firstLine="0"/>
              <w:jc w:val="right"/>
              <w:rPr>
                <w:lang w:val="sk-SK"/>
              </w:rPr>
            </w:pP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15 </w:t>
            </w:r>
            <w:r w:rsidRPr="00AE6EDB">
              <w:rPr>
                <w:bCs/>
                <w:sz w:val="20"/>
                <w:szCs w:val="16"/>
                <w:lang w:val="sk-SK"/>
              </w:rPr>
              <w:t xml:space="preserve">– </w:t>
            </w:r>
            <w:r w:rsidRPr="00AE6EDB">
              <w:rPr>
                <w:color w:val="333300"/>
                <w:szCs w:val="22"/>
                <w:lang w:val="sk-SK"/>
              </w:rPr>
              <w:t>19 roční</w:t>
            </w:r>
          </w:p>
        </w:tc>
        <w:tc>
          <w:tcPr>
            <w:tcW w:w="1508" w:type="dxa"/>
            <w:noWrap/>
            <w:vAlign w:val="center"/>
          </w:tcPr>
          <w:p w:rsidR="000A7585" w:rsidRPr="00AE6EDB" w:rsidRDefault="000A7585" w:rsidP="00DE0EEC">
            <w:pPr>
              <w:ind w:right="397"/>
              <w:jc w:val="right"/>
              <w:rPr>
                <w:bCs/>
              </w:rPr>
            </w:pPr>
            <w:r w:rsidRPr="00AE6EDB">
              <w:rPr>
                <w:bCs/>
              </w:rPr>
              <w:t>53,2</w:t>
            </w:r>
          </w:p>
        </w:tc>
        <w:tc>
          <w:tcPr>
            <w:tcW w:w="1508" w:type="dxa"/>
            <w:noWrap/>
            <w:vAlign w:val="center"/>
          </w:tcPr>
          <w:p w:rsidR="000A7585" w:rsidRPr="00AE6EDB" w:rsidRDefault="000A7585" w:rsidP="00DE0EEC">
            <w:pPr>
              <w:ind w:right="397"/>
              <w:jc w:val="right"/>
              <w:rPr>
                <w:bCs/>
              </w:rPr>
            </w:pPr>
            <w:r w:rsidRPr="00AE6EDB">
              <w:rPr>
                <w:bCs/>
              </w:rPr>
              <w:t>50,0</w:t>
            </w:r>
          </w:p>
        </w:tc>
        <w:tc>
          <w:tcPr>
            <w:tcW w:w="1508" w:type="dxa"/>
            <w:noWrap/>
            <w:vAlign w:val="center"/>
          </w:tcPr>
          <w:p w:rsidR="000A7585" w:rsidRPr="00AE6EDB" w:rsidRDefault="000A7585" w:rsidP="00DE0EEC">
            <w:pPr>
              <w:ind w:right="397"/>
              <w:jc w:val="right"/>
              <w:rPr>
                <w:bCs/>
              </w:rPr>
            </w:pPr>
            <w:r w:rsidRPr="00AE6EDB">
              <w:rPr>
                <w:bCs/>
              </w:rPr>
              <w:t>58,1</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20 </w:t>
            </w:r>
            <w:r w:rsidRPr="00AE6EDB">
              <w:rPr>
                <w:bCs/>
                <w:sz w:val="20"/>
                <w:szCs w:val="16"/>
                <w:lang w:val="sk-SK"/>
              </w:rPr>
              <w:t xml:space="preserve">– </w:t>
            </w:r>
            <w:r w:rsidRPr="00AE6EDB">
              <w:rPr>
                <w:color w:val="333300"/>
                <w:szCs w:val="22"/>
                <w:lang w:val="sk-SK"/>
              </w:rPr>
              <w:t>24 roční</w:t>
            </w:r>
          </w:p>
        </w:tc>
        <w:tc>
          <w:tcPr>
            <w:tcW w:w="1508" w:type="dxa"/>
            <w:noWrap/>
            <w:vAlign w:val="center"/>
          </w:tcPr>
          <w:p w:rsidR="000A7585" w:rsidRPr="00AE6EDB" w:rsidRDefault="000A7585" w:rsidP="00DE0EEC">
            <w:pPr>
              <w:ind w:right="397"/>
              <w:jc w:val="right"/>
              <w:rPr>
                <w:bCs/>
              </w:rPr>
            </w:pPr>
            <w:r w:rsidRPr="00AE6EDB">
              <w:rPr>
                <w:bCs/>
              </w:rPr>
              <w:t>23,9</w:t>
            </w:r>
          </w:p>
        </w:tc>
        <w:tc>
          <w:tcPr>
            <w:tcW w:w="1508" w:type="dxa"/>
            <w:noWrap/>
            <w:vAlign w:val="center"/>
          </w:tcPr>
          <w:p w:rsidR="000A7585" w:rsidRPr="00AE6EDB" w:rsidRDefault="000A7585" w:rsidP="00DE0EEC">
            <w:pPr>
              <w:ind w:right="397"/>
              <w:jc w:val="right"/>
              <w:rPr>
                <w:bCs/>
              </w:rPr>
            </w:pPr>
            <w:r w:rsidRPr="00AE6EDB">
              <w:rPr>
                <w:bCs/>
              </w:rPr>
              <w:t>23,6</w:t>
            </w:r>
          </w:p>
        </w:tc>
        <w:tc>
          <w:tcPr>
            <w:tcW w:w="1508" w:type="dxa"/>
            <w:noWrap/>
            <w:vAlign w:val="center"/>
          </w:tcPr>
          <w:p w:rsidR="000A7585" w:rsidRPr="00AE6EDB" w:rsidRDefault="000A7585" w:rsidP="00DE0EEC">
            <w:pPr>
              <w:ind w:right="397"/>
              <w:jc w:val="right"/>
              <w:rPr>
                <w:bCs/>
              </w:rPr>
            </w:pPr>
            <w:r w:rsidRPr="00AE6EDB">
              <w:rPr>
                <w:bCs/>
              </w:rPr>
              <w:t>24,4</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25 </w:t>
            </w:r>
            <w:r w:rsidRPr="00AE6EDB">
              <w:rPr>
                <w:bCs/>
                <w:sz w:val="20"/>
                <w:szCs w:val="16"/>
                <w:lang w:val="sk-SK"/>
              </w:rPr>
              <w:t xml:space="preserve">– </w:t>
            </w:r>
            <w:r w:rsidRPr="00AE6EDB">
              <w:rPr>
                <w:color w:val="333300"/>
                <w:szCs w:val="22"/>
                <w:lang w:val="sk-SK"/>
              </w:rPr>
              <w:t>29 roční</w:t>
            </w:r>
          </w:p>
        </w:tc>
        <w:tc>
          <w:tcPr>
            <w:tcW w:w="1508" w:type="dxa"/>
            <w:noWrap/>
            <w:vAlign w:val="center"/>
          </w:tcPr>
          <w:p w:rsidR="000A7585" w:rsidRPr="00AE6EDB" w:rsidRDefault="000A7585" w:rsidP="00DE0EEC">
            <w:pPr>
              <w:ind w:right="397"/>
              <w:jc w:val="right"/>
              <w:rPr>
                <w:bCs/>
              </w:rPr>
            </w:pPr>
            <w:r w:rsidRPr="00AE6EDB">
              <w:rPr>
                <w:bCs/>
              </w:rPr>
              <w:t>12,2</w:t>
            </w:r>
          </w:p>
        </w:tc>
        <w:tc>
          <w:tcPr>
            <w:tcW w:w="1508" w:type="dxa"/>
            <w:noWrap/>
            <w:vAlign w:val="center"/>
          </w:tcPr>
          <w:p w:rsidR="000A7585" w:rsidRPr="00AE6EDB" w:rsidRDefault="000A7585" w:rsidP="00DE0EEC">
            <w:pPr>
              <w:ind w:right="397"/>
              <w:jc w:val="right"/>
              <w:rPr>
                <w:bCs/>
              </w:rPr>
            </w:pPr>
            <w:r w:rsidRPr="00AE6EDB">
              <w:rPr>
                <w:bCs/>
              </w:rPr>
              <w:t>11,1</w:t>
            </w:r>
          </w:p>
        </w:tc>
        <w:tc>
          <w:tcPr>
            <w:tcW w:w="1508" w:type="dxa"/>
            <w:noWrap/>
            <w:vAlign w:val="center"/>
          </w:tcPr>
          <w:p w:rsidR="000A7585" w:rsidRPr="00AE6EDB" w:rsidRDefault="000A7585" w:rsidP="00DE0EEC">
            <w:pPr>
              <w:ind w:right="397"/>
              <w:jc w:val="right"/>
              <w:rPr>
                <w:bCs/>
              </w:rPr>
            </w:pPr>
            <w:r w:rsidRPr="00AE6EDB">
              <w:rPr>
                <w:bCs/>
              </w:rPr>
              <w:t>13,6</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30 – 34 roční</w:t>
            </w:r>
          </w:p>
        </w:tc>
        <w:tc>
          <w:tcPr>
            <w:tcW w:w="1508" w:type="dxa"/>
            <w:noWrap/>
            <w:vAlign w:val="center"/>
          </w:tcPr>
          <w:p w:rsidR="000A7585" w:rsidRPr="00AE6EDB" w:rsidRDefault="000A7585" w:rsidP="00DE0EEC">
            <w:pPr>
              <w:ind w:right="397"/>
              <w:jc w:val="right"/>
              <w:rPr>
                <w:bCs/>
              </w:rPr>
            </w:pPr>
            <w:r w:rsidRPr="00AE6EDB">
              <w:rPr>
                <w:bCs/>
              </w:rPr>
              <w:t>11,8</w:t>
            </w:r>
          </w:p>
        </w:tc>
        <w:tc>
          <w:tcPr>
            <w:tcW w:w="1508" w:type="dxa"/>
            <w:noWrap/>
            <w:vAlign w:val="center"/>
          </w:tcPr>
          <w:p w:rsidR="000A7585" w:rsidRPr="00AE6EDB" w:rsidRDefault="000A7585" w:rsidP="00DE0EEC">
            <w:pPr>
              <w:ind w:right="397"/>
              <w:jc w:val="right"/>
              <w:rPr>
                <w:bCs/>
              </w:rPr>
            </w:pPr>
            <w:r w:rsidRPr="00AE6EDB">
              <w:rPr>
                <w:bCs/>
              </w:rPr>
              <w:t>9,3</w:t>
            </w:r>
          </w:p>
        </w:tc>
        <w:tc>
          <w:tcPr>
            <w:tcW w:w="1508" w:type="dxa"/>
            <w:noWrap/>
            <w:vAlign w:val="center"/>
          </w:tcPr>
          <w:p w:rsidR="000A7585" w:rsidRPr="00AE6EDB" w:rsidRDefault="000A7585" w:rsidP="00DE0EEC">
            <w:pPr>
              <w:ind w:right="397"/>
              <w:jc w:val="right"/>
              <w:rPr>
                <w:bCs/>
              </w:rPr>
            </w:pPr>
            <w:r w:rsidRPr="00AE6EDB">
              <w:rPr>
                <w:bCs/>
              </w:rPr>
              <w:t>15,4</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35 </w:t>
            </w:r>
            <w:r w:rsidRPr="00AE6EDB">
              <w:rPr>
                <w:bCs/>
                <w:sz w:val="20"/>
                <w:szCs w:val="16"/>
                <w:lang w:val="sk-SK"/>
              </w:rPr>
              <w:t xml:space="preserve">– </w:t>
            </w:r>
            <w:r w:rsidRPr="00AE6EDB">
              <w:rPr>
                <w:color w:val="333300"/>
                <w:szCs w:val="22"/>
                <w:lang w:val="sk-SK"/>
              </w:rPr>
              <w:t>39 roční</w:t>
            </w:r>
          </w:p>
        </w:tc>
        <w:tc>
          <w:tcPr>
            <w:tcW w:w="1508" w:type="dxa"/>
            <w:noWrap/>
            <w:vAlign w:val="center"/>
          </w:tcPr>
          <w:p w:rsidR="000A7585" w:rsidRPr="00AE6EDB" w:rsidRDefault="000A7585" w:rsidP="00DE0EEC">
            <w:pPr>
              <w:ind w:right="397"/>
              <w:jc w:val="right"/>
              <w:rPr>
                <w:bCs/>
              </w:rPr>
            </w:pPr>
            <w:r w:rsidRPr="00AE6EDB">
              <w:rPr>
                <w:bCs/>
              </w:rPr>
              <w:t>9,5</w:t>
            </w:r>
          </w:p>
        </w:tc>
        <w:tc>
          <w:tcPr>
            <w:tcW w:w="1508" w:type="dxa"/>
            <w:noWrap/>
            <w:vAlign w:val="center"/>
          </w:tcPr>
          <w:p w:rsidR="000A7585" w:rsidRPr="00AE6EDB" w:rsidRDefault="000A7585" w:rsidP="00DE0EEC">
            <w:pPr>
              <w:ind w:right="397"/>
              <w:jc w:val="right"/>
              <w:rPr>
                <w:bCs/>
              </w:rPr>
            </w:pPr>
            <w:r w:rsidRPr="00AE6EDB">
              <w:rPr>
                <w:bCs/>
              </w:rPr>
              <w:t>7,9</w:t>
            </w:r>
          </w:p>
        </w:tc>
        <w:tc>
          <w:tcPr>
            <w:tcW w:w="1508" w:type="dxa"/>
            <w:noWrap/>
            <w:vAlign w:val="center"/>
          </w:tcPr>
          <w:p w:rsidR="000A7585" w:rsidRPr="00AE6EDB" w:rsidRDefault="000A7585" w:rsidP="00DE0EEC">
            <w:pPr>
              <w:ind w:right="397"/>
              <w:jc w:val="right"/>
              <w:rPr>
                <w:bCs/>
              </w:rPr>
            </w:pPr>
            <w:r w:rsidRPr="00AE6EDB">
              <w:rPr>
                <w:bCs/>
              </w:rPr>
              <w:t>11,4</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40 </w:t>
            </w:r>
            <w:r w:rsidRPr="00AE6EDB">
              <w:rPr>
                <w:bCs/>
                <w:sz w:val="20"/>
                <w:szCs w:val="16"/>
                <w:lang w:val="sk-SK"/>
              </w:rPr>
              <w:t xml:space="preserve">– </w:t>
            </w:r>
            <w:r w:rsidRPr="00AE6EDB">
              <w:rPr>
                <w:color w:val="333300"/>
                <w:szCs w:val="22"/>
                <w:lang w:val="sk-SK"/>
              </w:rPr>
              <w:t>44 roční</w:t>
            </w:r>
          </w:p>
        </w:tc>
        <w:tc>
          <w:tcPr>
            <w:tcW w:w="1508" w:type="dxa"/>
            <w:noWrap/>
            <w:vAlign w:val="center"/>
          </w:tcPr>
          <w:p w:rsidR="000A7585" w:rsidRPr="00AE6EDB" w:rsidRDefault="000A7585" w:rsidP="00DE0EEC">
            <w:pPr>
              <w:ind w:right="397"/>
              <w:jc w:val="right"/>
              <w:rPr>
                <w:bCs/>
              </w:rPr>
            </w:pPr>
            <w:r w:rsidRPr="00AE6EDB">
              <w:rPr>
                <w:bCs/>
              </w:rPr>
              <w:t>9,9</w:t>
            </w:r>
          </w:p>
        </w:tc>
        <w:tc>
          <w:tcPr>
            <w:tcW w:w="1508" w:type="dxa"/>
            <w:noWrap/>
            <w:vAlign w:val="center"/>
          </w:tcPr>
          <w:p w:rsidR="000A7585" w:rsidRPr="00AE6EDB" w:rsidRDefault="000A7585" w:rsidP="00DE0EEC">
            <w:pPr>
              <w:ind w:right="397"/>
              <w:jc w:val="right"/>
              <w:rPr>
                <w:bCs/>
              </w:rPr>
            </w:pPr>
            <w:r w:rsidRPr="00AE6EDB">
              <w:rPr>
                <w:bCs/>
              </w:rPr>
              <w:t>8,1</w:t>
            </w:r>
          </w:p>
        </w:tc>
        <w:tc>
          <w:tcPr>
            <w:tcW w:w="1508" w:type="dxa"/>
            <w:noWrap/>
            <w:vAlign w:val="center"/>
          </w:tcPr>
          <w:p w:rsidR="000A7585" w:rsidRPr="00AE6EDB" w:rsidRDefault="000A7585" w:rsidP="00DE0EEC">
            <w:pPr>
              <w:ind w:right="397"/>
              <w:jc w:val="right"/>
              <w:rPr>
                <w:bCs/>
              </w:rPr>
            </w:pPr>
            <w:r w:rsidRPr="00AE6EDB">
              <w:rPr>
                <w:bCs/>
              </w:rPr>
              <w:t>11,7</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45 </w:t>
            </w:r>
            <w:r w:rsidRPr="00AE6EDB">
              <w:rPr>
                <w:bCs/>
                <w:sz w:val="20"/>
                <w:szCs w:val="16"/>
                <w:lang w:val="sk-SK"/>
              </w:rPr>
              <w:t xml:space="preserve">– </w:t>
            </w:r>
            <w:r w:rsidRPr="00AE6EDB">
              <w:rPr>
                <w:color w:val="333300"/>
                <w:szCs w:val="22"/>
                <w:lang w:val="sk-SK"/>
              </w:rPr>
              <w:t>49 roční</w:t>
            </w:r>
          </w:p>
        </w:tc>
        <w:tc>
          <w:tcPr>
            <w:tcW w:w="1508" w:type="dxa"/>
            <w:noWrap/>
            <w:vAlign w:val="center"/>
          </w:tcPr>
          <w:p w:rsidR="000A7585" w:rsidRPr="00AE6EDB" w:rsidRDefault="000A7585" w:rsidP="00DE0EEC">
            <w:pPr>
              <w:ind w:right="397"/>
              <w:jc w:val="right"/>
              <w:rPr>
                <w:bCs/>
              </w:rPr>
            </w:pPr>
            <w:r w:rsidRPr="00AE6EDB">
              <w:rPr>
                <w:bCs/>
              </w:rPr>
              <w:t>9,3</w:t>
            </w:r>
          </w:p>
        </w:tc>
        <w:tc>
          <w:tcPr>
            <w:tcW w:w="1508" w:type="dxa"/>
            <w:noWrap/>
            <w:vAlign w:val="center"/>
          </w:tcPr>
          <w:p w:rsidR="000A7585" w:rsidRPr="00AE6EDB" w:rsidRDefault="000A7585" w:rsidP="00DE0EEC">
            <w:pPr>
              <w:ind w:right="397"/>
              <w:jc w:val="right"/>
              <w:rPr>
                <w:bCs/>
              </w:rPr>
            </w:pPr>
            <w:r w:rsidRPr="00AE6EDB">
              <w:rPr>
                <w:bCs/>
              </w:rPr>
              <w:t>8,8</w:t>
            </w:r>
          </w:p>
        </w:tc>
        <w:tc>
          <w:tcPr>
            <w:tcW w:w="1508" w:type="dxa"/>
            <w:noWrap/>
            <w:vAlign w:val="center"/>
          </w:tcPr>
          <w:p w:rsidR="000A7585" w:rsidRPr="00AE6EDB" w:rsidRDefault="000A7585" w:rsidP="00DE0EEC">
            <w:pPr>
              <w:ind w:right="397"/>
              <w:jc w:val="right"/>
              <w:rPr>
                <w:bCs/>
              </w:rPr>
            </w:pPr>
            <w:r w:rsidRPr="00AE6EDB">
              <w:rPr>
                <w:bCs/>
              </w:rPr>
              <w:t>9,8</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50 </w:t>
            </w:r>
            <w:r w:rsidRPr="00AE6EDB">
              <w:rPr>
                <w:bCs/>
                <w:sz w:val="20"/>
                <w:szCs w:val="16"/>
                <w:lang w:val="sk-SK"/>
              </w:rPr>
              <w:t xml:space="preserve">– </w:t>
            </w:r>
            <w:r w:rsidRPr="00AE6EDB">
              <w:rPr>
                <w:color w:val="333300"/>
                <w:szCs w:val="22"/>
                <w:lang w:val="sk-SK"/>
              </w:rPr>
              <w:t>54 roční</w:t>
            </w:r>
          </w:p>
        </w:tc>
        <w:tc>
          <w:tcPr>
            <w:tcW w:w="1508" w:type="dxa"/>
            <w:noWrap/>
            <w:vAlign w:val="center"/>
          </w:tcPr>
          <w:p w:rsidR="000A7585" w:rsidRPr="00AE6EDB" w:rsidRDefault="000A7585" w:rsidP="00DE0EEC">
            <w:pPr>
              <w:ind w:right="397"/>
              <w:jc w:val="right"/>
              <w:rPr>
                <w:bCs/>
              </w:rPr>
            </w:pPr>
            <w:r w:rsidRPr="00AE6EDB">
              <w:rPr>
                <w:bCs/>
              </w:rPr>
              <w:t>10,5</w:t>
            </w:r>
          </w:p>
        </w:tc>
        <w:tc>
          <w:tcPr>
            <w:tcW w:w="1508" w:type="dxa"/>
            <w:noWrap/>
            <w:vAlign w:val="center"/>
          </w:tcPr>
          <w:p w:rsidR="000A7585" w:rsidRPr="00AE6EDB" w:rsidRDefault="000A7585" w:rsidP="00DE0EEC">
            <w:pPr>
              <w:ind w:right="397"/>
              <w:jc w:val="right"/>
              <w:rPr>
                <w:bCs/>
              </w:rPr>
            </w:pPr>
            <w:r w:rsidRPr="00AE6EDB">
              <w:rPr>
                <w:bCs/>
              </w:rPr>
              <w:t>9,3</w:t>
            </w:r>
          </w:p>
        </w:tc>
        <w:tc>
          <w:tcPr>
            <w:tcW w:w="1508" w:type="dxa"/>
            <w:noWrap/>
            <w:vAlign w:val="center"/>
          </w:tcPr>
          <w:p w:rsidR="000A7585" w:rsidRPr="00AE6EDB" w:rsidRDefault="000A7585" w:rsidP="00DE0EEC">
            <w:pPr>
              <w:ind w:right="397"/>
              <w:jc w:val="right"/>
              <w:rPr>
                <w:bCs/>
              </w:rPr>
            </w:pPr>
            <w:r w:rsidRPr="00AE6EDB">
              <w:rPr>
                <w:bCs/>
              </w:rPr>
              <w:t>11,7</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55 </w:t>
            </w:r>
            <w:r w:rsidRPr="00AE6EDB">
              <w:rPr>
                <w:bCs/>
                <w:sz w:val="20"/>
                <w:szCs w:val="16"/>
                <w:lang w:val="sk-SK"/>
              </w:rPr>
              <w:t xml:space="preserve">– </w:t>
            </w:r>
            <w:r w:rsidRPr="00AE6EDB">
              <w:rPr>
                <w:color w:val="333300"/>
                <w:szCs w:val="22"/>
                <w:lang w:val="sk-SK"/>
              </w:rPr>
              <w:t>59 roční</w:t>
            </w:r>
          </w:p>
        </w:tc>
        <w:tc>
          <w:tcPr>
            <w:tcW w:w="1508" w:type="dxa"/>
            <w:noWrap/>
            <w:vAlign w:val="center"/>
          </w:tcPr>
          <w:p w:rsidR="000A7585" w:rsidRPr="00AE6EDB" w:rsidRDefault="000A7585" w:rsidP="00DE0EEC">
            <w:pPr>
              <w:ind w:right="397"/>
              <w:jc w:val="right"/>
              <w:rPr>
                <w:bCs/>
              </w:rPr>
            </w:pPr>
            <w:r w:rsidRPr="00AE6EDB">
              <w:rPr>
                <w:bCs/>
              </w:rPr>
              <w:t>10,0</w:t>
            </w:r>
          </w:p>
        </w:tc>
        <w:tc>
          <w:tcPr>
            <w:tcW w:w="1508" w:type="dxa"/>
            <w:noWrap/>
            <w:vAlign w:val="center"/>
          </w:tcPr>
          <w:p w:rsidR="000A7585" w:rsidRPr="00AE6EDB" w:rsidRDefault="000A7585" w:rsidP="00DE0EEC">
            <w:pPr>
              <w:ind w:right="397"/>
              <w:jc w:val="right"/>
              <w:rPr>
                <w:bCs/>
              </w:rPr>
            </w:pPr>
            <w:r w:rsidRPr="00AE6EDB">
              <w:rPr>
                <w:bCs/>
              </w:rPr>
              <w:t>8,9</w:t>
            </w:r>
          </w:p>
        </w:tc>
        <w:tc>
          <w:tcPr>
            <w:tcW w:w="1508" w:type="dxa"/>
            <w:noWrap/>
            <w:vAlign w:val="center"/>
          </w:tcPr>
          <w:p w:rsidR="000A7585" w:rsidRPr="00AE6EDB" w:rsidRDefault="000A7585" w:rsidP="00DE0EEC">
            <w:pPr>
              <w:ind w:right="397"/>
              <w:jc w:val="right"/>
              <w:rPr>
                <w:bCs/>
              </w:rPr>
            </w:pPr>
            <w:r w:rsidRPr="00AE6EDB">
              <w:rPr>
                <w:bCs/>
              </w:rPr>
              <w:t>11,2</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 xml:space="preserve">60 </w:t>
            </w:r>
            <w:r w:rsidRPr="00AE6EDB">
              <w:rPr>
                <w:bCs/>
                <w:sz w:val="20"/>
                <w:szCs w:val="16"/>
                <w:lang w:val="sk-SK"/>
              </w:rPr>
              <w:t xml:space="preserve">– </w:t>
            </w:r>
            <w:r w:rsidRPr="00AE6EDB">
              <w:rPr>
                <w:color w:val="333300"/>
                <w:szCs w:val="22"/>
                <w:lang w:val="sk-SK"/>
              </w:rPr>
              <w:t>64 roční</w:t>
            </w:r>
          </w:p>
        </w:tc>
        <w:tc>
          <w:tcPr>
            <w:tcW w:w="1508" w:type="dxa"/>
            <w:noWrap/>
            <w:vAlign w:val="center"/>
          </w:tcPr>
          <w:p w:rsidR="000A7585" w:rsidRPr="00AE6EDB" w:rsidRDefault="000A7585" w:rsidP="00DE0EEC">
            <w:pPr>
              <w:ind w:right="397"/>
              <w:jc w:val="right"/>
              <w:rPr>
                <w:bCs/>
              </w:rPr>
            </w:pPr>
            <w:r w:rsidRPr="00AE6EDB">
              <w:rPr>
                <w:bCs/>
              </w:rPr>
              <w:t>7,0</w:t>
            </w:r>
          </w:p>
        </w:tc>
        <w:tc>
          <w:tcPr>
            <w:tcW w:w="1508" w:type="dxa"/>
            <w:noWrap/>
            <w:vAlign w:val="center"/>
          </w:tcPr>
          <w:p w:rsidR="000A7585" w:rsidRPr="00AE6EDB" w:rsidRDefault="000A7585" w:rsidP="00DE0EEC">
            <w:pPr>
              <w:ind w:right="397"/>
              <w:jc w:val="right"/>
              <w:rPr>
                <w:bCs/>
              </w:rPr>
            </w:pPr>
            <w:r w:rsidRPr="00AE6EDB">
              <w:rPr>
                <w:bCs/>
              </w:rPr>
              <w:t>6,5</w:t>
            </w:r>
          </w:p>
        </w:tc>
        <w:tc>
          <w:tcPr>
            <w:tcW w:w="1508" w:type="dxa"/>
            <w:noWrap/>
            <w:vAlign w:val="center"/>
          </w:tcPr>
          <w:p w:rsidR="000A7585" w:rsidRPr="00AE6EDB" w:rsidRDefault="000A7585" w:rsidP="00DE0EEC">
            <w:pPr>
              <w:ind w:right="397"/>
              <w:jc w:val="right"/>
              <w:rPr>
                <w:bCs/>
              </w:rPr>
            </w:pPr>
            <w:r w:rsidRPr="00AE6EDB">
              <w:rPr>
                <w:bCs/>
              </w:rPr>
              <w:t>7,7</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65 a viac roční</w:t>
            </w:r>
          </w:p>
        </w:tc>
        <w:tc>
          <w:tcPr>
            <w:tcW w:w="1508" w:type="dxa"/>
            <w:noWrap/>
            <w:vAlign w:val="center"/>
          </w:tcPr>
          <w:p w:rsidR="000A7585" w:rsidRPr="00AE6EDB" w:rsidRDefault="000A7585" w:rsidP="00DE0EEC">
            <w:pPr>
              <w:ind w:right="397"/>
              <w:jc w:val="right"/>
              <w:rPr>
                <w:bCs/>
              </w:rPr>
            </w:pPr>
            <w:r w:rsidRPr="00AE6EDB">
              <w:rPr>
                <w:bCs/>
              </w:rPr>
              <w:t>2,7</w:t>
            </w:r>
          </w:p>
        </w:tc>
        <w:tc>
          <w:tcPr>
            <w:tcW w:w="1508" w:type="dxa"/>
            <w:noWrap/>
            <w:vAlign w:val="center"/>
          </w:tcPr>
          <w:p w:rsidR="000A7585" w:rsidRPr="00AE6EDB" w:rsidRDefault="000A7585" w:rsidP="00DE0EEC">
            <w:pPr>
              <w:ind w:right="397"/>
              <w:jc w:val="right"/>
              <w:rPr>
                <w:bCs/>
              </w:rPr>
            </w:pPr>
            <w:r w:rsidRPr="00AE6EDB">
              <w:rPr>
                <w:bCs/>
              </w:rPr>
              <w:t>2,7</w:t>
            </w:r>
          </w:p>
        </w:tc>
        <w:tc>
          <w:tcPr>
            <w:tcW w:w="1508" w:type="dxa"/>
            <w:noWrap/>
            <w:vAlign w:val="center"/>
          </w:tcPr>
          <w:p w:rsidR="000A7585" w:rsidRPr="00AE6EDB" w:rsidRDefault="000A7585" w:rsidP="00DE0EEC">
            <w:pPr>
              <w:ind w:right="397"/>
              <w:jc w:val="right"/>
              <w:rPr>
                <w:bCs/>
              </w:rPr>
            </w:pPr>
            <w:r w:rsidRPr="00AE6EDB">
              <w:rPr>
                <w:bCs/>
              </w:rPr>
              <w:t>2,7</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right="-225" w:firstLine="0"/>
              <w:jc w:val="left"/>
              <w:rPr>
                <w:b/>
                <w:color w:val="333300"/>
                <w:lang w:val="sk-SK"/>
              </w:rPr>
            </w:pPr>
            <w:r w:rsidRPr="00AE6EDB">
              <w:rPr>
                <w:b/>
                <w:color w:val="333300"/>
                <w:szCs w:val="22"/>
                <w:lang w:val="sk-SK"/>
              </w:rPr>
              <w:t>Podľa vzdelania</w:t>
            </w:r>
          </w:p>
        </w:tc>
        <w:tc>
          <w:tcPr>
            <w:tcW w:w="1508" w:type="dxa"/>
            <w:noWrap/>
            <w:vAlign w:val="bottom"/>
          </w:tcPr>
          <w:p w:rsidR="000A7585" w:rsidRPr="00AE6EDB" w:rsidRDefault="000A7585" w:rsidP="00DE0EEC">
            <w:pPr>
              <w:ind w:right="397"/>
              <w:jc w:val="left"/>
            </w:pPr>
          </w:p>
        </w:tc>
        <w:tc>
          <w:tcPr>
            <w:tcW w:w="1508" w:type="dxa"/>
            <w:noWrap/>
            <w:vAlign w:val="bottom"/>
          </w:tcPr>
          <w:p w:rsidR="000A7585" w:rsidRPr="00AE6EDB" w:rsidRDefault="000A7585" w:rsidP="00DE0EEC">
            <w:pPr>
              <w:ind w:right="397"/>
              <w:jc w:val="left"/>
            </w:pPr>
          </w:p>
        </w:tc>
        <w:tc>
          <w:tcPr>
            <w:tcW w:w="1508" w:type="dxa"/>
            <w:noWrap/>
            <w:vAlign w:val="bottom"/>
          </w:tcPr>
          <w:p w:rsidR="000A7585" w:rsidRPr="00AE6EDB" w:rsidRDefault="000A7585" w:rsidP="00DE0EEC">
            <w:pPr>
              <w:ind w:right="397"/>
              <w:jc w:val="left"/>
            </w:pP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Základné</w:t>
            </w:r>
          </w:p>
        </w:tc>
        <w:tc>
          <w:tcPr>
            <w:tcW w:w="1508" w:type="dxa"/>
            <w:noWrap/>
            <w:vAlign w:val="bottom"/>
          </w:tcPr>
          <w:p w:rsidR="000A7585" w:rsidRPr="00AE6EDB" w:rsidRDefault="000A7585" w:rsidP="00DE0EEC">
            <w:pPr>
              <w:ind w:right="397"/>
              <w:jc w:val="right"/>
              <w:rPr>
                <w:b/>
                <w:bCs/>
              </w:rPr>
            </w:pPr>
            <w:r w:rsidRPr="00AE6EDB">
              <w:rPr>
                <w:b/>
                <w:bCs/>
              </w:rPr>
              <w:t>38,5</w:t>
            </w:r>
          </w:p>
        </w:tc>
        <w:tc>
          <w:tcPr>
            <w:tcW w:w="1508" w:type="dxa"/>
            <w:noWrap/>
            <w:vAlign w:val="bottom"/>
          </w:tcPr>
          <w:p w:rsidR="000A7585" w:rsidRPr="00AE6EDB" w:rsidRDefault="000A7585" w:rsidP="00DE0EEC">
            <w:pPr>
              <w:ind w:right="397"/>
              <w:jc w:val="right"/>
              <w:rPr>
                <w:b/>
                <w:bCs/>
              </w:rPr>
            </w:pPr>
            <w:r w:rsidRPr="00AE6EDB">
              <w:rPr>
                <w:b/>
                <w:bCs/>
              </w:rPr>
              <w:t>40,6</w:t>
            </w:r>
          </w:p>
        </w:tc>
        <w:tc>
          <w:tcPr>
            <w:tcW w:w="1508" w:type="dxa"/>
            <w:noWrap/>
            <w:vAlign w:val="bottom"/>
          </w:tcPr>
          <w:p w:rsidR="000A7585" w:rsidRPr="00AE6EDB" w:rsidRDefault="000A7585" w:rsidP="00DE0EEC">
            <w:pPr>
              <w:ind w:right="397"/>
              <w:jc w:val="right"/>
              <w:rPr>
                <w:b/>
                <w:bCs/>
              </w:rPr>
            </w:pPr>
            <w:r w:rsidRPr="00AE6EDB">
              <w:rPr>
                <w:b/>
                <w:bCs/>
              </w:rPr>
              <w:t>36,3</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jc w:val="left"/>
              <w:rPr>
                <w:color w:val="333300"/>
                <w:lang w:val="sk-SK"/>
              </w:rPr>
            </w:pPr>
            <w:r w:rsidRPr="00AE6EDB">
              <w:rPr>
                <w:color w:val="333300"/>
                <w:szCs w:val="22"/>
                <w:lang w:val="sk-SK"/>
              </w:rPr>
              <w:t>Stredné odborné (učňovské) bez maturity</w:t>
            </w:r>
          </w:p>
        </w:tc>
        <w:tc>
          <w:tcPr>
            <w:tcW w:w="1508" w:type="dxa"/>
            <w:noWrap/>
            <w:vAlign w:val="center"/>
          </w:tcPr>
          <w:p w:rsidR="000A7585" w:rsidRPr="00AE6EDB" w:rsidRDefault="000A7585" w:rsidP="00DE0EEC">
            <w:pPr>
              <w:ind w:right="397"/>
              <w:jc w:val="right"/>
              <w:rPr>
                <w:bCs/>
              </w:rPr>
            </w:pPr>
            <w:r w:rsidRPr="00AE6EDB">
              <w:rPr>
                <w:bCs/>
              </w:rPr>
              <w:t>13,7</w:t>
            </w:r>
          </w:p>
        </w:tc>
        <w:tc>
          <w:tcPr>
            <w:tcW w:w="1508" w:type="dxa"/>
            <w:noWrap/>
            <w:vAlign w:val="center"/>
          </w:tcPr>
          <w:p w:rsidR="000A7585" w:rsidRPr="00AE6EDB" w:rsidRDefault="000A7585" w:rsidP="00DE0EEC">
            <w:pPr>
              <w:ind w:right="397"/>
              <w:jc w:val="right"/>
              <w:rPr>
                <w:bCs/>
              </w:rPr>
            </w:pPr>
            <w:r w:rsidRPr="00AE6EDB">
              <w:rPr>
                <w:bCs/>
              </w:rPr>
              <w:t>12,0</w:t>
            </w:r>
          </w:p>
        </w:tc>
        <w:tc>
          <w:tcPr>
            <w:tcW w:w="1508" w:type="dxa"/>
            <w:noWrap/>
            <w:vAlign w:val="center"/>
          </w:tcPr>
          <w:p w:rsidR="000A7585" w:rsidRPr="00AE6EDB" w:rsidRDefault="000A7585" w:rsidP="00DE0EEC">
            <w:pPr>
              <w:ind w:right="397"/>
              <w:jc w:val="right"/>
              <w:rPr>
                <w:bCs/>
              </w:rPr>
            </w:pPr>
            <w:r w:rsidRPr="00AE6EDB">
              <w:rPr>
                <w:bCs/>
              </w:rPr>
              <w:t>16,6</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Úplné stredné odborné (učňovské) </w:t>
            </w:r>
            <w:r w:rsidRPr="00AE6EDB">
              <w:rPr>
                <w:color w:val="333300"/>
                <w:szCs w:val="22"/>
                <w:lang w:val="sk-SK"/>
              </w:rPr>
              <w:br/>
              <w:t>s maturitou</w:t>
            </w:r>
          </w:p>
        </w:tc>
        <w:tc>
          <w:tcPr>
            <w:tcW w:w="1508" w:type="dxa"/>
            <w:noWrap/>
            <w:vAlign w:val="center"/>
          </w:tcPr>
          <w:p w:rsidR="000A7585" w:rsidRPr="00AE6EDB" w:rsidRDefault="000A7585" w:rsidP="00DE0EEC">
            <w:pPr>
              <w:ind w:right="397"/>
              <w:jc w:val="right"/>
              <w:rPr>
                <w:bCs/>
              </w:rPr>
            </w:pPr>
            <w:r w:rsidRPr="00AE6EDB">
              <w:rPr>
                <w:bCs/>
              </w:rPr>
              <w:t>11,1</w:t>
            </w:r>
          </w:p>
        </w:tc>
        <w:tc>
          <w:tcPr>
            <w:tcW w:w="1508" w:type="dxa"/>
            <w:noWrap/>
            <w:vAlign w:val="center"/>
          </w:tcPr>
          <w:p w:rsidR="000A7585" w:rsidRPr="00AE6EDB" w:rsidRDefault="000A7585" w:rsidP="00DE0EEC">
            <w:pPr>
              <w:ind w:right="397"/>
              <w:jc w:val="right"/>
              <w:rPr>
                <w:bCs/>
              </w:rPr>
            </w:pPr>
            <w:r w:rsidRPr="00AE6EDB">
              <w:rPr>
                <w:bCs/>
              </w:rPr>
              <w:t>9,4</w:t>
            </w:r>
          </w:p>
        </w:tc>
        <w:tc>
          <w:tcPr>
            <w:tcW w:w="1508" w:type="dxa"/>
            <w:noWrap/>
            <w:vAlign w:val="center"/>
          </w:tcPr>
          <w:p w:rsidR="000A7585" w:rsidRPr="00AE6EDB" w:rsidRDefault="000A7585" w:rsidP="00DE0EEC">
            <w:pPr>
              <w:ind w:right="397"/>
              <w:jc w:val="right"/>
              <w:rPr>
                <w:bCs/>
              </w:rPr>
            </w:pPr>
            <w:r w:rsidRPr="00AE6EDB">
              <w:rPr>
                <w:bCs/>
              </w:rPr>
              <w:t>14,5</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Úplné stredné všeobecné</w:t>
            </w:r>
          </w:p>
        </w:tc>
        <w:tc>
          <w:tcPr>
            <w:tcW w:w="1508" w:type="dxa"/>
            <w:noWrap/>
            <w:vAlign w:val="center"/>
          </w:tcPr>
          <w:p w:rsidR="000A7585" w:rsidRPr="00AE6EDB" w:rsidRDefault="000A7585" w:rsidP="00DE0EEC">
            <w:pPr>
              <w:ind w:right="397"/>
              <w:jc w:val="right"/>
              <w:rPr>
                <w:bCs/>
              </w:rPr>
            </w:pPr>
            <w:r w:rsidRPr="00AE6EDB">
              <w:rPr>
                <w:bCs/>
              </w:rPr>
              <w:t>11,9</w:t>
            </w:r>
          </w:p>
        </w:tc>
        <w:tc>
          <w:tcPr>
            <w:tcW w:w="1508" w:type="dxa"/>
            <w:noWrap/>
            <w:vAlign w:val="center"/>
          </w:tcPr>
          <w:p w:rsidR="000A7585" w:rsidRPr="00AE6EDB" w:rsidRDefault="000A7585" w:rsidP="00DE0EEC">
            <w:pPr>
              <w:ind w:right="397"/>
              <w:jc w:val="right"/>
              <w:rPr>
                <w:bCs/>
              </w:rPr>
            </w:pPr>
            <w:r w:rsidRPr="00AE6EDB">
              <w:rPr>
                <w:bCs/>
              </w:rPr>
              <w:t>10,1</w:t>
            </w:r>
          </w:p>
        </w:tc>
        <w:tc>
          <w:tcPr>
            <w:tcW w:w="1508" w:type="dxa"/>
            <w:noWrap/>
            <w:vAlign w:val="center"/>
          </w:tcPr>
          <w:p w:rsidR="000A7585" w:rsidRPr="00AE6EDB" w:rsidRDefault="000A7585" w:rsidP="00DE0EEC">
            <w:pPr>
              <w:ind w:right="397"/>
              <w:jc w:val="right"/>
              <w:rPr>
                <w:bCs/>
              </w:rPr>
            </w:pPr>
            <w:r w:rsidRPr="00AE6EDB">
              <w:rPr>
                <w:bCs/>
              </w:rPr>
              <w:t>13,1</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Úplné stredné odborné</w:t>
            </w:r>
          </w:p>
        </w:tc>
        <w:tc>
          <w:tcPr>
            <w:tcW w:w="1508" w:type="dxa"/>
            <w:noWrap/>
            <w:vAlign w:val="center"/>
          </w:tcPr>
          <w:p w:rsidR="000A7585" w:rsidRPr="00AE6EDB" w:rsidRDefault="000A7585" w:rsidP="00DE0EEC">
            <w:pPr>
              <w:ind w:right="397"/>
              <w:jc w:val="right"/>
              <w:rPr>
                <w:bCs/>
              </w:rPr>
            </w:pPr>
            <w:r w:rsidRPr="00AE6EDB">
              <w:rPr>
                <w:bCs/>
              </w:rPr>
              <w:t>8,6</w:t>
            </w:r>
          </w:p>
        </w:tc>
        <w:tc>
          <w:tcPr>
            <w:tcW w:w="1508" w:type="dxa"/>
            <w:noWrap/>
            <w:vAlign w:val="center"/>
          </w:tcPr>
          <w:p w:rsidR="000A7585" w:rsidRPr="00AE6EDB" w:rsidRDefault="000A7585" w:rsidP="00DE0EEC">
            <w:pPr>
              <w:ind w:right="397"/>
              <w:jc w:val="right"/>
              <w:rPr>
                <w:bCs/>
              </w:rPr>
            </w:pPr>
            <w:r w:rsidRPr="00AE6EDB">
              <w:rPr>
                <w:bCs/>
              </w:rPr>
              <w:t>6,9</w:t>
            </w:r>
          </w:p>
        </w:tc>
        <w:tc>
          <w:tcPr>
            <w:tcW w:w="1508" w:type="dxa"/>
            <w:noWrap/>
            <w:vAlign w:val="center"/>
          </w:tcPr>
          <w:p w:rsidR="000A7585" w:rsidRPr="00AE6EDB" w:rsidRDefault="000A7585" w:rsidP="00DE0EEC">
            <w:pPr>
              <w:ind w:right="397"/>
              <w:jc w:val="right"/>
              <w:rPr>
                <w:bCs/>
              </w:rPr>
            </w:pPr>
            <w:r w:rsidRPr="00AE6EDB">
              <w:rPr>
                <w:bCs/>
              </w:rPr>
              <w:t>10,5</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Vyššie odborné</w:t>
            </w:r>
          </w:p>
        </w:tc>
        <w:tc>
          <w:tcPr>
            <w:tcW w:w="1508" w:type="dxa"/>
            <w:noWrap/>
            <w:vAlign w:val="center"/>
          </w:tcPr>
          <w:p w:rsidR="000A7585" w:rsidRPr="00AE6EDB" w:rsidRDefault="000A7585" w:rsidP="00DE0EEC">
            <w:pPr>
              <w:ind w:right="397"/>
              <w:jc w:val="right"/>
              <w:rPr>
                <w:bCs/>
              </w:rPr>
            </w:pPr>
            <w:r w:rsidRPr="00AE6EDB">
              <w:rPr>
                <w:bCs/>
              </w:rPr>
              <w:t>4,7</w:t>
            </w:r>
          </w:p>
        </w:tc>
        <w:tc>
          <w:tcPr>
            <w:tcW w:w="1508" w:type="dxa"/>
            <w:noWrap/>
            <w:vAlign w:val="center"/>
          </w:tcPr>
          <w:p w:rsidR="000A7585" w:rsidRPr="00AE6EDB" w:rsidRDefault="000A7585" w:rsidP="00DE0EEC">
            <w:pPr>
              <w:ind w:right="397"/>
              <w:jc w:val="right"/>
              <w:rPr>
                <w:bCs/>
              </w:rPr>
            </w:pPr>
            <w:r w:rsidRPr="00AE6EDB">
              <w:rPr>
                <w:bCs/>
              </w:rPr>
              <w:t>2,5</w:t>
            </w:r>
          </w:p>
        </w:tc>
        <w:tc>
          <w:tcPr>
            <w:tcW w:w="1508" w:type="dxa"/>
            <w:noWrap/>
            <w:vAlign w:val="center"/>
          </w:tcPr>
          <w:p w:rsidR="000A7585" w:rsidRPr="00AE6EDB" w:rsidRDefault="000A7585" w:rsidP="00DE0EEC">
            <w:pPr>
              <w:ind w:right="397"/>
              <w:jc w:val="right"/>
              <w:rPr>
                <w:bCs/>
              </w:rPr>
            </w:pPr>
            <w:r w:rsidRPr="00AE6EDB">
              <w:rPr>
                <w:bCs/>
              </w:rPr>
              <w:t>6,2</w:t>
            </w:r>
          </w:p>
        </w:tc>
      </w:tr>
      <w:tr w:rsidR="000A7585" w:rsidRPr="00AE6EDB" w:rsidTr="00DE0EEC">
        <w:trPr>
          <w:trHeight w:val="300"/>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 xml:space="preserve">Vysokoškolské </w:t>
            </w:r>
          </w:p>
        </w:tc>
        <w:tc>
          <w:tcPr>
            <w:tcW w:w="1508" w:type="dxa"/>
            <w:noWrap/>
            <w:vAlign w:val="bottom"/>
          </w:tcPr>
          <w:p w:rsidR="000A7585" w:rsidRPr="00AE6EDB" w:rsidRDefault="000A7585" w:rsidP="00DE0EEC">
            <w:pPr>
              <w:ind w:right="397"/>
              <w:jc w:val="right"/>
              <w:rPr>
                <w:bCs/>
              </w:rPr>
            </w:pPr>
            <w:r w:rsidRPr="00AE6EDB">
              <w:rPr>
                <w:bCs/>
              </w:rPr>
              <w:t>6,0</w:t>
            </w:r>
          </w:p>
        </w:tc>
        <w:tc>
          <w:tcPr>
            <w:tcW w:w="1508" w:type="dxa"/>
            <w:noWrap/>
            <w:vAlign w:val="bottom"/>
          </w:tcPr>
          <w:p w:rsidR="000A7585" w:rsidRPr="00AE6EDB" w:rsidRDefault="000A7585" w:rsidP="00DE0EEC">
            <w:pPr>
              <w:ind w:right="397"/>
              <w:jc w:val="right"/>
              <w:rPr>
                <w:bCs/>
              </w:rPr>
            </w:pPr>
            <w:r w:rsidRPr="00AE6EDB">
              <w:rPr>
                <w:bCs/>
              </w:rPr>
              <w:t>6,9</w:t>
            </w:r>
          </w:p>
        </w:tc>
        <w:tc>
          <w:tcPr>
            <w:tcW w:w="1508" w:type="dxa"/>
            <w:noWrap/>
            <w:vAlign w:val="bottom"/>
          </w:tcPr>
          <w:p w:rsidR="000A7585" w:rsidRPr="00AE6EDB" w:rsidRDefault="000A7585" w:rsidP="00DE0EEC">
            <w:pPr>
              <w:ind w:right="397"/>
              <w:jc w:val="right"/>
              <w:rPr>
                <w:bCs/>
              </w:rPr>
            </w:pPr>
            <w:r w:rsidRPr="00AE6EDB">
              <w:rPr>
                <w:bCs/>
              </w:rPr>
              <w:t>5,1</w:t>
            </w:r>
          </w:p>
        </w:tc>
      </w:tr>
      <w:tr w:rsidR="000A7585" w:rsidRPr="00AE6EDB" w:rsidTr="00DE0EEC">
        <w:trPr>
          <w:trHeight w:val="301"/>
          <w:jc w:val="center"/>
        </w:trPr>
        <w:tc>
          <w:tcPr>
            <w:tcW w:w="4017" w:type="dxa"/>
            <w:noWrap/>
            <w:vAlign w:val="bottom"/>
          </w:tcPr>
          <w:p w:rsidR="000A7585" w:rsidRPr="00AE6EDB" w:rsidRDefault="000A7585" w:rsidP="00DE0EEC">
            <w:pPr>
              <w:pStyle w:val="BodyText21"/>
              <w:widowControl/>
              <w:spacing w:before="0"/>
              <w:ind w:left="113" w:firstLine="0"/>
              <w:rPr>
                <w:color w:val="333300"/>
                <w:lang w:val="sk-SK"/>
              </w:rPr>
            </w:pPr>
            <w:r w:rsidRPr="00AE6EDB">
              <w:rPr>
                <w:color w:val="333300"/>
                <w:szCs w:val="22"/>
                <w:lang w:val="sk-SK"/>
              </w:rPr>
              <w:t>Bez školského vzdelania</w:t>
            </w:r>
          </w:p>
        </w:tc>
        <w:tc>
          <w:tcPr>
            <w:tcW w:w="1508" w:type="dxa"/>
            <w:noWrap/>
            <w:vAlign w:val="bottom"/>
          </w:tcPr>
          <w:p w:rsidR="000A7585" w:rsidRPr="00AE6EDB" w:rsidRDefault="000A7585" w:rsidP="00DE0EEC">
            <w:pPr>
              <w:ind w:right="397"/>
              <w:jc w:val="right"/>
              <w:rPr>
                <w:bCs/>
              </w:rPr>
            </w:pPr>
            <w:r w:rsidRPr="00AE6EDB">
              <w:rPr>
                <w:bCs/>
              </w:rPr>
              <w:t>-</w:t>
            </w:r>
          </w:p>
        </w:tc>
        <w:tc>
          <w:tcPr>
            <w:tcW w:w="1508" w:type="dxa"/>
            <w:noWrap/>
            <w:vAlign w:val="bottom"/>
          </w:tcPr>
          <w:p w:rsidR="000A7585" w:rsidRPr="00AE6EDB" w:rsidRDefault="000A7585" w:rsidP="00DE0EEC">
            <w:pPr>
              <w:ind w:right="397"/>
              <w:jc w:val="right"/>
              <w:rPr>
                <w:bCs/>
              </w:rPr>
            </w:pPr>
            <w:r w:rsidRPr="00AE6EDB">
              <w:rPr>
                <w:bCs/>
              </w:rPr>
              <w:t>-</w:t>
            </w:r>
          </w:p>
        </w:tc>
        <w:tc>
          <w:tcPr>
            <w:tcW w:w="1508" w:type="dxa"/>
            <w:noWrap/>
            <w:vAlign w:val="bottom"/>
          </w:tcPr>
          <w:p w:rsidR="000A7585" w:rsidRPr="00AE6EDB" w:rsidRDefault="000A7585" w:rsidP="00DE0EEC">
            <w:pPr>
              <w:ind w:right="397"/>
              <w:jc w:val="right"/>
              <w:rPr>
                <w:bCs/>
              </w:rPr>
            </w:pPr>
            <w:r w:rsidRPr="00AE6EDB">
              <w:rPr>
                <w:bCs/>
              </w:rPr>
              <w:t>-</w:t>
            </w:r>
          </w:p>
        </w:tc>
      </w:tr>
    </w:tbl>
    <w:p w:rsidR="000A7585" w:rsidRPr="00AE6EDB" w:rsidRDefault="000A7585" w:rsidP="000A7585">
      <w:pPr>
        <w:pStyle w:val="zdroj"/>
        <w:ind w:firstLine="425"/>
      </w:pPr>
      <w:r w:rsidRPr="00AE6EDB">
        <w:t>Zdroj: ŠÚ SR, VZPS</w:t>
      </w:r>
    </w:p>
    <w:p w:rsidR="000A7585" w:rsidRPr="00AE6EDB" w:rsidRDefault="000A7585" w:rsidP="000A7585">
      <w:pPr>
        <w:pStyle w:val="zdroj"/>
        <w:spacing w:before="0" w:after="80"/>
        <w:ind w:firstLine="425"/>
        <w:rPr>
          <w:b/>
          <w:highlight w:val="cyan"/>
        </w:rPr>
      </w:pPr>
    </w:p>
    <w:p w:rsidR="000A7585" w:rsidRPr="00AE6EDB" w:rsidRDefault="000A7585" w:rsidP="000A7585">
      <w:pPr>
        <w:pStyle w:val="Nadpis7"/>
      </w:pPr>
      <w:r w:rsidRPr="00AE6EDB">
        <w:t>Tabuľka 4 Stav uchádzačov o zamestnanie absolventov škôl ku koncu roka 2015</w:t>
      </w:r>
    </w:p>
    <w:tbl>
      <w:tblPr>
        <w:tblStyle w:val="Mriekatabuky"/>
        <w:tblW w:w="0" w:type="auto"/>
        <w:jc w:val="center"/>
        <w:tblLook w:val="04A0" w:firstRow="1" w:lastRow="0" w:firstColumn="1" w:lastColumn="0" w:noHBand="0" w:noVBand="1"/>
      </w:tblPr>
      <w:tblGrid>
        <w:gridCol w:w="6765"/>
        <w:gridCol w:w="1559"/>
      </w:tblGrid>
      <w:tr w:rsidR="000A7585" w:rsidRPr="00AE6EDB" w:rsidTr="00DE0EEC">
        <w:trPr>
          <w:jc w:val="center"/>
        </w:trPr>
        <w:tc>
          <w:tcPr>
            <w:tcW w:w="6765" w:type="dxa"/>
            <w:shd w:val="clear" w:color="auto" w:fill="FF9999" w:themeFill="accent3" w:themeFillTint="66"/>
            <w:vAlign w:val="center"/>
          </w:tcPr>
          <w:p w:rsidR="000A7585" w:rsidRPr="00AE6EDB" w:rsidRDefault="000A7585" w:rsidP="00DE0EEC">
            <w:pPr>
              <w:jc w:val="center"/>
              <w:rPr>
                <w:b/>
                <w:color w:val="333300"/>
              </w:rPr>
            </w:pPr>
            <w:r w:rsidRPr="00AE6EDB">
              <w:rPr>
                <w:b/>
                <w:color w:val="333300"/>
              </w:rPr>
              <w:t>Ukazovateľ</w:t>
            </w:r>
          </w:p>
        </w:tc>
        <w:tc>
          <w:tcPr>
            <w:tcW w:w="1559" w:type="dxa"/>
            <w:shd w:val="clear" w:color="auto" w:fill="FF9999" w:themeFill="accent3" w:themeFillTint="66"/>
            <w:vAlign w:val="center"/>
          </w:tcPr>
          <w:p w:rsidR="000A7585" w:rsidRPr="00AE6EDB" w:rsidRDefault="000A7585" w:rsidP="00DE0EEC">
            <w:pPr>
              <w:jc w:val="center"/>
              <w:rPr>
                <w:b/>
                <w:color w:val="333300"/>
              </w:rPr>
            </w:pPr>
            <w:r w:rsidRPr="00AE6EDB">
              <w:rPr>
                <w:b/>
                <w:color w:val="333300"/>
              </w:rPr>
              <w:t>Počet uchádzačov o zamestnanie</w:t>
            </w:r>
          </w:p>
        </w:tc>
      </w:tr>
      <w:tr w:rsidR="000A7585" w:rsidRPr="00AE6EDB" w:rsidTr="00DE0EEC">
        <w:trPr>
          <w:jc w:val="center"/>
        </w:trPr>
        <w:tc>
          <w:tcPr>
            <w:tcW w:w="6765" w:type="dxa"/>
          </w:tcPr>
          <w:p w:rsidR="000A7585" w:rsidRPr="00AE6EDB" w:rsidRDefault="000A7585" w:rsidP="00DE0EEC">
            <w:pPr>
              <w:ind w:hanging="6"/>
              <w:jc w:val="left"/>
              <w:rPr>
                <w:b/>
                <w:color w:val="333300"/>
              </w:rPr>
            </w:pPr>
            <w:r w:rsidRPr="00AE6EDB">
              <w:rPr>
                <w:b/>
                <w:color w:val="333300"/>
              </w:rPr>
              <w:t>Absolventi spolu</w:t>
            </w:r>
          </w:p>
        </w:tc>
        <w:tc>
          <w:tcPr>
            <w:tcW w:w="1559" w:type="dxa"/>
            <w:vAlign w:val="center"/>
          </w:tcPr>
          <w:p w:rsidR="000A7585" w:rsidRPr="00AE6EDB" w:rsidRDefault="000A7585" w:rsidP="00DE0EEC">
            <w:pPr>
              <w:ind w:right="226"/>
              <w:jc w:val="right"/>
              <w:rPr>
                <w:b/>
                <w:color w:val="333300"/>
              </w:rPr>
            </w:pPr>
            <w:r w:rsidRPr="00AE6EDB">
              <w:rPr>
                <w:b/>
                <w:color w:val="333300"/>
              </w:rPr>
              <w:t>1</w:t>
            </w:r>
            <w:r w:rsidR="00AC44CB">
              <w:rPr>
                <w:b/>
                <w:color w:val="333300"/>
              </w:rPr>
              <w:t>9 3</w:t>
            </w:r>
            <w:r w:rsidRPr="00AE6EDB">
              <w:rPr>
                <w:b/>
                <w:color w:val="333300"/>
              </w:rPr>
              <w:t>80</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z toho</w:t>
            </w:r>
          </w:p>
        </w:tc>
        <w:tc>
          <w:tcPr>
            <w:tcW w:w="1559" w:type="dxa"/>
            <w:vAlign w:val="center"/>
          </w:tcPr>
          <w:p w:rsidR="000A7585" w:rsidRPr="00AE6EDB" w:rsidRDefault="000A7585" w:rsidP="00DE0EEC">
            <w:pPr>
              <w:ind w:right="226"/>
              <w:jc w:val="right"/>
              <w:rPr>
                <w:color w:val="333300"/>
              </w:rPr>
            </w:pP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Absolventi SOŠ s ukončeným stredným alebo nižším stredným odborným vzdelaním (stupeň vzdelania12, 13)</w:t>
            </w:r>
          </w:p>
        </w:tc>
        <w:tc>
          <w:tcPr>
            <w:tcW w:w="1559" w:type="dxa"/>
            <w:vAlign w:val="center"/>
          </w:tcPr>
          <w:p w:rsidR="000A7585" w:rsidRPr="00AE6EDB" w:rsidRDefault="0054295F" w:rsidP="00DE0EEC">
            <w:pPr>
              <w:ind w:right="226"/>
              <w:jc w:val="right"/>
              <w:rPr>
                <w:color w:val="333300"/>
              </w:rPr>
            </w:pPr>
            <w:r>
              <w:rPr>
                <w:color w:val="333300"/>
              </w:rPr>
              <w:t>3 4</w:t>
            </w:r>
            <w:r w:rsidR="000A7585" w:rsidRPr="00AE6EDB">
              <w:rPr>
                <w:color w:val="333300"/>
              </w:rPr>
              <w:t>92</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Absolventi SOŠ s ukončeným úplným stredným odborným vzdelaním (stupeň vzdelania 14)</w:t>
            </w:r>
          </w:p>
        </w:tc>
        <w:tc>
          <w:tcPr>
            <w:tcW w:w="1559" w:type="dxa"/>
            <w:vAlign w:val="center"/>
          </w:tcPr>
          <w:p w:rsidR="000A7585" w:rsidRPr="00AE6EDB" w:rsidRDefault="00AC44CB" w:rsidP="00DE0EEC">
            <w:pPr>
              <w:ind w:right="226"/>
              <w:jc w:val="right"/>
              <w:rPr>
                <w:color w:val="333300"/>
              </w:rPr>
            </w:pPr>
            <w:r>
              <w:rPr>
                <w:color w:val="333300"/>
              </w:rPr>
              <w:t>8 8</w:t>
            </w:r>
            <w:r w:rsidR="000A7585" w:rsidRPr="00AE6EDB">
              <w:rPr>
                <w:color w:val="333300"/>
              </w:rPr>
              <w:t>97</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Absolventi gymnázií s ukončeným úplným stredným všeobecným vzdelaním ( stupeň vzdelania 15)</w:t>
            </w:r>
          </w:p>
        </w:tc>
        <w:tc>
          <w:tcPr>
            <w:tcW w:w="1559" w:type="dxa"/>
            <w:vAlign w:val="center"/>
          </w:tcPr>
          <w:p w:rsidR="000A7585" w:rsidRPr="00AE6EDB" w:rsidRDefault="0054295F" w:rsidP="00DE0EEC">
            <w:pPr>
              <w:ind w:right="226"/>
              <w:jc w:val="right"/>
              <w:rPr>
                <w:color w:val="333300"/>
              </w:rPr>
            </w:pPr>
            <w:r>
              <w:rPr>
                <w:color w:val="333300"/>
              </w:rPr>
              <w:t>1 5</w:t>
            </w:r>
            <w:r w:rsidR="000A7585" w:rsidRPr="00AE6EDB">
              <w:rPr>
                <w:color w:val="333300"/>
              </w:rPr>
              <w:t>37</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 xml:space="preserve">Absolventi SOŠ s ukončeným vyšším odborným vzdelaním </w:t>
            </w:r>
            <w:r w:rsidRPr="00AE6EDB">
              <w:rPr>
                <w:color w:val="333300"/>
              </w:rPr>
              <w:br/>
              <w:t>(stupeň vzdelania 16)</w:t>
            </w:r>
          </w:p>
        </w:tc>
        <w:tc>
          <w:tcPr>
            <w:tcW w:w="1559" w:type="dxa"/>
            <w:vAlign w:val="center"/>
          </w:tcPr>
          <w:p w:rsidR="000A7585" w:rsidRPr="00AE6EDB" w:rsidRDefault="000A7585" w:rsidP="00DE0EEC">
            <w:pPr>
              <w:ind w:right="226"/>
              <w:jc w:val="right"/>
              <w:rPr>
                <w:color w:val="333300"/>
              </w:rPr>
            </w:pPr>
            <w:r w:rsidRPr="00AE6EDB">
              <w:rPr>
                <w:color w:val="333300"/>
              </w:rPr>
              <w:t>302</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Absolventi VŠ s ukončeným vysokoškolským vzdelaním prvého stupňa (stupeň vzdelania 17)</w:t>
            </w:r>
          </w:p>
        </w:tc>
        <w:tc>
          <w:tcPr>
            <w:tcW w:w="1559" w:type="dxa"/>
            <w:vAlign w:val="center"/>
          </w:tcPr>
          <w:p w:rsidR="000A7585" w:rsidRPr="00AE6EDB" w:rsidRDefault="0054295F" w:rsidP="00DE0EEC">
            <w:pPr>
              <w:ind w:right="226"/>
              <w:jc w:val="right"/>
              <w:rPr>
                <w:color w:val="333300"/>
              </w:rPr>
            </w:pPr>
            <w:r>
              <w:rPr>
                <w:color w:val="333300"/>
              </w:rPr>
              <w:t>1 1</w:t>
            </w:r>
            <w:r w:rsidR="000A7585" w:rsidRPr="00AE6EDB">
              <w:rPr>
                <w:color w:val="333300"/>
              </w:rPr>
              <w:t>02</w:t>
            </w:r>
          </w:p>
        </w:tc>
      </w:tr>
      <w:tr w:rsidR="000A7585" w:rsidRPr="00AE6EDB" w:rsidTr="00DE0EEC">
        <w:trPr>
          <w:jc w:val="center"/>
        </w:trPr>
        <w:tc>
          <w:tcPr>
            <w:tcW w:w="6765" w:type="dxa"/>
          </w:tcPr>
          <w:p w:rsidR="000A7585" w:rsidRPr="00AE6EDB" w:rsidRDefault="000A7585" w:rsidP="00DE0EEC">
            <w:pPr>
              <w:ind w:hanging="6"/>
              <w:jc w:val="left"/>
              <w:rPr>
                <w:color w:val="333300"/>
              </w:rPr>
            </w:pPr>
            <w:r w:rsidRPr="00AE6EDB">
              <w:rPr>
                <w:color w:val="333300"/>
              </w:rPr>
              <w:t>Absolventi VŠ s ukončeným vysokoškolským vzdelaním druhého a tretieho stupňa (stupeň vzdelania 18, 19)</w:t>
            </w:r>
          </w:p>
        </w:tc>
        <w:tc>
          <w:tcPr>
            <w:tcW w:w="1559" w:type="dxa"/>
            <w:vAlign w:val="center"/>
          </w:tcPr>
          <w:p w:rsidR="000A7585" w:rsidRPr="00AE6EDB" w:rsidRDefault="0054295F" w:rsidP="00DE0EEC">
            <w:pPr>
              <w:ind w:right="226"/>
              <w:jc w:val="right"/>
              <w:rPr>
                <w:color w:val="333300"/>
              </w:rPr>
            </w:pPr>
            <w:r>
              <w:rPr>
                <w:color w:val="333300"/>
              </w:rPr>
              <w:t>4 0</w:t>
            </w:r>
            <w:r w:rsidR="000A7585" w:rsidRPr="00AE6EDB">
              <w:rPr>
                <w:color w:val="333300"/>
              </w:rPr>
              <w:t>50</w:t>
            </w:r>
          </w:p>
        </w:tc>
      </w:tr>
    </w:tbl>
    <w:p w:rsidR="000A7585" w:rsidRPr="00AE6EDB" w:rsidRDefault="000A7585" w:rsidP="000A7585">
      <w:pPr>
        <w:pStyle w:val="zdroj"/>
        <w:spacing w:after="0"/>
      </w:pPr>
      <w:r w:rsidRPr="00AE6EDB">
        <w:t>Zdroj: ÚPSVR</w:t>
      </w:r>
    </w:p>
    <w:p w:rsidR="000A7585" w:rsidRPr="00AE6EDB" w:rsidRDefault="000A7585" w:rsidP="000A7585">
      <w:pPr>
        <w:pStyle w:val="Nadpis7"/>
      </w:pPr>
      <w:r w:rsidRPr="00AE6EDB">
        <w:t>Tabuľka 5 Nástroje aktívnych opatrení trhu práce</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843"/>
        <w:gridCol w:w="1843"/>
        <w:gridCol w:w="2015"/>
        <w:gridCol w:w="1954"/>
      </w:tblGrid>
      <w:tr w:rsidR="000A7585" w:rsidRPr="00AE6EDB" w:rsidTr="00DE0EEC">
        <w:trPr>
          <w:trHeight w:val="269"/>
        </w:trPr>
        <w:tc>
          <w:tcPr>
            <w:tcW w:w="1276" w:type="dxa"/>
            <w:vMerge w:val="restart"/>
            <w:shd w:val="clear" w:color="auto" w:fill="FF9999" w:themeFill="accent3" w:themeFillTint="66"/>
            <w:vAlign w:val="center"/>
          </w:tcPr>
          <w:p w:rsidR="000A7585" w:rsidRPr="00AE6EDB" w:rsidRDefault="000A7585" w:rsidP="00DE0EEC">
            <w:pPr>
              <w:jc w:val="center"/>
              <w:rPr>
                <w:sz w:val="18"/>
                <w:szCs w:val="18"/>
              </w:rPr>
            </w:pPr>
            <w:r w:rsidRPr="00AE6EDB">
              <w:rPr>
                <w:b/>
                <w:bCs/>
                <w:sz w:val="15"/>
                <w:szCs w:val="15"/>
              </w:rPr>
              <w:t>Nástroj APTP</w:t>
            </w:r>
          </w:p>
        </w:tc>
        <w:tc>
          <w:tcPr>
            <w:tcW w:w="3686" w:type="dxa"/>
            <w:gridSpan w:val="2"/>
            <w:shd w:val="clear" w:color="auto" w:fill="FF9999" w:themeFill="accent3" w:themeFillTint="66"/>
            <w:noWrap/>
            <w:vAlign w:val="center"/>
          </w:tcPr>
          <w:p w:rsidR="000A7585" w:rsidRPr="00AE6EDB" w:rsidRDefault="000A7585" w:rsidP="00DE0EEC">
            <w:pPr>
              <w:ind w:right="319"/>
              <w:jc w:val="center"/>
              <w:rPr>
                <w:sz w:val="18"/>
                <w:szCs w:val="18"/>
              </w:rPr>
            </w:pPr>
            <w:r w:rsidRPr="00AE6EDB">
              <w:rPr>
                <w:b/>
                <w:bCs/>
                <w:sz w:val="16"/>
                <w:szCs w:val="15"/>
              </w:rPr>
              <w:t>Rok 2014</w:t>
            </w:r>
          </w:p>
        </w:tc>
        <w:tc>
          <w:tcPr>
            <w:tcW w:w="3969" w:type="dxa"/>
            <w:gridSpan w:val="2"/>
            <w:shd w:val="clear" w:color="auto" w:fill="FF9999" w:themeFill="accent3" w:themeFillTint="66"/>
            <w:noWrap/>
            <w:vAlign w:val="center"/>
          </w:tcPr>
          <w:p w:rsidR="000A7585" w:rsidRPr="00AE6EDB" w:rsidRDefault="000A7585" w:rsidP="00DE0EEC">
            <w:pPr>
              <w:ind w:right="319"/>
              <w:jc w:val="center"/>
              <w:rPr>
                <w:sz w:val="18"/>
                <w:szCs w:val="18"/>
              </w:rPr>
            </w:pPr>
            <w:r w:rsidRPr="00AE6EDB">
              <w:rPr>
                <w:b/>
                <w:bCs/>
                <w:sz w:val="16"/>
                <w:szCs w:val="15"/>
              </w:rPr>
              <w:t>Rok 2015</w:t>
            </w:r>
          </w:p>
        </w:tc>
      </w:tr>
      <w:tr w:rsidR="000A7585" w:rsidRPr="00AE6EDB" w:rsidTr="00DE0EEC">
        <w:trPr>
          <w:trHeight w:val="269"/>
        </w:trPr>
        <w:tc>
          <w:tcPr>
            <w:tcW w:w="1276" w:type="dxa"/>
            <w:vMerge/>
            <w:shd w:val="clear" w:color="auto" w:fill="FF9999" w:themeFill="accent3" w:themeFillTint="66"/>
          </w:tcPr>
          <w:p w:rsidR="000A7585" w:rsidRPr="00AE6EDB" w:rsidRDefault="000A7585" w:rsidP="00DE0EEC">
            <w:pPr>
              <w:rPr>
                <w:sz w:val="18"/>
                <w:szCs w:val="18"/>
              </w:rPr>
            </w:pPr>
          </w:p>
        </w:tc>
        <w:tc>
          <w:tcPr>
            <w:tcW w:w="1843" w:type="dxa"/>
            <w:shd w:val="clear" w:color="auto" w:fill="FF9999" w:themeFill="accent3" w:themeFillTint="66"/>
            <w:noWrap/>
            <w:vAlign w:val="center"/>
          </w:tcPr>
          <w:p w:rsidR="000A7585" w:rsidRPr="00AE6EDB" w:rsidRDefault="000A7585" w:rsidP="00DE0EEC">
            <w:pPr>
              <w:ind w:right="35"/>
              <w:jc w:val="center"/>
              <w:rPr>
                <w:sz w:val="18"/>
                <w:szCs w:val="18"/>
              </w:rPr>
            </w:pPr>
            <w:r w:rsidRPr="00AE6EDB">
              <w:rPr>
                <w:b/>
                <w:bCs/>
                <w:sz w:val="16"/>
                <w:szCs w:val="15"/>
              </w:rPr>
              <w:t xml:space="preserve">Počet </w:t>
            </w:r>
            <w:proofErr w:type="spellStart"/>
            <w:r w:rsidRPr="00AE6EDB">
              <w:rPr>
                <w:b/>
                <w:bCs/>
                <w:sz w:val="16"/>
                <w:szCs w:val="15"/>
              </w:rPr>
              <w:t>vytvorených-obsadených</w:t>
            </w:r>
            <w:proofErr w:type="spellEnd"/>
            <w:r w:rsidRPr="00AE6EDB">
              <w:rPr>
                <w:b/>
                <w:bCs/>
                <w:sz w:val="16"/>
                <w:szCs w:val="15"/>
              </w:rPr>
              <w:t xml:space="preserve"> PM, resp. počet zaradených </w:t>
            </w:r>
            <w:proofErr w:type="spellStart"/>
            <w:r w:rsidRPr="00AE6EDB">
              <w:rPr>
                <w:b/>
                <w:bCs/>
                <w:sz w:val="16"/>
                <w:szCs w:val="15"/>
              </w:rPr>
              <w:t>UoZ</w:t>
            </w:r>
            <w:proofErr w:type="spellEnd"/>
            <w:r w:rsidRPr="00AE6EDB">
              <w:rPr>
                <w:b/>
                <w:bCs/>
                <w:sz w:val="16"/>
                <w:szCs w:val="15"/>
              </w:rPr>
              <w:t>/osôb, resp. počet podporených PM/</w:t>
            </w:r>
            <w:proofErr w:type="spellStart"/>
            <w:r w:rsidRPr="00AE6EDB">
              <w:rPr>
                <w:b/>
                <w:bCs/>
                <w:sz w:val="16"/>
                <w:szCs w:val="15"/>
              </w:rPr>
              <w:t>UoZ</w:t>
            </w:r>
            <w:proofErr w:type="spellEnd"/>
            <w:r w:rsidRPr="00AE6EDB">
              <w:rPr>
                <w:b/>
                <w:bCs/>
                <w:sz w:val="16"/>
                <w:szCs w:val="15"/>
              </w:rPr>
              <w:t>/osôb</w:t>
            </w:r>
          </w:p>
        </w:tc>
        <w:tc>
          <w:tcPr>
            <w:tcW w:w="1843" w:type="dxa"/>
            <w:shd w:val="clear" w:color="auto" w:fill="FF9999" w:themeFill="accent3" w:themeFillTint="66"/>
            <w:noWrap/>
            <w:vAlign w:val="center"/>
          </w:tcPr>
          <w:p w:rsidR="000A7585" w:rsidRPr="00AE6EDB" w:rsidRDefault="000A7585" w:rsidP="00DE0EEC">
            <w:pPr>
              <w:ind w:right="35"/>
              <w:jc w:val="center"/>
              <w:rPr>
                <w:sz w:val="18"/>
                <w:szCs w:val="18"/>
              </w:rPr>
            </w:pPr>
            <w:r w:rsidRPr="00AE6EDB">
              <w:rPr>
                <w:b/>
                <w:bCs/>
                <w:sz w:val="16"/>
                <w:szCs w:val="15"/>
              </w:rPr>
              <w:t>Čerpanie finančných prostriedkov (v €)</w:t>
            </w:r>
          </w:p>
        </w:tc>
        <w:tc>
          <w:tcPr>
            <w:tcW w:w="2015" w:type="dxa"/>
            <w:shd w:val="clear" w:color="auto" w:fill="FF9999" w:themeFill="accent3" w:themeFillTint="66"/>
            <w:noWrap/>
            <w:vAlign w:val="center"/>
          </w:tcPr>
          <w:p w:rsidR="000A7585" w:rsidRPr="00AE6EDB" w:rsidRDefault="000A7585" w:rsidP="00DE0EEC">
            <w:pPr>
              <w:ind w:right="35"/>
              <w:jc w:val="center"/>
              <w:rPr>
                <w:sz w:val="18"/>
                <w:szCs w:val="18"/>
              </w:rPr>
            </w:pPr>
            <w:r w:rsidRPr="00AE6EDB">
              <w:rPr>
                <w:b/>
                <w:bCs/>
                <w:sz w:val="16"/>
                <w:szCs w:val="15"/>
              </w:rPr>
              <w:t xml:space="preserve">Počet </w:t>
            </w:r>
            <w:proofErr w:type="spellStart"/>
            <w:r w:rsidRPr="00AE6EDB">
              <w:rPr>
                <w:b/>
                <w:bCs/>
                <w:sz w:val="16"/>
                <w:szCs w:val="15"/>
              </w:rPr>
              <w:t>vytvorených-obsadených</w:t>
            </w:r>
            <w:proofErr w:type="spellEnd"/>
            <w:r w:rsidRPr="00AE6EDB">
              <w:rPr>
                <w:b/>
                <w:bCs/>
                <w:sz w:val="16"/>
                <w:szCs w:val="15"/>
              </w:rPr>
              <w:t xml:space="preserve"> PM, resp. počet zaradených </w:t>
            </w:r>
            <w:proofErr w:type="spellStart"/>
            <w:r w:rsidRPr="00AE6EDB">
              <w:rPr>
                <w:b/>
                <w:bCs/>
                <w:sz w:val="16"/>
                <w:szCs w:val="15"/>
              </w:rPr>
              <w:t>UoZ</w:t>
            </w:r>
            <w:proofErr w:type="spellEnd"/>
            <w:r w:rsidRPr="00AE6EDB">
              <w:rPr>
                <w:b/>
                <w:bCs/>
                <w:sz w:val="16"/>
                <w:szCs w:val="15"/>
              </w:rPr>
              <w:t>/osôb, resp. počet podporených PM/</w:t>
            </w:r>
            <w:proofErr w:type="spellStart"/>
            <w:r w:rsidRPr="00AE6EDB">
              <w:rPr>
                <w:b/>
                <w:bCs/>
                <w:sz w:val="16"/>
                <w:szCs w:val="15"/>
              </w:rPr>
              <w:t>UoZ</w:t>
            </w:r>
            <w:proofErr w:type="spellEnd"/>
            <w:r w:rsidRPr="00AE6EDB">
              <w:rPr>
                <w:b/>
                <w:bCs/>
                <w:sz w:val="16"/>
                <w:szCs w:val="15"/>
              </w:rPr>
              <w:t>/osôb</w:t>
            </w:r>
          </w:p>
        </w:tc>
        <w:tc>
          <w:tcPr>
            <w:tcW w:w="1954" w:type="dxa"/>
            <w:shd w:val="clear" w:color="auto" w:fill="FF9999" w:themeFill="accent3" w:themeFillTint="66"/>
            <w:noWrap/>
            <w:vAlign w:val="center"/>
          </w:tcPr>
          <w:p w:rsidR="000A7585" w:rsidRPr="00AE6EDB" w:rsidRDefault="000A7585" w:rsidP="00DE0EEC">
            <w:pPr>
              <w:ind w:right="319"/>
              <w:jc w:val="center"/>
              <w:rPr>
                <w:sz w:val="18"/>
                <w:szCs w:val="18"/>
              </w:rPr>
            </w:pPr>
            <w:r w:rsidRPr="00AE6EDB">
              <w:rPr>
                <w:b/>
                <w:bCs/>
                <w:sz w:val="16"/>
                <w:szCs w:val="15"/>
              </w:rPr>
              <w:t>Čerpanie finančných prostriedkov</w:t>
            </w:r>
            <w:r w:rsidRPr="00AE6EDB">
              <w:rPr>
                <w:b/>
                <w:bCs/>
                <w:sz w:val="16"/>
                <w:szCs w:val="15"/>
              </w:rPr>
              <w:br/>
              <w:t xml:space="preserve"> (v €)</w:t>
            </w:r>
          </w:p>
        </w:tc>
      </w:tr>
      <w:tr w:rsidR="000A7585" w:rsidRPr="00AE6EDB" w:rsidTr="00DE0EEC">
        <w:trPr>
          <w:trHeight w:val="330"/>
        </w:trPr>
        <w:tc>
          <w:tcPr>
            <w:tcW w:w="1276" w:type="dxa"/>
            <w:vAlign w:val="center"/>
            <w:hideMark/>
          </w:tcPr>
          <w:p w:rsidR="000A7585" w:rsidRPr="00AE6EDB" w:rsidRDefault="000A7585" w:rsidP="00DE0EEC">
            <w:pPr>
              <w:rPr>
                <w:color w:val="000000"/>
              </w:rPr>
            </w:pPr>
            <w:r w:rsidRPr="00AE6EDB">
              <w:rPr>
                <w:color w:val="000000"/>
                <w:szCs w:val="22"/>
              </w:rPr>
              <w:t xml:space="preserve">§ 32 </w:t>
            </w:r>
          </w:p>
        </w:tc>
        <w:tc>
          <w:tcPr>
            <w:tcW w:w="1843" w:type="dxa"/>
            <w:noWrap/>
            <w:vAlign w:val="center"/>
            <w:hideMark/>
          </w:tcPr>
          <w:p w:rsidR="000A7585" w:rsidRPr="00AE6EDB" w:rsidRDefault="00AC44CB" w:rsidP="00DE0EEC">
            <w:pPr>
              <w:ind w:right="170"/>
              <w:jc w:val="right"/>
              <w:rPr>
                <w:color w:val="000000"/>
              </w:rPr>
            </w:pPr>
            <w:r>
              <w:rPr>
                <w:color w:val="000000"/>
                <w:szCs w:val="22"/>
              </w:rPr>
              <w:t>5 6</w:t>
            </w:r>
            <w:r w:rsidR="000A7585" w:rsidRPr="00AE6EDB">
              <w:rPr>
                <w:color w:val="000000"/>
                <w:szCs w:val="22"/>
              </w:rPr>
              <w:t>20</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6</w:t>
            </w:r>
            <w:r w:rsidR="00AC44CB">
              <w:rPr>
                <w:color w:val="000000"/>
                <w:szCs w:val="22"/>
              </w:rPr>
              <w:t>7 6</w:t>
            </w:r>
            <w:r w:rsidRPr="00AE6EDB">
              <w:rPr>
                <w:color w:val="000000"/>
                <w:szCs w:val="22"/>
              </w:rPr>
              <w:t>82</w:t>
            </w:r>
          </w:p>
        </w:tc>
        <w:tc>
          <w:tcPr>
            <w:tcW w:w="2015" w:type="dxa"/>
            <w:noWrap/>
            <w:vAlign w:val="center"/>
          </w:tcPr>
          <w:p w:rsidR="000A7585" w:rsidRPr="00AE6EDB" w:rsidRDefault="0054295F" w:rsidP="00DE0EEC">
            <w:pPr>
              <w:ind w:right="170"/>
              <w:jc w:val="right"/>
              <w:rPr>
                <w:color w:val="000000"/>
                <w:szCs w:val="22"/>
              </w:rPr>
            </w:pPr>
            <w:r>
              <w:rPr>
                <w:color w:val="000000"/>
                <w:szCs w:val="22"/>
              </w:rPr>
              <w:t>3 9</w:t>
            </w:r>
            <w:r w:rsidR="000A7585" w:rsidRPr="00AE6EDB">
              <w:rPr>
                <w:color w:val="000000"/>
                <w:szCs w:val="22"/>
              </w:rPr>
              <w:t>01</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4</w:t>
            </w:r>
            <w:r w:rsidR="0054295F">
              <w:rPr>
                <w:color w:val="000000"/>
                <w:szCs w:val="22"/>
              </w:rPr>
              <w:t>4 2</w:t>
            </w:r>
            <w:r w:rsidRPr="00AE6EDB">
              <w:rPr>
                <w:color w:val="000000"/>
                <w:szCs w:val="22"/>
              </w:rPr>
              <w:t>24</w:t>
            </w:r>
          </w:p>
        </w:tc>
      </w:tr>
      <w:tr w:rsidR="000A7585" w:rsidRPr="00AE6EDB" w:rsidTr="00DE0EEC">
        <w:trPr>
          <w:trHeight w:val="315"/>
        </w:trPr>
        <w:tc>
          <w:tcPr>
            <w:tcW w:w="1276" w:type="dxa"/>
            <w:noWrap/>
            <w:vAlign w:val="center"/>
          </w:tcPr>
          <w:p w:rsidR="000A7585" w:rsidRPr="00AE6EDB" w:rsidRDefault="000A7585" w:rsidP="00DE0EEC">
            <w:pPr>
              <w:rPr>
                <w:color w:val="000000"/>
              </w:rPr>
            </w:pPr>
            <w:r w:rsidRPr="00AE6EDB">
              <w:rPr>
                <w:color w:val="000000"/>
                <w:szCs w:val="22"/>
              </w:rPr>
              <w:t>§ 42*</w:t>
            </w:r>
          </w:p>
        </w:tc>
        <w:tc>
          <w:tcPr>
            <w:tcW w:w="1843" w:type="dxa"/>
            <w:noWrap/>
            <w:vAlign w:val="center"/>
          </w:tcPr>
          <w:p w:rsidR="000A7585" w:rsidRPr="00AE6EDB" w:rsidRDefault="000A7585" w:rsidP="00DE0EEC">
            <w:pPr>
              <w:ind w:right="170"/>
              <w:jc w:val="right"/>
              <w:rPr>
                <w:color w:val="000000"/>
              </w:rPr>
            </w:pPr>
            <w:r w:rsidRPr="00AE6EDB">
              <w:rPr>
                <w:color w:val="000000"/>
                <w:szCs w:val="22"/>
              </w:rPr>
              <w:t>27</w:t>
            </w:r>
            <w:r w:rsidR="0054295F">
              <w:rPr>
                <w:color w:val="000000"/>
                <w:szCs w:val="22"/>
              </w:rPr>
              <w:t>1 6</w:t>
            </w:r>
            <w:r w:rsidRPr="00AE6EDB">
              <w:rPr>
                <w:color w:val="000000"/>
                <w:szCs w:val="22"/>
              </w:rPr>
              <w:t>45</w:t>
            </w:r>
          </w:p>
        </w:tc>
        <w:tc>
          <w:tcPr>
            <w:tcW w:w="1843" w:type="dxa"/>
            <w:noWrap/>
            <w:vAlign w:val="center"/>
          </w:tcPr>
          <w:p w:rsidR="000A7585" w:rsidRPr="00AE6EDB" w:rsidRDefault="000A7585" w:rsidP="00DE0EEC">
            <w:pPr>
              <w:ind w:right="170"/>
              <w:jc w:val="right"/>
              <w:rPr>
                <w:color w:val="000000"/>
              </w:rPr>
            </w:pPr>
            <w:r w:rsidRPr="00AE6EDB">
              <w:rPr>
                <w:color w:val="000000"/>
                <w:szCs w:val="22"/>
              </w:rPr>
              <w:t>28</w:t>
            </w:r>
            <w:r w:rsidR="0054295F">
              <w:rPr>
                <w:color w:val="000000"/>
                <w:szCs w:val="22"/>
              </w:rPr>
              <w:t>3 5</w:t>
            </w:r>
            <w:r w:rsidRPr="00AE6EDB">
              <w:rPr>
                <w:color w:val="000000"/>
                <w:szCs w:val="22"/>
              </w:rPr>
              <w:t>37</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51</w:t>
            </w:r>
            <w:r w:rsidR="00AC44CB">
              <w:rPr>
                <w:color w:val="000000"/>
                <w:szCs w:val="22"/>
              </w:rPr>
              <w:t>8 0</w:t>
            </w:r>
            <w:r w:rsidRPr="00AE6EDB">
              <w:rPr>
                <w:color w:val="000000"/>
                <w:szCs w:val="22"/>
              </w:rPr>
              <w:t>61</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0</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xml:space="preserve">§ 43 </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14</w:t>
            </w:r>
            <w:r w:rsidR="00AC44CB">
              <w:rPr>
                <w:color w:val="000000"/>
                <w:szCs w:val="22"/>
              </w:rPr>
              <w:t>5 2</w:t>
            </w:r>
            <w:r w:rsidRPr="00AE6EDB">
              <w:rPr>
                <w:color w:val="000000"/>
                <w:szCs w:val="22"/>
              </w:rPr>
              <w:t>36</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w:t>
            </w:r>
            <w:r w:rsidR="0054295F">
              <w:rPr>
                <w:color w:val="000000"/>
                <w:szCs w:val="22"/>
              </w:rPr>
              <w:t>1 0</w:t>
            </w:r>
            <w:r w:rsidRPr="00AE6EDB">
              <w:rPr>
                <w:color w:val="000000"/>
                <w:szCs w:val="22"/>
              </w:rPr>
              <w:t>35</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13</w:t>
            </w:r>
            <w:r w:rsidR="0054295F">
              <w:rPr>
                <w:color w:val="000000"/>
                <w:szCs w:val="22"/>
              </w:rPr>
              <w:t>3 1</w:t>
            </w:r>
            <w:r w:rsidRPr="00AE6EDB">
              <w:rPr>
                <w:color w:val="000000"/>
                <w:szCs w:val="22"/>
              </w:rPr>
              <w:t>94</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16</w:t>
            </w:r>
            <w:r w:rsidR="00AC44CB">
              <w:rPr>
                <w:color w:val="000000"/>
                <w:szCs w:val="22"/>
              </w:rPr>
              <w:t>7 6</w:t>
            </w:r>
            <w:r w:rsidRPr="00AE6EDB">
              <w:rPr>
                <w:color w:val="000000"/>
                <w:szCs w:val="22"/>
              </w:rPr>
              <w:t>97</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46</w:t>
            </w:r>
          </w:p>
        </w:tc>
        <w:tc>
          <w:tcPr>
            <w:tcW w:w="1843" w:type="dxa"/>
            <w:noWrap/>
            <w:vAlign w:val="center"/>
            <w:hideMark/>
          </w:tcPr>
          <w:p w:rsidR="000A7585" w:rsidRPr="00AE6EDB" w:rsidRDefault="00AC44CB" w:rsidP="00DE0EEC">
            <w:pPr>
              <w:ind w:right="170"/>
              <w:jc w:val="right"/>
              <w:rPr>
                <w:color w:val="000000"/>
              </w:rPr>
            </w:pPr>
            <w:r>
              <w:rPr>
                <w:color w:val="000000"/>
                <w:szCs w:val="22"/>
              </w:rPr>
              <w:t>6 6</w:t>
            </w:r>
            <w:r w:rsidR="000A7585" w:rsidRPr="00AE6EDB">
              <w:rPr>
                <w:color w:val="000000"/>
                <w:szCs w:val="22"/>
              </w:rPr>
              <w:t>59</w:t>
            </w:r>
          </w:p>
        </w:tc>
        <w:tc>
          <w:tcPr>
            <w:tcW w:w="1843" w:type="dxa"/>
            <w:noWrap/>
            <w:vAlign w:val="center"/>
            <w:hideMark/>
          </w:tcPr>
          <w:p w:rsidR="000A7585" w:rsidRPr="00AE6EDB" w:rsidRDefault="0054295F" w:rsidP="00DE0EEC">
            <w:pPr>
              <w:ind w:right="170"/>
              <w:jc w:val="right"/>
              <w:rPr>
                <w:color w:val="000000"/>
              </w:rPr>
            </w:pPr>
            <w:r>
              <w:rPr>
                <w:color w:val="000000"/>
                <w:szCs w:val="22"/>
              </w:rPr>
              <w:t>2 4</w:t>
            </w:r>
            <w:r w:rsidR="000A7585" w:rsidRPr="00AE6EDB">
              <w:rPr>
                <w:color w:val="000000"/>
                <w:szCs w:val="22"/>
              </w:rPr>
              <w:t>9</w:t>
            </w:r>
            <w:r w:rsidR="00AC44CB">
              <w:rPr>
                <w:color w:val="000000"/>
                <w:szCs w:val="22"/>
              </w:rPr>
              <w:t>7 3</w:t>
            </w:r>
            <w:r w:rsidR="000A7585" w:rsidRPr="00AE6EDB">
              <w:rPr>
                <w:color w:val="000000"/>
                <w:szCs w:val="22"/>
              </w:rPr>
              <w:t>23</w:t>
            </w:r>
          </w:p>
        </w:tc>
        <w:tc>
          <w:tcPr>
            <w:tcW w:w="2015" w:type="dxa"/>
            <w:noWrap/>
            <w:vAlign w:val="center"/>
          </w:tcPr>
          <w:p w:rsidR="000A7585" w:rsidRPr="00AE6EDB" w:rsidRDefault="0054295F" w:rsidP="00DE0EEC">
            <w:pPr>
              <w:ind w:right="170"/>
              <w:jc w:val="right"/>
              <w:rPr>
                <w:color w:val="000000"/>
                <w:szCs w:val="22"/>
              </w:rPr>
            </w:pPr>
            <w:r>
              <w:rPr>
                <w:color w:val="000000"/>
                <w:szCs w:val="22"/>
              </w:rPr>
              <w:t>1 4</w:t>
            </w:r>
            <w:r w:rsidR="000A7585" w:rsidRPr="00AE6EDB">
              <w:rPr>
                <w:color w:val="000000"/>
                <w:szCs w:val="22"/>
              </w:rPr>
              <w:t>73</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66</w:t>
            </w:r>
            <w:r w:rsidR="0054295F">
              <w:rPr>
                <w:color w:val="000000"/>
                <w:szCs w:val="22"/>
              </w:rPr>
              <w:t>2 6</w:t>
            </w:r>
            <w:r w:rsidRPr="00AE6EDB">
              <w:rPr>
                <w:color w:val="000000"/>
                <w:szCs w:val="22"/>
              </w:rPr>
              <w:t>61</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47</w:t>
            </w:r>
          </w:p>
        </w:tc>
        <w:tc>
          <w:tcPr>
            <w:tcW w:w="1843" w:type="dxa"/>
            <w:noWrap/>
            <w:vAlign w:val="center"/>
            <w:hideMark/>
          </w:tcPr>
          <w:p w:rsidR="000A7585" w:rsidRPr="00AE6EDB" w:rsidRDefault="0054295F" w:rsidP="00DE0EEC">
            <w:pPr>
              <w:ind w:right="170"/>
              <w:jc w:val="right"/>
              <w:rPr>
                <w:color w:val="000000"/>
              </w:rPr>
            </w:pPr>
            <w:r>
              <w:rPr>
                <w:color w:val="000000"/>
                <w:szCs w:val="22"/>
              </w:rPr>
              <w:t>1 6</w:t>
            </w:r>
            <w:r w:rsidR="000A7585" w:rsidRPr="00AE6EDB">
              <w:rPr>
                <w:color w:val="000000"/>
                <w:szCs w:val="22"/>
              </w:rPr>
              <w:t>09</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56</w:t>
            </w:r>
            <w:r w:rsidR="0054295F">
              <w:rPr>
                <w:color w:val="000000"/>
                <w:szCs w:val="22"/>
              </w:rPr>
              <w:t>3 6</w:t>
            </w:r>
            <w:r w:rsidRPr="00AE6EDB">
              <w:rPr>
                <w:color w:val="000000"/>
                <w:szCs w:val="22"/>
              </w:rPr>
              <w:t>79</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103</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19</w:t>
            </w:r>
            <w:r w:rsidR="0054295F">
              <w:rPr>
                <w:color w:val="000000"/>
                <w:szCs w:val="22"/>
              </w:rPr>
              <w:t>3 3</w:t>
            </w:r>
            <w:r w:rsidRPr="00AE6EDB">
              <w:rPr>
                <w:color w:val="000000"/>
                <w:szCs w:val="22"/>
              </w:rPr>
              <w:t>88</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49</w:t>
            </w:r>
          </w:p>
        </w:tc>
        <w:tc>
          <w:tcPr>
            <w:tcW w:w="1843" w:type="dxa"/>
            <w:noWrap/>
            <w:vAlign w:val="center"/>
            <w:hideMark/>
          </w:tcPr>
          <w:p w:rsidR="000A7585" w:rsidRPr="00AE6EDB" w:rsidRDefault="0054295F" w:rsidP="00DE0EEC">
            <w:pPr>
              <w:ind w:right="170"/>
              <w:jc w:val="right"/>
              <w:rPr>
                <w:color w:val="000000"/>
              </w:rPr>
            </w:pPr>
            <w:r>
              <w:rPr>
                <w:color w:val="000000"/>
                <w:szCs w:val="22"/>
              </w:rPr>
              <w:t>2 7</w:t>
            </w:r>
            <w:r w:rsidR="000A7585" w:rsidRPr="00AE6EDB">
              <w:rPr>
                <w:color w:val="000000"/>
                <w:szCs w:val="22"/>
              </w:rPr>
              <w:t>15</w:t>
            </w:r>
          </w:p>
        </w:tc>
        <w:tc>
          <w:tcPr>
            <w:tcW w:w="1843" w:type="dxa"/>
            <w:noWrap/>
            <w:vAlign w:val="center"/>
            <w:hideMark/>
          </w:tcPr>
          <w:p w:rsidR="000A7585" w:rsidRPr="00AE6EDB" w:rsidRDefault="00AC44CB" w:rsidP="00DE0EEC">
            <w:pPr>
              <w:ind w:right="170"/>
              <w:jc w:val="right"/>
              <w:rPr>
                <w:color w:val="000000"/>
              </w:rPr>
            </w:pPr>
            <w:r>
              <w:rPr>
                <w:color w:val="000000"/>
                <w:szCs w:val="22"/>
              </w:rPr>
              <w:t>6 9</w:t>
            </w:r>
            <w:r w:rsidR="000A7585" w:rsidRPr="00AE6EDB">
              <w:rPr>
                <w:color w:val="000000"/>
                <w:szCs w:val="22"/>
              </w:rPr>
              <w:t>0</w:t>
            </w:r>
            <w:r>
              <w:rPr>
                <w:color w:val="000000"/>
                <w:szCs w:val="22"/>
              </w:rPr>
              <w:t>8 8</w:t>
            </w:r>
            <w:r w:rsidR="000A7585" w:rsidRPr="00AE6EDB">
              <w:rPr>
                <w:color w:val="000000"/>
                <w:szCs w:val="22"/>
              </w:rPr>
              <w:t>44</w:t>
            </w:r>
          </w:p>
        </w:tc>
        <w:tc>
          <w:tcPr>
            <w:tcW w:w="2015" w:type="dxa"/>
            <w:noWrap/>
            <w:vAlign w:val="center"/>
          </w:tcPr>
          <w:p w:rsidR="000A7585" w:rsidRPr="00AE6EDB" w:rsidRDefault="0054295F" w:rsidP="00DE0EEC">
            <w:pPr>
              <w:ind w:right="170"/>
              <w:jc w:val="right"/>
              <w:rPr>
                <w:color w:val="000000"/>
                <w:szCs w:val="22"/>
              </w:rPr>
            </w:pPr>
            <w:r>
              <w:rPr>
                <w:color w:val="000000"/>
                <w:szCs w:val="22"/>
              </w:rPr>
              <w:t>2 6</w:t>
            </w:r>
            <w:r w:rsidR="000A7585" w:rsidRPr="00AE6EDB">
              <w:rPr>
                <w:color w:val="000000"/>
                <w:szCs w:val="22"/>
              </w:rPr>
              <w:t>56</w:t>
            </w:r>
          </w:p>
        </w:tc>
        <w:tc>
          <w:tcPr>
            <w:tcW w:w="1954" w:type="dxa"/>
            <w:noWrap/>
            <w:vAlign w:val="center"/>
          </w:tcPr>
          <w:p w:rsidR="000A7585" w:rsidRPr="00AE6EDB" w:rsidRDefault="00AC44CB" w:rsidP="00DE0EEC">
            <w:pPr>
              <w:ind w:right="170"/>
              <w:jc w:val="right"/>
              <w:rPr>
                <w:color w:val="000000"/>
                <w:szCs w:val="22"/>
              </w:rPr>
            </w:pPr>
            <w:r>
              <w:rPr>
                <w:color w:val="000000"/>
                <w:szCs w:val="22"/>
              </w:rPr>
              <w:t>9 7</w:t>
            </w:r>
            <w:r w:rsidR="000A7585" w:rsidRPr="00AE6EDB">
              <w:rPr>
                <w:color w:val="000000"/>
                <w:szCs w:val="22"/>
              </w:rPr>
              <w:t>5</w:t>
            </w:r>
            <w:r>
              <w:rPr>
                <w:color w:val="000000"/>
                <w:szCs w:val="22"/>
              </w:rPr>
              <w:t>9 1</w:t>
            </w:r>
            <w:r w:rsidR="000A7585" w:rsidRPr="00AE6EDB">
              <w:rPr>
                <w:color w:val="000000"/>
                <w:szCs w:val="22"/>
              </w:rPr>
              <w:t>84</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50</w:t>
            </w:r>
          </w:p>
        </w:tc>
        <w:tc>
          <w:tcPr>
            <w:tcW w:w="1843" w:type="dxa"/>
            <w:noWrap/>
            <w:vAlign w:val="center"/>
            <w:hideMark/>
          </w:tcPr>
          <w:p w:rsidR="000A7585" w:rsidRPr="00AE6EDB" w:rsidRDefault="0054295F" w:rsidP="00DE0EEC">
            <w:pPr>
              <w:ind w:right="170"/>
              <w:jc w:val="right"/>
              <w:rPr>
                <w:color w:val="000000"/>
              </w:rPr>
            </w:pPr>
            <w:r>
              <w:rPr>
                <w:color w:val="000000"/>
                <w:szCs w:val="22"/>
              </w:rPr>
              <w:t>3 1</w:t>
            </w:r>
            <w:r w:rsidR="000A7585" w:rsidRPr="00AE6EDB">
              <w:rPr>
                <w:color w:val="000000"/>
                <w:szCs w:val="22"/>
              </w:rPr>
              <w:t>78</w:t>
            </w:r>
          </w:p>
        </w:tc>
        <w:tc>
          <w:tcPr>
            <w:tcW w:w="1843" w:type="dxa"/>
            <w:noWrap/>
            <w:vAlign w:val="center"/>
            <w:hideMark/>
          </w:tcPr>
          <w:p w:rsidR="000A7585" w:rsidRPr="00AE6EDB" w:rsidRDefault="00AC44CB" w:rsidP="00DE0EEC">
            <w:pPr>
              <w:ind w:right="170"/>
              <w:jc w:val="right"/>
              <w:rPr>
                <w:color w:val="000000"/>
              </w:rPr>
            </w:pPr>
            <w:r>
              <w:rPr>
                <w:color w:val="000000"/>
                <w:szCs w:val="22"/>
              </w:rPr>
              <w:t>5 3</w:t>
            </w:r>
            <w:r w:rsidR="000A7585" w:rsidRPr="00AE6EDB">
              <w:rPr>
                <w:color w:val="000000"/>
                <w:szCs w:val="22"/>
              </w:rPr>
              <w:t>5</w:t>
            </w:r>
            <w:r>
              <w:rPr>
                <w:color w:val="000000"/>
                <w:szCs w:val="22"/>
              </w:rPr>
              <w:t>9 6</w:t>
            </w:r>
            <w:r w:rsidR="000A7585" w:rsidRPr="00AE6EDB">
              <w:rPr>
                <w:color w:val="000000"/>
                <w:szCs w:val="22"/>
              </w:rPr>
              <w:t>49</w:t>
            </w:r>
          </w:p>
        </w:tc>
        <w:tc>
          <w:tcPr>
            <w:tcW w:w="2015" w:type="dxa"/>
            <w:noWrap/>
            <w:vAlign w:val="center"/>
          </w:tcPr>
          <w:p w:rsidR="000A7585" w:rsidRPr="00AE6EDB" w:rsidRDefault="0054295F" w:rsidP="00DE0EEC">
            <w:pPr>
              <w:ind w:right="170"/>
              <w:jc w:val="right"/>
              <w:rPr>
                <w:color w:val="000000"/>
                <w:szCs w:val="22"/>
              </w:rPr>
            </w:pPr>
            <w:r>
              <w:rPr>
                <w:color w:val="000000"/>
                <w:szCs w:val="22"/>
              </w:rPr>
              <w:t>3 3</w:t>
            </w:r>
            <w:r w:rsidR="000A7585" w:rsidRPr="00AE6EDB">
              <w:rPr>
                <w:color w:val="000000"/>
                <w:szCs w:val="22"/>
              </w:rPr>
              <w:t>96</w:t>
            </w:r>
          </w:p>
        </w:tc>
        <w:tc>
          <w:tcPr>
            <w:tcW w:w="1954" w:type="dxa"/>
            <w:noWrap/>
            <w:vAlign w:val="center"/>
          </w:tcPr>
          <w:p w:rsidR="000A7585" w:rsidRPr="00AE6EDB" w:rsidRDefault="00AC44CB" w:rsidP="00DE0EEC">
            <w:pPr>
              <w:ind w:right="170"/>
              <w:jc w:val="right"/>
              <w:rPr>
                <w:color w:val="000000"/>
                <w:szCs w:val="22"/>
              </w:rPr>
            </w:pPr>
            <w:r>
              <w:rPr>
                <w:color w:val="000000"/>
                <w:szCs w:val="22"/>
              </w:rPr>
              <w:t>7 9</w:t>
            </w:r>
            <w:r w:rsidR="000A7585" w:rsidRPr="00AE6EDB">
              <w:rPr>
                <w:color w:val="000000"/>
                <w:szCs w:val="22"/>
              </w:rPr>
              <w:t>9</w:t>
            </w:r>
            <w:r w:rsidR="0054295F">
              <w:rPr>
                <w:color w:val="000000"/>
                <w:szCs w:val="22"/>
              </w:rPr>
              <w:t>0 1</w:t>
            </w:r>
            <w:r w:rsidR="000A7585" w:rsidRPr="00AE6EDB">
              <w:rPr>
                <w:color w:val="000000"/>
                <w:szCs w:val="22"/>
              </w:rPr>
              <w:t>41</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50a</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370</w:t>
            </w:r>
          </w:p>
        </w:tc>
        <w:tc>
          <w:tcPr>
            <w:tcW w:w="1843" w:type="dxa"/>
            <w:noWrap/>
            <w:vAlign w:val="center"/>
            <w:hideMark/>
          </w:tcPr>
          <w:p w:rsidR="000A7585" w:rsidRPr="00AE6EDB" w:rsidRDefault="00AC44CB" w:rsidP="00DE0EEC">
            <w:pPr>
              <w:ind w:right="170"/>
              <w:jc w:val="right"/>
              <w:rPr>
                <w:color w:val="000000"/>
              </w:rPr>
            </w:pPr>
            <w:r>
              <w:rPr>
                <w:color w:val="000000"/>
                <w:szCs w:val="22"/>
              </w:rPr>
              <w:t>5 5</w:t>
            </w:r>
            <w:r w:rsidR="000A7585" w:rsidRPr="00AE6EDB">
              <w:rPr>
                <w:color w:val="000000"/>
                <w:szCs w:val="22"/>
              </w:rPr>
              <w:t>1</w:t>
            </w:r>
            <w:r w:rsidR="0054295F">
              <w:rPr>
                <w:color w:val="000000"/>
                <w:szCs w:val="22"/>
              </w:rPr>
              <w:t>3 6</w:t>
            </w:r>
            <w:r w:rsidR="000A7585" w:rsidRPr="00AE6EDB">
              <w:rPr>
                <w:color w:val="000000"/>
                <w:szCs w:val="22"/>
              </w:rPr>
              <w:t>13</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20</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41</w:t>
            </w:r>
            <w:r w:rsidR="0054295F">
              <w:rPr>
                <w:color w:val="000000"/>
                <w:szCs w:val="22"/>
              </w:rPr>
              <w:t>2 9</w:t>
            </w:r>
            <w:r w:rsidRPr="00AE6EDB">
              <w:rPr>
                <w:color w:val="000000"/>
                <w:szCs w:val="22"/>
              </w:rPr>
              <w:t>39</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50c</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6</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28</w:t>
            </w:r>
            <w:r w:rsidR="0054295F">
              <w:rPr>
                <w:color w:val="000000"/>
                <w:szCs w:val="22"/>
              </w:rPr>
              <w:t>1 5</w:t>
            </w:r>
            <w:r w:rsidRPr="00AE6EDB">
              <w:rPr>
                <w:color w:val="000000"/>
                <w:szCs w:val="22"/>
              </w:rPr>
              <w:t>27</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0</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4</w:t>
            </w:r>
            <w:r w:rsidR="0054295F">
              <w:rPr>
                <w:color w:val="000000"/>
                <w:szCs w:val="22"/>
              </w:rPr>
              <w:t>2 0</w:t>
            </w:r>
            <w:r w:rsidRPr="00AE6EDB">
              <w:rPr>
                <w:color w:val="000000"/>
                <w:szCs w:val="22"/>
              </w:rPr>
              <w:t>25</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50j</w:t>
            </w:r>
          </w:p>
        </w:tc>
        <w:tc>
          <w:tcPr>
            <w:tcW w:w="1843" w:type="dxa"/>
            <w:noWrap/>
            <w:vAlign w:val="center"/>
            <w:hideMark/>
          </w:tcPr>
          <w:p w:rsidR="000A7585" w:rsidRPr="00AE6EDB" w:rsidRDefault="0054295F" w:rsidP="00DE0EEC">
            <w:pPr>
              <w:ind w:right="170"/>
              <w:jc w:val="right"/>
              <w:rPr>
                <w:color w:val="000000"/>
              </w:rPr>
            </w:pPr>
            <w:r>
              <w:rPr>
                <w:color w:val="000000"/>
                <w:szCs w:val="22"/>
              </w:rPr>
              <w:t>3 9</w:t>
            </w:r>
            <w:r w:rsidR="000A7585" w:rsidRPr="00AE6EDB">
              <w:rPr>
                <w:color w:val="000000"/>
                <w:szCs w:val="22"/>
              </w:rPr>
              <w:t>99</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w:t>
            </w:r>
            <w:r w:rsidR="0054295F">
              <w:rPr>
                <w:color w:val="000000"/>
                <w:szCs w:val="22"/>
              </w:rPr>
              <w:t>2 4</w:t>
            </w:r>
            <w:r w:rsidRPr="00AE6EDB">
              <w:rPr>
                <w:color w:val="000000"/>
                <w:szCs w:val="22"/>
              </w:rPr>
              <w:t>6</w:t>
            </w:r>
            <w:r w:rsidR="00AC44CB">
              <w:rPr>
                <w:color w:val="000000"/>
                <w:szCs w:val="22"/>
              </w:rPr>
              <w:t>6 0</w:t>
            </w:r>
            <w:r w:rsidRPr="00AE6EDB">
              <w:rPr>
                <w:color w:val="000000"/>
                <w:szCs w:val="22"/>
              </w:rPr>
              <w:t>06</w:t>
            </w:r>
          </w:p>
        </w:tc>
        <w:tc>
          <w:tcPr>
            <w:tcW w:w="2015" w:type="dxa"/>
            <w:noWrap/>
            <w:vAlign w:val="center"/>
          </w:tcPr>
          <w:p w:rsidR="000A7585" w:rsidRPr="00AE6EDB" w:rsidRDefault="0054295F" w:rsidP="00DE0EEC">
            <w:pPr>
              <w:ind w:right="170"/>
              <w:jc w:val="right"/>
              <w:rPr>
                <w:color w:val="000000"/>
                <w:szCs w:val="22"/>
              </w:rPr>
            </w:pPr>
            <w:r>
              <w:rPr>
                <w:color w:val="000000"/>
                <w:szCs w:val="22"/>
              </w:rPr>
              <w:t>3 1</w:t>
            </w:r>
            <w:r w:rsidR="000A7585" w:rsidRPr="00AE6EDB">
              <w:rPr>
                <w:color w:val="000000"/>
                <w:szCs w:val="22"/>
              </w:rPr>
              <w:t>03</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1</w:t>
            </w:r>
            <w:r w:rsidR="0054295F">
              <w:rPr>
                <w:color w:val="000000"/>
                <w:szCs w:val="22"/>
              </w:rPr>
              <w:t>2 1</w:t>
            </w:r>
            <w:r w:rsidRPr="00AE6EDB">
              <w:rPr>
                <w:color w:val="000000"/>
                <w:szCs w:val="22"/>
              </w:rPr>
              <w:t>5</w:t>
            </w:r>
            <w:r w:rsidR="00AC44CB">
              <w:rPr>
                <w:color w:val="000000"/>
                <w:szCs w:val="22"/>
              </w:rPr>
              <w:t>7 3</w:t>
            </w:r>
            <w:r w:rsidRPr="00AE6EDB">
              <w:rPr>
                <w:color w:val="000000"/>
                <w:szCs w:val="22"/>
              </w:rPr>
              <w:t>05</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50k</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0</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4</w:t>
            </w:r>
            <w:r w:rsidR="0054295F">
              <w:rPr>
                <w:color w:val="000000"/>
                <w:szCs w:val="22"/>
              </w:rPr>
              <w:t>4 0</w:t>
            </w:r>
            <w:r w:rsidRPr="00AE6EDB">
              <w:rPr>
                <w:color w:val="000000"/>
                <w:szCs w:val="22"/>
              </w:rPr>
              <w:t>50</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126</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1</w:t>
            </w:r>
            <w:r w:rsidR="0054295F">
              <w:rPr>
                <w:color w:val="000000"/>
                <w:szCs w:val="22"/>
              </w:rPr>
              <w:t>0 2</w:t>
            </w:r>
            <w:r w:rsidRPr="00AE6EDB">
              <w:rPr>
                <w:color w:val="000000"/>
                <w:szCs w:val="22"/>
              </w:rPr>
              <w:t>48</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51</w:t>
            </w:r>
          </w:p>
        </w:tc>
        <w:tc>
          <w:tcPr>
            <w:tcW w:w="1843" w:type="dxa"/>
            <w:noWrap/>
            <w:vAlign w:val="center"/>
            <w:hideMark/>
          </w:tcPr>
          <w:p w:rsidR="000A7585" w:rsidRPr="00AE6EDB" w:rsidRDefault="00AC44CB" w:rsidP="00DE0EEC">
            <w:pPr>
              <w:ind w:right="170"/>
              <w:jc w:val="right"/>
              <w:rPr>
                <w:color w:val="000000"/>
              </w:rPr>
            </w:pPr>
            <w:r>
              <w:rPr>
                <w:color w:val="000000"/>
                <w:szCs w:val="22"/>
              </w:rPr>
              <w:t>9 4</w:t>
            </w:r>
            <w:r w:rsidR="000A7585" w:rsidRPr="00AE6EDB">
              <w:rPr>
                <w:color w:val="000000"/>
                <w:szCs w:val="22"/>
              </w:rPr>
              <w:t>82</w:t>
            </w:r>
          </w:p>
        </w:tc>
        <w:tc>
          <w:tcPr>
            <w:tcW w:w="1843" w:type="dxa"/>
            <w:noWrap/>
            <w:vAlign w:val="center"/>
            <w:hideMark/>
          </w:tcPr>
          <w:p w:rsidR="000A7585" w:rsidRPr="00AE6EDB" w:rsidRDefault="0054295F" w:rsidP="00DE0EEC">
            <w:pPr>
              <w:ind w:right="170"/>
              <w:jc w:val="right"/>
              <w:rPr>
                <w:color w:val="000000"/>
              </w:rPr>
            </w:pPr>
            <w:r>
              <w:rPr>
                <w:color w:val="000000"/>
                <w:szCs w:val="22"/>
              </w:rPr>
              <w:t>4 4</w:t>
            </w:r>
            <w:r w:rsidR="000A7585" w:rsidRPr="00AE6EDB">
              <w:rPr>
                <w:color w:val="000000"/>
                <w:szCs w:val="22"/>
              </w:rPr>
              <w:t>2</w:t>
            </w:r>
            <w:r w:rsidR="00AC44CB">
              <w:rPr>
                <w:color w:val="000000"/>
                <w:szCs w:val="22"/>
              </w:rPr>
              <w:t>6 8</w:t>
            </w:r>
            <w:r w:rsidR="000A7585" w:rsidRPr="00AE6EDB">
              <w:rPr>
                <w:color w:val="000000"/>
                <w:szCs w:val="22"/>
              </w:rPr>
              <w:t>04</w:t>
            </w:r>
          </w:p>
        </w:tc>
        <w:tc>
          <w:tcPr>
            <w:tcW w:w="2015" w:type="dxa"/>
            <w:noWrap/>
            <w:vAlign w:val="center"/>
          </w:tcPr>
          <w:p w:rsidR="000A7585" w:rsidRPr="00AE6EDB" w:rsidRDefault="00AC44CB" w:rsidP="00DE0EEC">
            <w:pPr>
              <w:ind w:right="170"/>
              <w:jc w:val="right"/>
              <w:rPr>
                <w:color w:val="000000"/>
                <w:szCs w:val="22"/>
              </w:rPr>
            </w:pPr>
            <w:r>
              <w:rPr>
                <w:color w:val="000000"/>
                <w:szCs w:val="22"/>
              </w:rPr>
              <w:t>7 3</w:t>
            </w:r>
            <w:r w:rsidR="000A7585" w:rsidRPr="00AE6EDB">
              <w:rPr>
                <w:color w:val="000000"/>
                <w:szCs w:val="22"/>
              </w:rPr>
              <w:t>98</w:t>
            </w:r>
          </w:p>
        </w:tc>
        <w:tc>
          <w:tcPr>
            <w:tcW w:w="1954" w:type="dxa"/>
            <w:noWrap/>
            <w:vAlign w:val="center"/>
          </w:tcPr>
          <w:p w:rsidR="000A7585" w:rsidRPr="00AE6EDB" w:rsidRDefault="0054295F" w:rsidP="00DE0EEC">
            <w:pPr>
              <w:ind w:right="170"/>
              <w:jc w:val="right"/>
              <w:rPr>
                <w:color w:val="000000"/>
                <w:szCs w:val="22"/>
              </w:rPr>
            </w:pPr>
            <w:r>
              <w:rPr>
                <w:color w:val="000000"/>
                <w:szCs w:val="22"/>
              </w:rPr>
              <w:t>4 4</w:t>
            </w:r>
            <w:r w:rsidR="000A7585" w:rsidRPr="00AE6EDB">
              <w:rPr>
                <w:color w:val="000000"/>
                <w:szCs w:val="22"/>
              </w:rPr>
              <w:t>8</w:t>
            </w:r>
            <w:r>
              <w:rPr>
                <w:color w:val="000000"/>
                <w:szCs w:val="22"/>
              </w:rPr>
              <w:t>0 1</w:t>
            </w:r>
            <w:r w:rsidR="000A7585" w:rsidRPr="00AE6EDB">
              <w:rPr>
                <w:color w:val="000000"/>
                <w:szCs w:val="22"/>
              </w:rPr>
              <w:t>74</w:t>
            </w:r>
          </w:p>
        </w:tc>
      </w:tr>
      <w:tr w:rsidR="000A7585" w:rsidRPr="00AE6EDB" w:rsidTr="00DE0EEC">
        <w:trPr>
          <w:trHeight w:val="315"/>
        </w:trPr>
        <w:tc>
          <w:tcPr>
            <w:tcW w:w="1276" w:type="dxa"/>
            <w:noWrap/>
            <w:vAlign w:val="center"/>
          </w:tcPr>
          <w:p w:rsidR="000A7585" w:rsidRPr="00AE6EDB" w:rsidRDefault="000A7585" w:rsidP="00DE0EEC">
            <w:pPr>
              <w:rPr>
                <w:color w:val="000000"/>
                <w:szCs w:val="22"/>
              </w:rPr>
            </w:pPr>
            <w:r w:rsidRPr="00AE6EDB">
              <w:rPr>
                <w:color w:val="000000"/>
                <w:szCs w:val="22"/>
              </w:rPr>
              <w:t>§ 51a</w:t>
            </w:r>
          </w:p>
        </w:tc>
        <w:tc>
          <w:tcPr>
            <w:tcW w:w="1843" w:type="dxa"/>
            <w:noWrap/>
            <w:vAlign w:val="center"/>
          </w:tcPr>
          <w:p w:rsidR="000A7585" w:rsidRPr="00AE6EDB" w:rsidRDefault="000A7585" w:rsidP="00DE0EEC">
            <w:pPr>
              <w:ind w:right="170"/>
              <w:jc w:val="right"/>
              <w:rPr>
                <w:color w:val="000000"/>
                <w:szCs w:val="22"/>
              </w:rPr>
            </w:pPr>
            <w:r w:rsidRPr="00AE6EDB">
              <w:rPr>
                <w:color w:val="000000"/>
                <w:szCs w:val="22"/>
              </w:rPr>
              <w:t>-**</w:t>
            </w:r>
          </w:p>
        </w:tc>
        <w:tc>
          <w:tcPr>
            <w:tcW w:w="1843" w:type="dxa"/>
            <w:noWrap/>
            <w:vAlign w:val="center"/>
          </w:tcPr>
          <w:p w:rsidR="000A7585" w:rsidRPr="00AE6EDB" w:rsidRDefault="000A7585" w:rsidP="00DE0EEC">
            <w:pPr>
              <w:ind w:right="170"/>
              <w:jc w:val="right"/>
              <w:rPr>
                <w:color w:val="000000"/>
                <w:szCs w:val="22"/>
              </w:rPr>
            </w:pPr>
            <w:r w:rsidRPr="00AE6EDB">
              <w:rPr>
                <w:color w:val="000000"/>
                <w:szCs w:val="22"/>
              </w:rPr>
              <w:t>-**</w:t>
            </w:r>
          </w:p>
        </w:tc>
        <w:tc>
          <w:tcPr>
            <w:tcW w:w="2015" w:type="dxa"/>
            <w:noWrap/>
            <w:vAlign w:val="center"/>
          </w:tcPr>
          <w:p w:rsidR="000A7585" w:rsidRPr="00AE6EDB" w:rsidRDefault="0054295F" w:rsidP="00DE0EEC">
            <w:pPr>
              <w:ind w:right="170"/>
              <w:jc w:val="right"/>
              <w:rPr>
                <w:color w:val="000000"/>
                <w:szCs w:val="22"/>
              </w:rPr>
            </w:pPr>
            <w:r>
              <w:rPr>
                <w:color w:val="000000"/>
                <w:szCs w:val="22"/>
              </w:rPr>
              <w:t>3 3</w:t>
            </w:r>
            <w:r w:rsidR="000A7585" w:rsidRPr="00AE6EDB">
              <w:rPr>
                <w:color w:val="000000"/>
                <w:szCs w:val="22"/>
              </w:rPr>
              <w:t>15</w:t>
            </w:r>
          </w:p>
        </w:tc>
        <w:tc>
          <w:tcPr>
            <w:tcW w:w="1954" w:type="dxa"/>
            <w:noWrap/>
            <w:vAlign w:val="center"/>
          </w:tcPr>
          <w:p w:rsidR="000A7585" w:rsidRPr="00AE6EDB" w:rsidRDefault="0054295F" w:rsidP="00DE0EEC">
            <w:pPr>
              <w:ind w:right="170"/>
              <w:jc w:val="right"/>
              <w:rPr>
                <w:color w:val="000000"/>
                <w:szCs w:val="22"/>
              </w:rPr>
            </w:pPr>
            <w:r>
              <w:rPr>
                <w:color w:val="000000"/>
                <w:szCs w:val="22"/>
              </w:rPr>
              <w:t>4 2</w:t>
            </w:r>
            <w:r w:rsidR="000A7585" w:rsidRPr="00AE6EDB">
              <w:rPr>
                <w:color w:val="000000"/>
                <w:szCs w:val="22"/>
              </w:rPr>
              <w:t>2</w:t>
            </w:r>
            <w:r>
              <w:rPr>
                <w:color w:val="000000"/>
                <w:szCs w:val="22"/>
              </w:rPr>
              <w:t>3 8</w:t>
            </w:r>
            <w:r w:rsidR="000A7585" w:rsidRPr="00AE6EDB">
              <w:rPr>
                <w:color w:val="000000"/>
                <w:szCs w:val="22"/>
              </w:rPr>
              <w:t>27</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52</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2</w:t>
            </w:r>
            <w:r w:rsidR="00AC44CB">
              <w:rPr>
                <w:color w:val="000000"/>
                <w:szCs w:val="22"/>
              </w:rPr>
              <w:t>6 2</w:t>
            </w:r>
            <w:r w:rsidRPr="00AE6EDB">
              <w:rPr>
                <w:color w:val="000000"/>
                <w:szCs w:val="22"/>
              </w:rPr>
              <w:t>00</w:t>
            </w:r>
          </w:p>
        </w:tc>
        <w:tc>
          <w:tcPr>
            <w:tcW w:w="1843" w:type="dxa"/>
            <w:noWrap/>
            <w:vAlign w:val="center"/>
            <w:hideMark/>
          </w:tcPr>
          <w:p w:rsidR="000A7585" w:rsidRPr="00AE6EDB" w:rsidRDefault="0054295F" w:rsidP="00DE0EEC">
            <w:pPr>
              <w:ind w:right="170"/>
              <w:jc w:val="right"/>
              <w:rPr>
                <w:color w:val="000000"/>
              </w:rPr>
            </w:pPr>
            <w:r>
              <w:rPr>
                <w:color w:val="000000"/>
                <w:szCs w:val="22"/>
              </w:rPr>
              <w:t>4 2</w:t>
            </w:r>
            <w:r w:rsidR="000A7585" w:rsidRPr="00AE6EDB">
              <w:rPr>
                <w:color w:val="000000"/>
                <w:szCs w:val="22"/>
              </w:rPr>
              <w:t>1</w:t>
            </w:r>
            <w:r>
              <w:rPr>
                <w:color w:val="000000"/>
                <w:szCs w:val="22"/>
              </w:rPr>
              <w:t>3 5</w:t>
            </w:r>
            <w:r w:rsidR="000A7585" w:rsidRPr="00AE6EDB">
              <w:rPr>
                <w:color w:val="000000"/>
                <w:szCs w:val="22"/>
              </w:rPr>
              <w:t>68</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2</w:t>
            </w:r>
            <w:r w:rsidR="0054295F">
              <w:rPr>
                <w:color w:val="000000"/>
                <w:szCs w:val="22"/>
              </w:rPr>
              <w:t>4 1</w:t>
            </w:r>
            <w:r w:rsidRPr="00AE6EDB">
              <w:rPr>
                <w:color w:val="000000"/>
                <w:szCs w:val="22"/>
              </w:rPr>
              <w:t>56</w:t>
            </w:r>
          </w:p>
        </w:tc>
        <w:tc>
          <w:tcPr>
            <w:tcW w:w="1954" w:type="dxa"/>
            <w:noWrap/>
            <w:vAlign w:val="center"/>
          </w:tcPr>
          <w:p w:rsidR="000A7585" w:rsidRPr="00AE6EDB" w:rsidRDefault="00AC44CB" w:rsidP="00DE0EEC">
            <w:pPr>
              <w:ind w:right="170"/>
              <w:jc w:val="right"/>
              <w:rPr>
                <w:color w:val="000000"/>
                <w:szCs w:val="22"/>
              </w:rPr>
            </w:pPr>
            <w:r>
              <w:rPr>
                <w:color w:val="000000"/>
                <w:szCs w:val="22"/>
              </w:rPr>
              <w:t>5 2</w:t>
            </w:r>
            <w:r w:rsidR="000A7585" w:rsidRPr="00AE6EDB">
              <w:rPr>
                <w:color w:val="000000"/>
                <w:szCs w:val="22"/>
              </w:rPr>
              <w:t>0</w:t>
            </w:r>
            <w:r>
              <w:rPr>
                <w:color w:val="000000"/>
                <w:szCs w:val="22"/>
              </w:rPr>
              <w:t>9 1</w:t>
            </w:r>
            <w:r w:rsidR="000A7585" w:rsidRPr="00AE6EDB">
              <w:rPr>
                <w:color w:val="000000"/>
                <w:szCs w:val="22"/>
              </w:rPr>
              <w:t>32</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52a</w:t>
            </w:r>
          </w:p>
        </w:tc>
        <w:tc>
          <w:tcPr>
            <w:tcW w:w="1843" w:type="dxa"/>
            <w:noWrap/>
            <w:vAlign w:val="center"/>
            <w:hideMark/>
          </w:tcPr>
          <w:p w:rsidR="000A7585" w:rsidRPr="00AE6EDB" w:rsidRDefault="00AC44CB" w:rsidP="00DE0EEC">
            <w:pPr>
              <w:ind w:right="170"/>
              <w:jc w:val="right"/>
              <w:rPr>
                <w:color w:val="000000"/>
              </w:rPr>
            </w:pPr>
            <w:r>
              <w:rPr>
                <w:color w:val="000000"/>
                <w:szCs w:val="22"/>
              </w:rPr>
              <w:t>6 4</w:t>
            </w:r>
            <w:r w:rsidR="000A7585" w:rsidRPr="00AE6EDB">
              <w:rPr>
                <w:color w:val="000000"/>
                <w:szCs w:val="22"/>
              </w:rPr>
              <w:t>60</w:t>
            </w:r>
          </w:p>
        </w:tc>
        <w:tc>
          <w:tcPr>
            <w:tcW w:w="1843" w:type="dxa"/>
            <w:noWrap/>
            <w:vAlign w:val="center"/>
            <w:hideMark/>
          </w:tcPr>
          <w:p w:rsidR="000A7585" w:rsidRPr="00AE6EDB" w:rsidRDefault="00AC44CB" w:rsidP="00DE0EEC">
            <w:pPr>
              <w:ind w:right="170"/>
              <w:jc w:val="right"/>
              <w:rPr>
                <w:color w:val="000000"/>
              </w:rPr>
            </w:pPr>
            <w:r>
              <w:rPr>
                <w:color w:val="000000"/>
                <w:szCs w:val="22"/>
              </w:rPr>
              <w:t>5 7</w:t>
            </w:r>
            <w:r w:rsidR="000A7585" w:rsidRPr="00AE6EDB">
              <w:rPr>
                <w:color w:val="000000"/>
                <w:szCs w:val="22"/>
              </w:rPr>
              <w:t>3</w:t>
            </w:r>
            <w:r>
              <w:rPr>
                <w:color w:val="000000"/>
                <w:szCs w:val="22"/>
              </w:rPr>
              <w:t>4 9</w:t>
            </w:r>
            <w:r w:rsidR="000A7585" w:rsidRPr="00AE6EDB">
              <w:rPr>
                <w:color w:val="000000"/>
                <w:szCs w:val="22"/>
              </w:rPr>
              <w:t>28</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1</w:t>
            </w:r>
            <w:r w:rsidR="0054295F">
              <w:rPr>
                <w:color w:val="000000"/>
                <w:szCs w:val="22"/>
              </w:rPr>
              <w:t>2 9</w:t>
            </w:r>
            <w:r w:rsidRPr="00AE6EDB">
              <w:rPr>
                <w:color w:val="000000"/>
                <w:szCs w:val="22"/>
              </w:rPr>
              <w:t>41</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1</w:t>
            </w:r>
            <w:r w:rsidR="0054295F">
              <w:rPr>
                <w:color w:val="000000"/>
                <w:szCs w:val="22"/>
              </w:rPr>
              <w:t>0 4</w:t>
            </w:r>
            <w:r w:rsidRPr="00AE6EDB">
              <w:rPr>
                <w:color w:val="000000"/>
                <w:szCs w:val="22"/>
              </w:rPr>
              <w:t>1</w:t>
            </w:r>
            <w:r w:rsidR="00AC44CB">
              <w:rPr>
                <w:color w:val="000000"/>
                <w:szCs w:val="22"/>
              </w:rPr>
              <w:t>7 5</w:t>
            </w:r>
            <w:r w:rsidRPr="00AE6EDB">
              <w:rPr>
                <w:color w:val="000000"/>
                <w:szCs w:val="22"/>
              </w:rPr>
              <w:t>90</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53</w:t>
            </w:r>
          </w:p>
        </w:tc>
        <w:tc>
          <w:tcPr>
            <w:tcW w:w="1843" w:type="dxa"/>
            <w:noWrap/>
            <w:vAlign w:val="center"/>
            <w:hideMark/>
          </w:tcPr>
          <w:p w:rsidR="000A7585" w:rsidRPr="00AE6EDB" w:rsidRDefault="00AC44CB" w:rsidP="00DE0EEC">
            <w:pPr>
              <w:ind w:right="170"/>
              <w:jc w:val="right"/>
              <w:rPr>
                <w:color w:val="000000"/>
              </w:rPr>
            </w:pPr>
            <w:r>
              <w:rPr>
                <w:color w:val="000000"/>
                <w:szCs w:val="22"/>
              </w:rPr>
              <w:t>7 0</w:t>
            </w:r>
            <w:r w:rsidR="000A7585" w:rsidRPr="00AE6EDB">
              <w:rPr>
                <w:color w:val="000000"/>
                <w:szCs w:val="22"/>
              </w:rPr>
              <w:t>59</w:t>
            </w:r>
          </w:p>
        </w:tc>
        <w:tc>
          <w:tcPr>
            <w:tcW w:w="1843" w:type="dxa"/>
            <w:noWrap/>
            <w:vAlign w:val="center"/>
            <w:hideMark/>
          </w:tcPr>
          <w:p w:rsidR="000A7585" w:rsidRPr="00AE6EDB" w:rsidRDefault="0054295F" w:rsidP="00DE0EEC">
            <w:pPr>
              <w:ind w:right="170"/>
              <w:jc w:val="right"/>
              <w:rPr>
                <w:color w:val="000000"/>
              </w:rPr>
            </w:pPr>
            <w:r>
              <w:rPr>
                <w:color w:val="000000"/>
                <w:szCs w:val="22"/>
              </w:rPr>
              <w:t>1 5</w:t>
            </w:r>
            <w:r w:rsidR="000A7585" w:rsidRPr="00AE6EDB">
              <w:rPr>
                <w:color w:val="000000"/>
                <w:szCs w:val="22"/>
              </w:rPr>
              <w:t>9</w:t>
            </w:r>
            <w:r>
              <w:rPr>
                <w:color w:val="000000"/>
                <w:szCs w:val="22"/>
              </w:rPr>
              <w:t>0 0</w:t>
            </w:r>
            <w:r w:rsidR="000A7585" w:rsidRPr="00AE6EDB">
              <w:rPr>
                <w:color w:val="000000"/>
                <w:szCs w:val="22"/>
              </w:rPr>
              <w:t>39</w:t>
            </w:r>
          </w:p>
        </w:tc>
        <w:tc>
          <w:tcPr>
            <w:tcW w:w="2015" w:type="dxa"/>
            <w:noWrap/>
            <w:vAlign w:val="center"/>
          </w:tcPr>
          <w:p w:rsidR="000A7585" w:rsidRPr="00AE6EDB" w:rsidRDefault="00AC44CB" w:rsidP="00DE0EEC">
            <w:pPr>
              <w:ind w:right="170"/>
              <w:jc w:val="right"/>
              <w:rPr>
                <w:color w:val="000000"/>
                <w:szCs w:val="22"/>
              </w:rPr>
            </w:pPr>
            <w:r>
              <w:rPr>
                <w:color w:val="000000"/>
                <w:szCs w:val="22"/>
              </w:rPr>
              <w:t>5 8</w:t>
            </w:r>
            <w:r w:rsidR="000A7585" w:rsidRPr="00AE6EDB">
              <w:rPr>
                <w:color w:val="000000"/>
                <w:szCs w:val="22"/>
              </w:rPr>
              <w:t>24</w:t>
            </w:r>
          </w:p>
        </w:tc>
        <w:tc>
          <w:tcPr>
            <w:tcW w:w="1954" w:type="dxa"/>
            <w:noWrap/>
            <w:vAlign w:val="center"/>
          </w:tcPr>
          <w:p w:rsidR="000A7585" w:rsidRPr="00AE6EDB" w:rsidRDefault="0054295F" w:rsidP="00DE0EEC">
            <w:pPr>
              <w:ind w:right="170"/>
              <w:jc w:val="right"/>
              <w:rPr>
                <w:color w:val="000000"/>
                <w:szCs w:val="22"/>
              </w:rPr>
            </w:pPr>
            <w:r>
              <w:rPr>
                <w:color w:val="000000"/>
                <w:szCs w:val="22"/>
              </w:rPr>
              <w:t>1 1</w:t>
            </w:r>
            <w:r w:rsidR="000A7585" w:rsidRPr="00AE6EDB">
              <w:rPr>
                <w:color w:val="000000"/>
                <w:szCs w:val="22"/>
              </w:rPr>
              <w:t>4</w:t>
            </w:r>
            <w:r>
              <w:rPr>
                <w:color w:val="000000"/>
                <w:szCs w:val="22"/>
              </w:rPr>
              <w:t>1 0</w:t>
            </w:r>
            <w:r w:rsidR="000A7585" w:rsidRPr="00AE6EDB">
              <w:rPr>
                <w:color w:val="000000"/>
                <w:szCs w:val="22"/>
              </w:rPr>
              <w:t>46</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53a</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38</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6</w:t>
            </w:r>
            <w:r w:rsidR="00AC44CB">
              <w:rPr>
                <w:color w:val="000000"/>
                <w:szCs w:val="22"/>
              </w:rPr>
              <w:t>6 1</w:t>
            </w:r>
            <w:r w:rsidRPr="00AE6EDB">
              <w:rPr>
                <w:color w:val="000000"/>
                <w:szCs w:val="22"/>
              </w:rPr>
              <w:t>93</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46</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6</w:t>
            </w:r>
            <w:r w:rsidR="00AC44CB">
              <w:rPr>
                <w:color w:val="000000"/>
                <w:szCs w:val="22"/>
              </w:rPr>
              <w:t>6 8</w:t>
            </w:r>
            <w:r w:rsidRPr="00AE6EDB">
              <w:rPr>
                <w:color w:val="000000"/>
                <w:szCs w:val="22"/>
              </w:rPr>
              <w:t>75</w:t>
            </w:r>
          </w:p>
        </w:tc>
      </w:tr>
      <w:tr w:rsidR="000A7585" w:rsidRPr="00AE6EDB" w:rsidTr="00DE0EEC">
        <w:trPr>
          <w:trHeight w:val="315"/>
        </w:trPr>
        <w:tc>
          <w:tcPr>
            <w:tcW w:w="1276" w:type="dxa"/>
            <w:noWrap/>
            <w:vAlign w:val="center"/>
          </w:tcPr>
          <w:p w:rsidR="000A7585" w:rsidRPr="00AE6EDB" w:rsidRDefault="000A7585" w:rsidP="00DE0EEC">
            <w:pPr>
              <w:rPr>
                <w:color w:val="000000"/>
                <w:szCs w:val="22"/>
              </w:rPr>
            </w:pPr>
            <w:r w:rsidRPr="00AE6EDB">
              <w:rPr>
                <w:color w:val="000000"/>
                <w:szCs w:val="22"/>
              </w:rPr>
              <w:t>§ 53b</w:t>
            </w:r>
          </w:p>
        </w:tc>
        <w:tc>
          <w:tcPr>
            <w:tcW w:w="1843" w:type="dxa"/>
            <w:noWrap/>
            <w:vAlign w:val="center"/>
          </w:tcPr>
          <w:p w:rsidR="000A7585" w:rsidRPr="00AE6EDB" w:rsidRDefault="00941C36" w:rsidP="00DE0EEC">
            <w:pPr>
              <w:ind w:right="170"/>
              <w:jc w:val="right"/>
              <w:rPr>
                <w:color w:val="000000"/>
                <w:szCs w:val="22"/>
              </w:rPr>
            </w:pPr>
            <w:r w:rsidRPr="00AE6EDB">
              <w:rPr>
                <w:color w:val="000000"/>
                <w:szCs w:val="22"/>
              </w:rPr>
              <w:t>0</w:t>
            </w:r>
          </w:p>
        </w:tc>
        <w:tc>
          <w:tcPr>
            <w:tcW w:w="1843" w:type="dxa"/>
            <w:noWrap/>
            <w:vAlign w:val="center"/>
          </w:tcPr>
          <w:p w:rsidR="000A7585" w:rsidRPr="00AE6EDB" w:rsidRDefault="00941C36" w:rsidP="00DE0EEC">
            <w:pPr>
              <w:ind w:right="170"/>
              <w:jc w:val="right"/>
              <w:rPr>
                <w:color w:val="000000"/>
                <w:szCs w:val="22"/>
              </w:rPr>
            </w:pPr>
            <w:r w:rsidRPr="00AE6EDB">
              <w:rPr>
                <w:color w:val="000000"/>
                <w:szCs w:val="22"/>
              </w:rPr>
              <w:t>0</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170</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4</w:t>
            </w:r>
            <w:r w:rsidR="00AC44CB">
              <w:rPr>
                <w:color w:val="000000"/>
                <w:szCs w:val="22"/>
              </w:rPr>
              <w:t>7 9</w:t>
            </w:r>
            <w:r w:rsidRPr="00AE6EDB">
              <w:rPr>
                <w:color w:val="000000"/>
                <w:szCs w:val="22"/>
              </w:rPr>
              <w:t>19</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xml:space="preserve">§53d </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570</w:t>
            </w:r>
          </w:p>
        </w:tc>
        <w:tc>
          <w:tcPr>
            <w:tcW w:w="1843" w:type="dxa"/>
            <w:noWrap/>
            <w:vAlign w:val="center"/>
            <w:hideMark/>
          </w:tcPr>
          <w:p w:rsidR="000A7585" w:rsidRPr="00AE6EDB" w:rsidRDefault="0054295F" w:rsidP="00DE0EEC">
            <w:pPr>
              <w:ind w:right="170"/>
              <w:jc w:val="right"/>
              <w:rPr>
                <w:color w:val="000000"/>
              </w:rPr>
            </w:pPr>
            <w:r>
              <w:rPr>
                <w:color w:val="000000"/>
                <w:szCs w:val="22"/>
              </w:rPr>
              <w:t>2 6</w:t>
            </w:r>
            <w:r w:rsidR="000A7585" w:rsidRPr="00AE6EDB">
              <w:rPr>
                <w:color w:val="000000"/>
                <w:szCs w:val="22"/>
              </w:rPr>
              <w:t>7</w:t>
            </w:r>
            <w:r>
              <w:rPr>
                <w:color w:val="000000"/>
                <w:szCs w:val="22"/>
              </w:rPr>
              <w:t>2 3</w:t>
            </w:r>
            <w:r w:rsidR="000A7585" w:rsidRPr="00AE6EDB">
              <w:rPr>
                <w:color w:val="000000"/>
                <w:szCs w:val="22"/>
              </w:rPr>
              <w:t>10</w:t>
            </w:r>
          </w:p>
        </w:tc>
        <w:tc>
          <w:tcPr>
            <w:tcW w:w="2015" w:type="dxa"/>
            <w:noWrap/>
            <w:vAlign w:val="center"/>
          </w:tcPr>
          <w:p w:rsidR="000A7585" w:rsidRPr="00AE6EDB" w:rsidRDefault="0054295F" w:rsidP="00DE0EEC">
            <w:pPr>
              <w:ind w:right="170"/>
              <w:jc w:val="right"/>
              <w:rPr>
                <w:color w:val="000000"/>
                <w:szCs w:val="22"/>
              </w:rPr>
            </w:pPr>
            <w:r>
              <w:rPr>
                <w:color w:val="000000"/>
                <w:szCs w:val="22"/>
              </w:rPr>
              <w:t>1 0</w:t>
            </w:r>
            <w:r w:rsidR="000A7585" w:rsidRPr="00AE6EDB">
              <w:rPr>
                <w:color w:val="000000"/>
                <w:szCs w:val="22"/>
              </w:rPr>
              <w:t>86</w:t>
            </w:r>
          </w:p>
        </w:tc>
        <w:tc>
          <w:tcPr>
            <w:tcW w:w="1954" w:type="dxa"/>
            <w:noWrap/>
            <w:vAlign w:val="center"/>
          </w:tcPr>
          <w:p w:rsidR="000A7585" w:rsidRPr="00AE6EDB" w:rsidRDefault="00AC44CB" w:rsidP="00DE0EEC">
            <w:pPr>
              <w:ind w:right="170"/>
              <w:jc w:val="right"/>
              <w:rPr>
                <w:color w:val="000000"/>
                <w:szCs w:val="22"/>
              </w:rPr>
            </w:pPr>
            <w:r>
              <w:rPr>
                <w:color w:val="000000"/>
                <w:szCs w:val="22"/>
              </w:rPr>
              <w:t>5 8</w:t>
            </w:r>
            <w:r w:rsidR="000A7585" w:rsidRPr="00AE6EDB">
              <w:rPr>
                <w:color w:val="000000"/>
                <w:szCs w:val="22"/>
              </w:rPr>
              <w:t>4</w:t>
            </w:r>
            <w:r w:rsidR="0054295F">
              <w:rPr>
                <w:color w:val="000000"/>
                <w:szCs w:val="22"/>
              </w:rPr>
              <w:t>1 7</w:t>
            </w:r>
            <w:r w:rsidR="000A7585" w:rsidRPr="00AE6EDB">
              <w:rPr>
                <w:color w:val="000000"/>
                <w:szCs w:val="22"/>
              </w:rPr>
              <w:t>80</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§54</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w:t>
            </w:r>
            <w:r w:rsidR="00AC44CB">
              <w:rPr>
                <w:color w:val="000000"/>
                <w:szCs w:val="22"/>
              </w:rPr>
              <w:t>7 1</w:t>
            </w:r>
            <w:r w:rsidRPr="00AE6EDB">
              <w:rPr>
                <w:color w:val="000000"/>
                <w:szCs w:val="22"/>
              </w:rPr>
              <w:t>88</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3</w:t>
            </w:r>
            <w:r w:rsidR="00AC44CB">
              <w:rPr>
                <w:color w:val="000000"/>
                <w:szCs w:val="22"/>
              </w:rPr>
              <w:t>9 8</w:t>
            </w:r>
            <w:r w:rsidRPr="00AE6EDB">
              <w:rPr>
                <w:color w:val="000000"/>
                <w:szCs w:val="22"/>
              </w:rPr>
              <w:t>6</w:t>
            </w:r>
            <w:r w:rsidR="0054295F">
              <w:rPr>
                <w:color w:val="000000"/>
                <w:szCs w:val="22"/>
              </w:rPr>
              <w:t>3 2</w:t>
            </w:r>
            <w:r w:rsidRPr="00AE6EDB">
              <w:rPr>
                <w:color w:val="000000"/>
                <w:szCs w:val="22"/>
              </w:rPr>
              <w:t>08</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3</w:t>
            </w:r>
            <w:r w:rsidR="0054295F">
              <w:rPr>
                <w:color w:val="000000"/>
                <w:szCs w:val="22"/>
              </w:rPr>
              <w:t>3 6</w:t>
            </w:r>
            <w:r w:rsidRPr="00AE6EDB">
              <w:rPr>
                <w:color w:val="000000"/>
                <w:szCs w:val="22"/>
              </w:rPr>
              <w:t>37</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4</w:t>
            </w:r>
            <w:r w:rsidR="0054295F">
              <w:rPr>
                <w:color w:val="000000"/>
                <w:szCs w:val="22"/>
              </w:rPr>
              <w:t>1 9</w:t>
            </w:r>
            <w:r w:rsidRPr="00AE6EDB">
              <w:rPr>
                <w:color w:val="000000"/>
                <w:szCs w:val="22"/>
              </w:rPr>
              <w:t>4</w:t>
            </w:r>
            <w:r w:rsidR="0054295F">
              <w:rPr>
                <w:color w:val="000000"/>
                <w:szCs w:val="22"/>
              </w:rPr>
              <w:t>2 5</w:t>
            </w:r>
            <w:r w:rsidRPr="00AE6EDB">
              <w:rPr>
                <w:color w:val="000000"/>
                <w:szCs w:val="22"/>
              </w:rPr>
              <w:t>18</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§56</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994</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w:t>
            </w:r>
            <w:r w:rsidR="0054295F">
              <w:rPr>
                <w:color w:val="000000"/>
                <w:szCs w:val="22"/>
              </w:rPr>
              <w:t>2 6</w:t>
            </w:r>
            <w:r w:rsidRPr="00AE6EDB">
              <w:rPr>
                <w:color w:val="000000"/>
                <w:szCs w:val="22"/>
              </w:rPr>
              <w:t>4</w:t>
            </w:r>
            <w:r w:rsidR="0054295F">
              <w:rPr>
                <w:color w:val="000000"/>
                <w:szCs w:val="22"/>
              </w:rPr>
              <w:t>0 4</w:t>
            </w:r>
            <w:r w:rsidRPr="00AE6EDB">
              <w:rPr>
                <w:color w:val="000000"/>
                <w:szCs w:val="22"/>
              </w:rPr>
              <w:t>58</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545</w:t>
            </w:r>
          </w:p>
        </w:tc>
        <w:tc>
          <w:tcPr>
            <w:tcW w:w="1954" w:type="dxa"/>
            <w:noWrap/>
            <w:vAlign w:val="center"/>
          </w:tcPr>
          <w:p w:rsidR="000A7585" w:rsidRPr="00AE6EDB" w:rsidRDefault="0054295F" w:rsidP="00DE0EEC">
            <w:pPr>
              <w:ind w:right="170"/>
              <w:jc w:val="right"/>
              <w:rPr>
                <w:color w:val="000000"/>
                <w:szCs w:val="22"/>
              </w:rPr>
            </w:pPr>
            <w:r>
              <w:rPr>
                <w:color w:val="000000"/>
                <w:szCs w:val="22"/>
              </w:rPr>
              <w:t>2 9</w:t>
            </w:r>
            <w:r w:rsidR="000A7585" w:rsidRPr="00AE6EDB">
              <w:rPr>
                <w:color w:val="000000"/>
                <w:szCs w:val="22"/>
              </w:rPr>
              <w:t>2</w:t>
            </w:r>
            <w:r w:rsidR="00AC44CB">
              <w:rPr>
                <w:color w:val="000000"/>
                <w:szCs w:val="22"/>
              </w:rPr>
              <w:t>9 7</w:t>
            </w:r>
            <w:r w:rsidR="000A7585" w:rsidRPr="00AE6EDB">
              <w:rPr>
                <w:color w:val="000000"/>
                <w:szCs w:val="22"/>
              </w:rPr>
              <w:t>05</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56a</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31</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16</w:t>
            </w:r>
            <w:r w:rsidR="00AC44CB">
              <w:rPr>
                <w:color w:val="000000"/>
                <w:szCs w:val="22"/>
              </w:rPr>
              <w:t>9 6</w:t>
            </w:r>
            <w:r w:rsidRPr="00AE6EDB">
              <w:rPr>
                <w:color w:val="000000"/>
                <w:szCs w:val="22"/>
              </w:rPr>
              <w:t>43</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29</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3</w:t>
            </w:r>
            <w:r w:rsidR="0054295F">
              <w:rPr>
                <w:color w:val="000000"/>
                <w:szCs w:val="22"/>
              </w:rPr>
              <w:t>3 0</w:t>
            </w:r>
            <w:r w:rsidRPr="00AE6EDB">
              <w:rPr>
                <w:color w:val="000000"/>
                <w:szCs w:val="22"/>
              </w:rPr>
              <w:t>50</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§57</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96</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43</w:t>
            </w:r>
            <w:r w:rsidR="0054295F">
              <w:rPr>
                <w:color w:val="000000"/>
                <w:szCs w:val="22"/>
              </w:rPr>
              <w:t>1 0</w:t>
            </w:r>
            <w:r w:rsidRPr="00AE6EDB">
              <w:rPr>
                <w:color w:val="000000"/>
                <w:szCs w:val="22"/>
              </w:rPr>
              <w:t>95</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90</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39</w:t>
            </w:r>
            <w:r w:rsidR="0054295F">
              <w:rPr>
                <w:color w:val="000000"/>
                <w:szCs w:val="22"/>
              </w:rPr>
              <w:t>0 4</w:t>
            </w:r>
            <w:r w:rsidRPr="00AE6EDB">
              <w:rPr>
                <w:color w:val="000000"/>
                <w:szCs w:val="22"/>
              </w:rPr>
              <w:t>73</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§59</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770</w:t>
            </w:r>
          </w:p>
        </w:tc>
        <w:tc>
          <w:tcPr>
            <w:tcW w:w="1843" w:type="dxa"/>
            <w:noWrap/>
            <w:vAlign w:val="center"/>
            <w:hideMark/>
          </w:tcPr>
          <w:p w:rsidR="000A7585" w:rsidRPr="00AE6EDB" w:rsidRDefault="0054295F" w:rsidP="00DE0EEC">
            <w:pPr>
              <w:ind w:right="170"/>
              <w:jc w:val="right"/>
              <w:rPr>
                <w:color w:val="000000"/>
              </w:rPr>
            </w:pPr>
            <w:r>
              <w:rPr>
                <w:color w:val="000000"/>
                <w:szCs w:val="22"/>
              </w:rPr>
              <w:t>3 2</w:t>
            </w:r>
            <w:r w:rsidR="000A7585" w:rsidRPr="00AE6EDB">
              <w:rPr>
                <w:color w:val="000000"/>
                <w:szCs w:val="22"/>
              </w:rPr>
              <w:t>2</w:t>
            </w:r>
            <w:r>
              <w:rPr>
                <w:color w:val="000000"/>
                <w:szCs w:val="22"/>
              </w:rPr>
              <w:t>0 7</w:t>
            </w:r>
            <w:r w:rsidR="000A7585" w:rsidRPr="00AE6EDB">
              <w:rPr>
                <w:color w:val="000000"/>
                <w:szCs w:val="22"/>
              </w:rPr>
              <w:t>22</w:t>
            </w:r>
          </w:p>
        </w:tc>
        <w:tc>
          <w:tcPr>
            <w:tcW w:w="2015" w:type="dxa"/>
            <w:noWrap/>
            <w:vAlign w:val="center"/>
          </w:tcPr>
          <w:p w:rsidR="000A7585" w:rsidRPr="00AE6EDB" w:rsidRDefault="000A7585" w:rsidP="00DE0EEC">
            <w:pPr>
              <w:ind w:right="170"/>
              <w:jc w:val="right"/>
              <w:rPr>
                <w:color w:val="000000"/>
                <w:szCs w:val="22"/>
              </w:rPr>
            </w:pPr>
            <w:r w:rsidRPr="00AE6EDB">
              <w:rPr>
                <w:color w:val="000000"/>
                <w:szCs w:val="22"/>
              </w:rPr>
              <w:t>831</w:t>
            </w:r>
          </w:p>
        </w:tc>
        <w:tc>
          <w:tcPr>
            <w:tcW w:w="1954" w:type="dxa"/>
            <w:noWrap/>
            <w:vAlign w:val="center"/>
          </w:tcPr>
          <w:p w:rsidR="000A7585" w:rsidRPr="00AE6EDB" w:rsidRDefault="0054295F" w:rsidP="00DE0EEC">
            <w:pPr>
              <w:ind w:right="170"/>
              <w:jc w:val="right"/>
              <w:rPr>
                <w:color w:val="000000"/>
                <w:szCs w:val="22"/>
              </w:rPr>
            </w:pPr>
            <w:r>
              <w:rPr>
                <w:color w:val="000000"/>
                <w:szCs w:val="22"/>
              </w:rPr>
              <w:t>3 2</w:t>
            </w:r>
            <w:r w:rsidR="000A7585" w:rsidRPr="00AE6EDB">
              <w:rPr>
                <w:color w:val="000000"/>
                <w:szCs w:val="22"/>
              </w:rPr>
              <w:t>5</w:t>
            </w:r>
            <w:r w:rsidR="00AC44CB">
              <w:rPr>
                <w:color w:val="000000"/>
                <w:szCs w:val="22"/>
              </w:rPr>
              <w:t>5 6</w:t>
            </w:r>
            <w:r w:rsidR="000A7585" w:rsidRPr="00AE6EDB">
              <w:rPr>
                <w:color w:val="000000"/>
                <w:szCs w:val="22"/>
              </w:rPr>
              <w:t>76</w:t>
            </w:r>
          </w:p>
        </w:tc>
      </w:tr>
      <w:tr w:rsidR="000A7585" w:rsidRPr="00AE6EDB" w:rsidTr="00DE0EEC">
        <w:trPr>
          <w:trHeight w:val="315"/>
        </w:trPr>
        <w:tc>
          <w:tcPr>
            <w:tcW w:w="1276" w:type="dxa"/>
            <w:noWrap/>
            <w:vAlign w:val="center"/>
            <w:hideMark/>
          </w:tcPr>
          <w:p w:rsidR="000A7585" w:rsidRPr="00AE6EDB" w:rsidRDefault="000A7585" w:rsidP="00DE0EEC">
            <w:pPr>
              <w:rPr>
                <w:color w:val="000000"/>
              </w:rPr>
            </w:pPr>
            <w:r w:rsidRPr="00AE6EDB">
              <w:rPr>
                <w:color w:val="000000"/>
                <w:szCs w:val="22"/>
              </w:rPr>
              <w:t>§ 60</w:t>
            </w:r>
          </w:p>
        </w:tc>
        <w:tc>
          <w:tcPr>
            <w:tcW w:w="1843" w:type="dxa"/>
            <w:noWrap/>
            <w:vAlign w:val="center"/>
            <w:hideMark/>
          </w:tcPr>
          <w:p w:rsidR="000A7585" w:rsidRPr="00AE6EDB" w:rsidRDefault="00AC44CB" w:rsidP="00DE0EEC">
            <w:pPr>
              <w:ind w:right="170"/>
              <w:jc w:val="right"/>
              <w:rPr>
                <w:color w:val="000000"/>
              </w:rPr>
            </w:pPr>
            <w:r>
              <w:rPr>
                <w:color w:val="000000"/>
                <w:szCs w:val="22"/>
              </w:rPr>
              <w:t>9 7</w:t>
            </w:r>
            <w:r w:rsidR="000A7585" w:rsidRPr="00AE6EDB">
              <w:rPr>
                <w:color w:val="000000"/>
                <w:szCs w:val="22"/>
              </w:rPr>
              <w:t>28</w:t>
            </w:r>
          </w:p>
        </w:tc>
        <w:tc>
          <w:tcPr>
            <w:tcW w:w="1843" w:type="dxa"/>
            <w:noWrap/>
            <w:vAlign w:val="center"/>
            <w:hideMark/>
          </w:tcPr>
          <w:p w:rsidR="000A7585" w:rsidRPr="00AE6EDB" w:rsidRDefault="000A7585" w:rsidP="00DE0EEC">
            <w:pPr>
              <w:ind w:right="170"/>
              <w:jc w:val="right"/>
              <w:rPr>
                <w:color w:val="000000"/>
              </w:rPr>
            </w:pPr>
            <w:r w:rsidRPr="00AE6EDB">
              <w:rPr>
                <w:color w:val="000000"/>
                <w:szCs w:val="22"/>
              </w:rPr>
              <w:t>2</w:t>
            </w:r>
            <w:r w:rsidR="0054295F">
              <w:rPr>
                <w:color w:val="000000"/>
                <w:szCs w:val="22"/>
              </w:rPr>
              <w:t>0 2</w:t>
            </w:r>
            <w:r w:rsidRPr="00AE6EDB">
              <w:rPr>
                <w:color w:val="000000"/>
                <w:szCs w:val="22"/>
              </w:rPr>
              <w:t>5</w:t>
            </w:r>
            <w:r w:rsidR="00AC44CB">
              <w:rPr>
                <w:color w:val="000000"/>
                <w:szCs w:val="22"/>
              </w:rPr>
              <w:t>8 1</w:t>
            </w:r>
            <w:r w:rsidRPr="00AE6EDB">
              <w:rPr>
                <w:color w:val="000000"/>
                <w:szCs w:val="22"/>
              </w:rPr>
              <w:t>00</w:t>
            </w:r>
          </w:p>
        </w:tc>
        <w:tc>
          <w:tcPr>
            <w:tcW w:w="2015" w:type="dxa"/>
            <w:noWrap/>
            <w:vAlign w:val="center"/>
          </w:tcPr>
          <w:p w:rsidR="000A7585" w:rsidRPr="00AE6EDB" w:rsidRDefault="00AC44CB" w:rsidP="00DE0EEC">
            <w:pPr>
              <w:ind w:right="170"/>
              <w:jc w:val="right"/>
              <w:rPr>
                <w:color w:val="000000"/>
                <w:szCs w:val="22"/>
              </w:rPr>
            </w:pPr>
            <w:r>
              <w:rPr>
                <w:color w:val="000000"/>
                <w:szCs w:val="22"/>
              </w:rPr>
              <w:t>9 8</w:t>
            </w:r>
            <w:r w:rsidR="000A7585" w:rsidRPr="00AE6EDB">
              <w:rPr>
                <w:color w:val="000000"/>
                <w:szCs w:val="22"/>
              </w:rPr>
              <w:t>08</w:t>
            </w:r>
          </w:p>
        </w:tc>
        <w:tc>
          <w:tcPr>
            <w:tcW w:w="1954" w:type="dxa"/>
            <w:noWrap/>
            <w:vAlign w:val="center"/>
          </w:tcPr>
          <w:p w:rsidR="000A7585" w:rsidRPr="00AE6EDB" w:rsidRDefault="000A7585" w:rsidP="00DE0EEC">
            <w:pPr>
              <w:ind w:right="170"/>
              <w:jc w:val="right"/>
              <w:rPr>
                <w:color w:val="000000"/>
                <w:szCs w:val="22"/>
              </w:rPr>
            </w:pPr>
            <w:r w:rsidRPr="00AE6EDB">
              <w:rPr>
                <w:color w:val="000000"/>
                <w:szCs w:val="22"/>
              </w:rPr>
              <w:t>2</w:t>
            </w:r>
            <w:r w:rsidR="0054295F">
              <w:rPr>
                <w:color w:val="000000"/>
                <w:szCs w:val="22"/>
              </w:rPr>
              <w:t>3 6</w:t>
            </w:r>
            <w:r w:rsidRPr="00AE6EDB">
              <w:rPr>
                <w:color w:val="000000"/>
                <w:szCs w:val="22"/>
              </w:rPr>
              <w:t>1</w:t>
            </w:r>
            <w:r w:rsidR="0054295F">
              <w:rPr>
                <w:color w:val="000000"/>
                <w:szCs w:val="22"/>
              </w:rPr>
              <w:t>4 1</w:t>
            </w:r>
            <w:r w:rsidRPr="00AE6EDB">
              <w:rPr>
                <w:color w:val="000000"/>
                <w:szCs w:val="22"/>
              </w:rPr>
              <w:t>57</w:t>
            </w:r>
          </w:p>
        </w:tc>
      </w:tr>
      <w:tr w:rsidR="000A7585" w:rsidRPr="00AE6EDB" w:rsidTr="00DE0EEC">
        <w:trPr>
          <w:trHeight w:val="315"/>
        </w:trPr>
        <w:tc>
          <w:tcPr>
            <w:tcW w:w="1276" w:type="dxa"/>
            <w:vAlign w:val="center"/>
            <w:hideMark/>
          </w:tcPr>
          <w:p w:rsidR="000A7585" w:rsidRPr="00AE6EDB" w:rsidRDefault="000A7585" w:rsidP="00DE0EEC">
            <w:pPr>
              <w:rPr>
                <w:b/>
                <w:bCs/>
                <w:color w:val="000000"/>
              </w:rPr>
            </w:pPr>
            <w:r w:rsidRPr="00AE6EDB">
              <w:rPr>
                <w:b/>
                <w:bCs/>
                <w:color w:val="000000"/>
                <w:szCs w:val="22"/>
              </w:rPr>
              <w:t>Spolu</w:t>
            </w:r>
          </w:p>
        </w:tc>
        <w:tc>
          <w:tcPr>
            <w:tcW w:w="1843" w:type="dxa"/>
            <w:vAlign w:val="center"/>
            <w:hideMark/>
          </w:tcPr>
          <w:p w:rsidR="000A7585" w:rsidRPr="00AE6EDB" w:rsidRDefault="000A7585" w:rsidP="00DE0EEC">
            <w:pPr>
              <w:ind w:right="170"/>
              <w:jc w:val="right"/>
              <w:rPr>
                <w:b/>
                <w:bCs/>
                <w:color w:val="000000"/>
              </w:rPr>
            </w:pPr>
            <w:r w:rsidRPr="00AE6EDB">
              <w:rPr>
                <w:b/>
                <w:bCs/>
                <w:color w:val="000000"/>
                <w:szCs w:val="22"/>
              </w:rPr>
              <w:t>51</w:t>
            </w:r>
            <w:r w:rsidR="00AC44CB">
              <w:rPr>
                <w:b/>
                <w:bCs/>
                <w:color w:val="000000"/>
                <w:szCs w:val="22"/>
              </w:rPr>
              <w:t>9 6</w:t>
            </w:r>
            <w:r w:rsidRPr="00AE6EDB">
              <w:rPr>
                <w:b/>
                <w:bCs/>
                <w:color w:val="000000"/>
                <w:szCs w:val="22"/>
              </w:rPr>
              <w:t>53</w:t>
            </w:r>
          </w:p>
        </w:tc>
        <w:tc>
          <w:tcPr>
            <w:tcW w:w="1843" w:type="dxa"/>
            <w:vAlign w:val="center"/>
            <w:hideMark/>
          </w:tcPr>
          <w:p w:rsidR="000A7585" w:rsidRPr="00AE6EDB" w:rsidRDefault="000A7585" w:rsidP="00DE0EEC">
            <w:pPr>
              <w:ind w:right="170"/>
              <w:jc w:val="right"/>
              <w:rPr>
                <w:b/>
                <w:bCs/>
                <w:color w:val="000000"/>
              </w:rPr>
            </w:pPr>
            <w:r w:rsidRPr="00AE6EDB">
              <w:rPr>
                <w:b/>
                <w:bCs/>
                <w:color w:val="000000"/>
                <w:szCs w:val="22"/>
              </w:rPr>
              <w:t>12</w:t>
            </w:r>
            <w:r w:rsidR="00AC44CB">
              <w:rPr>
                <w:b/>
                <w:bCs/>
                <w:color w:val="000000"/>
                <w:szCs w:val="22"/>
              </w:rPr>
              <w:t>9 2</w:t>
            </w:r>
            <w:r w:rsidRPr="00AE6EDB">
              <w:rPr>
                <w:b/>
                <w:bCs/>
                <w:color w:val="000000"/>
                <w:szCs w:val="22"/>
              </w:rPr>
              <w:t>8</w:t>
            </w:r>
            <w:r w:rsidR="0054295F">
              <w:rPr>
                <w:b/>
                <w:bCs/>
                <w:color w:val="000000"/>
                <w:szCs w:val="22"/>
              </w:rPr>
              <w:t>4 0</w:t>
            </w:r>
            <w:r w:rsidRPr="00AE6EDB">
              <w:rPr>
                <w:b/>
                <w:bCs/>
                <w:color w:val="000000"/>
                <w:szCs w:val="22"/>
              </w:rPr>
              <w:t>13</w:t>
            </w:r>
          </w:p>
        </w:tc>
        <w:tc>
          <w:tcPr>
            <w:tcW w:w="2015" w:type="dxa"/>
            <w:vAlign w:val="center"/>
          </w:tcPr>
          <w:p w:rsidR="000A7585" w:rsidRPr="00AE6EDB" w:rsidRDefault="000A7585" w:rsidP="00DE0EEC">
            <w:pPr>
              <w:ind w:right="170"/>
              <w:jc w:val="right"/>
              <w:rPr>
                <w:b/>
                <w:color w:val="000000"/>
                <w:szCs w:val="22"/>
              </w:rPr>
            </w:pPr>
            <w:r w:rsidRPr="00AE6EDB">
              <w:rPr>
                <w:b/>
                <w:color w:val="000000"/>
                <w:szCs w:val="22"/>
              </w:rPr>
              <w:t>76</w:t>
            </w:r>
            <w:r w:rsidR="00AC44CB">
              <w:rPr>
                <w:b/>
                <w:color w:val="000000"/>
                <w:szCs w:val="22"/>
              </w:rPr>
              <w:t>5 9</w:t>
            </w:r>
            <w:r w:rsidRPr="00AE6EDB">
              <w:rPr>
                <w:b/>
                <w:color w:val="000000"/>
                <w:szCs w:val="22"/>
              </w:rPr>
              <w:t>09</w:t>
            </w:r>
          </w:p>
        </w:tc>
        <w:tc>
          <w:tcPr>
            <w:tcW w:w="1954" w:type="dxa"/>
            <w:vAlign w:val="center"/>
          </w:tcPr>
          <w:p w:rsidR="000A7585" w:rsidRPr="00AE6EDB" w:rsidRDefault="000A7585" w:rsidP="00DE0EEC">
            <w:pPr>
              <w:ind w:right="170"/>
              <w:jc w:val="right"/>
              <w:rPr>
                <w:b/>
                <w:color w:val="000000"/>
                <w:szCs w:val="22"/>
              </w:rPr>
            </w:pPr>
            <w:r w:rsidRPr="00AE6EDB">
              <w:rPr>
                <w:b/>
                <w:color w:val="000000"/>
                <w:szCs w:val="22"/>
              </w:rPr>
              <w:t>13</w:t>
            </w:r>
            <w:r w:rsidR="00AC44CB">
              <w:rPr>
                <w:b/>
                <w:color w:val="000000"/>
                <w:szCs w:val="22"/>
              </w:rPr>
              <w:t>5 0</w:t>
            </w:r>
            <w:r w:rsidRPr="00AE6EDB">
              <w:rPr>
                <w:b/>
                <w:color w:val="000000"/>
                <w:szCs w:val="22"/>
              </w:rPr>
              <w:t>3</w:t>
            </w:r>
            <w:r w:rsidR="0054295F">
              <w:rPr>
                <w:b/>
                <w:color w:val="000000"/>
                <w:szCs w:val="22"/>
              </w:rPr>
              <w:t>3 7</w:t>
            </w:r>
            <w:r w:rsidRPr="00AE6EDB">
              <w:rPr>
                <w:b/>
                <w:color w:val="000000"/>
                <w:szCs w:val="22"/>
              </w:rPr>
              <w:t>34</w:t>
            </w:r>
          </w:p>
        </w:tc>
      </w:tr>
    </w:tbl>
    <w:p w:rsidR="000A7585" w:rsidRPr="00AE6EDB" w:rsidRDefault="000A7585" w:rsidP="000A7585">
      <w:pPr>
        <w:pStyle w:val="zdroj"/>
        <w:ind w:firstLine="426"/>
      </w:pPr>
      <w:r w:rsidRPr="00AE6EDB">
        <w:t>Zdroj: ÚPSVR</w:t>
      </w:r>
    </w:p>
    <w:p w:rsidR="000A7585" w:rsidRPr="00AE6EDB" w:rsidRDefault="000A7585" w:rsidP="000A7585">
      <w:pPr>
        <w:pStyle w:val="Obyajntext"/>
        <w:jc w:val="both"/>
        <w:rPr>
          <w:rFonts w:ascii="Times New Roman" w:hAnsi="Times New Roman"/>
          <w:sz w:val="18"/>
          <w:szCs w:val="18"/>
        </w:rPr>
      </w:pPr>
      <w:r w:rsidRPr="00AE6EDB">
        <w:rPr>
          <w:rFonts w:ascii="Times New Roman" w:hAnsi="Times New Roman"/>
          <w:sz w:val="18"/>
          <w:szCs w:val="18"/>
        </w:rPr>
        <w:t xml:space="preserve">* § 42 Informačné a poradenské služby – ide o AOTP zabezpečované vlastnými zamestnancami úradov PSVR, bez nárokov na finančné zdroje určené na AOTP. V roku 2014 bola v položke § 42 zaúčtovaná aktivita veľtrh práce JOB </w:t>
      </w:r>
      <w:proofErr w:type="spellStart"/>
      <w:r w:rsidRPr="00AE6EDB">
        <w:rPr>
          <w:rFonts w:ascii="Times New Roman" w:hAnsi="Times New Roman"/>
          <w:sz w:val="18"/>
          <w:szCs w:val="18"/>
        </w:rPr>
        <w:t>Expo</w:t>
      </w:r>
      <w:proofErr w:type="spellEnd"/>
      <w:r w:rsidRPr="00AE6EDB">
        <w:rPr>
          <w:rFonts w:ascii="Times New Roman" w:hAnsi="Times New Roman"/>
          <w:sz w:val="18"/>
          <w:szCs w:val="18"/>
        </w:rPr>
        <w:t xml:space="preserve">, ktorá bola financovaná prostredníctvom Národného projektu č. VII -2. V roku 2015 bol veľtrh práce JOB </w:t>
      </w:r>
      <w:proofErr w:type="spellStart"/>
      <w:r w:rsidRPr="00AE6EDB">
        <w:rPr>
          <w:rFonts w:ascii="Times New Roman" w:hAnsi="Times New Roman"/>
          <w:sz w:val="18"/>
          <w:szCs w:val="18"/>
        </w:rPr>
        <w:t>Expo</w:t>
      </w:r>
      <w:proofErr w:type="spellEnd"/>
      <w:r w:rsidRPr="00AE6EDB">
        <w:rPr>
          <w:rFonts w:ascii="Times New Roman" w:hAnsi="Times New Roman"/>
          <w:sz w:val="18"/>
          <w:szCs w:val="18"/>
        </w:rPr>
        <w:t xml:space="preserve"> financovaný mimo nástrojov AOTP. Z uvedeného dôvodu je v tabuľke za rok 2015 vykázané nulové čerpanie v § 42.</w:t>
      </w:r>
    </w:p>
    <w:p w:rsidR="000A7585" w:rsidRPr="00AE6EDB" w:rsidRDefault="000A7585" w:rsidP="000A7585">
      <w:pPr>
        <w:pStyle w:val="Obyajntext"/>
        <w:jc w:val="both"/>
        <w:rPr>
          <w:rFonts w:ascii="Times New Roman" w:hAnsi="Times New Roman"/>
          <w:color w:val="000000"/>
          <w:sz w:val="18"/>
          <w:szCs w:val="18"/>
        </w:rPr>
      </w:pPr>
      <w:r w:rsidRPr="00AE6EDB">
        <w:rPr>
          <w:rFonts w:ascii="Times New Roman" w:hAnsi="Times New Roman"/>
          <w:sz w:val="18"/>
          <w:szCs w:val="18"/>
        </w:rPr>
        <w:t>**</w:t>
      </w:r>
      <w:r w:rsidRPr="00AE6EDB">
        <w:rPr>
          <w:rFonts w:ascii="Times New Roman" w:hAnsi="Times New Roman"/>
          <w:color w:val="000000"/>
          <w:sz w:val="18"/>
          <w:szCs w:val="18"/>
        </w:rPr>
        <w:t xml:space="preserve"> začal sa realizovať od 1.1.2015</w:t>
      </w:r>
    </w:p>
    <w:p w:rsidR="000A7585" w:rsidRPr="00AE6EDB" w:rsidRDefault="000A7585" w:rsidP="000A7585">
      <w:pPr>
        <w:pStyle w:val="zdroj"/>
        <w:ind w:firstLine="426"/>
      </w:pPr>
      <w:r w:rsidRPr="00AE6EDB">
        <w:t xml:space="preserve"> </w:t>
      </w:r>
    </w:p>
    <w:p w:rsidR="000A7585" w:rsidRPr="00AE6EDB" w:rsidRDefault="000A7585" w:rsidP="000A7585">
      <w:pPr>
        <w:rPr>
          <w:highlight w:val="cyan"/>
          <w:lang w:eastAsia="cs-CZ"/>
        </w:rPr>
      </w:pPr>
    </w:p>
    <w:p w:rsidR="000A7585" w:rsidRPr="00AE6EDB" w:rsidRDefault="000A7585" w:rsidP="000A7585">
      <w:pPr>
        <w:jc w:val="left"/>
        <w:rPr>
          <w:rStyle w:val="Siln"/>
          <w:b w:val="0"/>
          <w:i/>
          <w:color w:val="000000"/>
          <w:sz w:val="20"/>
          <w:szCs w:val="20"/>
          <w:highlight w:val="cyan"/>
        </w:rPr>
      </w:pPr>
      <w:r w:rsidRPr="00AE6EDB">
        <w:rPr>
          <w:rStyle w:val="Siln"/>
          <w:highlight w:val="cyan"/>
        </w:rPr>
        <w:br w:type="page"/>
      </w:r>
    </w:p>
    <w:p w:rsidR="000A7585" w:rsidRPr="00AE6EDB" w:rsidRDefault="000A7585" w:rsidP="000A7585">
      <w:pPr>
        <w:pStyle w:val="Nadpis7"/>
      </w:pPr>
      <w:r w:rsidRPr="00AE6EDB">
        <w:t>Prehľad realizácie aktívnych opatrení na trhu práce</w:t>
      </w:r>
    </w:p>
    <w:p w:rsidR="000A7585" w:rsidRPr="00AE6EDB" w:rsidRDefault="000A7585" w:rsidP="000A7585">
      <w:pPr>
        <w:spacing w:after="60"/>
        <w:rPr>
          <w:b/>
        </w:rPr>
      </w:pPr>
      <w:r w:rsidRPr="00AE6EDB">
        <w:rPr>
          <w:b/>
        </w:rPr>
        <w:t>Sprostredkovanie zamestnania (§ 32)</w:t>
      </w:r>
    </w:p>
    <w:p w:rsidR="000A7585" w:rsidRPr="00283E35" w:rsidRDefault="000A7585" w:rsidP="000A7585">
      <w:pPr>
        <w:spacing w:after="120"/>
      </w:pPr>
      <w:r w:rsidRPr="00283E35">
        <w:t>Náhrada časti cestovných výdavkov uchádzačov o zamestnanie, ktoré</w:t>
      </w:r>
      <w:r w:rsidRPr="00A426B6">
        <w:t xml:space="preserve"> </w:t>
      </w:r>
      <w:r w:rsidRPr="00283E35">
        <w:rPr>
          <w:rStyle w:val="Siln"/>
          <w:b w:val="0"/>
        </w:rPr>
        <w:t xml:space="preserve">súvisia </w:t>
      </w:r>
      <w:r w:rsidRPr="00283E35">
        <w:rPr>
          <w:rStyle w:val="Siln"/>
          <w:b w:val="0"/>
          <w:iCs/>
        </w:rPr>
        <w:t>s </w:t>
      </w:r>
      <w:r w:rsidRPr="00283E35">
        <w:t>absolvovaním</w:t>
      </w:r>
      <w:r w:rsidRPr="00A426B6">
        <w:rPr>
          <w:rStyle w:val="Siln"/>
          <w:iCs/>
        </w:rPr>
        <w:t xml:space="preserve"> </w:t>
      </w:r>
      <w:r w:rsidRPr="00283E35">
        <w:rPr>
          <w:rStyle w:val="Siln"/>
          <w:b w:val="0"/>
          <w:iCs/>
        </w:rPr>
        <w:t>vstupného</w:t>
      </w:r>
      <w:r w:rsidRPr="00A426B6">
        <w:rPr>
          <w:rStyle w:val="Siln"/>
          <w:iCs/>
        </w:rPr>
        <w:t xml:space="preserve"> </w:t>
      </w:r>
      <w:r w:rsidRPr="00283E35">
        <w:rPr>
          <w:rStyle w:val="Siln"/>
          <w:b w:val="0"/>
          <w:iCs/>
        </w:rPr>
        <w:t>pohovoru</w:t>
      </w:r>
      <w:r w:rsidRPr="00A426B6">
        <w:rPr>
          <w:rStyle w:val="Siln"/>
          <w:iCs/>
        </w:rPr>
        <w:t xml:space="preserve"> </w:t>
      </w:r>
      <w:r w:rsidRPr="00283E35">
        <w:rPr>
          <w:rStyle w:val="Siln"/>
          <w:b w:val="0"/>
          <w:iCs/>
        </w:rPr>
        <w:t>alebo</w:t>
      </w:r>
      <w:r w:rsidRPr="00A426B6">
        <w:rPr>
          <w:rStyle w:val="Siln"/>
          <w:iCs/>
        </w:rPr>
        <w:t xml:space="preserve"> </w:t>
      </w:r>
      <w:r w:rsidRPr="00283E35">
        <w:rPr>
          <w:rStyle w:val="Siln"/>
          <w:b w:val="0"/>
          <w:iCs/>
        </w:rPr>
        <w:t>výberového</w:t>
      </w:r>
      <w:r w:rsidRPr="00A426B6">
        <w:rPr>
          <w:rStyle w:val="Siln"/>
          <w:iCs/>
        </w:rPr>
        <w:t xml:space="preserve"> </w:t>
      </w:r>
      <w:r w:rsidRPr="00283E35">
        <w:rPr>
          <w:rStyle w:val="Siln"/>
          <w:b w:val="0"/>
          <w:iCs/>
        </w:rPr>
        <w:t>konania</w:t>
      </w:r>
      <w:r w:rsidRPr="00A426B6">
        <w:rPr>
          <w:rStyle w:val="Siln"/>
          <w:iCs/>
        </w:rPr>
        <w:t xml:space="preserve"> </w:t>
      </w:r>
      <w:r w:rsidRPr="00283E35">
        <w:rPr>
          <w:rStyle w:val="Siln"/>
          <w:b w:val="0"/>
          <w:iCs/>
        </w:rPr>
        <w:t>u</w:t>
      </w:r>
      <w:r w:rsidRPr="00A426B6">
        <w:rPr>
          <w:rStyle w:val="Siln"/>
          <w:iCs/>
        </w:rPr>
        <w:t> </w:t>
      </w:r>
      <w:r w:rsidRPr="00283E35">
        <w:rPr>
          <w:rStyle w:val="Siln"/>
          <w:b w:val="0"/>
          <w:iCs/>
        </w:rPr>
        <w:t>zamestnávateľa</w:t>
      </w:r>
      <w:r w:rsidRPr="00A426B6">
        <w:rPr>
          <w:rStyle w:val="Siln"/>
        </w:rPr>
        <w:t xml:space="preserve"> </w:t>
      </w:r>
      <w:r w:rsidRPr="00283E35">
        <w:rPr>
          <w:rStyle w:val="Siln"/>
          <w:b w:val="0"/>
        </w:rPr>
        <w:t xml:space="preserve">alebo </w:t>
      </w:r>
      <w:r w:rsidR="0032730A" w:rsidRPr="00283E35">
        <w:rPr>
          <w:rStyle w:val="Siln"/>
          <w:b w:val="0"/>
          <w:iCs/>
        </w:rPr>
        <w:t xml:space="preserve">s účasťou na </w:t>
      </w:r>
      <w:r w:rsidRPr="00283E35">
        <w:rPr>
          <w:rStyle w:val="Siln"/>
          <w:b w:val="0"/>
          <w:iCs/>
        </w:rPr>
        <w:t>skupi</w:t>
      </w:r>
      <w:r w:rsidR="0032730A" w:rsidRPr="00283E35">
        <w:rPr>
          <w:rStyle w:val="Siln"/>
          <w:b w:val="0"/>
          <w:iCs/>
        </w:rPr>
        <w:softHyphen/>
      </w:r>
      <w:r w:rsidRPr="00283E35">
        <w:rPr>
          <w:rStyle w:val="Siln"/>
          <w:b w:val="0"/>
          <w:iCs/>
        </w:rPr>
        <w:t>novom sprostredkovaní zamestnania, ktoré organizuje Ústredie alebo úrad PSVR</w:t>
      </w:r>
      <w:r w:rsidRPr="00283E35">
        <w:rPr>
          <w:rStyle w:val="Siln"/>
          <w:iCs/>
        </w:rPr>
        <w:t xml:space="preserve"> </w:t>
      </w:r>
      <w:r w:rsidRPr="00283E35">
        <w:rPr>
          <w:lang w:eastAsia="cs-CZ"/>
        </w:rPr>
        <w:t>na území Slovenskej republiky pre zamestnávateľa alebo pre zamestnávateľa z členského štátu Európskej únie</w:t>
      </w:r>
    </w:p>
    <w:p w:rsidR="000A7585" w:rsidRPr="00AE6EDB" w:rsidRDefault="000A7585" w:rsidP="000A7585">
      <w:pPr>
        <w:ind w:firstLine="431"/>
      </w:pPr>
      <w:r w:rsidRPr="00AE6EDB">
        <w:t xml:space="preserve">Úrad PSVR na účely sprostredkovania zamestnania poskytuje náhradu časti cestovných výdavkov </w:t>
      </w:r>
      <w:proofErr w:type="spellStart"/>
      <w:r w:rsidRPr="00AE6EDB">
        <w:t>UoZ</w:t>
      </w:r>
      <w:proofErr w:type="spellEnd"/>
      <w:r w:rsidRPr="00AE6EDB">
        <w:t xml:space="preserve">, ktoré súvisia s absolvovaním vstupného pohovoru alebo výberového konania u zamestnávateľa </w:t>
      </w:r>
      <w:r w:rsidRPr="00AE6EDB">
        <w:rPr>
          <w:rStyle w:val="Siln"/>
        </w:rPr>
        <w:t xml:space="preserve">alebo </w:t>
      </w:r>
      <w:r w:rsidRPr="00AE6EDB">
        <w:rPr>
          <w:rStyle w:val="Siln"/>
          <w:iCs/>
        </w:rPr>
        <w:t xml:space="preserve">s účasťou na skupinovom sprostredkovaní zamestnania, ktoré organizuje Ústredie alebo úrad PSVR </w:t>
      </w:r>
      <w:r w:rsidRPr="00AE6EDB">
        <w:rPr>
          <w:iCs/>
          <w:lang w:eastAsia="cs-CZ"/>
        </w:rPr>
        <w:t>na území Slovenskej republiky pre zamestnávateľa alebo pre zamestnávateľa z členského štátu Európskej únie.</w:t>
      </w:r>
    </w:p>
    <w:p w:rsidR="000A7585" w:rsidRPr="00AE6EDB" w:rsidRDefault="000A7585" w:rsidP="000A7585">
      <w:pPr>
        <w:pStyle w:val="bullet1"/>
        <w:numPr>
          <w:ilvl w:val="0"/>
          <w:numId w:val="0"/>
        </w:numPr>
        <w:ind w:firstLine="431"/>
      </w:pPr>
      <w:r w:rsidRPr="00AE6EDB">
        <w:t xml:space="preserve">V roku 2015 </w:t>
      </w:r>
      <w:r w:rsidR="0032730A" w:rsidRPr="00AE6EDB">
        <w:t xml:space="preserve">bolo </w:t>
      </w:r>
      <w:r w:rsidRPr="00AE6EDB">
        <w:t xml:space="preserve">týmto opatrením podporených celkom </w:t>
      </w:r>
      <w:r w:rsidR="0054295F">
        <w:t>3 9</w:t>
      </w:r>
      <w:r w:rsidRPr="00AE6EDB">
        <w:t xml:space="preserve">01 </w:t>
      </w:r>
      <w:proofErr w:type="spellStart"/>
      <w:r w:rsidRPr="00AE6EDB">
        <w:t>UoZ</w:t>
      </w:r>
      <w:proofErr w:type="spellEnd"/>
      <w:r w:rsidRPr="00AE6EDB">
        <w:t>, čo bolo o </w:t>
      </w:r>
      <w:r w:rsidR="0054295F">
        <w:t>1 7</w:t>
      </w:r>
      <w:r w:rsidRPr="00AE6EDB">
        <w:t xml:space="preserve">19 osôb </w:t>
      </w:r>
      <w:r w:rsidR="00174440">
        <w:t>menej</w:t>
      </w:r>
      <w:r w:rsidR="00174440" w:rsidRPr="00AE6EDB">
        <w:t xml:space="preserve"> </w:t>
      </w:r>
      <w:r w:rsidRPr="00AE6EDB">
        <w:t>ako v roku 2014. Vyplatených bolo</w:t>
      </w:r>
      <w:r w:rsidR="0032730A" w:rsidRPr="00AE6EDB">
        <w:t xml:space="preserve"> </w:t>
      </w:r>
      <w:r w:rsidRPr="00AE6EDB">
        <w:t>4</w:t>
      </w:r>
      <w:r w:rsidR="0054295F">
        <w:t>4 2</w:t>
      </w:r>
      <w:r w:rsidRPr="00AE6EDB">
        <w:t>24</w:t>
      </w:r>
      <w:r w:rsidR="0054295F">
        <w:t> eur</w:t>
      </w:r>
      <w:r w:rsidRPr="00AE6EDB">
        <w:t>, čo bolo o 2</w:t>
      </w:r>
      <w:r w:rsidR="0054295F">
        <w:t>3 4</w:t>
      </w:r>
      <w:r w:rsidRPr="00AE6EDB">
        <w:t>58</w:t>
      </w:r>
      <w:r w:rsidR="0054295F">
        <w:t> eur</w:t>
      </w:r>
      <w:r w:rsidRPr="00AE6EDB">
        <w:t xml:space="preserve"> menej ako v roku 2014.</w:t>
      </w:r>
    </w:p>
    <w:p w:rsidR="000A7585" w:rsidRPr="00AE6EDB" w:rsidRDefault="000A7585" w:rsidP="000A7585">
      <w:pPr>
        <w:pStyle w:val="bullet1"/>
        <w:numPr>
          <w:ilvl w:val="0"/>
          <w:numId w:val="0"/>
        </w:numPr>
        <w:ind w:firstLine="431"/>
        <w:rPr>
          <w:highlight w:val="cyan"/>
        </w:rPr>
      </w:pPr>
    </w:p>
    <w:p w:rsidR="000A7585" w:rsidRPr="00AE6EDB" w:rsidRDefault="000A7585" w:rsidP="000A7585">
      <w:pPr>
        <w:spacing w:after="60"/>
        <w:rPr>
          <w:b/>
        </w:rPr>
      </w:pPr>
      <w:r w:rsidRPr="00AE6EDB">
        <w:rPr>
          <w:b/>
        </w:rPr>
        <w:t>Informačné a poradenské služby (§ 42)</w:t>
      </w:r>
    </w:p>
    <w:p w:rsidR="000A7585" w:rsidRPr="00AE6EDB" w:rsidRDefault="000A7585" w:rsidP="000A7585">
      <w:pPr>
        <w:ind w:firstLine="431"/>
        <w:rPr>
          <w:bCs/>
          <w:szCs w:val="22"/>
        </w:rPr>
      </w:pPr>
      <w:r w:rsidRPr="00AE6EDB">
        <w:t xml:space="preserve">Významnou časťou náplne súvisiacej so sprostredkovaním zamestnania </w:t>
      </w:r>
      <w:r w:rsidRPr="00AE6EDB">
        <w:rPr>
          <w:szCs w:val="22"/>
        </w:rPr>
        <w:t xml:space="preserve">v roku 2015 </w:t>
      </w:r>
      <w:r w:rsidRPr="00AE6EDB">
        <w:rPr>
          <w:bCs/>
          <w:szCs w:val="22"/>
        </w:rPr>
        <w:t xml:space="preserve">bolo </w:t>
      </w:r>
      <w:r w:rsidRPr="00AE6EDB">
        <w:rPr>
          <w:szCs w:val="22"/>
        </w:rPr>
        <w:t xml:space="preserve">poskytovanie </w:t>
      </w:r>
      <w:r w:rsidRPr="00AE6EDB">
        <w:rPr>
          <w:bCs/>
          <w:szCs w:val="22"/>
        </w:rPr>
        <w:t>informačných a poradenských služieb pri voľbe povolania, výbere zamestnania vrátane jeho zmeny, výbere zamestnanca a adaptácii zamestnanca v novom zamestn</w:t>
      </w:r>
      <w:r w:rsidR="00231E36" w:rsidRPr="00AE6EDB">
        <w:rPr>
          <w:bCs/>
          <w:szCs w:val="22"/>
        </w:rPr>
        <w:t xml:space="preserve">aní </w:t>
      </w:r>
      <w:proofErr w:type="spellStart"/>
      <w:r w:rsidR="00231E36" w:rsidRPr="00AE6EDB">
        <w:rPr>
          <w:bCs/>
          <w:szCs w:val="22"/>
        </w:rPr>
        <w:t>UoZ</w:t>
      </w:r>
      <w:proofErr w:type="spellEnd"/>
      <w:r w:rsidR="00231E36" w:rsidRPr="00AE6EDB">
        <w:rPr>
          <w:bCs/>
          <w:szCs w:val="22"/>
        </w:rPr>
        <w:t>, záujemcom o zamestnane</w:t>
      </w:r>
      <w:r w:rsidRPr="00AE6EDB">
        <w:rPr>
          <w:bCs/>
          <w:szCs w:val="22"/>
        </w:rPr>
        <w:t>, zamestnávateľom a žiakom.</w:t>
      </w:r>
    </w:p>
    <w:p w:rsidR="000A7585" w:rsidRPr="00AE6EDB" w:rsidRDefault="000A7585" w:rsidP="000A7585">
      <w:pPr>
        <w:ind w:firstLine="431"/>
        <w:rPr>
          <w:bCs/>
        </w:rPr>
      </w:pPr>
      <w:r w:rsidRPr="00AE6EDB">
        <w:t xml:space="preserve">Informačné a poradenské služby </w:t>
      </w:r>
      <w:r w:rsidRPr="00AE6EDB">
        <w:rPr>
          <w:bCs/>
        </w:rPr>
        <w:t xml:space="preserve">o požiadavkách na odborné zručnosti a praktické skúsenosti potrebné na vykonávanie pracovných činností na pracovných miestach na trhu práce podľa národnej sústavy povolaní, </w:t>
      </w:r>
      <w:r w:rsidRPr="00AE6EDB">
        <w:t xml:space="preserve">pre voľbu povolania a </w:t>
      </w:r>
      <w:r w:rsidRPr="00AE6EDB">
        <w:rPr>
          <w:bCs/>
        </w:rPr>
        <w:t xml:space="preserve">pre výber zamestnania sa </w:t>
      </w:r>
      <w:r w:rsidRPr="00AE6EDB">
        <w:t>žiakom môžu poskytovať v školách alebo v školských zariadeniach výchovného poradenstva a prevencie alebo na mieste určenom úradom PSVR.</w:t>
      </w:r>
    </w:p>
    <w:p w:rsidR="000A7585" w:rsidRPr="00AE6EDB" w:rsidRDefault="000A7585" w:rsidP="000A7585">
      <w:pPr>
        <w:ind w:firstLine="431"/>
      </w:pPr>
      <w:r w:rsidRPr="00AE6EDB">
        <w:rPr>
          <w:bCs/>
          <w:szCs w:val="22"/>
        </w:rPr>
        <w:t>K</w:t>
      </w:r>
      <w:r w:rsidRPr="00AE6EDB">
        <w:t>lientom úradov PSVR boli informačné a poradenské služby poskytované individuálnou alebo skupinovou formou v informačných a poradenských strediskách, u zamestnávateľa alebo na školách.</w:t>
      </w:r>
    </w:p>
    <w:p w:rsidR="000A7585" w:rsidRPr="00AE6EDB" w:rsidRDefault="000A7585" w:rsidP="000A7585">
      <w:pPr>
        <w:ind w:firstLine="431"/>
        <w:rPr>
          <w:rFonts w:ascii="Tahoma" w:hAnsi="Tahoma" w:cs="Tahoma"/>
          <w:bCs/>
          <w:sz w:val="20"/>
          <w:szCs w:val="20"/>
        </w:rPr>
      </w:pPr>
      <w:r w:rsidRPr="00AE6EDB">
        <w:t xml:space="preserve">Informačné a poradenské služby boli </w:t>
      </w:r>
      <w:r w:rsidRPr="00AE6EDB">
        <w:rPr>
          <w:bCs/>
        </w:rPr>
        <w:t>v roku 2015</w:t>
      </w:r>
      <w:r w:rsidRPr="00AE6EDB">
        <w:t xml:space="preserve"> poskytnuté </w:t>
      </w:r>
      <w:r w:rsidRPr="00AE6EDB">
        <w:rPr>
          <w:bCs/>
          <w:szCs w:val="22"/>
        </w:rPr>
        <w:t>51</w:t>
      </w:r>
      <w:r w:rsidR="00AC44CB">
        <w:rPr>
          <w:bCs/>
          <w:szCs w:val="22"/>
        </w:rPr>
        <w:t>8 0</w:t>
      </w:r>
      <w:r w:rsidRPr="00AE6EDB">
        <w:rPr>
          <w:bCs/>
          <w:szCs w:val="22"/>
        </w:rPr>
        <w:t>61</w:t>
      </w:r>
      <w:r w:rsidRPr="00AE6EDB">
        <w:rPr>
          <w:rFonts w:ascii="Tahoma" w:hAnsi="Tahoma" w:cs="Tahoma"/>
          <w:bCs/>
          <w:sz w:val="20"/>
          <w:szCs w:val="20"/>
        </w:rPr>
        <w:t xml:space="preserve"> </w:t>
      </w:r>
      <w:proofErr w:type="spellStart"/>
      <w:r w:rsidRPr="00AE6EDB">
        <w:t>UoZ</w:t>
      </w:r>
      <w:proofErr w:type="spellEnd"/>
      <w:r w:rsidRPr="00AE6EDB">
        <w:t xml:space="preserve">, </w:t>
      </w:r>
      <w:r w:rsidRPr="00AE6EDB">
        <w:rPr>
          <w:bCs/>
        </w:rPr>
        <w:t>z</w:t>
      </w:r>
      <w:r w:rsidRPr="00AE6EDB">
        <w:t xml:space="preserve"> toho bolo 25</w:t>
      </w:r>
      <w:r w:rsidR="00AC44CB">
        <w:t>9 6</w:t>
      </w:r>
      <w:r w:rsidRPr="00AE6EDB">
        <w:t>80</w:t>
      </w:r>
      <w:r w:rsidRPr="00AE6EDB">
        <w:rPr>
          <w:rFonts w:ascii="Tahoma" w:hAnsi="Tahoma" w:cs="Tahoma"/>
          <w:bCs/>
          <w:szCs w:val="22"/>
        </w:rPr>
        <w:t> </w:t>
      </w:r>
      <w:r w:rsidRPr="00AE6EDB">
        <w:rPr>
          <w:szCs w:val="22"/>
        </w:rPr>
        <w:t>žien (50,13</w:t>
      </w:r>
      <w:r w:rsidR="005676EF">
        <w:rPr>
          <w:szCs w:val="22"/>
        </w:rPr>
        <w:t> %</w:t>
      </w:r>
      <w:r w:rsidRPr="00AE6EDB">
        <w:rPr>
          <w:szCs w:val="22"/>
        </w:rPr>
        <w:t>)</w:t>
      </w:r>
      <w:r w:rsidRPr="00AE6EDB">
        <w:t xml:space="preserve"> a 25</w:t>
      </w:r>
      <w:r w:rsidR="00AC44CB">
        <w:t>8 3</w:t>
      </w:r>
      <w:r w:rsidRPr="00AE6EDB">
        <w:t>81</w:t>
      </w:r>
      <w:r w:rsidRPr="00AE6EDB">
        <w:rPr>
          <w:bCs/>
          <w:szCs w:val="22"/>
        </w:rPr>
        <w:t xml:space="preserve"> mužov (49,87</w:t>
      </w:r>
      <w:r w:rsidR="005676EF">
        <w:rPr>
          <w:bCs/>
          <w:szCs w:val="22"/>
        </w:rPr>
        <w:t> %</w:t>
      </w:r>
      <w:r w:rsidRPr="00AE6EDB">
        <w:rPr>
          <w:bCs/>
          <w:szCs w:val="22"/>
        </w:rPr>
        <w:t xml:space="preserve">). </w:t>
      </w:r>
      <w:r w:rsidRPr="00AE6EDB">
        <w:t xml:space="preserve">Z celkového počtu </w:t>
      </w:r>
      <w:proofErr w:type="spellStart"/>
      <w:r w:rsidRPr="00AE6EDB">
        <w:t>UoZ</w:t>
      </w:r>
      <w:proofErr w:type="spellEnd"/>
      <w:r w:rsidRPr="00AE6EDB">
        <w:t xml:space="preserve"> bolo </w:t>
      </w:r>
      <w:r w:rsidRPr="00AE6EDB">
        <w:rPr>
          <w:bCs/>
          <w:szCs w:val="22"/>
        </w:rPr>
        <w:t>1</w:t>
      </w:r>
      <w:r w:rsidR="00AC44CB">
        <w:rPr>
          <w:bCs/>
          <w:szCs w:val="22"/>
        </w:rPr>
        <w:t>7 5</w:t>
      </w:r>
      <w:r w:rsidRPr="00AE6EDB">
        <w:rPr>
          <w:bCs/>
          <w:szCs w:val="22"/>
        </w:rPr>
        <w:t>80 občanov so zdravotným postihnutím</w:t>
      </w:r>
      <w:r w:rsidRPr="00AE6EDB">
        <w:rPr>
          <w:rFonts w:ascii="Tahoma" w:hAnsi="Tahoma" w:cs="Tahoma"/>
          <w:bCs/>
          <w:sz w:val="20"/>
          <w:szCs w:val="20"/>
        </w:rPr>
        <w:t xml:space="preserve"> </w:t>
      </w:r>
      <w:r w:rsidRPr="00AE6EDB">
        <w:rPr>
          <w:bCs/>
        </w:rPr>
        <w:t>(3,39</w:t>
      </w:r>
      <w:r w:rsidR="005676EF">
        <w:rPr>
          <w:bCs/>
        </w:rPr>
        <w:t> %</w:t>
      </w:r>
      <w:r w:rsidRPr="00AE6EDB">
        <w:rPr>
          <w:bCs/>
        </w:rPr>
        <w:t xml:space="preserve">). </w:t>
      </w:r>
      <w:r w:rsidRPr="00AE6EDB">
        <w:t>Z hľadiska veku najvyšší podiel (</w:t>
      </w:r>
      <w:r w:rsidRPr="00AE6EDB">
        <w:rPr>
          <w:bCs/>
        </w:rPr>
        <w:t>15,08</w:t>
      </w:r>
      <w:r w:rsidR="005676EF">
        <w:rPr>
          <w:bCs/>
        </w:rPr>
        <w:t> %</w:t>
      </w:r>
      <w:r w:rsidRPr="00AE6EDB">
        <w:rPr>
          <w:bCs/>
        </w:rPr>
        <w:t>)</w:t>
      </w:r>
      <w:r w:rsidRPr="00AE6EDB">
        <w:t xml:space="preserve"> tvorili </w:t>
      </w:r>
      <w:proofErr w:type="spellStart"/>
      <w:r w:rsidRPr="00AE6EDB">
        <w:rPr>
          <w:bCs/>
        </w:rPr>
        <w:t>UoZ</w:t>
      </w:r>
      <w:proofErr w:type="spellEnd"/>
      <w:r w:rsidRPr="00AE6EDB">
        <w:t xml:space="preserve"> </w:t>
      </w:r>
      <w:r w:rsidRPr="00AE6EDB">
        <w:rPr>
          <w:bCs/>
        </w:rPr>
        <w:t>vo veku 20 – 24 rokov</w:t>
      </w:r>
      <w:r w:rsidRPr="00AE6EDB">
        <w:t xml:space="preserve"> v počte</w:t>
      </w:r>
      <w:r w:rsidRPr="00AE6EDB">
        <w:rPr>
          <w:szCs w:val="22"/>
        </w:rPr>
        <w:t xml:space="preserve"> 7</w:t>
      </w:r>
      <w:r w:rsidR="00AC44CB">
        <w:rPr>
          <w:szCs w:val="22"/>
        </w:rPr>
        <w:t>8 1</w:t>
      </w:r>
      <w:r w:rsidRPr="00AE6EDB">
        <w:rPr>
          <w:szCs w:val="22"/>
        </w:rPr>
        <w:t>29</w:t>
      </w:r>
      <w:r w:rsidRPr="00AE6EDB">
        <w:rPr>
          <w:bCs/>
          <w:szCs w:val="22"/>
        </w:rPr>
        <w:t>0</w:t>
      </w:r>
      <w:r w:rsidRPr="00AE6EDB">
        <w:rPr>
          <w:rFonts w:ascii="Tahoma" w:hAnsi="Tahoma" w:cs="Tahoma"/>
          <w:sz w:val="20"/>
          <w:szCs w:val="20"/>
        </w:rPr>
        <w:t xml:space="preserve"> </w:t>
      </w:r>
      <w:proofErr w:type="spellStart"/>
      <w:r w:rsidRPr="00AE6EDB">
        <w:rPr>
          <w:szCs w:val="22"/>
        </w:rPr>
        <w:t>UoZ</w:t>
      </w:r>
      <w:proofErr w:type="spellEnd"/>
      <w:r w:rsidRPr="00AE6EDB">
        <w:rPr>
          <w:szCs w:val="22"/>
        </w:rPr>
        <w:t xml:space="preserve">, </w:t>
      </w:r>
      <w:r w:rsidRPr="00AE6EDB">
        <w:t xml:space="preserve">z hľadiska dĺžky evidencie </w:t>
      </w:r>
      <w:proofErr w:type="spellStart"/>
      <w:r w:rsidRPr="00AE6EDB">
        <w:t>UoZ</w:t>
      </w:r>
      <w:proofErr w:type="spellEnd"/>
      <w:r w:rsidRPr="00AE6EDB">
        <w:t xml:space="preserve"> najvyšší podiel (42,01</w:t>
      </w:r>
      <w:r w:rsidR="005676EF">
        <w:t> %</w:t>
      </w:r>
      <w:r w:rsidRPr="00AE6EDB">
        <w:t xml:space="preserve">) tvorili </w:t>
      </w:r>
      <w:proofErr w:type="spellStart"/>
      <w:r w:rsidRPr="00AE6EDB">
        <w:t>UoZ</w:t>
      </w:r>
      <w:proofErr w:type="spellEnd"/>
      <w:r w:rsidRPr="00AE6EDB">
        <w:t xml:space="preserve"> s dĺžkou evidencie nad 12 mesiacov v počte 21</w:t>
      </w:r>
      <w:r w:rsidR="00AC44CB">
        <w:t>7 6</w:t>
      </w:r>
      <w:r w:rsidRPr="00AE6EDB">
        <w:t>56</w:t>
      </w:r>
      <w:r w:rsidRPr="00AE6EDB">
        <w:rPr>
          <w:szCs w:val="22"/>
        </w:rPr>
        <w:t>.</w:t>
      </w:r>
      <w:r w:rsidRPr="00AE6EDB">
        <w:rPr>
          <w:rFonts w:ascii="Tahoma" w:hAnsi="Tahoma" w:cs="Tahoma"/>
          <w:sz w:val="20"/>
          <w:szCs w:val="20"/>
        </w:rPr>
        <w:t xml:space="preserve"> </w:t>
      </w:r>
      <w:r w:rsidRPr="00AE6EDB">
        <w:t xml:space="preserve">Z hľadiska vzdelania </w:t>
      </w:r>
      <w:proofErr w:type="spellStart"/>
      <w:r w:rsidRPr="00AE6EDB">
        <w:t>UoZ</w:t>
      </w:r>
      <w:proofErr w:type="spellEnd"/>
      <w:r w:rsidRPr="00AE6EDB">
        <w:t xml:space="preserve"> najvyšší podiel (28,92</w:t>
      </w:r>
      <w:r w:rsidR="005676EF">
        <w:rPr>
          <w:bCs/>
        </w:rPr>
        <w:t> %</w:t>
      </w:r>
      <w:r w:rsidRPr="00AE6EDB">
        <w:rPr>
          <w:bCs/>
        </w:rPr>
        <w:t>)</w:t>
      </w:r>
      <w:r w:rsidRPr="00AE6EDB">
        <w:t xml:space="preserve"> tvorili </w:t>
      </w:r>
      <w:proofErr w:type="spellStart"/>
      <w:r w:rsidRPr="00AE6EDB">
        <w:rPr>
          <w:bCs/>
        </w:rPr>
        <w:t>UoZ</w:t>
      </w:r>
      <w:proofErr w:type="spellEnd"/>
      <w:r w:rsidRPr="00AE6EDB">
        <w:rPr>
          <w:bCs/>
        </w:rPr>
        <w:t xml:space="preserve"> s úplným stredným odborným vzdelaním</w:t>
      </w:r>
      <w:r w:rsidRPr="00AE6EDB">
        <w:t xml:space="preserve"> v počte 14</w:t>
      </w:r>
      <w:r w:rsidR="00AC44CB">
        <w:t>9 8</w:t>
      </w:r>
      <w:r w:rsidRPr="00AE6EDB">
        <w:t>42</w:t>
      </w:r>
      <w:r w:rsidRPr="00AE6EDB">
        <w:rPr>
          <w:bCs/>
          <w:szCs w:val="22"/>
        </w:rPr>
        <w:t xml:space="preserve"> </w:t>
      </w:r>
      <w:proofErr w:type="spellStart"/>
      <w:r w:rsidRPr="00AE6EDB">
        <w:t>UoZ</w:t>
      </w:r>
      <w:proofErr w:type="spellEnd"/>
      <w:r w:rsidRPr="00AE6EDB">
        <w:t xml:space="preserve">. Výrazné zvýšenie počtu </w:t>
      </w:r>
      <w:proofErr w:type="spellStart"/>
      <w:r w:rsidRPr="00AE6EDB">
        <w:t>UoZ</w:t>
      </w:r>
      <w:proofErr w:type="spellEnd"/>
      <w:r w:rsidRPr="00AE6EDB">
        <w:t xml:space="preserve">, ktorým boli poskytnuté informačné a poradenské služby v roku 2015 oproti roku 2014 bolo ovplyvnené zmenou organizačnej štruktúry úradov (vznik oddelení služieb pre občana). Zvýšený dôraz sa kládol na poskytovanie služieb, ktoré boli </w:t>
      </w:r>
      <w:proofErr w:type="spellStart"/>
      <w:r w:rsidRPr="00AE6EDB">
        <w:t>UoZ</w:t>
      </w:r>
      <w:proofErr w:type="spellEnd"/>
      <w:r w:rsidRPr="00AE6EDB">
        <w:t xml:space="preserve"> poskytované už pri prvej návšteve úradu PSVR, pri informovaní o zaradení do evidencie </w:t>
      </w:r>
      <w:proofErr w:type="spellStart"/>
      <w:r w:rsidRPr="00AE6EDB">
        <w:t>UoZ</w:t>
      </w:r>
      <w:proofErr w:type="spellEnd"/>
      <w:r w:rsidRPr="00AE6EDB">
        <w:t xml:space="preserve">, následne pri podávaní žiadosti o zaradenie do evidencie </w:t>
      </w:r>
      <w:proofErr w:type="spellStart"/>
      <w:r w:rsidRPr="00AE6EDB">
        <w:t>UoZ</w:t>
      </w:r>
      <w:proofErr w:type="spellEnd"/>
      <w:r w:rsidRPr="00AE6EDB">
        <w:t xml:space="preserve"> a pod., ako aj pri plánovaných návštevách </w:t>
      </w:r>
      <w:proofErr w:type="spellStart"/>
      <w:r w:rsidRPr="00AE6EDB">
        <w:t>UoZ</w:t>
      </w:r>
      <w:proofErr w:type="spellEnd"/>
      <w:r w:rsidRPr="00AE6EDB">
        <w:t xml:space="preserve"> resp. podľa potreby či už individuálnou alebo skupinovou formou.</w:t>
      </w:r>
    </w:p>
    <w:p w:rsidR="000A7585" w:rsidRPr="00AE6EDB" w:rsidRDefault="000A7585" w:rsidP="000A7585">
      <w:pPr>
        <w:ind w:firstLine="431"/>
        <w:rPr>
          <w:szCs w:val="22"/>
        </w:rPr>
      </w:pPr>
      <w:r w:rsidRPr="00AE6EDB">
        <w:t xml:space="preserve">V roku 2015 bolo poskytnutých celkovo </w:t>
      </w:r>
      <w:r w:rsidR="0054295F">
        <w:t>1 4</w:t>
      </w:r>
      <w:r w:rsidRPr="00AE6EDB">
        <w:t>0</w:t>
      </w:r>
      <w:r w:rsidR="00AC44CB">
        <w:t>9 6</w:t>
      </w:r>
      <w:r w:rsidRPr="00AE6EDB">
        <w:t>06</w:t>
      </w:r>
      <w:r w:rsidRPr="00AE6EDB">
        <w:rPr>
          <w:rFonts w:ascii="Tahoma" w:hAnsi="Tahoma" w:cs="Tahoma"/>
          <w:bCs/>
          <w:sz w:val="20"/>
          <w:szCs w:val="20"/>
        </w:rPr>
        <w:t xml:space="preserve"> </w:t>
      </w:r>
      <w:r w:rsidRPr="00AE6EDB">
        <w:t xml:space="preserve">informačných a poradenských služieb, z toho individuálnou formou </w:t>
      </w:r>
      <w:r w:rsidR="0054295F">
        <w:t>1 0</w:t>
      </w:r>
      <w:r w:rsidRPr="00AE6EDB">
        <w:t>9</w:t>
      </w:r>
      <w:r w:rsidR="00AC44CB">
        <w:t>7 5</w:t>
      </w:r>
      <w:r w:rsidRPr="00AE6EDB">
        <w:t>67</w:t>
      </w:r>
      <w:r w:rsidRPr="00AE6EDB">
        <w:rPr>
          <w:szCs w:val="22"/>
        </w:rPr>
        <w:t xml:space="preserve"> (77,86</w:t>
      </w:r>
      <w:r w:rsidR="005676EF">
        <w:rPr>
          <w:szCs w:val="22"/>
        </w:rPr>
        <w:t> %</w:t>
      </w:r>
      <w:r w:rsidRPr="00AE6EDB">
        <w:rPr>
          <w:szCs w:val="22"/>
        </w:rPr>
        <w:t>)</w:t>
      </w:r>
      <w:r w:rsidRPr="00AE6EDB">
        <w:rPr>
          <w:rFonts w:ascii="Tahoma" w:hAnsi="Tahoma" w:cs="Tahoma"/>
          <w:sz w:val="20"/>
          <w:szCs w:val="20"/>
        </w:rPr>
        <w:t xml:space="preserve"> </w:t>
      </w:r>
      <w:r w:rsidRPr="00AE6EDB">
        <w:t>a skupinovou formou 31</w:t>
      </w:r>
      <w:r w:rsidR="0054295F">
        <w:t>2 0</w:t>
      </w:r>
      <w:r w:rsidRPr="00AE6EDB">
        <w:t>39</w:t>
      </w:r>
      <w:r w:rsidRPr="00AE6EDB">
        <w:rPr>
          <w:szCs w:val="22"/>
        </w:rPr>
        <w:t xml:space="preserve"> (22,14</w:t>
      </w:r>
      <w:r w:rsidR="005676EF">
        <w:rPr>
          <w:szCs w:val="22"/>
        </w:rPr>
        <w:t> %</w:t>
      </w:r>
      <w:r w:rsidRPr="00AE6EDB">
        <w:rPr>
          <w:szCs w:val="22"/>
        </w:rPr>
        <w:t>).</w:t>
      </w:r>
    </w:p>
    <w:p w:rsidR="000A7585" w:rsidRPr="00AE6EDB" w:rsidRDefault="000A7585" w:rsidP="000A7585">
      <w:pPr>
        <w:tabs>
          <w:tab w:val="num" w:pos="540"/>
        </w:tabs>
        <w:spacing w:before="120" w:after="120"/>
        <w:rPr>
          <w:bCs/>
          <w:i/>
          <w:szCs w:val="22"/>
        </w:rPr>
      </w:pPr>
      <w:r w:rsidRPr="00AE6EDB">
        <w:rPr>
          <w:i/>
          <w:szCs w:val="22"/>
        </w:rPr>
        <w:t>Preventívno</w:t>
      </w:r>
      <w:r w:rsidRPr="00AE6EDB">
        <w:rPr>
          <w:bCs/>
          <w:i/>
          <w:szCs w:val="22"/>
        </w:rPr>
        <w:t>-poradenská činnosť pre základné a stredné školy – voľba povolania</w:t>
      </w:r>
    </w:p>
    <w:p w:rsidR="000A7585" w:rsidRPr="00AE6EDB" w:rsidRDefault="000A7585" w:rsidP="000A7585">
      <w:pPr>
        <w:pStyle w:val="Zkladntext"/>
        <w:spacing w:after="0"/>
        <w:ind w:left="34" w:firstLine="431"/>
      </w:pPr>
      <w:r w:rsidRPr="00AE6EDB">
        <w:t>Za dôležité z hľadiska zvyšovania zamestnanosti možno považovať poradenstvo pre žiakov základných a stredných škôl, realizované prostredníctvom informačných a poradenských služieb pri</w:t>
      </w:r>
      <w:r w:rsidR="00AC2FE3" w:rsidRPr="00AE6EDB">
        <w:t> </w:t>
      </w:r>
      <w:r w:rsidRPr="00AE6EDB">
        <w:t>voľbe povolani</w:t>
      </w:r>
      <w:r w:rsidR="00AC2FE3" w:rsidRPr="00AE6EDB">
        <w:t>a</w:t>
      </w:r>
      <w:r w:rsidR="006F28BD" w:rsidRPr="00AE6EDB">
        <w:t>, ktoré poskytujú úrady</w:t>
      </w:r>
      <w:r w:rsidRPr="00AE6EDB">
        <w:t xml:space="preserve"> PSVR. </w:t>
      </w:r>
      <w:r w:rsidRPr="00AE6EDB">
        <w:rPr>
          <w:i/>
        </w:rPr>
        <w:t>Informačné a poradenské služby pri voľbe povolania pre žiakov základných škôl</w:t>
      </w:r>
      <w:r w:rsidRPr="00AE6EDB">
        <w:t xml:space="preserve"> (ďalej len „ZŠ“) sú obsahovo zamerané najmä na oboznámenie žiakov s charakteristikou povolaní a s predpokladmi a požiadavkami na výkon určitého povolania prostredníctvom programovej aplikácie internetového sprievodcu trhu práce. </w:t>
      </w:r>
      <w:r w:rsidRPr="00AE6EDB">
        <w:rPr>
          <w:i/>
        </w:rPr>
        <w:t>Informačné a poradenské služby pri voľbe povolania pre žiakov stredných škôl</w:t>
      </w:r>
      <w:r w:rsidRPr="00AE6EDB">
        <w:t xml:space="preserve"> (ďalej len „SŠ“) sú zamerané najmä na poskytovanie informácií o profesiách </w:t>
      </w:r>
      <w:r w:rsidR="006F28BD" w:rsidRPr="00AE6EDB">
        <w:t>p</w:t>
      </w:r>
      <w:r w:rsidRPr="00AE6EDB">
        <w:t>ožadovaných na trhu práce, o komunikácii s potenciálnymi zamestnávateľmi, o službách poskytovaných úradmi PSVR. Informačné a poradenské služby pri voľbe povolania boli v roku 2015 poskytnuté 5</w:t>
      </w:r>
      <w:r w:rsidR="0054295F">
        <w:t>2 4</w:t>
      </w:r>
      <w:r w:rsidRPr="00AE6EDB">
        <w:t>35 žiakom, z to</w:t>
      </w:r>
      <w:r w:rsidR="006F28BD" w:rsidRPr="00AE6EDB">
        <w:t>h</w:t>
      </w:r>
      <w:r w:rsidRPr="00AE6EDB">
        <w:t>o bolo 2</w:t>
      </w:r>
      <w:r w:rsidR="0054295F">
        <w:t>3 4</w:t>
      </w:r>
      <w:r w:rsidRPr="00AE6EDB">
        <w:t>50 žiakov ZŠ (44,72</w:t>
      </w:r>
      <w:r w:rsidR="005676EF">
        <w:t> %</w:t>
      </w:r>
      <w:r w:rsidRPr="00AE6EDB">
        <w:t>) a 2</w:t>
      </w:r>
      <w:r w:rsidR="00AC44CB">
        <w:t>8 9</w:t>
      </w:r>
      <w:r w:rsidRPr="00AE6EDB">
        <w:t>85 žiakov SŠ (55,28</w:t>
      </w:r>
      <w:r w:rsidR="005676EF">
        <w:t> %</w:t>
      </w:r>
      <w:r w:rsidRPr="00AE6EDB">
        <w:t>). Týmto žiakom bolo spolu poskytnutých 1</w:t>
      </w:r>
      <w:r w:rsidR="00AC44CB">
        <w:t>7 7</w:t>
      </w:r>
      <w:r w:rsidRPr="00AE6EDB">
        <w:t>62 služieb vo</w:t>
      </w:r>
      <w:r w:rsidR="006F28BD" w:rsidRPr="00AE6EDB">
        <w:t> </w:t>
      </w:r>
      <w:r w:rsidRPr="00AE6EDB">
        <w:t>forme individuálneho aleb</w:t>
      </w:r>
      <w:r w:rsidR="006F28BD" w:rsidRPr="00AE6EDB">
        <w:t>o skupinového poradenstva, z toh</w:t>
      </w:r>
      <w:r w:rsidRPr="00AE6EDB">
        <w:t xml:space="preserve">o </w:t>
      </w:r>
      <w:r w:rsidR="00AC44CB">
        <w:t>8 9</w:t>
      </w:r>
      <w:r w:rsidRPr="00AE6EDB">
        <w:t>15 služieb žiakom ZŠ a </w:t>
      </w:r>
      <w:r w:rsidR="00AC44CB">
        <w:t>8 8</w:t>
      </w:r>
      <w:r w:rsidRPr="00AE6EDB">
        <w:t>47</w:t>
      </w:r>
      <w:r w:rsidR="001110A1">
        <w:t> </w:t>
      </w:r>
      <w:r w:rsidRPr="00AE6EDB">
        <w:t>služieb žiakom SŠ. Oproti roku 2014 bol zaznamenaný nárast o </w:t>
      </w:r>
      <w:r w:rsidR="00AC44CB">
        <w:t>7 7</w:t>
      </w:r>
      <w:r w:rsidRPr="00AE6EDB">
        <w:t>59 žiakov.</w:t>
      </w:r>
    </w:p>
    <w:p w:rsidR="000A7585" w:rsidRPr="00AE6EDB" w:rsidRDefault="000A7585" w:rsidP="001C72AB">
      <w:pPr>
        <w:ind w:firstLine="465"/>
        <w:rPr>
          <w:szCs w:val="22"/>
        </w:rPr>
      </w:pPr>
      <w:r w:rsidRPr="00AE6EDB">
        <w:rPr>
          <w:szCs w:val="22"/>
        </w:rPr>
        <w:t xml:space="preserve">Pre žiakov ZŠ a SŠ boli v rámci informačných a poradenských služieb pri voľbe povolania </w:t>
      </w:r>
      <w:r w:rsidR="006F28BD" w:rsidRPr="00AE6EDB">
        <w:rPr>
          <w:szCs w:val="22"/>
        </w:rPr>
        <w:br/>
      </w:r>
      <w:r w:rsidRPr="00AE6EDB">
        <w:rPr>
          <w:szCs w:val="22"/>
        </w:rPr>
        <w:t xml:space="preserve">na V. ročníku </w:t>
      </w:r>
      <w:r w:rsidRPr="00AE6EDB">
        <w:rPr>
          <w:i/>
          <w:szCs w:val="22"/>
        </w:rPr>
        <w:t xml:space="preserve">veľtrhu práce </w:t>
      </w:r>
      <w:proofErr w:type="spellStart"/>
      <w:r w:rsidRPr="00AE6EDB">
        <w:rPr>
          <w:i/>
          <w:szCs w:val="22"/>
        </w:rPr>
        <w:t>Job</w:t>
      </w:r>
      <w:proofErr w:type="spellEnd"/>
      <w:r w:rsidRPr="00AE6EDB">
        <w:rPr>
          <w:i/>
          <w:szCs w:val="22"/>
        </w:rPr>
        <w:t xml:space="preserve"> </w:t>
      </w:r>
      <w:proofErr w:type="spellStart"/>
      <w:r w:rsidRPr="00AE6EDB">
        <w:rPr>
          <w:i/>
          <w:szCs w:val="22"/>
        </w:rPr>
        <w:t>Expo</w:t>
      </w:r>
      <w:proofErr w:type="spellEnd"/>
      <w:r w:rsidRPr="00AE6EDB">
        <w:rPr>
          <w:i/>
          <w:szCs w:val="22"/>
        </w:rPr>
        <w:t xml:space="preserve"> 2015</w:t>
      </w:r>
      <w:r w:rsidRPr="00AE6EDB">
        <w:rPr>
          <w:szCs w:val="22"/>
        </w:rPr>
        <w:t xml:space="preserve"> a XVII. ročníku medzinárodnej burzy práce </w:t>
      </w:r>
      <w:proofErr w:type="spellStart"/>
      <w:r w:rsidRPr="00AE6EDB">
        <w:rPr>
          <w:szCs w:val="22"/>
        </w:rPr>
        <w:t>European</w:t>
      </w:r>
      <w:proofErr w:type="spellEnd"/>
      <w:r w:rsidRPr="00AE6EDB">
        <w:rPr>
          <w:szCs w:val="22"/>
        </w:rPr>
        <w:t xml:space="preserve"> </w:t>
      </w:r>
      <w:proofErr w:type="spellStart"/>
      <w:r w:rsidRPr="00AE6EDB">
        <w:rPr>
          <w:szCs w:val="22"/>
        </w:rPr>
        <w:t>Job</w:t>
      </w:r>
      <w:proofErr w:type="spellEnd"/>
      <w:r w:rsidRPr="00AE6EDB">
        <w:rPr>
          <w:szCs w:val="22"/>
        </w:rPr>
        <w:t xml:space="preserve"> </w:t>
      </w:r>
      <w:proofErr w:type="spellStart"/>
      <w:r w:rsidRPr="00AE6EDB">
        <w:rPr>
          <w:szCs w:val="22"/>
        </w:rPr>
        <w:t>Days</w:t>
      </w:r>
      <w:proofErr w:type="spellEnd"/>
      <w:r w:rsidRPr="00AE6EDB">
        <w:rPr>
          <w:bCs/>
          <w:szCs w:val="22"/>
        </w:rPr>
        <w:t xml:space="preserve"> zorganizované </w:t>
      </w:r>
      <w:r w:rsidRPr="00AE6EDB">
        <w:rPr>
          <w:szCs w:val="22"/>
        </w:rPr>
        <w:t xml:space="preserve">interaktívne prednášky zamerané na poradenstvo týkajúce sa výberu vhodného povolania, resp. voľby vhodnej strednej školy a poradenstvo týkajúce sa orientácie na trhu práce. Prednášok, ktoré boli určené žiakom ZŠ sa zúčastnilo 314 žiakov z 8 škôl. Na prednáškach určených žiakom SŠ sa zúčastnilo 423 žiakov z 11 škôl. </w:t>
      </w:r>
    </w:p>
    <w:p w:rsidR="000A7585" w:rsidRPr="00AE6EDB" w:rsidRDefault="000A7585" w:rsidP="001C72AB">
      <w:pPr>
        <w:ind w:firstLine="465"/>
        <w:rPr>
          <w:szCs w:val="22"/>
        </w:rPr>
      </w:pPr>
      <w:r w:rsidRPr="00AE6EDB">
        <w:rPr>
          <w:szCs w:val="22"/>
        </w:rPr>
        <w:t xml:space="preserve">V rámci informačných a poradenských služieb pri voľbe povolania boli v roku 2015 organizované </w:t>
      </w:r>
      <w:r w:rsidRPr="00AE6EDB">
        <w:rPr>
          <w:i/>
          <w:szCs w:val="22"/>
        </w:rPr>
        <w:t>burzy informácií</w:t>
      </w:r>
      <w:r w:rsidR="001C72AB" w:rsidRPr="00AE6EDB">
        <w:rPr>
          <w:szCs w:val="22"/>
        </w:rPr>
        <w:t xml:space="preserve"> pre žiakov ZŠ.</w:t>
      </w:r>
      <w:r w:rsidRPr="00AE6EDB">
        <w:rPr>
          <w:szCs w:val="22"/>
        </w:rPr>
        <w:t xml:space="preserve"> Ich hlavným cieľom bolo najmä zvýšenie záujmu o remeselné druhy povolaní a súčasne riešenie problému s ich nedostatkom na trhu práce. Zrealizovaných bolo 40 búrz informácií, ktoré zorganizovalo celkovo 37 úradov. Búrz informácií sa v roku 2015 zúčastnilo celkovo 658 ZŠ a 2</w:t>
      </w:r>
      <w:r w:rsidR="0054295F">
        <w:rPr>
          <w:szCs w:val="22"/>
        </w:rPr>
        <w:t>0 3</w:t>
      </w:r>
      <w:r w:rsidRPr="00AE6EDB">
        <w:rPr>
          <w:szCs w:val="22"/>
        </w:rPr>
        <w:t xml:space="preserve">61 žiakov ZŠ. Na burzách informácií sa prezentovalo celkom 594 SŠ a 498 zamestnávateľov. </w:t>
      </w:r>
    </w:p>
    <w:p w:rsidR="000A7585" w:rsidRPr="00AE6EDB" w:rsidRDefault="000A7585" w:rsidP="000A7585">
      <w:pPr>
        <w:ind w:firstLine="567"/>
        <w:rPr>
          <w:highlight w:val="cyan"/>
          <w:lang w:eastAsia="cs-CZ"/>
        </w:rPr>
      </w:pPr>
    </w:p>
    <w:p w:rsidR="000A7585" w:rsidRPr="00AE6EDB" w:rsidRDefault="000A7585" w:rsidP="000A7585">
      <w:pPr>
        <w:spacing w:after="60"/>
        <w:rPr>
          <w:b/>
        </w:rPr>
      </w:pPr>
      <w:r w:rsidRPr="00AE6EDB">
        <w:rPr>
          <w:b/>
        </w:rPr>
        <w:t>Odborné poradenské služby (§ 43)</w:t>
      </w:r>
    </w:p>
    <w:p w:rsidR="000A7585" w:rsidRPr="00AE6EDB" w:rsidRDefault="000A7585" w:rsidP="000A7585">
      <w:pPr>
        <w:spacing w:after="120"/>
        <w:ind w:firstLine="431"/>
      </w:pPr>
      <w:r w:rsidRPr="00AE6EDB">
        <w:t xml:space="preserve">Odborné poradenské služby môže úrad PSVR zabezpečiť pre </w:t>
      </w:r>
      <w:proofErr w:type="spellStart"/>
      <w:r w:rsidRPr="00AE6EDB">
        <w:t>UoZ</w:t>
      </w:r>
      <w:proofErr w:type="spellEnd"/>
      <w:r w:rsidRPr="00AE6EDB">
        <w:t xml:space="preserve"> a </w:t>
      </w:r>
      <w:proofErr w:type="spellStart"/>
      <w:r w:rsidRPr="00AE6EDB">
        <w:t>ZoZ</w:t>
      </w:r>
      <w:proofErr w:type="spellEnd"/>
      <w:r w:rsidRPr="00AE6EDB">
        <w:t xml:space="preserve">. Odborné poradenské služby zamerané na ovplyvňovanie rozhodovania a správania sa </w:t>
      </w:r>
      <w:proofErr w:type="spellStart"/>
      <w:r w:rsidRPr="00AE6EDB">
        <w:t>UoZ</w:t>
      </w:r>
      <w:proofErr w:type="spellEnd"/>
      <w:r w:rsidRPr="00AE6EDB">
        <w:t xml:space="preserve">, vytváranie súladu medzi osobnostnými predpokladmi </w:t>
      </w:r>
      <w:proofErr w:type="spellStart"/>
      <w:r w:rsidRPr="00AE6EDB">
        <w:t>UoZ</w:t>
      </w:r>
      <w:proofErr w:type="spellEnd"/>
      <w:r w:rsidRPr="00AE6EDB">
        <w:t xml:space="preserve"> a požiadavkami na vykonávanie určitého zamestnania, sociálnu a pracovnú adaptáciu </w:t>
      </w:r>
      <w:proofErr w:type="spellStart"/>
      <w:r w:rsidRPr="00AE6EDB">
        <w:t>UoZ</w:t>
      </w:r>
      <w:proofErr w:type="spellEnd"/>
    </w:p>
    <w:p w:rsidR="000A7585" w:rsidRPr="00AE6EDB" w:rsidRDefault="000A7585" w:rsidP="000A7585">
      <w:pPr>
        <w:numPr>
          <w:ilvl w:val="0"/>
          <w:numId w:val="16"/>
        </w:numPr>
        <w:tabs>
          <w:tab w:val="clear" w:pos="897"/>
          <w:tab w:val="left" w:pos="426"/>
        </w:tabs>
        <w:ind w:left="426" w:hanging="426"/>
        <w:rPr>
          <w:rStyle w:val="Siln"/>
          <w:b w:val="0"/>
          <w:bCs w:val="0"/>
        </w:rPr>
      </w:pPr>
      <w:r w:rsidRPr="00AE6EDB">
        <w:rPr>
          <w:rStyle w:val="Siln"/>
          <w:b w:val="0"/>
        </w:rPr>
        <w:t xml:space="preserve">zisťovaním osobnostných predpokladov, schopností </w:t>
      </w:r>
      <w:proofErr w:type="spellStart"/>
      <w:r w:rsidRPr="00AE6EDB">
        <w:t>UoZ</w:t>
      </w:r>
      <w:proofErr w:type="spellEnd"/>
      <w:r w:rsidRPr="00AE6EDB">
        <w:rPr>
          <w:rStyle w:val="Siln"/>
          <w:b w:val="0"/>
        </w:rPr>
        <w:t xml:space="preserve"> a zhodnotením jeho kompetencií,</w:t>
      </w:r>
    </w:p>
    <w:p w:rsidR="000A7585" w:rsidRPr="00AE6EDB" w:rsidRDefault="000A7585" w:rsidP="000A7585">
      <w:pPr>
        <w:numPr>
          <w:ilvl w:val="0"/>
          <w:numId w:val="16"/>
        </w:numPr>
        <w:tabs>
          <w:tab w:val="clear" w:pos="897"/>
          <w:tab w:val="left" w:pos="426"/>
        </w:tabs>
        <w:ind w:left="426" w:hanging="426"/>
      </w:pPr>
      <w:r w:rsidRPr="00AE6EDB">
        <w:t xml:space="preserve">vypracovaním individuálneho akčného plánu na podporu pracovného uplatnenia znevýhodneného </w:t>
      </w:r>
      <w:proofErr w:type="spellStart"/>
      <w:r w:rsidRPr="00AE6EDB">
        <w:t>UoZ</w:t>
      </w:r>
      <w:proofErr w:type="spellEnd"/>
      <w:r w:rsidRPr="00AE6EDB">
        <w:t>,</w:t>
      </w:r>
    </w:p>
    <w:p w:rsidR="000A7585" w:rsidRPr="00AE6EDB" w:rsidRDefault="000A7585" w:rsidP="000A7585">
      <w:pPr>
        <w:numPr>
          <w:ilvl w:val="0"/>
          <w:numId w:val="16"/>
        </w:numPr>
        <w:tabs>
          <w:tab w:val="clear" w:pos="897"/>
          <w:tab w:val="left" w:pos="426"/>
        </w:tabs>
        <w:ind w:left="426" w:hanging="426"/>
        <w:rPr>
          <w:rStyle w:val="Siln"/>
          <w:b w:val="0"/>
        </w:rPr>
      </w:pPr>
      <w:r w:rsidRPr="00AE6EDB">
        <w:rPr>
          <w:rStyle w:val="Siln"/>
          <w:b w:val="0"/>
        </w:rPr>
        <w:t>diagnostikovaním a rozpoznaním prekážok vstupu na trh práce,</w:t>
      </w:r>
    </w:p>
    <w:p w:rsidR="000A7585" w:rsidRPr="00AE6EDB" w:rsidRDefault="000A7585" w:rsidP="000A7585">
      <w:pPr>
        <w:numPr>
          <w:ilvl w:val="0"/>
          <w:numId w:val="16"/>
        </w:numPr>
        <w:tabs>
          <w:tab w:val="clear" w:pos="897"/>
          <w:tab w:val="left" w:pos="426"/>
        </w:tabs>
        <w:spacing w:after="120"/>
        <w:ind w:left="425" w:hanging="425"/>
      </w:pPr>
      <w:r w:rsidRPr="00AE6EDB">
        <w:t xml:space="preserve">vytvorením osobnostného profilu </w:t>
      </w:r>
      <w:proofErr w:type="spellStart"/>
      <w:r w:rsidRPr="00AE6EDB">
        <w:t>UoZ</w:t>
      </w:r>
      <w:proofErr w:type="spellEnd"/>
      <w:r w:rsidRPr="00AE6EDB">
        <w:t xml:space="preserve"> na určenie aktivít, opatrení a služieb potrebných na jeho začlenenie na trh práce.</w:t>
      </w:r>
    </w:p>
    <w:p w:rsidR="000A7585" w:rsidRPr="00AE6EDB" w:rsidRDefault="000A7585" w:rsidP="000A7585">
      <w:pPr>
        <w:ind w:firstLine="425"/>
        <w:rPr>
          <w:bCs/>
        </w:rPr>
      </w:pPr>
      <w:r w:rsidRPr="00AE6EDB">
        <w:t xml:space="preserve">Odborné poradenské služby </w:t>
      </w:r>
      <w:r w:rsidRPr="00AE6EDB">
        <w:rPr>
          <w:bCs/>
        </w:rPr>
        <w:t>v roku 2015</w:t>
      </w:r>
      <w:r w:rsidRPr="00AE6EDB">
        <w:t xml:space="preserve"> boli poskytnuté pre 13</w:t>
      </w:r>
      <w:r w:rsidR="0054295F">
        <w:t>3 1</w:t>
      </w:r>
      <w:r w:rsidRPr="00AE6EDB">
        <w:t>94 klientov, z toho bolo 13</w:t>
      </w:r>
      <w:r w:rsidR="0054295F">
        <w:t>3 1</w:t>
      </w:r>
      <w:r w:rsidRPr="00AE6EDB">
        <w:t xml:space="preserve">83 </w:t>
      </w:r>
      <w:proofErr w:type="spellStart"/>
      <w:r w:rsidRPr="00AE6EDB">
        <w:t>UoZ</w:t>
      </w:r>
      <w:proofErr w:type="spellEnd"/>
      <w:r w:rsidRPr="00AE6EDB">
        <w:t xml:space="preserve"> a 11 </w:t>
      </w:r>
      <w:proofErr w:type="spellStart"/>
      <w:r w:rsidRPr="00AE6EDB">
        <w:t>ZoZ</w:t>
      </w:r>
      <w:proofErr w:type="spellEnd"/>
      <w:r w:rsidRPr="00AE6EDB">
        <w:rPr>
          <w:bCs/>
        </w:rPr>
        <w:t xml:space="preserve">. Externí dodávatelia poskytli odborné poradenské služby pre </w:t>
      </w:r>
      <w:r w:rsidR="0054295F">
        <w:rPr>
          <w:bCs/>
        </w:rPr>
        <w:t>1 8</w:t>
      </w:r>
      <w:r w:rsidRPr="00AE6EDB">
        <w:rPr>
          <w:bCs/>
        </w:rPr>
        <w:t xml:space="preserve">97 </w:t>
      </w:r>
      <w:proofErr w:type="spellStart"/>
      <w:r w:rsidRPr="00AE6EDB">
        <w:rPr>
          <w:bCs/>
        </w:rPr>
        <w:t>UoZ</w:t>
      </w:r>
      <w:proofErr w:type="spellEnd"/>
      <w:r w:rsidRPr="00AE6EDB">
        <w:rPr>
          <w:bCs/>
        </w:rPr>
        <w:t>, čo predstavuje iba 1,42</w:t>
      </w:r>
      <w:r w:rsidR="005676EF">
        <w:rPr>
          <w:bCs/>
        </w:rPr>
        <w:t> %</w:t>
      </w:r>
      <w:r w:rsidRPr="00AE6EDB">
        <w:rPr>
          <w:bCs/>
        </w:rPr>
        <w:t xml:space="preserve"> z celkového počtu klientov. Pre zvyšok klientov (13</w:t>
      </w:r>
      <w:r w:rsidR="0054295F">
        <w:rPr>
          <w:bCs/>
        </w:rPr>
        <w:t>1 2</w:t>
      </w:r>
      <w:r w:rsidRPr="00AE6EDB">
        <w:rPr>
          <w:bCs/>
        </w:rPr>
        <w:t>97), čo predstavuje 98,58</w:t>
      </w:r>
      <w:r w:rsidR="005676EF">
        <w:rPr>
          <w:bCs/>
        </w:rPr>
        <w:t> %</w:t>
      </w:r>
      <w:r w:rsidRPr="00AE6EDB">
        <w:rPr>
          <w:bCs/>
        </w:rPr>
        <w:t xml:space="preserve"> z celkového počtu, boli odborné poradenské služby poskytnuté výlučne internými odbornými poradcami úradov. V roku 2015 bolo klientom poskytnutých celkovo 20</w:t>
      </w:r>
      <w:r w:rsidR="0054295F">
        <w:rPr>
          <w:bCs/>
        </w:rPr>
        <w:t>1 4</w:t>
      </w:r>
      <w:r w:rsidRPr="00AE6EDB">
        <w:rPr>
          <w:bCs/>
        </w:rPr>
        <w:t>75 odborných poradenských služieb</w:t>
      </w:r>
      <w:r w:rsidR="006F086C" w:rsidRPr="00AE6EDB">
        <w:rPr>
          <w:bCs/>
        </w:rPr>
        <w:t xml:space="preserve"> (medziročný nárast o 37 služieb)</w:t>
      </w:r>
      <w:r w:rsidRPr="00AE6EDB">
        <w:rPr>
          <w:bCs/>
        </w:rPr>
        <w:t xml:space="preserve">. </w:t>
      </w:r>
      <w:r w:rsidR="006F086C" w:rsidRPr="00AE6EDB">
        <w:rPr>
          <w:bCs/>
        </w:rPr>
        <w:t>V</w:t>
      </w:r>
      <w:r w:rsidRPr="00AE6EDB">
        <w:rPr>
          <w:bCs/>
        </w:rPr>
        <w:t>ynaložené finančné prostriedky na odborné poradenské služby predstavovali v roku 2015 sumu 16</w:t>
      </w:r>
      <w:r w:rsidR="00AC44CB">
        <w:rPr>
          <w:bCs/>
        </w:rPr>
        <w:t>7 6</w:t>
      </w:r>
      <w:r w:rsidRPr="00AE6EDB">
        <w:rPr>
          <w:bCs/>
        </w:rPr>
        <w:t>97</w:t>
      </w:r>
      <w:r w:rsidR="0054295F">
        <w:rPr>
          <w:bCs/>
        </w:rPr>
        <w:t> eur</w:t>
      </w:r>
      <w:r w:rsidR="00231E36" w:rsidRPr="00AE6EDB">
        <w:rPr>
          <w:bCs/>
        </w:rPr>
        <w:t xml:space="preserve"> (medziročný nárast o 15</w:t>
      </w:r>
      <w:r w:rsidR="00AC44CB">
        <w:rPr>
          <w:bCs/>
        </w:rPr>
        <w:t>6 6</w:t>
      </w:r>
      <w:r w:rsidR="00231E36" w:rsidRPr="00AE6EDB">
        <w:rPr>
          <w:bCs/>
        </w:rPr>
        <w:t>62</w:t>
      </w:r>
      <w:r w:rsidR="0054295F">
        <w:rPr>
          <w:bCs/>
        </w:rPr>
        <w:t> eur</w:t>
      </w:r>
      <w:r w:rsidR="00231E36" w:rsidRPr="00AE6EDB">
        <w:rPr>
          <w:bCs/>
        </w:rPr>
        <w:t>)</w:t>
      </w:r>
      <w:r w:rsidRPr="00AE6EDB">
        <w:rPr>
          <w:bCs/>
        </w:rPr>
        <w:t>.</w:t>
      </w:r>
    </w:p>
    <w:p w:rsidR="000A7585" w:rsidRPr="00AE6EDB" w:rsidRDefault="000A7585" w:rsidP="001C72AB">
      <w:pPr>
        <w:ind w:firstLine="425"/>
        <w:rPr>
          <w:szCs w:val="22"/>
        </w:rPr>
      </w:pPr>
      <w:r w:rsidRPr="00AE6EDB">
        <w:rPr>
          <w:bCs/>
          <w:szCs w:val="22"/>
        </w:rPr>
        <w:t xml:space="preserve">Z celkového počtu </w:t>
      </w:r>
      <w:proofErr w:type="spellStart"/>
      <w:r w:rsidRPr="00AE6EDB">
        <w:rPr>
          <w:bCs/>
          <w:szCs w:val="22"/>
        </w:rPr>
        <w:t>UoZ</w:t>
      </w:r>
      <w:proofErr w:type="spellEnd"/>
      <w:r w:rsidRPr="00AE6EDB">
        <w:rPr>
          <w:bCs/>
          <w:szCs w:val="22"/>
        </w:rPr>
        <w:t xml:space="preserve">, ktorým boli v roku 2015 poskytnuté odborné poradenské služby </w:t>
      </w:r>
      <w:r w:rsidRPr="00AE6EDB">
        <w:rPr>
          <w:szCs w:val="22"/>
        </w:rPr>
        <w:t>bolo 7</w:t>
      </w:r>
      <w:r w:rsidR="0054295F">
        <w:rPr>
          <w:szCs w:val="22"/>
        </w:rPr>
        <w:t>1 9</w:t>
      </w:r>
      <w:r w:rsidRPr="00AE6EDB">
        <w:rPr>
          <w:szCs w:val="22"/>
        </w:rPr>
        <w:t>36 žien (54,01</w:t>
      </w:r>
      <w:r w:rsidR="005676EF">
        <w:rPr>
          <w:szCs w:val="22"/>
        </w:rPr>
        <w:t> %</w:t>
      </w:r>
      <w:r w:rsidRPr="00AE6EDB">
        <w:rPr>
          <w:szCs w:val="22"/>
        </w:rPr>
        <w:t>) a 6</w:t>
      </w:r>
      <w:r w:rsidR="0054295F">
        <w:rPr>
          <w:szCs w:val="22"/>
        </w:rPr>
        <w:t>1 2</w:t>
      </w:r>
      <w:r w:rsidRPr="00AE6EDB">
        <w:rPr>
          <w:szCs w:val="22"/>
        </w:rPr>
        <w:t>49 mužov (45,99</w:t>
      </w:r>
      <w:r w:rsidR="005676EF">
        <w:rPr>
          <w:szCs w:val="22"/>
        </w:rPr>
        <w:t> %</w:t>
      </w:r>
      <w:r w:rsidRPr="00AE6EDB">
        <w:rPr>
          <w:szCs w:val="22"/>
        </w:rPr>
        <w:t xml:space="preserve">). Z hľadiska dĺžky evidencie sa odborných poradenských služieb zúčastnilo najviac </w:t>
      </w:r>
      <w:proofErr w:type="spellStart"/>
      <w:r w:rsidRPr="00AE6EDB">
        <w:rPr>
          <w:szCs w:val="22"/>
        </w:rPr>
        <w:t>UoZ</w:t>
      </w:r>
      <w:proofErr w:type="spellEnd"/>
      <w:r w:rsidRPr="00AE6EDB">
        <w:rPr>
          <w:szCs w:val="22"/>
        </w:rPr>
        <w:t xml:space="preserve"> s dĺžkou evidencie viac než 12 mesiacov (49,53</w:t>
      </w:r>
      <w:r w:rsidR="00411759">
        <w:rPr>
          <w:szCs w:val="22"/>
        </w:rPr>
        <w:t> </w:t>
      </w:r>
      <w:r w:rsidRPr="00AE6EDB">
        <w:rPr>
          <w:szCs w:val="22"/>
        </w:rPr>
        <w:t xml:space="preserve">%). Odborné poradenské služby boli poskytnuté najviac pre </w:t>
      </w:r>
      <w:proofErr w:type="spellStart"/>
      <w:r w:rsidRPr="00AE6EDB">
        <w:rPr>
          <w:szCs w:val="22"/>
        </w:rPr>
        <w:t>UoZ</w:t>
      </w:r>
      <w:proofErr w:type="spellEnd"/>
      <w:r w:rsidRPr="00AE6EDB">
        <w:rPr>
          <w:szCs w:val="22"/>
        </w:rPr>
        <w:t xml:space="preserve"> vo veku od 30 do 54 rokov – 6</w:t>
      </w:r>
      <w:r w:rsidR="0054295F">
        <w:rPr>
          <w:szCs w:val="22"/>
        </w:rPr>
        <w:t>4 6</w:t>
      </w:r>
      <w:r w:rsidRPr="00AE6EDB">
        <w:rPr>
          <w:szCs w:val="22"/>
        </w:rPr>
        <w:t>25</w:t>
      </w:r>
      <w:r w:rsidR="00AC2FE3" w:rsidRPr="00AE6EDB">
        <w:rPr>
          <w:szCs w:val="22"/>
        </w:rPr>
        <w:t> </w:t>
      </w:r>
      <w:proofErr w:type="spellStart"/>
      <w:r w:rsidRPr="00AE6EDB">
        <w:rPr>
          <w:szCs w:val="22"/>
        </w:rPr>
        <w:t>UoZ</w:t>
      </w:r>
      <w:proofErr w:type="spellEnd"/>
      <w:r w:rsidRPr="00AE6EDB">
        <w:rPr>
          <w:szCs w:val="22"/>
        </w:rPr>
        <w:t>, čo predstavuje 48,52</w:t>
      </w:r>
      <w:r w:rsidR="00411759">
        <w:rPr>
          <w:szCs w:val="22"/>
        </w:rPr>
        <w:t> </w:t>
      </w:r>
      <w:r w:rsidRPr="00AE6EDB">
        <w:rPr>
          <w:szCs w:val="22"/>
        </w:rPr>
        <w:t xml:space="preserve">%. Z hľadiska vzdelania </w:t>
      </w:r>
      <w:proofErr w:type="spellStart"/>
      <w:r w:rsidRPr="00AE6EDB">
        <w:rPr>
          <w:szCs w:val="22"/>
        </w:rPr>
        <w:t>UoZ</w:t>
      </w:r>
      <w:proofErr w:type="spellEnd"/>
      <w:r w:rsidRPr="00AE6EDB">
        <w:rPr>
          <w:szCs w:val="22"/>
        </w:rPr>
        <w:t xml:space="preserve"> najvyšší podiel (</w:t>
      </w:r>
      <w:r w:rsidRPr="00AE6EDB">
        <w:rPr>
          <w:bCs/>
          <w:szCs w:val="22"/>
        </w:rPr>
        <w:t>33,61</w:t>
      </w:r>
      <w:r w:rsidR="005676EF">
        <w:rPr>
          <w:bCs/>
          <w:szCs w:val="22"/>
        </w:rPr>
        <w:t> %</w:t>
      </w:r>
      <w:r w:rsidRPr="00AE6EDB">
        <w:rPr>
          <w:bCs/>
          <w:szCs w:val="22"/>
        </w:rPr>
        <w:t>)</w:t>
      </w:r>
      <w:r w:rsidRPr="00AE6EDB">
        <w:rPr>
          <w:szCs w:val="22"/>
        </w:rPr>
        <w:t xml:space="preserve"> tvorili </w:t>
      </w:r>
      <w:proofErr w:type="spellStart"/>
      <w:r w:rsidRPr="00AE6EDB">
        <w:rPr>
          <w:bCs/>
          <w:szCs w:val="22"/>
        </w:rPr>
        <w:t>UoZ</w:t>
      </w:r>
      <w:proofErr w:type="spellEnd"/>
      <w:r w:rsidRPr="00AE6EDB">
        <w:rPr>
          <w:bCs/>
          <w:szCs w:val="22"/>
        </w:rPr>
        <w:t xml:space="preserve"> s úplným stredným odborným vzdelaním</w:t>
      </w:r>
      <w:r w:rsidRPr="00AE6EDB">
        <w:rPr>
          <w:szCs w:val="22"/>
        </w:rPr>
        <w:t>, v počte 4</w:t>
      </w:r>
      <w:r w:rsidR="0054295F">
        <w:rPr>
          <w:szCs w:val="22"/>
        </w:rPr>
        <w:t>4 7</w:t>
      </w:r>
      <w:r w:rsidRPr="00AE6EDB">
        <w:rPr>
          <w:szCs w:val="22"/>
        </w:rPr>
        <w:t>62 </w:t>
      </w:r>
      <w:proofErr w:type="spellStart"/>
      <w:r w:rsidRPr="00AE6EDB">
        <w:rPr>
          <w:szCs w:val="22"/>
        </w:rPr>
        <w:t>UoZ</w:t>
      </w:r>
      <w:proofErr w:type="spellEnd"/>
      <w:r w:rsidRPr="00AE6EDB">
        <w:rPr>
          <w:szCs w:val="22"/>
        </w:rPr>
        <w:t xml:space="preserve">. Najviac znevýhodnených, ktorým boli poskytnuté odborné poradenské služby bolo </w:t>
      </w:r>
      <w:proofErr w:type="spellStart"/>
      <w:r w:rsidRPr="00AE6EDB">
        <w:rPr>
          <w:szCs w:val="22"/>
        </w:rPr>
        <w:t>UoZ</w:t>
      </w:r>
      <w:proofErr w:type="spellEnd"/>
      <w:r w:rsidRPr="00AE6EDB">
        <w:rPr>
          <w:szCs w:val="22"/>
        </w:rPr>
        <w:t xml:space="preserve">, ktorí najmenej 12 po sebe nasledujúcich kalendárnych mesiacov pred zaradením do evidencie </w:t>
      </w:r>
      <w:proofErr w:type="spellStart"/>
      <w:r w:rsidRPr="00AE6EDB">
        <w:rPr>
          <w:szCs w:val="22"/>
        </w:rPr>
        <w:t>UoZ</w:t>
      </w:r>
      <w:proofErr w:type="spellEnd"/>
      <w:r w:rsidRPr="00AE6EDB">
        <w:rPr>
          <w:szCs w:val="22"/>
        </w:rPr>
        <w:t xml:space="preserve"> nemali pravidelne platené zamestnanie (8</w:t>
      </w:r>
      <w:r w:rsidR="00AC44CB">
        <w:rPr>
          <w:szCs w:val="22"/>
        </w:rPr>
        <w:t>8 1</w:t>
      </w:r>
      <w:r w:rsidRPr="00AE6EDB">
        <w:rPr>
          <w:szCs w:val="22"/>
        </w:rPr>
        <w:t>42), za nimi nasledovali dlhodobo nezamestnaní občania (6</w:t>
      </w:r>
      <w:r w:rsidR="0054295F">
        <w:rPr>
          <w:szCs w:val="22"/>
        </w:rPr>
        <w:t>4 2</w:t>
      </w:r>
      <w:r w:rsidRPr="00AE6EDB">
        <w:rPr>
          <w:szCs w:val="22"/>
        </w:rPr>
        <w:t>98) a občania starší ako 50 rokov veku (2</w:t>
      </w:r>
      <w:r w:rsidR="00AC44CB">
        <w:rPr>
          <w:szCs w:val="22"/>
        </w:rPr>
        <w:t>9 5</w:t>
      </w:r>
      <w:r w:rsidRPr="00AE6EDB">
        <w:rPr>
          <w:szCs w:val="22"/>
        </w:rPr>
        <w:t>57).</w:t>
      </w:r>
    </w:p>
    <w:p w:rsidR="000A7585" w:rsidRPr="00AE6EDB" w:rsidRDefault="000A7585" w:rsidP="000A7585">
      <w:pPr>
        <w:spacing w:after="60"/>
        <w:rPr>
          <w:b/>
          <w:highlight w:val="cyan"/>
        </w:rPr>
      </w:pPr>
    </w:p>
    <w:p w:rsidR="000A7585" w:rsidRPr="00AE6EDB" w:rsidRDefault="000A7585" w:rsidP="000A7585">
      <w:pPr>
        <w:spacing w:after="60"/>
        <w:rPr>
          <w:b/>
        </w:rPr>
      </w:pPr>
      <w:r w:rsidRPr="00AE6EDB">
        <w:rPr>
          <w:b/>
        </w:rPr>
        <w:t>Vzdelávanie a príprava pre trh práce uchádzača o zamestnanie (§ 46)</w:t>
      </w:r>
    </w:p>
    <w:p w:rsidR="000A7585" w:rsidRPr="00AE6EDB" w:rsidRDefault="000A7585" w:rsidP="000A7585">
      <w:pPr>
        <w:ind w:firstLine="431"/>
      </w:pPr>
      <w:r w:rsidRPr="00AE6EDB">
        <w:t xml:space="preserve">Úrad PSVR môže zabezpečiť </w:t>
      </w:r>
      <w:proofErr w:type="spellStart"/>
      <w:r w:rsidRPr="00AE6EDB">
        <w:t>UoZ</w:t>
      </w:r>
      <w:proofErr w:type="spellEnd"/>
      <w:r w:rsidRPr="00AE6EDB">
        <w:t xml:space="preserve"> vzdelávanie a prípravu pre trh práce, ak to vyžaduje jeho uplatnenie na trhu práce na základe zhodnotenia jeho schopností, pracovných skúseností, odborných zručností, dosiahnutého stupňa vzdelania a zdravotnej spôsobilosti na prácu, najmä v prípade</w:t>
      </w:r>
    </w:p>
    <w:p w:rsidR="000A7585" w:rsidRPr="00AE6EDB" w:rsidRDefault="000A7585" w:rsidP="000A7585">
      <w:pPr>
        <w:numPr>
          <w:ilvl w:val="0"/>
          <w:numId w:val="17"/>
        </w:numPr>
      </w:pPr>
      <w:r w:rsidRPr="00AE6EDB">
        <w:t>nedostatku odborných vedomostí a odborných zručností,</w:t>
      </w:r>
    </w:p>
    <w:p w:rsidR="000A7585" w:rsidRPr="00AE6EDB" w:rsidRDefault="000A7585" w:rsidP="000A7585">
      <w:pPr>
        <w:numPr>
          <w:ilvl w:val="0"/>
          <w:numId w:val="17"/>
        </w:numPr>
      </w:pPr>
      <w:r w:rsidRPr="00AE6EDB">
        <w:t>potreby zmeny vedomostí a odborných zručností vzhľadom na dopyt na trhu práce a straty schopnosti vykonávať pracovnú činnosť v doterajšom zamestnaní.</w:t>
      </w:r>
    </w:p>
    <w:p w:rsidR="000A7585" w:rsidRPr="00AE6EDB" w:rsidRDefault="000A7585" w:rsidP="000A7585">
      <w:pPr>
        <w:ind w:firstLine="431"/>
      </w:pPr>
      <w:r w:rsidRPr="00AE6EDB">
        <w:rPr>
          <w:szCs w:val="22"/>
        </w:rPr>
        <w:t>V priebehu roka 2015 sa vzdelávania a prípravy pre trh práce celkovo</w:t>
      </w:r>
      <w:r w:rsidR="001C72AB" w:rsidRPr="00AE6EDB">
        <w:rPr>
          <w:szCs w:val="22"/>
        </w:rPr>
        <w:t xml:space="preserve"> </w:t>
      </w:r>
      <w:r w:rsidRPr="00AE6EDB">
        <w:rPr>
          <w:szCs w:val="22"/>
        </w:rPr>
        <w:t>zúčastnilo</w:t>
      </w:r>
      <w:r w:rsidRPr="00AE6EDB">
        <w:rPr>
          <w:b/>
          <w:szCs w:val="22"/>
        </w:rPr>
        <w:t xml:space="preserve"> </w:t>
      </w:r>
      <w:r w:rsidR="0054295F">
        <w:rPr>
          <w:szCs w:val="22"/>
        </w:rPr>
        <w:t>1 4</w:t>
      </w:r>
      <w:r w:rsidRPr="00AE6EDB">
        <w:rPr>
          <w:szCs w:val="22"/>
        </w:rPr>
        <w:t xml:space="preserve">73 </w:t>
      </w:r>
      <w:proofErr w:type="spellStart"/>
      <w:r w:rsidRPr="00AE6EDB">
        <w:rPr>
          <w:szCs w:val="22"/>
        </w:rPr>
        <w:t>UoZ</w:t>
      </w:r>
      <w:proofErr w:type="spellEnd"/>
      <w:r w:rsidRPr="00AE6EDB">
        <w:rPr>
          <w:szCs w:val="22"/>
        </w:rPr>
        <w:t>, čo je v </w:t>
      </w:r>
      <w:r w:rsidRPr="00AE6EDB">
        <w:t>porovnaní s rokom 2014 o </w:t>
      </w:r>
      <w:r w:rsidR="00AC44CB">
        <w:t>5 1</w:t>
      </w:r>
      <w:r w:rsidRPr="00AE6EDB">
        <w:t>86 osôb menej. Vynaložená suma na vzdelávanie a prípravu pre trh práce predstavovala 66</w:t>
      </w:r>
      <w:r w:rsidR="0054295F">
        <w:t>2 6</w:t>
      </w:r>
      <w:r w:rsidRPr="00AE6EDB">
        <w:t>61</w:t>
      </w:r>
      <w:r w:rsidR="0054295F">
        <w:t> eur</w:t>
      </w:r>
      <w:r w:rsidRPr="00AE6EDB">
        <w:t>, čo je o </w:t>
      </w:r>
      <w:r w:rsidR="0054295F">
        <w:t>1 8</w:t>
      </w:r>
      <w:r w:rsidRPr="00AE6EDB">
        <w:t>3</w:t>
      </w:r>
      <w:r w:rsidR="0054295F">
        <w:t>4 6</w:t>
      </w:r>
      <w:r w:rsidRPr="00AE6EDB">
        <w:t>62</w:t>
      </w:r>
      <w:r w:rsidR="0054295F">
        <w:t> eur</w:t>
      </w:r>
      <w:r w:rsidRPr="00AE6EDB">
        <w:t xml:space="preserve"> menej ako v roku 2014. Pokles bol spôsobený okrem legislatívnych zmien v zákone o službách zamestnanosti aj skutočnosťou, že rekvalifikačné kurzy sa realizujú prostredníctvom projektu RE-PAS – príspevok na rekvalifikáciu.</w:t>
      </w:r>
    </w:p>
    <w:p w:rsidR="000A7585" w:rsidRPr="00AE6EDB" w:rsidRDefault="000A7585" w:rsidP="000A7585">
      <w:pPr>
        <w:pStyle w:val="Normlnywebov"/>
        <w:spacing w:before="0" w:after="0"/>
        <w:ind w:firstLine="567"/>
        <w:rPr>
          <w:szCs w:val="22"/>
        </w:rPr>
      </w:pPr>
      <w:r w:rsidRPr="00AE6EDB">
        <w:rPr>
          <w:szCs w:val="22"/>
        </w:rPr>
        <w:t>V roku 2015 bolo na vzdelávanie a prípravu pre trh práce, ktoré zabezpečil úrad zaradených</w:t>
      </w:r>
      <w:r w:rsidRPr="00AE6EDB">
        <w:rPr>
          <w:b/>
          <w:szCs w:val="22"/>
        </w:rPr>
        <w:t xml:space="preserve"> </w:t>
      </w:r>
      <w:r w:rsidRPr="00AE6EDB">
        <w:rPr>
          <w:b/>
          <w:szCs w:val="22"/>
        </w:rPr>
        <w:br/>
      </w:r>
      <w:r w:rsidR="0054295F">
        <w:rPr>
          <w:szCs w:val="22"/>
        </w:rPr>
        <w:t>1 4</w:t>
      </w:r>
      <w:r w:rsidRPr="00AE6EDB">
        <w:rPr>
          <w:szCs w:val="22"/>
        </w:rPr>
        <w:t xml:space="preserve">09 </w:t>
      </w:r>
      <w:proofErr w:type="spellStart"/>
      <w:r w:rsidRPr="00AE6EDB">
        <w:rPr>
          <w:szCs w:val="22"/>
        </w:rPr>
        <w:t>UoZ</w:t>
      </w:r>
      <w:proofErr w:type="spellEnd"/>
      <w:r w:rsidRPr="00AE6EDB">
        <w:rPr>
          <w:szCs w:val="22"/>
        </w:rPr>
        <w:t xml:space="preserve">. Z celkového počtu zaradených </w:t>
      </w:r>
      <w:proofErr w:type="spellStart"/>
      <w:r w:rsidRPr="00AE6EDB">
        <w:rPr>
          <w:szCs w:val="22"/>
        </w:rPr>
        <w:t>UoZ</w:t>
      </w:r>
      <w:proofErr w:type="spellEnd"/>
      <w:r w:rsidRPr="00AE6EDB">
        <w:rPr>
          <w:szCs w:val="22"/>
        </w:rPr>
        <w:t xml:space="preserve"> bolo 787 žien a </w:t>
      </w:r>
      <w:r w:rsidR="0054295F">
        <w:rPr>
          <w:szCs w:val="22"/>
        </w:rPr>
        <w:t>1 0</w:t>
      </w:r>
      <w:r w:rsidRPr="00AE6EDB">
        <w:rPr>
          <w:szCs w:val="22"/>
        </w:rPr>
        <w:t xml:space="preserve">63 znevýhodnených </w:t>
      </w:r>
      <w:proofErr w:type="spellStart"/>
      <w:r w:rsidRPr="00AE6EDB">
        <w:rPr>
          <w:szCs w:val="22"/>
        </w:rPr>
        <w:t>UoZ</w:t>
      </w:r>
      <w:proofErr w:type="spellEnd"/>
      <w:r w:rsidRPr="00AE6EDB">
        <w:rPr>
          <w:szCs w:val="22"/>
        </w:rPr>
        <w:t xml:space="preserve">. </w:t>
      </w:r>
    </w:p>
    <w:p w:rsidR="000A7585" w:rsidRPr="00AE6EDB" w:rsidRDefault="000A7585" w:rsidP="000A7585">
      <w:pPr>
        <w:ind w:firstLine="567"/>
        <w:rPr>
          <w:szCs w:val="22"/>
        </w:rPr>
      </w:pPr>
      <w:r w:rsidRPr="00AE6EDB">
        <w:rPr>
          <w:szCs w:val="22"/>
        </w:rPr>
        <w:t xml:space="preserve">Ak vzdelávanie a prípravu pre trh práce nemôže pre </w:t>
      </w:r>
      <w:proofErr w:type="spellStart"/>
      <w:r w:rsidRPr="00AE6EDB">
        <w:rPr>
          <w:szCs w:val="22"/>
        </w:rPr>
        <w:t>UoZ</w:t>
      </w:r>
      <w:proofErr w:type="spellEnd"/>
      <w:r w:rsidRPr="00AE6EDB">
        <w:rPr>
          <w:szCs w:val="22"/>
        </w:rPr>
        <w:t xml:space="preserve"> zabezpečiť úrad, môže si </w:t>
      </w:r>
      <w:proofErr w:type="spellStart"/>
      <w:r w:rsidRPr="00AE6EDB">
        <w:rPr>
          <w:szCs w:val="22"/>
        </w:rPr>
        <w:t>UoZ</w:t>
      </w:r>
      <w:proofErr w:type="spellEnd"/>
      <w:r w:rsidRPr="00AE6EDB">
        <w:rPr>
          <w:szCs w:val="22"/>
        </w:rPr>
        <w:t xml:space="preserve"> požadované vzdelávanie a prípravu pre trh práce zabezpečiť z vlastnej iniciatívy, kedy úrad </w:t>
      </w:r>
      <w:proofErr w:type="spellStart"/>
      <w:r w:rsidRPr="00AE6EDB">
        <w:rPr>
          <w:szCs w:val="22"/>
        </w:rPr>
        <w:t>UoZ</w:t>
      </w:r>
      <w:proofErr w:type="spellEnd"/>
      <w:r w:rsidRPr="00AE6EDB">
        <w:rPr>
          <w:szCs w:val="22"/>
        </w:rPr>
        <w:t xml:space="preserve"> uhradí 100</w:t>
      </w:r>
      <w:r w:rsidR="005676EF">
        <w:rPr>
          <w:szCs w:val="22"/>
        </w:rPr>
        <w:t> %</w:t>
      </w:r>
      <w:r w:rsidRPr="00AE6EDB">
        <w:rPr>
          <w:szCs w:val="22"/>
        </w:rPr>
        <w:t xml:space="preserve"> nákladov, maximálne však len do výšky 600</w:t>
      </w:r>
      <w:r w:rsidR="0054295F">
        <w:rPr>
          <w:szCs w:val="22"/>
        </w:rPr>
        <w:t> eur</w:t>
      </w:r>
      <w:r w:rsidRPr="00AE6EDB">
        <w:rPr>
          <w:szCs w:val="22"/>
        </w:rPr>
        <w:t xml:space="preserve"> až po nástupe do zamestnania alebo začatia prevádzkovania alebo vykonávania samostatnej zárobkovej činnosti, na základe písomnej žiadosti o úhradu finančných prostriedkov. Na vzdelávanie a prípravu pre trh práce zabezpečené z vlastnej iniciatívy </w:t>
      </w:r>
      <w:proofErr w:type="spellStart"/>
      <w:r w:rsidRPr="00AE6EDB">
        <w:rPr>
          <w:szCs w:val="22"/>
        </w:rPr>
        <w:t>UoZ</w:t>
      </w:r>
      <w:proofErr w:type="spellEnd"/>
      <w:r w:rsidRPr="00AE6EDB">
        <w:rPr>
          <w:szCs w:val="22"/>
        </w:rPr>
        <w:t xml:space="preserve"> boli v roku 2015 uzatvorené dohody pre 64 </w:t>
      </w:r>
      <w:proofErr w:type="spellStart"/>
      <w:r w:rsidRPr="00AE6EDB">
        <w:rPr>
          <w:szCs w:val="22"/>
        </w:rPr>
        <w:t>UoZ</w:t>
      </w:r>
      <w:proofErr w:type="spellEnd"/>
      <w:r w:rsidRPr="00AE6EDB">
        <w:rPr>
          <w:szCs w:val="22"/>
        </w:rPr>
        <w:t>, z toho 28 žien a</w:t>
      </w:r>
      <w:r w:rsidR="001110A1">
        <w:rPr>
          <w:szCs w:val="22"/>
        </w:rPr>
        <w:t> </w:t>
      </w:r>
      <w:r w:rsidRPr="00AE6EDB">
        <w:rPr>
          <w:szCs w:val="22"/>
        </w:rPr>
        <w:t>48</w:t>
      </w:r>
      <w:r w:rsidR="001110A1">
        <w:rPr>
          <w:szCs w:val="22"/>
        </w:rPr>
        <w:t> </w:t>
      </w:r>
      <w:r w:rsidRPr="00AE6EDB">
        <w:rPr>
          <w:szCs w:val="22"/>
        </w:rPr>
        <w:t xml:space="preserve">znevýhodnených </w:t>
      </w:r>
      <w:proofErr w:type="spellStart"/>
      <w:r w:rsidRPr="00AE6EDB">
        <w:rPr>
          <w:szCs w:val="22"/>
        </w:rPr>
        <w:t>UoZ</w:t>
      </w:r>
      <w:proofErr w:type="spellEnd"/>
      <w:r w:rsidRPr="00AE6EDB">
        <w:rPr>
          <w:szCs w:val="22"/>
        </w:rPr>
        <w:t xml:space="preserve">. </w:t>
      </w:r>
    </w:p>
    <w:p w:rsidR="000A7585" w:rsidRPr="00AE6EDB" w:rsidRDefault="000A7585" w:rsidP="000A7585">
      <w:pPr>
        <w:ind w:firstLine="567"/>
        <w:rPr>
          <w:szCs w:val="22"/>
          <w:highlight w:val="cyan"/>
        </w:rPr>
      </w:pPr>
    </w:p>
    <w:p w:rsidR="000A7585" w:rsidRPr="00AE6EDB" w:rsidRDefault="000A7585" w:rsidP="000A7585">
      <w:pPr>
        <w:spacing w:after="60"/>
        <w:rPr>
          <w:b/>
        </w:rPr>
      </w:pPr>
      <w:r w:rsidRPr="00AE6EDB">
        <w:rPr>
          <w:b/>
        </w:rPr>
        <w:t>Vzdelávanie a príprava pre trh práce zamestnanca (§ 47)</w:t>
      </w:r>
    </w:p>
    <w:p w:rsidR="000A7585" w:rsidRPr="00AE6EDB" w:rsidRDefault="000A7585" w:rsidP="000A7585">
      <w:pPr>
        <w:pStyle w:val="123"/>
        <w:numPr>
          <w:ilvl w:val="0"/>
          <w:numId w:val="0"/>
        </w:numPr>
        <w:spacing w:before="0" w:after="0"/>
        <w:ind w:firstLine="567"/>
        <w:rPr>
          <w:b w:val="0"/>
        </w:rPr>
      </w:pPr>
      <w:r w:rsidRPr="00AE6EDB">
        <w:rPr>
          <w:b w:val="0"/>
        </w:rPr>
        <w:t>Vzdelávanie a prípravu pre trh práce zamestnanca vykonáva zamestnávateľ v záujme ďalšieho pracovného uplatnenia svojich zamestnancov. Cieľom opatrenia je podpora vzdelávania zamestnancov zamestnávateľa, s cieľom zvýšiť ich vzdelanostnú úroveň, pracovný potenciál a adaptabilitu, a aj touto formou predchádzať hromadnému prepúšťaniu.</w:t>
      </w:r>
      <w:r w:rsidR="001C72AB" w:rsidRPr="00AE6EDB">
        <w:rPr>
          <w:b w:val="0"/>
        </w:rPr>
        <w:t xml:space="preserve"> </w:t>
      </w:r>
      <w:r w:rsidRPr="00AE6EDB">
        <w:rPr>
          <w:b w:val="0"/>
        </w:rPr>
        <w:t>Vzdelávanie sa uskutočňuje v pracovnom čase a je prekážkou v práci na strane zamestnanca</w:t>
      </w:r>
      <w:r w:rsidR="0045585A" w:rsidRPr="00AE6EDB">
        <w:rPr>
          <w:b w:val="0"/>
        </w:rPr>
        <w:t>;</w:t>
      </w:r>
      <w:r w:rsidR="0045585A" w:rsidRPr="00AE6EDB">
        <w:t xml:space="preserve"> </w:t>
      </w:r>
      <w:r w:rsidR="0045585A" w:rsidRPr="00AE6EDB">
        <w:rPr>
          <w:b w:val="0"/>
        </w:rPr>
        <w:t>za toto obdobie patrí zamestnancovi náhrada mzdy vo výške jeho priemerného mesačného zárobku</w:t>
      </w:r>
      <w:r w:rsidRPr="00AE6EDB">
        <w:rPr>
          <w:b w:val="0"/>
        </w:rPr>
        <w:t>. Úrad môže poskytnúť príspevok na vzdelávanie a</w:t>
      </w:r>
      <w:r w:rsidR="00882EFD" w:rsidRPr="00AE6EDB">
        <w:rPr>
          <w:b w:val="0"/>
        </w:rPr>
        <w:t> </w:t>
      </w:r>
      <w:r w:rsidRPr="00AE6EDB">
        <w:rPr>
          <w:b w:val="0"/>
        </w:rPr>
        <w:t>na</w:t>
      </w:r>
      <w:r w:rsidR="00882EFD" w:rsidRPr="00AE6EDB">
        <w:rPr>
          <w:b w:val="0"/>
        </w:rPr>
        <w:t> </w:t>
      </w:r>
      <w:r w:rsidRPr="00AE6EDB">
        <w:rPr>
          <w:b w:val="0"/>
        </w:rPr>
        <w:t>prípravu pre trh práce zamestnanca najviac do výšky 70</w:t>
      </w:r>
      <w:r w:rsidR="005676EF">
        <w:rPr>
          <w:b w:val="0"/>
        </w:rPr>
        <w:t> %</w:t>
      </w:r>
      <w:r w:rsidRPr="00AE6EDB">
        <w:rPr>
          <w:b w:val="0"/>
        </w:rPr>
        <w:t xml:space="preserve"> oprávnených nákladov na vzdelávanie a na prípravu pre trh práce zamestnancov.</w:t>
      </w:r>
    </w:p>
    <w:p w:rsidR="000A7585" w:rsidRPr="00AE6EDB" w:rsidRDefault="000A7585" w:rsidP="000A7585">
      <w:pPr>
        <w:ind w:firstLine="567"/>
        <w:contextualSpacing/>
        <w:rPr>
          <w:bCs/>
          <w:szCs w:val="22"/>
        </w:rPr>
      </w:pPr>
      <w:r w:rsidRPr="00AE6EDB">
        <w:rPr>
          <w:bCs/>
          <w:szCs w:val="22"/>
        </w:rPr>
        <w:t>V roku 2015 bol príspevok na vzdelávanie a prípravu pre trh práce zamestnanca poskytnutý 3 zamestnávateľom, ktorí vzdelávali 103 zamestnancov. Ku koncu roka 2015 bolo na tento účel vyčerpaných 19</w:t>
      </w:r>
      <w:r w:rsidR="0054295F">
        <w:rPr>
          <w:bCs/>
          <w:szCs w:val="22"/>
        </w:rPr>
        <w:t>3 3</w:t>
      </w:r>
      <w:r w:rsidRPr="00AE6EDB">
        <w:rPr>
          <w:bCs/>
          <w:szCs w:val="22"/>
        </w:rPr>
        <w:t>88</w:t>
      </w:r>
      <w:r w:rsidR="0054295F">
        <w:rPr>
          <w:bCs/>
          <w:szCs w:val="22"/>
        </w:rPr>
        <w:t> eur</w:t>
      </w:r>
      <w:r w:rsidRPr="00AE6EDB">
        <w:rPr>
          <w:bCs/>
          <w:szCs w:val="22"/>
        </w:rPr>
        <w:t xml:space="preserve">. Pokles v čerpaní a v záujme o príspevok </w:t>
      </w:r>
      <w:r w:rsidR="006F086C" w:rsidRPr="00AE6EDB">
        <w:rPr>
          <w:bCs/>
          <w:szCs w:val="22"/>
        </w:rPr>
        <w:t>(o 37</w:t>
      </w:r>
      <w:r w:rsidR="0054295F">
        <w:rPr>
          <w:bCs/>
          <w:szCs w:val="22"/>
        </w:rPr>
        <w:t>0 2</w:t>
      </w:r>
      <w:r w:rsidR="006F086C" w:rsidRPr="00AE6EDB">
        <w:rPr>
          <w:bCs/>
          <w:szCs w:val="22"/>
        </w:rPr>
        <w:t>90</w:t>
      </w:r>
      <w:r w:rsidR="0054295F">
        <w:rPr>
          <w:bCs/>
          <w:szCs w:val="22"/>
        </w:rPr>
        <w:t> eur</w:t>
      </w:r>
      <w:r w:rsidR="006F086C" w:rsidRPr="00AE6EDB">
        <w:rPr>
          <w:bCs/>
          <w:szCs w:val="22"/>
        </w:rPr>
        <w:t xml:space="preserve">, resp. </w:t>
      </w:r>
      <w:r w:rsidR="006F086C" w:rsidRPr="00AE6EDB">
        <w:rPr>
          <w:bCs/>
          <w:szCs w:val="22"/>
        </w:rPr>
        <w:br/>
        <w:t>o </w:t>
      </w:r>
      <w:r w:rsidR="0054295F">
        <w:rPr>
          <w:bCs/>
          <w:szCs w:val="22"/>
        </w:rPr>
        <w:t>1 5</w:t>
      </w:r>
      <w:r w:rsidR="006F086C" w:rsidRPr="00AE6EDB">
        <w:rPr>
          <w:bCs/>
          <w:szCs w:val="22"/>
        </w:rPr>
        <w:t>06 zamestnancov)</w:t>
      </w:r>
      <w:r w:rsidR="002641CA">
        <w:rPr>
          <w:bCs/>
          <w:szCs w:val="22"/>
        </w:rPr>
        <w:t xml:space="preserve"> </w:t>
      </w:r>
      <w:r w:rsidRPr="00AE6EDB">
        <w:rPr>
          <w:bCs/>
          <w:szCs w:val="22"/>
        </w:rPr>
        <w:t>bol spôsobený najmä znížením intenzity pomoci, ktorá vyplynula z Nariadenia Komisie (EU) č. 651/2014 zo 17. júna 2014 o vyhlásení určitých kategórií pomoci za</w:t>
      </w:r>
      <w:r w:rsidR="00882EFD" w:rsidRPr="00AE6EDB">
        <w:rPr>
          <w:bCs/>
          <w:szCs w:val="22"/>
        </w:rPr>
        <w:t> </w:t>
      </w:r>
      <w:r w:rsidRPr="00AE6EDB">
        <w:rPr>
          <w:bCs/>
          <w:szCs w:val="22"/>
        </w:rPr>
        <w:t xml:space="preserve">zlučiteľné s vnútorným trhom podľa článkov 107 a 108 zmluvy. </w:t>
      </w:r>
    </w:p>
    <w:p w:rsidR="000A7585" w:rsidRPr="00AE6EDB" w:rsidRDefault="000A7585" w:rsidP="000A7585">
      <w:pPr>
        <w:ind w:firstLine="357"/>
        <w:contextualSpacing/>
        <w:rPr>
          <w:highlight w:val="cyan"/>
        </w:rPr>
      </w:pPr>
    </w:p>
    <w:p w:rsidR="000A7585" w:rsidRPr="00AE6EDB" w:rsidRDefault="000A7585" w:rsidP="000A7585">
      <w:pPr>
        <w:spacing w:after="60"/>
        <w:rPr>
          <w:b/>
        </w:rPr>
      </w:pPr>
      <w:r w:rsidRPr="00AE6EDB">
        <w:rPr>
          <w:b/>
        </w:rPr>
        <w:t>Príspevok na samostatnú zárobkovú činnosť (§ 49)</w:t>
      </w:r>
    </w:p>
    <w:p w:rsidR="000A7585" w:rsidRPr="00AE6EDB" w:rsidRDefault="000A7585" w:rsidP="000A7585">
      <w:pPr>
        <w:pStyle w:val="Normlnysozarkami"/>
        <w:ind w:firstLine="431"/>
      </w:pPr>
      <w:r w:rsidRPr="00AE6EDB">
        <w:t xml:space="preserve">Úrad PSVR môže poskytnúť príspevok na čiastočnú úhradu nákladov, súvisiacich s prevádzkovaním samostatnej zárobkovej činnosti. Z hľadiska podpory vytvárania pracovných miest napomáha vstupu </w:t>
      </w:r>
      <w:proofErr w:type="spellStart"/>
      <w:r w:rsidRPr="00AE6EDB">
        <w:t>UoZ</w:t>
      </w:r>
      <w:proofErr w:type="spellEnd"/>
      <w:r w:rsidRPr="00AE6EDB">
        <w:t xml:space="preserve"> na trh práce ako podnikateľom, </w:t>
      </w:r>
      <w:r w:rsidRPr="00AE6EDB">
        <w:rPr>
          <w:szCs w:val="22"/>
        </w:rPr>
        <w:t>ktorí budú prevádzkovať živnosť podľa živnostenského zákona alebo vykonávať poľnohospodársku výrobu vrátane hospodárenia v lesoch a na vodných plochách podľa zákona o súkromnom podnikaní občanov.</w:t>
      </w:r>
    </w:p>
    <w:p w:rsidR="000A7585" w:rsidRPr="00AE6EDB" w:rsidRDefault="000A7585" w:rsidP="000A7585">
      <w:pPr>
        <w:pStyle w:val="Normlnysozarkami"/>
        <w:ind w:firstLine="567"/>
        <w:rPr>
          <w:szCs w:val="22"/>
        </w:rPr>
      </w:pPr>
      <w:r w:rsidRPr="00AE6EDB">
        <w:rPr>
          <w:szCs w:val="22"/>
        </w:rPr>
        <w:t xml:space="preserve">V roku 2015 bolo prostredníctvom tohto príspevku podporených </w:t>
      </w:r>
      <w:r w:rsidR="0054295F">
        <w:rPr>
          <w:szCs w:val="22"/>
        </w:rPr>
        <w:t>2 6</w:t>
      </w:r>
      <w:r w:rsidRPr="00AE6EDB">
        <w:rPr>
          <w:szCs w:val="22"/>
        </w:rPr>
        <w:t xml:space="preserve">56 </w:t>
      </w:r>
      <w:proofErr w:type="spellStart"/>
      <w:r w:rsidRPr="00AE6EDB">
        <w:rPr>
          <w:szCs w:val="22"/>
        </w:rPr>
        <w:t>UoZ</w:t>
      </w:r>
      <w:proofErr w:type="spellEnd"/>
      <w:r w:rsidRPr="00AE6EDB">
        <w:rPr>
          <w:szCs w:val="22"/>
        </w:rPr>
        <w:t xml:space="preserve">, (o 59 menej ako v roku 2014). Celková čerpaná suma bola </w:t>
      </w:r>
      <w:r w:rsidR="00AC44CB">
        <w:rPr>
          <w:szCs w:val="22"/>
        </w:rPr>
        <w:t>9 7</w:t>
      </w:r>
      <w:r w:rsidRPr="00AE6EDB">
        <w:rPr>
          <w:szCs w:val="22"/>
        </w:rPr>
        <w:t>5</w:t>
      </w:r>
      <w:r w:rsidR="00AC44CB">
        <w:rPr>
          <w:szCs w:val="22"/>
        </w:rPr>
        <w:t>9 1</w:t>
      </w:r>
      <w:r w:rsidRPr="00AE6EDB">
        <w:rPr>
          <w:szCs w:val="22"/>
        </w:rPr>
        <w:t>84</w:t>
      </w:r>
      <w:r w:rsidR="0054295F">
        <w:rPr>
          <w:szCs w:val="22"/>
        </w:rPr>
        <w:t> eur</w:t>
      </w:r>
      <w:r w:rsidRPr="00AE6EDB">
        <w:rPr>
          <w:szCs w:val="22"/>
        </w:rPr>
        <w:t>, čo bolo o </w:t>
      </w:r>
      <w:r w:rsidR="0054295F">
        <w:rPr>
          <w:szCs w:val="22"/>
        </w:rPr>
        <w:t>2 8</w:t>
      </w:r>
      <w:r w:rsidRPr="00AE6EDB">
        <w:rPr>
          <w:szCs w:val="22"/>
        </w:rPr>
        <w:t>5</w:t>
      </w:r>
      <w:r w:rsidR="0054295F">
        <w:rPr>
          <w:szCs w:val="22"/>
        </w:rPr>
        <w:t>0 3</w:t>
      </w:r>
      <w:r w:rsidRPr="00AE6EDB">
        <w:rPr>
          <w:szCs w:val="22"/>
        </w:rPr>
        <w:t>40</w:t>
      </w:r>
      <w:r w:rsidR="0054295F">
        <w:rPr>
          <w:szCs w:val="22"/>
        </w:rPr>
        <w:t> eur</w:t>
      </w:r>
      <w:r w:rsidRPr="00AE6EDB">
        <w:rPr>
          <w:szCs w:val="22"/>
        </w:rPr>
        <w:t xml:space="preserve"> </w:t>
      </w:r>
      <w:r w:rsidR="00174440">
        <w:rPr>
          <w:szCs w:val="22"/>
        </w:rPr>
        <w:t>viac</w:t>
      </w:r>
      <w:r w:rsidR="00174440" w:rsidRPr="00AE6EDB">
        <w:rPr>
          <w:szCs w:val="22"/>
        </w:rPr>
        <w:t xml:space="preserve"> </w:t>
      </w:r>
      <w:r w:rsidRPr="00AE6EDB">
        <w:rPr>
          <w:szCs w:val="22"/>
        </w:rPr>
        <w:t>ako v roku 2014. Podiel dlhodobo nezamestnaných občanov, ktorí využili príspevok na samostatnú zárobkovú činnosť bol 37,27</w:t>
      </w:r>
      <w:r w:rsidR="00411759">
        <w:rPr>
          <w:szCs w:val="22"/>
        </w:rPr>
        <w:t> </w:t>
      </w:r>
      <w:r w:rsidRPr="00AE6EDB">
        <w:rPr>
          <w:szCs w:val="22"/>
        </w:rPr>
        <w:t>%.</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Príspevok na podporu zamestnávania znevýhodneného uchádzača o zamestnanie (§ 50)</w:t>
      </w:r>
    </w:p>
    <w:p w:rsidR="000A7585" w:rsidRPr="00AE6EDB" w:rsidRDefault="000A7585" w:rsidP="000A7585">
      <w:pPr>
        <w:pStyle w:val="Normlnysozarkami"/>
        <w:ind w:firstLine="431"/>
        <w:rPr>
          <w:szCs w:val="22"/>
        </w:rPr>
      </w:pPr>
      <w:r w:rsidRPr="00AE6EDB">
        <w:t xml:space="preserve">Úrad PSVR môže poskytnúť príspevok na podporu zamestnávania znevýhodneného </w:t>
      </w:r>
      <w:proofErr w:type="spellStart"/>
      <w:r w:rsidRPr="00AE6EDB">
        <w:t>UoZ</w:t>
      </w:r>
      <w:proofErr w:type="spellEnd"/>
      <w:r w:rsidRPr="00AE6EDB">
        <w:t xml:space="preserve"> zamestnávateľovi, ktorý na vytvorené pracovné miesto prijme do pracovného pomeru znevýhodneného </w:t>
      </w:r>
      <w:proofErr w:type="spellStart"/>
      <w:r w:rsidRPr="00AE6EDB">
        <w:t>UoZ</w:t>
      </w:r>
      <w:proofErr w:type="spellEnd"/>
      <w:r w:rsidRPr="00AE6EDB">
        <w:t xml:space="preserve"> </w:t>
      </w:r>
      <w:r w:rsidRPr="00AE6EDB">
        <w:rPr>
          <w:szCs w:val="22"/>
        </w:rPr>
        <w:t xml:space="preserve">vedeného v evidencii </w:t>
      </w:r>
      <w:proofErr w:type="spellStart"/>
      <w:r w:rsidRPr="00AE6EDB">
        <w:rPr>
          <w:szCs w:val="22"/>
        </w:rPr>
        <w:t>UoZ</w:t>
      </w:r>
      <w:proofErr w:type="spellEnd"/>
      <w:r w:rsidRPr="00AE6EDB">
        <w:rPr>
          <w:szCs w:val="22"/>
        </w:rPr>
        <w:t xml:space="preserve"> najmenej 3 mesiace a poskytuje sa na úhradu časti celkovej ceny práce. Výška príspevku je závislá od priemernej miery evidovanej nezamestnanosti v príslušnom okrese. Príspevok sa poskytuje najdlhšie počas 12 kalendárnych mesiacov a na znevýhodneného </w:t>
      </w:r>
      <w:proofErr w:type="spellStart"/>
      <w:r w:rsidRPr="00AE6EDB">
        <w:rPr>
          <w:szCs w:val="22"/>
        </w:rPr>
        <w:t>UoZ</w:t>
      </w:r>
      <w:proofErr w:type="spellEnd"/>
      <w:r w:rsidRPr="00AE6EDB">
        <w:rPr>
          <w:szCs w:val="22"/>
        </w:rPr>
        <w:t xml:space="preserve"> vedeného v evidencii </w:t>
      </w:r>
      <w:proofErr w:type="spellStart"/>
      <w:r w:rsidRPr="00AE6EDB">
        <w:rPr>
          <w:szCs w:val="22"/>
        </w:rPr>
        <w:t>UoZ</w:t>
      </w:r>
      <w:proofErr w:type="spellEnd"/>
      <w:r w:rsidRPr="00AE6EDB">
        <w:rPr>
          <w:szCs w:val="22"/>
        </w:rPr>
        <w:t xml:space="preserve"> viac ako 24 mesiacov najdlhšie počas 24 kalendárnych mesiacov, pričom pri výške príspevku sa neprihliada na právnu formu, predmet činnosti zamestnávateľa a typ znevýhodneného </w:t>
      </w:r>
      <w:proofErr w:type="spellStart"/>
      <w:r w:rsidRPr="00AE6EDB">
        <w:rPr>
          <w:szCs w:val="22"/>
        </w:rPr>
        <w:t>UoZ</w:t>
      </w:r>
      <w:proofErr w:type="spellEnd"/>
      <w:r w:rsidRPr="00AE6EDB">
        <w:rPr>
          <w:szCs w:val="22"/>
        </w:rPr>
        <w:t xml:space="preserve">. Zamestnávateľ je povinný zachovať vytvorené pracovné miesto, </w:t>
      </w:r>
      <w:r w:rsidRPr="00AE6EDB">
        <w:t>na ktoré mu bol poskytnutý príspevok, najmenej v rozsahu zodpovedajúcom polovici dohodnutého obdobia poskytovania príspevku. Ak zamestnávateľ nesplní túto povinnosť, je povinný vrátiť úradu PSVR pomernú časť poskytnutého príspevku zodpovedajúcu obdobiu, počas ktorého nezachoval vytvorené pracovné miesto.</w:t>
      </w:r>
    </w:p>
    <w:p w:rsidR="000A7585" w:rsidRPr="00AE6EDB" w:rsidRDefault="000A7585" w:rsidP="000A7585">
      <w:pPr>
        <w:tabs>
          <w:tab w:val="left" w:pos="9356"/>
        </w:tabs>
        <w:ind w:right="-22" w:firstLine="567"/>
        <w:rPr>
          <w:szCs w:val="22"/>
        </w:rPr>
      </w:pPr>
      <w:r w:rsidRPr="00AE6EDB">
        <w:rPr>
          <w:szCs w:val="22"/>
        </w:rPr>
        <w:t xml:space="preserve">V roku 2015 bolo prostredníctvom tohto príspevku umiestnených </w:t>
      </w:r>
      <w:r w:rsidR="0054295F">
        <w:rPr>
          <w:szCs w:val="22"/>
        </w:rPr>
        <w:t>3 3</w:t>
      </w:r>
      <w:r w:rsidRPr="00AE6EDB">
        <w:rPr>
          <w:szCs w:val="22"/>
        </w:rPr>
        <w:t xml:space="preserve">96 znevýhodnených </w:t>
      </w:r>
      <w:proofErr w:type="spellStart"/>
      <w:r w:rsidRPr="00AE6EDB">
        <w:rPr>
          <w:szCs w:val="22"/>
        </w:rPr>
        <w:t>UoZ</w:t>
      </w:r>
      <w:proofErr w:type="spellEnd"/>
      <w:r w:rsidRPr="00AE6EDB">
        <w:rPr>
          <w:szCs w:val="22"/>
        </w:rPr>
        <w:t xml:space="preserve"> (</w:t>
      </w:r>
      <w:r w:rsidR="0054295F">
        <w:rPr>
          <w:szCs w:val="22"/>
        </w:rPr>
        <w:t>1 9</w:t>
      </w:r>
      <w:r w:rsidRPr="00AE6EDB">
        <w:rPr>
          <w:szCs w:val="22"/>
        </w:rPr>
        <w:t>45 žien, </w:t>
      </w:r>
      <w:r w:rsidR="0054295F">
        <w:rPr>
          <w:szCs w:val="22"/>
        </w:rPr>
        <w:t>1 4</w:t>
      </w:r>
      <w:r w:rsidRPr="00AE6EDB">
        <w:rPr>
          <w:szCs w:val="22"/>
        </w:rPr>
        <w:t xml:space="preserve">51 mužov) v celkovej výške finančných prostriedkov </w:t>
      </w:r>
      <w:r w:rsidR="00AC44CB">
        <w:rPr>
          <w:szCs w:val="22"/>
        </w:rPr>
        <w:t>7 9</w:t>
      </w:r>
      <w:r w:rsidRPr="00AE6EDB">
        <w:rPr>
          <w:szCs w:val="22"/>
        </w:rPr>
        <w:t>9</w:t>
      </w:r>
      <w:r w:rsidR="0054295F">
        <w:rPr>
          <w:szCs w:val="22"/>
        </w:rPr>
        <w:t>0 1</w:t>
      </w:r>
      <w:r w:rsidRPr="00AE6EDB">
        <w:rPr>
          <w:szCs w:val="22"/>
        </w:rPr>
        <w:t>41</w:t>
      </w:r>
      <w:r w:rsidR="0054295F">
        <w:rPr>
          <w:szCs w:val="22"/>
        </w:rPr>
        <w:t> eur</w:t>
      </w:r>
      <w:r w:rsidR="006F086C" w:rsidRPr="00AE6EDB">
        <w:rPr>
          <w:szCs w:val="22"/>
        </w:rPr>
        <w:t xml:space="preserve">, čo predstavuje nárast o 218 znevýhodnených </w:t>
      </w:r>
      <w:proofErr w:type="spellStart"/>
      <w:r w:rsidR="006F086C" w:rsidRPr="00AE6EDB">
        <w:rPr>
          <w:szCs w:val="22"/>
        </w:rPr>
        <w:t>UoZ</w:t>
      </w:r>
      <w:proofErr w:type="spellEnd"/>
      <w:r w:rsidR="006F086C" w:rsidRPr="00AE6EDB">
        <w:rPr>
          <w:szCs w:val="22"/>
        </w:rPr>
        <w:t>, resp. o</w:t>
      </w:r>
      <w:r w:rsidR="002641CA">
        <w:rPr>
          <w:szCs w:val="22"/>
        </w:rPr>
        <w:t> </w:t>
      </w:r>
      <w:r w:rsidR="0054295F">
        <w:rPr>
          <w:szCs w:val="22"/>
        </w:rPr>
        <w:t>2 6</w:t>
      </w:r>
      <w:r w:rsidR="006F086C" w:rsidRPr="00AE6EDB">
        <w:rPr>
          <w:szCs w:val="22"/>
        </w:rPr>
        <w:t>3</w:t>
      </w:r>
      <w:r w:rsidR="0054295F">
        <w:rPr>
          <w:szCs w:val="22"/>
        </w:rPr>
        <w:t>0 4</w:t>
      </w:r>
      <w:r w:rsidR="006F086C" w:rsidRPr="00AE6EDB">
        <w:rPr>
          <w:szCs w:val="22"/>
        </w:rPr>
        <w:t>92</w:t>
      </w:r>
      <w:r w:rsidR="0054295F">
        <w:rPr>
          <w:szCs w:val="22"/>
        </w:rPr>
        <w:t> eur</w:t>
      </w:r>
      <w:r w:rsidRPr="00AE6EDB">
        <w:rPr>
          <w:szCs w:val="22"/>
        </w:rPr>
        <w:t xml:space="preserve">. </w:t>
      </w:r>
    </w:p>
    <w:p w:rsidR="000A7585" w:rsidRPr="00AE6EDB" w:rsidRDefault="000A7585" w:rsidP="000A7585">
      <w:pPr>
        <w:tabs>
          <w:tab w:val="left" w:pos="9356"/>
        </w:tabs>
        <w:ind w:right="-22" w:firstLine="567"/>
        <w:rPr>
          <w:highlight w:val="cyan"/>
        </w:rPr>
      </w:pPr>
    </w:p>
    <w:p w:rsidR="000A7585" w:rsidRPr="00AE6EDB" w:rsidRDefault="000A7585" w:rsidP="000A7585">
      <w:pPr>
        <w:spacing w:after="60"/>
        <w:rPr>
          <w:b/>
        </w:rPr>
      </w:pPr>
      <w:r w:rsidRPr="00AE6EDB">
        <w:rPr>
          <w:b/>
        </w:rPr>
        <w:t>Príspevok na podporu udržania v zamestnaní zamestnancov s nízkymi mzdami (§ 50a)</w:t>
      </w:r>
    </w:p>
    <w:p w:rsidR="000A7585" w:rsidRPr="00AE6EDB" w:rsidRDefault="000A7585" w:rsidP="000A7585">
      <w:pPr>
        <w:pStyle w:val="Normlnysozarkami"/>
        <w:ind w:firstLine="567"/>
        <w:rPr>
          <w:szCs w:val="22"/>
        </w:rPr>
      </w:pPr>
      <w:r w:rsidRPr="00AE6EDB">
        <w:rPr>
          <w:szCs w:val="22"/>
        </w:rPr>
        <w:t xml:space="preserve">Od 1. mája 2013 bolo poskytovanie príspevku na podporu udržania v zamestnaní zamestnancov s nízkymi mzdami zrušené. Príspevok na podporu udržania v zamestnaní zamestnancov s nízkymi mzdami prijatých do pracovného pomeru z evidencie </w:t>
      </w:r>
      <w:proofErr w:type="spellStart"/>
      <w:r w:rsidRPr="00AE6EDB">
        <w:rPr>
          <w:szCs w:val="22"/>
        </w:rPr>
        <w:t>UoZ</w:t>
      </w:r>
      <w:proofErr w:type="spellEnd"/>
      <w:r w:rsidRPr="00AE6EDB">
        <w:rPr>
          <w:szCs w:val="22"/>
        </w:rPr>
        <w:t xml:space="preserve"> sa poskytoval zamestnávateľovi na úhradu odvodov do poistných fondov na zdravotné poistenie a sociálne poistenie platených zamestnávateľom a zamestnancom. Poskytovanie príspevku bolo viazané na pracovné miesto, na ktoré zamestnávateľ prijal do pracovného pomeru </w:t>
      </w:r>
      <w:proofErr w:type="spellStart"/>
      <w:r w:rsidRPr="00AE6EDB">
        <w:rPr>
          <w:szCs w:val="22"/>
        </w:rPr>
        <w:t>UoZ</w:t>
      </w:r>
      <w:proofErr w:type="spellEnd"/>
      <w:r w:rsidRPr="00AE6EDB">
        <w:rPr>
          <w:szCs w:val="22"/>
        </w:rPr>
        <w:t xml:space="preserve"> vedeného v evidencii </w:t>
      </w:r>
      <w:proofErr w:type="spellStart"/>
      <w:r w:rsidRPr="00AE6EDB">
        <w:rPr>
          <w:szCs w:val="22"/>
        </w:rPr>
        <w:t>UoZ</w:t>
      </w:r>
      <w:proofErr w:type="spellEnd"/>
      <w:r w:rsidRPr="00AE6EDB">
        <w:rPr>
          <w:szCs w:val="22"/>
        </w:rPr>
        <w:t xml:space="preserve"> najmenej tri mesiace. Zamestnávateľovi sa príspevok poskytoval najviac počas 24 kalendárnych mesiacov. </w:t>
      </w:r>
    </w:p>
    <w:p w:rsidR="000A7585" w:rsidRPr="00AE6EDB" w:rsidRDefault="000A7585" w:rsidP="000A7585">
      <w:pPr>
        <w:ind w:firstLine="567"/>
        <w:rPr>
          <w:bCs/>
          <w:szCs w:val="22"/>
        </w:rPr>
      </w:pPr>
      <w:r w:rsidRPr="00AE6EDB">
        <w:rPr>
          <w:szCs w:val="22"/>
        </w:rPr>
        <w:t xml:space="preserve">V roku 2015 boli pracovné miesta </w:t>
      </w:r>
      <w:proofErr w:type="spellStart"/>
      <w:r w:rsidRPr="00AE6EDB">
        <w:rPr>
          <w:szCs w:val="22"/>
        </w:rPr>
        <w:t>preobsadené</w:t>
      </w:r>
      <w:proofErr w:type="spellEnd"/>
      <w:r w:rsidRPr="00AE6EDB">
        <w:rPr>
          <w:szCs w:val="22"/>
        </w:rPr>
        <w:t xml:space="preserve"> v celkovom počte </w:t>
      </w:r>
      <w:r w:rsidRPr="00AE6EDB">
        <w:rPr>
          <w:rStyle w:val="NormlnysozarkamiChar"/>
          <w:szCs w:val="22"/>
        </w:rPr>
        <w:t xml:space="preserve">20 </w:t>
      </w:r>
      <w:proofErr w:type="spellStart"/>
      <w:r w:rsidRPr="00AE6EDB">
        <w:rPr>
          <w:szCs w:val="22"/>
        </w:rPr>
        <w:t>UoZ</w:t>
      </w:r>
      <w:proofErr w:type="spellEnd"/>
      <w:r w:rsidRPr="00AE6EDB">
        <w:rPr>
          <w:szCs w:val="22"/>
        </w:rPr>
        <w:t xml:space="preserve"> z dohôd z predchádzajúcich rokov. Celková čerpaná suma finančných prostriedkov </w:t>
      </w:r>
      <w:r w:rsidR="00B36911" w:rsidRPr="00AE6EDB">
        <w:rPr>
          <w:szCs w:val="22"/>
        </w:rPr>
        <w:t>dosiahla</w:t>
      </w:r>
      <w:r w:rsidRPr="00AE6EDB">
        <w:rPr>
          <w:szCs w:val="22"/>
        </w:rPr>
        <w:t xml:space="preserve"> </w:t>
      </w:r>
      <w:r w:rsidRPr="00AE6EDB">
        <w:rPr>
          <w:bCs/>
          <w:szCs w:val="22"/>
        </w:rPr>
        <w:t>41</w:t>
      </w:r>
      <w:r w:rsidR="0054295F">
        <w:rPr>
          <w:bCs/>
          <w:szCs w:val="22"/>
        </w:rPr>
        <w:t>2 9</w:t>
      </w:r>
      <w:r w:rsidRPr="00AE6EDB">
        <w:rPr>
          <w:bCs/>
          <w:szCs w:val="22"/>
        </w:rPr>
        <w:t>39</w:t>
      </w:r>
      <w:r w:rsidR="0054295F">
        <w:rPr>
          <w:bCs/>
          <w:szCs w:val="22"/>
        </w:rPr>
        <w:t> eur</w:t>
      </w:r>
      <w:r w:rsidRPr="00AE6EDB">
        <w:rPr>
          <w:bCs/>
          <w:szCs w:val="22"/>
        </w:rPr>
        <w:t>.</w:t>
      </w:r>
    </w:p>
    <w:p w:rsidR="000A7585" w:rsidRPr="00AE6EDB" w:rsidRDefault="000A7585" w:rsidP="000A7585">
      <w:pPr>
        <w:ind w:firstLine="567"/>
        <w:rPr>
          <w:bCs/>
          <w:szCs w:val="22"/>
          <w:highlight w:val="cyan"/>
        </w:rPr>
      </w:pPr>
    </w:p>
    <w:p w:rsidR="000A7585" w:rsidRPr="00AE6EDB" w:rsidRDefault="000A7585" w:rsidP="000A7585">
      <w:pPr>
        <w:spacing w:after="60"/>
        <w:rPr>
          <w:b/>
        </w:rPr>
      </w:pPr>
      <w:r w:rsidRPr="00AE6EDB">
        <w:rPr>
          <w:b/>
        </w:rPr>
        <w:t>Príspevok na podporu vytvárania a udržania pracovných miest v sociálnom podniku (§ 50c)</w:t>
      </w:r>
    </w:p>
    <w:p w:rsidR="000A7585" w:rsidRPr="00AE6EDB" w:rsidRDefault="000A7585" w:rsidP="000A7585">
      <w:pPr>
        <w:pStyle w:val="Normlnysozarkami"/>
        <w:ind w:firstLine="431"/>
      </w:pPr>
      <w:r w:rsidRPr="00AE6EDB">
        <w:t xml:space="preserve">Príspevok sa poskytuje zamestnávateľovi, ktorý má priznané postavenie sociálneho podniku. Podmienkou poskytnutia príspevku je uzatvorenie pracovného pomeru na dobu určitú rozsahu najmenej polovice ustanoveného týždenného pracovného času so znevýhodneným </w:t>
      </w:r>
      <w:proofErr w:type="spellStart"/>
      <w:r w:rsidRPr="00AE6EDB">
        <w:t>UoZ</w:t>
      </w:r>
      <w:proofErr w:type="spellEnd"/>
      <w:r w:rsidRPr="00AE6EDB">
        <w:t xml:space="preserve">. </w:t>
      </w:r>
      <w:r w:rsidRPr="00AE6EDB">
        <w:br/>
        <w:t>Od 1. mája 2013 poskytovanie príspevku na podporu vytvárania a udržania pracovných miest v sociálnom podniku bolo zrušené.</w:t>
      </w:r>
    </w:p>
    <w:p w:rsidR="000A7585" w:rsidRPr="00AE6EDB" w:rsidRDefault="000A7585" w:rsidP="000A7585">
      <w:pPr>
        <w:ind w:firstLine="431"/>
      </w:pPr>
      <w:r w:rsidRPr="00AE6EDB">
        <w:t>V roku 201</w:t>
      </w:r>
      <w:r w:rsidR="00CA3773" w:rsidRPr="00AE6EDB">
        <w:t>5</w:t>
      </w:r>
      <w:r w:rsidRPr="00AE6EDB">
        <w:t xml:space="preserve"> </w:t>
      </w:r>
      <w:r w:rsidR="00CA3773" w:rsidRPr="00AE6EDB">
        <w:t xml:space="preserve">neboli </w:t>
      </w:r>
      <w:proofErr w:type="spellStart"/>
      <w:r w:rsidRPr="00AE6EDB">
        <w:t>preobsaden</w:t>
      </w:r>
      <w:r w:rsidR="00CA3773" w:rsidRPr="00AE6EDB">
        <w:t>é</w:t>
      </w:r>
      <w:proofErr w:type="spellEnd"/>
      <w:r w:rsidR="00CA3773" w:rsidRPr="00AE6EDB">
        <w:t xml:space="preserve"> žiadne pr</w:t>
      </w:r>
      <w:r w:rsidRPr="00AE6EDB">
        <w:t>acovn</w:t>
      </w:r>
      <w:r w:rsidR="00CA3773" w:rsidRPr="00AE6EDB">
        <w:t>é</w:t>
      </w:r>
      <w:r w:rsidRPr="00AE6EDB">
        <w:t xml:space="preserve"> miest</w:t>
      </w:r>
      <w:r w:rsidR="00CA3773" w:rsidRPr="00AE6EDB">
        <w:t>a</w:t>
      </w:r>
      <w:r w:rsidRPr="00AE6EDB">
        <w:t xml:space="preserve"> </w:t>
      </w:r>
      <w:proofErr w:type="spellStart"/>
      <w:r w:rsidRPr="00AE6EDB">
        <w:t>UoZ</w:t>
      </w:r>
      <w:proofErr w:type="spellEnd"/>
      <w:r w:rsidRPr="00AE6EDB">
        <w:t xml:space="preserve"> v sociálnych podnikoch </w:t>
      </w:r>
      <w:r w:rsidR="006F086C" w:rsidRPr="00AE6EDB">
        <w:t xml:space="preserve">a </w:t>
      </w:r>
      <w:r w:rsidRPr="00AE6EDB">
        <w:t xml:space="preserve">z dohôd </w:t>
      </w:r>
      <w:r w:rsidR="006F086C" w:rsidRPr="00AE6EDB">
        <w:t>uzavretých v</w:t>
      </w:r>
      <w:r w:rsidRPr="00AE6EDB">
        <w:t> predchádzajúcich roko</w:t>
      </w:r>
      <w:r w:rsidR="006F086C" w:rsidRPr="00AE6EDB">
        <w:t>ch boli čerpané finančné prostriedky vo výške 4</w:t>
      </w:r>
      <w:r w:rsidR="0054295F">
        <w:t>2 0</w:t>
      </w:r>
      <w:r w:rsidR="006F086C" w:rsidRPr="00AE6EDB">
        <w:t>25</w:t>
      </w:r>
      <w:r w:rsidR="0054295F">
        <w:t> eur</w:t>
      </w:r>
      <w:r w:rsidRPr="00AE6EDB">
        <w:t>.</w:t>
      </w:r>
    </w:p>
    <w:p w:rsidR="000A7585" w:rsidRPr="00AE6EDB" w:rsidRDefault="000A7585" w:rsidP="000A7585">
      <w:pPr>
        <w:ind w:firstLine="567"/>
        <w:rPr>
          <w:highlight w:val="cyan"/>
        </w:rPr>
      </w:pPr>
    </w:p>
    <w:p w:rsidR="000A7585" w:rsidRPr="00AE6EDB" w:rsidRDefault="000A7585" w:rsidP="000A7585">
      <w:pPr>
        <w:spacing w:after="60"/>
        <w:rPr>
          <w:b/>
        </w:rPr>
      </w:pPr>
      <w:r w:rsidRPr="00AE6EDB">
        <w:rPr>
          <w:b/>
        </w:rPr>
        <w:t>Príspevok na podporu rozvoja miestnej a regionálnej zamestnanosti (§ 50j)</w:t>
      </w:r>
    </w:p>
    <w:p w:rsidR="000A7585" w:rsidRPr="00AE6EDB" w:rsidRDefault="000A7585" w:rsidP="000A7585">
      <w:pPr>
        <w:pStyle w:val="Normlnysozarkami"/>
        <w:ind w:firstLine="567"/>
        <w:rPr>
          <w:szCs w:val="22"/>
        </w:rPr>
      </w:pPr>
      <w:r w:rsidRPr="00AE6EDB">
        <w:rPr>
          <w:bCs/>
          <w:szCs w:val="22"/>
        </w:rPr>
        <w:t xml:space="preserve">Príspevok môže úrad </w:t>
      </w:r>
      <w:r w:rsidRPr="00AE6EDB">
        <w:rPr>
          <w:szCs w:val="22"/>
        </w:rPr>
        <w:t>poskytnúť zamestnávateľovi, ktorým je obec alebo samosprávny kraj, právnická osoba, ktorej zakladateľom alebo zriaďovateľom je obec alebo samosprávny kraj a ktorý na</w:t>
      </w:r>
      <w:r w:rsidR="006007B1" w:rsidRPr="00AE6EDB">
        <w:rPr>
          <w:szCs w:val="22"/>
        </w:rPr>
        <w:t> </w:t>
      </w:r>
      <w:r w:rsidRPr="00AE6EDB">
        <w:rPr>
          <w:szCs w:val="22"/>
        </w:rPr>
        <w:t xml:space="preserve">vytvorené pracovné miesto prijme do pracovného pomeru na určitú dobu znevýhodneného </w:t>
      </w:r>
      <w:proofErr w:type="spellStart"/>
      <w:r w:rsidRPr="00AE6EDB">
        <w:rPr>
          <w:szCs w:val="22"/>
        </w:rPr>
        <w:t>UoZ</w:t>
      </w:r>
      <w:proofErr w:type="spellEnd"/>
      <w:r w:rsidRPr="00AE6EDB">
        <w:rPr>
          <w:szCs w:val="22"/>
        </w:rPr>
        <w:t xml:space="preserve"> vedeného v evidencii </w:t>
      </w:r>
      <w:proofErr w:type="spellStart"/>
      <w:r w:rsidRPr="00AE6EDB">
        <w:rPr>
          <w:szCs w:val="22"/>
        </w:rPr>
        <w:t>UoZ</w:t>
      </w:r>
      <w:proofErr w:type="spellEnd"/>
      <w:r w:rsidRPr="00AE6EDB">
        <w:rPr>
          <w:szCs w:val="22"/>
        </w:rPr>
        <w:t xml:space="preserve"> najmenej tri mesiace, ak pracovný pomer je dohodnutý najmenej v rozsahu polovice ustanoveného týždenného pracovného času. Mesačná výška príspevku je 80</w:t>
      </w:r>
      <w:r w:rsidR="005676EF">
        <w:rPr>
          <w:szCs w:val="22"/>
        </w:rPr>
        <w:t> %</w:t>
      </w:r>
      <w:r w:rsidRPr="00AE6EDB">
        <w:rPr>
          <w:szCs w:val="22"/>
        </w:rPr>
        <w:t xml:space="preserve"> z celkovej ceny práce zamestnanca, najviac 60</w:t>
      </w:r>
      <w:r w:rsidR="005676EF">
        <w:rPr>
          <w:szCs w:val="22"/>
        </w:rPr>
        <w:t> %</w:t>
      </w:r>
      <w:r w:rsidRPr="00AE6EDB">
        <w:rPr>
          <w:szCs w:val="22"/>
        </w:rPr>
        <w:t xml:space="preserve">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na</w:t>
      </w:r>
      <w:r w:rsidR="006007B1" w:rsidRPr="00AE6EDB">
        <w:rPr>
          <w:szCs w:val="22"/>
        </w:rPr>
        <w:t> </w:t>
      </w:r>
      <w:r w:rsidRPr="00AE6EDB">
        <w:rPr>
          <w:szCs w:val="22"/>
        </w:rPr>
        <w:t>zamestnávanie toho istého zamestnanca počas obdobia dvoch rokov bezprostredne nasledujúcich po</w:t>
      </w:r>
      <w:r w:rsidR="006007B1" w:rsidRPr="00AE6EDB">
        <w:rPr>
          <w:szCs w:val="22"/>
        </w:rPr>
        <w:t> </w:t>
      </w:r>
      <w:r w:rsidRPr="00AE6EDB">
        <w:rPr>
          <w:szCs w:val="22"/>
        </w:rPr>
        <w:t>skončení pracovného pomeru.</w:t>
      </w:r>
    </w:p>
    <w:p w:rsidR="000A7585" w:rsidRPr="00AE6EDB" w:rsidRDefault="000A7585" w:rsidP="000A7585">
      <w:pPr>
        <w:pStyle w:val="Normlnysozarkami"/>
        <w:ind w:firstLine="567"/>
        <w:rPr>
          <w:szCs w:val="22"/>
        </w:rPr>
      </w:pPr>
      <w:r w:rsidRPr="00AE6EDB">
        <w:rPr>
          <w:szCs w:val="22"/>
        </w:rPr>
        <w:t xml:space="preserve">V roku 2015 bolo podporených </w:t>
      </w:r>
      <w:r w:rsidR="0054295F">
        <w:rPr>
          <w:szCs w:val="22"/>
        </w:rPr>
        <w:t>3 1</w:t>
      </w:r>
      <w:r w:rsidRPr="00AE6EDB">
        <w:rPr>
          <w:szCs w:val="22"/>
        </w:rPr>
        <w:t xml:space="preserve">03 znevýhodnených </w:t>
      </w:r>
      <w:proofErr w:type="spellStart"/>
      <w:r w:rsidRPr="00AE6EDB">
        <w:rPr>
          <w:szCs w:val="22"/>
        </w:rPr>
        <w:t>UoZ</w:t>
      </w:r>
      <w:proofErr w:type="spellEnd"/>
      <w:r w:rsidRPr="00AE6EDB">
        <w:rPr>
          <w:szCs w:val="22"/>
        </w:rPr>
        <w:t xml:space="preserve">, z toho </w:t>
      </w:r>
      <w:r w:rsidR="0054295F">
        <w:rPr>
          <w:szCs w:val="22"/>
        </w:rPr>
        <w:t>1 1</w:t>
      </w:r>
      <w:r w:rsidRPr="00AE6EDB">
        <w:rPr>
          <w:szCs w:val="22"/>
        </w:rPr>
        <w:t>89 občanov starších ako 50 rokov a </w:t>
      </w:r>
      <w:r w:rsidR="0054295F">
        <w:rPr>
          <w:szCs w:val="22"/>
        </w:rPr>
        <w:t>2 4</w:t>
      </w:r>
      <w:r w:rsidRPr="00AE6EDB">
        <w:rPr>
          <w:szCs w:val="22"/>
        </w:rPr>
        <w:t>54 dlhodobo nezamestnaných občanov</w:t>
      </w:r>
      <w:r w:rsidR="00CA3773" w:rsidRPr="00AE6EDB">
        <w:rPr>
          <w:szCs w:val="22"/>
        </w:rPr>
        <w:t xml:space="preserve"> (medziročný pokles o 896 znevýhodnených </w:t>
      </w:r>
      <w:proofErr w:type="spellStart"/>
      <w:r w:rsidR="00CA3773" w:rsidRPr="00AE6EDB">
        <w:rPr>
          <w:szCs w:val="22"/>
        </w:rPr>
        <w:t>UoZ</w:t>
      </w:r>
      <w:proofErr w:type="spellEnd"/>
      <w:r w:rsidR="00CA3773" w:rsidRPr="00AE6EDB">
        <w:rPr>
          <w:szCs w:val="22"/>
        </w:rPr>
        <w:t>, z toho o 594 starších ako 50 rokov a 592 dlhodobo nezamestnaných občanov)</w:t>
      </w:r>
      <w:r w:rsidRPr="00AE6EDB">
        <w:rPr>
          <w:szCs w:val="22"/>
        </w:rPr>
        <w:t>. Na príspevok na</w:t>
      </w:r>
      <w:r w:rsidR="006007B1" w:rsidRPr="00AE6EDB">
        <w:rPr>
          <w:szCs w:val="22"/>
        </w:rPr>
        <w:t> </w:t>
      </w:r>
      <w:r w:rsidRPr="00AE6EDB">
        <w:rPr>
          <w:szCs w:val="22"/>
        </w:rPr>
        <w:t>podporu miestnej a regionálnej zamestnanosti bolo v roku 2015 vyčerpaných 1</w:t>
      </w:r>
      <w:r w:rsidR="0054295F">
        <w:rPr>
          <w:szCs w:val="22"/>
        </w:rPr>
        <w:t>2 1</w:t>
      </w:r>
      <w:r w:rsidRPr="00AE6EDB">
        <w:rPr>
          <w:szCs w:val="22"/>
        </w:rPr>
        <w:t>5</w:t>
      </w:r>
      <w:r w:rsidR="00AC44CB">
        <w:rPr>
          <w:szCs w:val="22"/>
        </w:rPr>
        <w:t>7 3</w:t>
      </w:r>
      <w:r w:rsidRPr="00AE6EDB">
        <w:rPr>
          <w:szCs w:val="22"/>
        </w:rPr>
        <w:t>05</w:t>
      </w:r>
      <w:r w:rsidR="0054295F">
        <w:rPr>
          <w:szCs w:val="22"/>
        </w:rPr>
        <w:t> eur</w:t>
      </w:r>
      <w:r w:rsidR="00CA3773" w:rsidRPr="00AE6EDB">
        <w:rPr>
          <w:szCs w:val="22"/>
        </w:rPr>
        <w:t>, čo je o 30</w:t>
      </w:r>
      <w:r w:rsidR="00AC44CB">
        <w:rPr>
          <w:szCs w:val="22"/>
        </w:rPr>
        <w:t>8 7</w:t>
      </w:r>
      <w:r w:rsidR="00CA3773" w:rsidRPr="00AE6EDB">
        <w:rPr>
          <w:szCs w:val="22"/>
        </w:rPr>
        <w:t>01</w:t>
      </w:r>
      <w:r w:rsidR="0054295F">
        <w:rPr>
          <w:szCs w:val="22"/>
        </w:rPr>
        <w:t> eur</w:t>
      </w:r>
      <w:r w:rsidR="00CA3773" w:rsidRPr="00AE6EDB">
        <w:rPr>
          <w:szCs w:val="22"/>
        </w:rPr>
        <w:t xml:space="preserve"> menej ako v roku 2014</w:t>
      </w:r>
      <w:r w:rsidRPr="00AE6EDB">
        <w:rPr>
          <w:szCs w:val="22"/>
        </w:rPr>
        <w:t>.</w:t>
      </w:r>
    </w:p>
    <w:p w:rsidR="000A7585" w:rsidRPr="00AE6EDB" w:rsidRDefault="000A7585" w:rsidP="000A7585">
      <w:pPr>
        <w:pStyle w:val="Normlnysozarkami"/>
        <w:ind w:firstLine="0"/>
        <w:rPr>
          <w:highlight w:val="cyan"/>
        </w:rPr>
      </w:pPr>
    </w:p>
    <w:p w:rsidR="000A7585" w:rsidRPr="00AE6EDB" w:rsidRDefault="000A7585" w:rsidP="000A7585">
      <w:pPr>
        <w:spacing w:after="60"/>
        <w:rPr>
          <w:b/>
        </w:rPr>
      </w:pPr>
      <w:r w:rsidRPr="00AE6EDB">
        <w:rPr>
          <w:b/>
        </w:rPr>
        <w:t>Príspevok na podporu udržania pracovných miest (§ 50k)</w:t>
      </w:r>
    </w:p>
    <w:p w:rsidR="000A7585" w:rsidRPr="00AE6EDB" w:rsidRDefault="000A7585" w:rsidP="000A7585">
      <w:pPr>
        <w:pStyle w:val="Normlnysozarkami"/>
        <w:ind w:firstLine="567"/>
        <w:rPr>
          <w:szCs w:val="22"/>
        </w:rPr>
      </w:pPr>
      <w:r w:rsidRPr="00AE6EDB">
        <w:rPr>
          <w:szCs w:val="22"/>
        </w:rPr>
        <w:t>Cieľom tohto opatrenia je podpora zmiernenia dopadov smerujúcich k prepúšťaniu zamestnancov u zamestnávateľov, ktorí v súlade so Zákonníkom práce vymedzili v písomnej dohode so zástupcami zamestnancov vážne prevádzkové dôvody, pre ktoré nemôže zamestnancom prideľovať prácu, čo vytvára prekážku v práci na strane zamestnávateľa, pri ktorej patrí zamestnancovi náhrada mzdy v sume určenej dohodou najmenej 60</w:t>
      </w:r>
      <w:r w:rsidR="005676EF">
        <w:rPr>
          <w:szCs w:val="22"/>
        </w:rPr>
        <w:t> %</w:t>
      </w:r>
      <w:r w:rsidRPr="00AE6EDB">
        <w:rPr>
          <w:szCs w:val="22"/>
        </w:rPr>
        <w:t xml:space="preserve"> jeho priemerného zárobku, pričom takúto dohodu nemožno nahradiť rozhodnutím zamestnávateľa. </w:t>
      </w:r>
    </w:p>
    <w:p w:rsidR="000A7585" w:rsidRPr="00AE6EDB" w:rsidRDefault="000A7585" w:rsidP="000A7585">
      <w:pPr>
        <w:ind w:firstLine="567"/>
        <w:rPr>
          <w:szCs w:val="22"/>
        </w:rPr>
      </w:pPr>
      <w:r w:rsidRPr="00AE6EDB">
        <w:rPr>
          <w:szCs w:val="22"/>
        </w:rPr>
        <w:t>Príspevok môže úrad poskytnúť zamestnávateľovi, ktorý najmenej tri mesiace pred podaním žiadosti o poskytnutie príspevku udržal pracovné miesta aj v prípade pretrvávajúcich vážnych prevádzkových dôvodov vymedzených v písomnej dohode so zástupcami zamestnancov, na základe ktorých po dohode s úradom na prechodné obdobie obmedzí svoju prevádzkovú činnosť tak, že nebude zamestnancom prideľovať prácu v rozsahu najmenej 6</w:t>
      </w:r>
      <w:r w:rsidR="005676EF">
        <w:rPr>
          <w:szCs w:val="22"/>
        </w:rPr>
        <w:t> %</w:t>
      </w:r>
      <w:r w:rsidRPr="00AE6EDB">
        <w:rPr>
          <w:szCs w:val="22"/>
        </w:rPr>
        <w:t xml:space="preserve"> a najviac 20</w:t>
      </w:r>
      <w:r w:rsidR="005676EF">
        <w:rPr>
          <w:szCs w:val="22"/>
        </w:rPr>
        <w:t> %</w:t>
      </w:r>
      <w:r w:rsidRPr="00AE6EDB">
        <w:rPr>
          <w:szCs w:val="22"/>
        </w:rPr>
        <w:t xml:space="preserve"> ustanoveného týždenného pracovného času. Mesačná výška príspevku je 50</w:t>
      </w:r>
      <w:r w:rsidR="005676EF">
        <w:rPr>
          <w:szCs w:val="22"/>
        </w:rPr>
        <w:t> %</w:t>
      </w:r>
      <w:r w:rsidRPr="00AE6EDB">
        <w:rPr>
          <w:szCs w:val="22"/>
        </w:rPr>
        <w:t xml:space="preserve"> z náhrady mzdy poskytnutej zamestnancovi, najviac 50</w:t>
      </w:r>
      <w:r w:rsidR="005676EF">
        <w:rPr>
          <w:szCs w:val="22"/>
        </w:rPr>
        <w:t> %</w:t>
      </w:r>
      <w:r w:rsidRPr="00AE6EDB">
        <w:rPr>
          <w:szCs w:val="22"/>
        </w:rPr>
        <w:t xml:space="preserve"> z priemernej mzdy zamestnanca v hospodárstve Slovenskej republiky za prvý až tretí štvrťrok kalendárneho roka, ktorý predchádza kalendárnemu roku, v ktorom sa príspevok poskytuje. Príspevok sa poskytuje najviac počas 12 mesiacov.</w:t>
      </w:r>
    </w:p>
    <w:p w:rsidR="000A7585" w:rsidRPr="00AE6EDB" w:rsidRDefault="000A7585" w:rsidP="000A7585">
      <w:pPr>
        <w:pStyle w:val="Normlnysozarkami"/>
        <w:ind w:firstLine="567"/>
        <w:rPr>
          <w:szCs w:val="22"/>
        </w:rPr>
      </w:pPr>
      <w:r w:rsidRPr="00AE6EDB">
        <w:rPr>
          <w:szCs w:val="22"/>
        </w:rPr>
        <w:t>V roku 2015 úrady týmto príspevkom podporili udržanie 126 zamestnancov</w:t>
      </w:r>
      <w:r w:rsidR="004371CC" w:rsidRPr="00AE6EDB">
        <w:rPr>
          <w:szCs w:val="22"/>
        </w:rPr>
        <w:t xml:space="preserve"> u 2 zamest</w:t>
      </w:r>
      <w:r w:rsidR="004371CC" w:rsidRPr="00AE6EDB">
        <w:rPr>
          <w:szCs w:val="22"/>
        </w:rPr>
        <w:softHyphen/>
        <w:t>návateľ</w:t>
      </w:r>
      <w:r w:rsidR="004371CC" w:rsidRPr="00AE6EDB">
        <w:rPr>
          <w:szCs w:val="22"/>
        </w:rPr>
        <w:softHyphen/>
        <w:t>ských subjektov</w:t>
      </w:r>
      <w:r w:rsidRPr="00AE6EDB">
        <w:rPr>
          <w:szCs w:val="22"/>
        </w:rPr>
        <w:t>. Celkové čerpanie finančných prostriedkov v roku 2015 bolo vo</w:t>
      </w:r>
      <w:r w:rsidR="004371CC" w:rsidRPr="00AE6EDB">
        <w:rPr>
          <w:szCs w:val="22"/>
        </w:rPr>
        <w:t> </w:t>
      </w:r>
      <w:r w:rsidRPr="00AE6EDB">
        <w:rPr>
          <w:szCs w:val="22"/>
        </w:rPr>
        <w:t>výške 1</w:t>
      </w:r>
      <w:r w:rsidR="0054295F">
        <w:rPr>
          <w:szCs w:val="22"/>
        </w:rPr>
        <w:t>0 2</w:t>
      </w:r>
      <w:r w:rsidRPr="00AE6EDB">
        <w:rPr>
          <w:szCs w:val="22"/>
        </w:rPr>
        <w:t>48</w:t>
      </w:r>
      <w:r w:rsidR="0054295F">
        <w:rPr>
          <w:szCs w:val="22"/>
        </w:rPr>
        <w:t> eur</w:t>
      </w:r>
      <w:r w:rsidRPr="00AE6EDB">
        <w:rPr>
          <w:szCs w:val="22"/>
        </w:rPr>
        <w:t xml:space="preserve">. </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Príspevok na vykonávanie absolventskej praxe (§ 51)</w:t>
      </w:r>
    </w:p>
    <w:p w:rsidR="000A7585" w:rsidRPr="00AE6EDB" w:rsidRDefault="000A7585" w:rsidP="000A7585">
      <w:pPr>
        <w:pStyle w:val="Normlnysozarkami"/>
        <w:ind w:firstLine="567"/>
        <w:rPr>
          <w:szCs w:val="22"/>
        </w:rPr>
      </w:pPr>
      <w:r w:rsidRPr="00AE6EDB">
        <w:rPr>
          <w:szCs w:val="22"/>
        </w:rPr>
        <w:t xml:space="preserve">Cieľom absolventskej praxe je získavanie odborných zručností a praktických skúseností u zamestnávateľa, ktoré zodpovedajú dosiahnutému stupňu vzdelania absolventa školy, ako i získavanie a prehlbovanie odborných zručností alebo praktických skúseností, ktoré rozšíria možnosti absolventov škôl pri uplatnení na trhu práce, čím sa priamo pôsobí na zvyšovanie </w:t>
      </w:r>
      <w:proofErr w:type="spellStart"/>
      <w:r w:rsidRPr="00AE6EDB">
        <w:rPr>
          <w:szCs w:val="22"/>
        </w:rPr>
        <w:t>zamestnateľnosti</w:t>
      </w:r>
      <w:proofErr w:type="spellEnd"/>
      <w:r w:rsidRPr="00AE6EDB">
        <w:rPr>
          <w:szCs w:val="22"/>
        </w:rPr>
        <w:t xml:space="preserve"> </w:t>
      </w:r>
      <w:proofErr w:type="spellStart"/>
      <w:r w:rsidRPr="00AE6EDB">
        <w:rPr>
          <w:szCs w:val="22"/>
        </w:rPr>
        <w:t>UoZ</w:t>
      </w:r>
      <w:proofErr w:type="spellEnd"/>
      <w:r w:rsidRPr="00AE6EDB">
        <w:rPr>
          <w:szCs w:val="22"/>
        </w:rPr>
        <w:t xml:space="preserve">. Absolventská prax prispieva absolventom k hľadaniu si práce vo svojej profesii. Umožňuje im získať prvý kontakt s praxou pri získavaní potrebných zručností. Úrad môže absolventovi školy poskytnúť paušálny príspevok na vykonávanie absolventskej praxe vo </w:t>
      </w:r>
      <w:r w:rsidRPr="00AE6EDB">
        <w:rPr>
          <w:bCs/>
          <w:szCs w:val="22"/>
        </w:rPr>
        <w:t>výške 65</w:t>
      </w:r>
      <w:r w:rsidR="005676EF">
        <w:rPr>
          <w:bCs/>
          <w:szCs w:val="22"/>
        </w:rPr>
        <w:t> %</w:t>
      </w:r>
      <w:r w:rsidRPr="00AE6EDB">
        <w:rPr>
          <w:bCs/>
          <w:szCs w:val="22"/>
        </w:rPr>
        <w:t xml:space="preserve"> sumy životného minima pre jednu plnoletú fyzickú osobu</w:t>
      </w:r>
      <w:r w:rsidRPr="00AE6EDB">
        <w:rPr>
          <w:szCs w:val="22"/>
        </w:rPr>
        <w:t xml:space="preserve">. </w:t>
      </w:r>
    </w:p>
    <w:p w:rsidR="000A7585" w:rsidRPr="00AE6EDB" w:rsidRDefault="000A7585" w:rsidP="000A7585">
      <w:pPr>
        <w:ind w:firstLine="567"/>
        <w:rPr>
          <w:szCs w:val="22"/>
        </w:rPr>
      </w:pPr>
      <w:r w:rsidRPr="00AE6EDB">
        <w:rPr>
          <w:szCs w:val="22"/>
        </w:rPr>
        <w:t xml:space="preserve">V roku 2015 bolo na absolventskú prax zaradených </w:t>
      </w:r>
      <w:r w:rsidR="00AC44CB">
        <w:rPr>
          <w:szCs w:val="22"/>
        </w:rPr>
        <w:t>7 3</w:t>
      </w:r>
      <w:r w:rsidRPr="00AE6EDB">
        <w:rPr>
          <w:szCs w:val="22"/>
        </w:rPr>
        <w:t xml:space="preserve">98 </w:t>
      </w:r>
      <w:proofErr w:type="spellStart"/>
      <w:r w:rsidRPr="00AE6EDB">
        <w:rPr>
          <w:szCs w:val="22"/>
        </w:rPr>
        <w:t>UoZ</w:t>
      </w:r>
      <w:proofErr w:type="spellEnd"/>
      <w:r w:rsidRPr="00AE6EDB">
        <w:rPr>
          <w:szCs w:val="22"/>
        </w:rPr>
        <w:t>, čo bolo o </w:t>
      </w:r>
      <w:r w:rsidR="0054295F">
        <w:rPr>
          <w:szCs w:val="22"/>
        </w:rPr>
        <w:t>2 0</w:t>
      </w:r>
      <w:r w:rsidRPr="00AE6EDB">
        <w:rPr>
          <w:szCs w:val="22"/>
        </w:rPr>
        <w:t xml:space="preserve">84 </w:t>
      </w:r>
      <w:proofErr w:type="spellStart"/>
      <w:r w:rsidRPr="00AE6EDB">
        <w:rPr>
          <w:szCs w:val="22"/>
        </w:rPr>
        <w:t>UoZ</w:t>
      </w:r>
      <w:proofErr w:type="spellEnd"/>
      <w:r w:rsidRPr="00AE6EDB">
        <w:rPr>
          <w:szCs w:val="22"/>
        </w:rPr>
        <w:t xml:space="preserve"> menej ako v roku 2014. V roku 2015 bol príspevok </w:t>
      </w:r>
      <w:r w:rsidR="006007B1" w:rsidRPr="00AE6EDB">
        <w:rPr>
          <w:szCs w:val="22"/>
        </w:rPr>
        <w:t xml:space="preserve">vyplatený </w:t>
      </w:r>
      <w:r w:rsidRPr="00AE6EDB">
        <w:rPr>
          <w:szCs w:val="22"/>
        </w:rPr>
        <w:t>v</w:t>
      </w:r>
      <w:r w:rsidR="006007B1" w:rsidRPr="00AE6EDB">
        <w:rPr>
          <w:szCs w:val="22"/>
        </w:rPr>
        <w:t xml:space="preserve"> celkovej</w:t>
      </w:r>
      <w:r w:rsidRPr="00AE6EDB">
        <w:rPr>
          <w:szCs w:val="22"/>
        </w:rPr>
        <w:t xml:space="preserve"> výške </w:t>
      </w:r>
      <w:r w:rsidR="0054295F">
        <w:rPr>
          <w:szCs w:val="22"/>
        </w:rPr>
        <w:t>4 4</w:t>
      </w:r>
      <w:r w:rsidRPr="00AE6EDB">
        <w:rPr>
          <w:szCs w:val="22"/>
        </w:rPr>
        <w:t>8</w:t>
      </w:r>
      <w:r w:rsidR="0054295F">
        <w:rPr>
          <w:szCs w:val="22"/>
        </w:rPr>
        <w:t>0 1</w:t>
      </w:r>
      <w:r w:rsidRPr="00AE6EDB">
        <w:rPr>
          <w:szCs w:val="22"/>
        </w:rPr>
        <w:t>74</w:t>
      </w:r>
      <w:r w:rsidR="0054295F">
        <w:rPr>
          <w:szCs w:val="22"/>
        </w:rPr>
        <w:t> eur</w:t>
      </w:r>
      <w:r w:rsidRPr="00AE6EDB">
        <w:rPr>
          <w:szCs w:val="22"/>
        </w:rPr>
        <w:t>, čo je o 5</w:t>
      </w:r>
      <w:r w:rsidR="0054295F">
        <w:rPr>
          <w:szCs w:val="22"/>
        </w:rPr>
        <w:t>3 3</w:t>
      </w:r>
      <w:r w:rsidRPr="00AE6EDB">
        <w:rPr>
          <w:szCs w:val="22"/>
        </w:rPr>
        <w:t>70</w:t>
      </w:r>
      <w:r w:rsidR="0054295F">
        <w:rPr>
          <w:szCs w:val="22"/>
        </w:rPr>
        <w:t> eur</w:t>
      </w:r>
      <w:r w:rsidRPr="00AE6EDB">
        <w:rPr>
          <w:szCs w:val="22"/>
        </w:rPr>
        <w:t xml:space="preserve"> viac ako v roku 2014.</w:t>
      </w:r>
    </w:p>
    <w:p w:rsidR="000A7585" w:rsidRPr="00AE6EDB" w:rsidRDefault="000A7585" w:rsidP="000A7585">
      <w:pPr>
        <w:pStyle w:val="123"/>
        <w:numPr>
          <w:ilvl w:val="0"/>
          <w:numId w:val="0"/>
        </w:numPr>
        <w:spacing w:before="0" w:after="0"/>
        <w:rPr>
          <w:iCs/>
        </w:rPr>
      </w:pPr>
    </w:p>
    <w:p w:rsidR="000A7585" w:rsidRPr="00AE6EDB" w:rsidRDefault="000A7585" w:rsidP="000A7585">
      <w:pPr>
        <w:spacing w:after="60"/>
        <w:rPr>
          <w:b/>
        </w:rPr>
      </w:pPr>
      <w:r w:rsidRPr="00AE6EDB">
        <w:rPr>
          <w:b/>
        </w:rPr>
        <w:t>Príspevok na podporu vytvorenia pracovného miesta v prvom pravidelne platenom zamestnaní (§ 51a)</w:t>
      </w:r>
    </w:p>
    <w:p w:rsidR="004371CC" w:rsidRPr="00AE6EDB" w:rsidRDefault="004371CC" w:rsidP="001C72AB">
      <w:pPr>
        <w:pStyle w:val="123"/>
        <w:numPr>
          <w:ilvl w:val="0"/>
          <w:numId w:val="0"/>
        </w:numPr>
        <w:spacing w:before="0" w:after="0"/>
        <w:ind w:firstLine="567"/>
        <w:rPr>
          <w:b w:val="0"/>
          <w:iCs/>
        </w:rPr>
      </w:pPr>
      <w:r w:rsidRPr="00AE6EDB">
        <w:rPr>
          <w:b w:val="0"/>
          <w:iCs/>
        </w:rPr>
        <w:t>Toto AOTP je jedným z podporných opatrení pre integráciu mladých ľudí</w:t>
      </w:r>
      <w:r w:rsidR="002641CA">
        <w:rPr>
          <w:b w:val="0"/>
          <w:iCs/>
        </w:rPr>
        <w:t xml:space="preserve"> </w:t>
      </w:r>
      <w:r w:rsidRPr="00AE6EDB">
        <w:rPr>
          <w:b w:val="0"/>
          <w:iCs/>
        </w:rPr>
        <w:t>na trhu práce v zmysle zákona č. 311/2014, ktorým sa menil a dopĺňal zákon č. 5/2004 Z. z. o službách zamestnanosti a o zmene a doplnení niektorých zákonov v znení neskorších predpisov s účinnosťou od 1.1.2015 ako príspevok na podporu vytvorenia pracovného miesta v prvom pravidelne platenom zamestnaní.</w:t>
      </w:r>
    </w:p>
    <w:p w:rsidR="000A7585" w:rsidRPr="00AE6EDB" w:rsidRDefault="000A7585" w:rsidP="001C72AB">
      <w:pPr>
        <w:pStyle w:val="123"/>
        <w:numPr>
          <w:ilvl w:val="0"/>
          <w:numId w:val="0"/>
        </w:numPr>
        <w:spacing w:before="0" w:after="0"/>
        <w:ind w:firstLine="567"/>
        <w:rPr>
          <w:b w:val="0"/>
          <w:iCs/>
        </w:rPr>
      </w:pPr>
      <w:r w:rsidRPr="00AE6EDB">
        <w:rPr>
          <w:b w:val="0"/>
          <w:iCs/>
        </w:rPr>
        <w:t xml:space="preserve">Cieľom príspevku je podpora vytvorenia pracovného miesta v prvom pravidelne platenom zamestnaní u zamestnávateľov, ktorí vytvoria pracovné miesto pre </w:t>
      </w:r>
      <w:proofErr w:type="spellStart"/>
      <w:r w:rsidRPr="00AE6EDB">
        <w:rPr>
          <w:b w:val="0"/>
          <w:iCs/>
        </w:rPr>
        <w:t>UoZ</w:t>
      </w:r>
      <w:proofErr w:type="spellEnd"/>
      <w:r w:rsidRPr="00AE6EDB">
        <w:rPr>
          <w:b w:val="0"/>
          <w:iCs/>
        </w:rPr>
        <w:t xml:space="preserve"> mladších ako 25 rokov veku, ktorí sú v evidencii </w:t>
      </w:r>
      <w:proofErr w:type="spellStart"/>
      <w:r w:rsidRPr="00AE6EDB">
        <w:rPr>
          <w:b w:val="0"/>
          <w:iCs/>
        </w:rPr>
        <w:t>UoZ</w:t>
      </w:r>
      <w:proofErr w:type="spellEnd"/>
      <w:r w:rsidRPr="00AE6EDB">
        <w:rPr>
          <w:b w:val="0"/>
          <w:iCs/>
        </w:rPr>
        <w:t xml:space="preserve"> najmenej 3 mesiace alebo pre </w:t>
      </w:r>
      <w:proofErr w:type="spellStart"/>
      <w:r w:rsidRPr="00AE6EDB">
        <w:rPr>
          <w:b w:val="0"/>
          <w:iCs/>
        </w:rPr>
        <w:t>UoZ</w:t>
      </w:r>
      <w:proofErr w:type="spellEnd"/>
      <w:r w:rsidRPr="00AE6EDB">
        <w:rPr>
          <w:b w:val="0"/>
          <w:iCs/>
        </w:rPr>
        <w:t xml:space="preserve">, ktorí sú mladších ako 29 rokov veku, ktorí sú vedení v evidencii </w:t>
      </w:r>
      <w:proofErr w:type="spellStart"/>
      <w:r w:rsidRPr="00AE6EDB">
        <w:rPr>
          <w:b w:val="0"/>
          <w:iCs/>
        </w:rPr>
        <w:t>UoZ</w:t>
      </w:r>
      <w:proofErr w:type="spellEnd"/>
      <w:r w:rsidRPr="00AE6EDB">
        <w:rPr>
          <w:b w:val="0"/>
          <w:iCs/>
        </w:rPr>
        <w:t xml:space="preserve"> najmenej 6 mesiacov a ktorí pred prijatím do pracovného pomeru nemali pravidelne platené zamestnanie, ak je pracovný pomer dohodnutý v rozsahu najmenej polovice ustanoveného týždenného pracovného času. </w:t>
      </w:r>
    </w:p>
    <w:p w:rsidR="000A7585" w:rsidRPr="00AE6EDB" w:rsidRDefault="000A7585" w:rsidP="001C72AB">
      <w:pPr>
        <w:pStyle w:val="123"/>
        <w:numPr>
          <w:ilvl w:val="0"/>
          <w:numId w:val="0"/>
        </w:numPr>
        <w:spacing w:before="0" w:after="0"/>
        <w:ind w:firstLine="567"/>
        <w:rPr>
          <w:b w:val="0"/>
          <w:iCs/>
        </w:rPr>
      </w:pPr>
      <w:r w:rsidRPr="00AE6EDB">
        <w:rPr>
          <w:b w:val="0"/>
          <w:iCs/>
        </w:rPr>
        <w:t xml:space="preserve">V roku 2015 bolo podporených </w:t>
      </w:r>
      <w:r w:rsidR="0054295F">
        <w:rPr>
          <w:b w:val="0"/>
          <w:iCs/>
        </w:rPr>
        <w:t>3 3</w:t>
      </w:r>
      <w:r w:rsidRPr="00AE6EDB">
        <w:rPr>
          <w:b w:val="0"/>
          <w:iCs/>
        </w:rPr>
        <w:t xml:space="preserve">15 </w:t>
      </w:r>
      <w:proofErr w:type="spellStart"/>
      <w:r w:rsidRPr="00AE6EDB">
        <w:rPr>
          <w:b w:val="0"/>
          <w:iCs/>
        </w:rPr>
        <w:t>UoZ</w:t>
      </w:r>
      <w:proofErr w:type="spellEnd"/>
      <w:r w:rsidRPr="00AE6EDB">
        <w:rPr>
          <w:b w:val="0"/>
          <w:iCs/>
        </w:rPr>
        <w:t xml:space="preserve">, na ktorých bol čerpaný príspevok v celkovej výške </w:t>
      </w:r>
      <w:r w:rsidR="0054295F">
        <w:rPr>
          <w:b w:val="0"/>
          <w:iCs/>
        </w:rPr>
        <w:t>4 2</w:t>
      </w:r>
      <w:r w:rsidRPr="00AE6EDB">
        <w:rPr>
          <w:b w:val="0"/>
          <w:iCs/>
        </w:rPr>
        <w:t>2</w:t>
      </w:r>
      <w:r w:rsidR="0054295F">
        <w:rPr>
          <w:b w:val="0"/>
          <w:iCs/>
        </w:rPr>
        <w:t>3 8</w:t>
      </w:r>
      <w:r w:rsidRPr="00AE6EDB">
        <w:rPr>
          <w:b w:val="0"/>
          <w:iCs/>
        </w:rPr>
        <w:t>27</w:t>
      </w:r>
      <w:r w:rsidR="0054295F">
        <w:rPr>
          <w:b w:val="0"/>
          <w:iCs/>
        </w:rPr>
        <w:t> eur</w:t>
      </w:r>
      <w:r w:rsidRPr="00AE6EDB">
        <w:rPr>
          <w:b w:val="0"/>
          <w:iCs/>
        </w:rPr>
        <w:t>.</w:t>
      </w:r>
    </w:p>
    <w:p w:rsidR="000A7585" w:rsidRPr="00AE6EDB" w:rsidRDefault="000A7585" w:rsidP="000A7585">
      <w:pPr>
        <w:ind w:firstLine="567"/>
        <w:rPr>
          <w:szCs w:val="22"/>
          <w:highlight w:val="cyan"/>
        </w:rPr>
      </w:pPr>
    </w:p>
    <w:p w:rsidR="000A7585" w:rsidRPr="00AE6EDB" w:rsidRDefault="000A7585" w:rsidP="000A7585">
      <w:pPr>
        <w:spacing w:after="60"/>
        <w:rPr>
          <w:b/>
        </w:rPr>
      </w:pPr>
      <w:r w:rsidRPr="00AE6EDB">
        <w:rPr>
          <w:b/>
        </w:rPr>
        <w:t xml:space="preserve">Príspevok na aktivačnú činnosť formou menších obecných služieb pre obec alebo formou menších služieb pre samosprávny kraj (§ 52) </w:t>
      </w:r>
    </w:p>
    <w:p w:rsidR="000A7585" w:rsidRPr="00AE6EDB" w:rsidRDefault="000A7585" w:rsidP="000A7585">
      <w:pPr>
        <w:pStyle w:val="Normlnysozarkami"/>
        <w:ind w:firstLine="567"/>
        <w:rPr>
          <w:szCs w:val="22"/>
        </w:rPr>
      </w:pPr>
      <w:r w:rsidRPr="00AE6EDB">
        <w:rPr>
          <w:szCs w:val="22"/>
        </w:rPr>
        <w:t xml:space="preserve">Aktivačná činnosť formou menších obecných služieb pre obec </w:t>
      </w:r>
      <w:r w:rsidRPr="00AE6EDB">
        <w:rPr>
          <w:iCs/>
          <w:szCs w:val="22"/>
        </w:rPr>
        <w:t xml:space="preserve">alebo formou menších služieb pre samosprávny kraj </w:t>
      </w:r>
      <w:r w:rsidRPr="00AE6EDB">
        <w:rPr>
          <w:szCs w:val="22"/>
        </w:rPr>
        <w:t xml:space="preserve">je podpora udržiavania pracovných návykov dlhodobo nezamestnaného občana, ktorý je poberateľom dávky v hmotnej núdzi a príspevkov k dávke v hmotnej núdzi. Menšie služby pre obec alebo </w:t>
      </w:r>
      <w:r w:rsidRPr="00AE6EDB">
        <w:rPr>
          <w:iCs/>
          <w:szCs w:val="22"/>
        </w:rPr>
        <w:t xml:space="preserve">samosprávny kraj </w:t>
      </w:r>
      <w:r w:rsidRPr="00AE6EDB">
        <w:rPr>
          <w:szCs w:val="22"/>
        </w:rPr>
        <w:t xml:space="preserve">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PSVR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 na úhradu časti celkovej ceny práce zamestnanca, ktorý organizuje aktivačnú činnosť. </w:t>
      </w:r>
    </w:p>
    <w:p w:rsidR="000A7585" w:rsidRPr="00AE6EDB" w:rsidRDefault="000A7585" w:rsidP="000A7585">
      <w:pPr>
        <w:pStyle w:val="Normlnysozarkami"/>
        <w:ind w:firstLine="567"/>
        <w:rPr>
          <w:szCs w:val="22"/>
        </w:rPr>
      </w:pPr>
      <w:r w:rsidRPr="00AE6EDB">
        <w:rPr>
          <w:szCs w:val="22"/>
        </w:rPr>
        <w:t>V roku 2015 bolo na aktivačnú činnosť formou menších obecných služieb pre obec alebo formou menších služieb pre samosprávny kraj umiestnených 2</w:t>
      </w:r>
      <w:r w:rsidR="0054295F">
        <w:rPr>
          <w:szCs w:val="22"/>
        </w:rPr>
        <w:t>4 1</w:t>
      </w:r>
      <w:r w:rsidRPr="00AE6EDB">
        <w:rPr>
          <w:szCs w:val="22"/>
        </w:rPr>
        <w:t xml:space="preserve">56 </w:t>
      </w:r>
      <w:proofErr w:type="spellStart"/>
      <w:r w:rsidRPr="00AE6EDB">
        <w:rPr>
          <w:szCs w:val="22"/>
        </w:rPr>
        <w:t>UoZ</w:t>
      </w:r>
      <w:proofErr w:type="spellEnd"/>
      <w:r w:rsidRPr="00AE6EDB">
        <w:rPr>
          <w:szCs w:val="22"/>
        </w:rPr>
        <w:t>, čo bolo o </w:t>
      </w:r>
      <w:r w:rsidR="0054295F">
        <w:rPr>
          <w:szCs w:val="22"/>
        </w:rPr>
        <w:t>2 0</w:t>
      </w:r>
      <w:r w:rsidRPr="00AE6EDB">
        <w:rPr>
          <w:szCs w:val="22"/>
        </w:rPr>
        <w:t xml:space="preserve">44 </w:t>
      </w:r>
      <w:proofErr w:type="spellStart"/>
      <w:r w:rsidRPr="00AE6EDB">
        <w:rPr>
          <w:szCs w:val="22"/>
        </w:rPr>
        <w:t>UoZ</w:t>
      </w:r>
      <w:proofErr w:type="spellEnd"/>
      <w:r w:rsidRPr="00AE6EDB">
        <w:rPr>
          <w:szCs w:val="22"/>
        </w:rPr>
        <w:t xml:space="preserve"> menej ako v roku 2014. Výška čerpaných finančných prostriedkov bola </w:t>
      </w:r>
      <w:r w:rsidR="00AC44CB">
        <w:rPr>
          <w:szCs w:val="22"/>
        </w:rPr>
        <w:t>5 2</w:t>
      </w:r>
      <w:r w:rsidRPr="00AE6EDB">
        <w:rPr>
          <w:szCs w:val="22"/>
        </w:rPr>
        <w:t>0</w:t>
      </w:r>
      <w:r w:rsidR="00AC44CB">
        <w:rPr>
          <w:szCs w:val="22"/>
        </w:rPr>
        <w:t>9 1</w:t>
      </w:r>
      <w:r w:rsidRPr="00AE6EDB">
        <w:rPr>
          <w:szCs w:val="22"/>
        </w:rPr>
        <w:t>32</w:t>
      </w:r>
      <w:r w:rsidR="0054295F">
        <w:rPr>
          <w:color w:val="000000"/>
          <w:szCs w:val="22"/>
        </w:rPr>
        <w:t> eur</w:t>
      </w:r>
      <w:r w:rsidRPr="00AE6EDB">
        <w:rPr>
          <w:szCs w:val="22"/>
        </w:rPr>
        <w:t>, čo bolo o 99</w:t>
      </w:r>
      <w:r w:rsidR="00AC44CB">
        <w:rPr>
          <w:szCs w:val="22"/>
        </w:rPr>
        <w:t>5 5</w:t>
      </w:r>
      <w:r w:rsidRPr="00AE6EDB">
        <w:rPr>
          <w:szCs w:val="22"/>
        </w:rPr>
        <w:t>64</w:t>
      </w:r>
      <w:r w:rsidR="0054295F">
        <w:rPr>
          <w:szCs w:val="22"/>
        </w:rPr>
        <w:t> eur</w:t>
      </w:r>
      <w:r w:rsidRPr="00AE6EDB">
        <w:rPr>
          <w:szCs w:val="22"/>
        </w:rPr>
        <w:t xml:space="preserve"> viac ako v roku 2014.</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Príspevok na aktivačnú činnosť formou dobrovoľníckej služby (§ 52a)</w:t>
      </w:r>
    </w:p>
    <w:p w:rsidR="000A7585" w:rsidRPr="00AE6EDB" w:rsidRDefault="000A7585" w:rsidP="000A7585">
      <w:pPr>
        <w:pStyle w:val="Normlnysozarkami"/>
        <w:ind w:firstLine="431"/>
      </w:pPr>
      <w:r w:rsidRPr="00AE6EDB">
        <w:t xml:space="preserve">Dobrovoľnícka služba je forma aktivácie </w:t>
      </w:r>
      <w:proofErr w:type="spellStart"/>
      <w:r w:rsidRPr="00AE6EDB">
        <w:t>UoZ</w:t>
      </w:r>
      <w:proofErr w:type="spellEnd"/>
      <w:r w:rsidRPr="00AE6EDB">
        <w:t xml:space="preserve"> vykonávaním dobrovoľníckej činnosti, ktorej cieľom je získanie praktických skúseností pre potreby trhu práce. Počas vykonávania dobrovoľníckej služby úrad PSVR poskytuje </w:t>
      </w:r>
      <w:proofErr w:type="spellStart"/>
      <w:r w:rsidRPr="00AE6EDB">
        <w:t>UoZ</w:t>
      </w:r>
      <w:proofErr w:type="spellEnd"/>
      <w:r w:rsidRPr="00AE6EDB">
        <w:t xml:space="preserve">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 </w:t>
      </w:r>
    </w:p>
    <w:p w:rsidR="000A7585" w:rsidRPr="00AE6EDB" w:rsidRDefault="000A7585" w:rsidP="000A7585">
      <w:pPr>
        <w:pStyle w:val="Normlnysozarkami"/>
        <w:ind w:firstLine="567"/>
        <w:rPr>
          <w:szCs w:val="22"/>
        </w:rPr>
      </w:pPr>
      <w:r w:rsidRPr="00AE6EDB">
        <w:rPr>
          <w:szCs w:val="22"/>
        </w:rPr>
        <w:t>V roku 2015 bolo na aktivačnú činnosť formou dobrovoľníckej služby zaradených 1</w:t>
      </w:r>
      <w:r w:rsidR="0054295F">
        <w:rPr>
          <w:szCs w:val="22"/>
        </w:rPr>
        <w:t>2 9</w:t>
      </w:r>
      <w:r w:rsidRPr="00AE6EDB">
        <w:rPr>
          <w:szCs w:val="22"/>
        </w:rPr>
        <w:t xml:space="preserve">41 </w:t>
      </w:r>
      <w:proofErr w:type="spellStart"/>
      <w:r w:rsidRPr="00AE6EDB">
        <w:rPr>
          <w:szCs w:val="22"/>
        </w:rPr>
        <w:t>UoZ</w:t>
      </w:r>
      <w:proofErr w:type="spellEnd"/>
      <w:r w:rsidRPr="00AE6EDB">
        <w:rPr>
          <w:szCs w:val="22"/>
        </w:rPr>
        <w:t>, čo je v porovnaní s rokom 2014 viac o </w:t>
      </w:r>
      <w:r w:rsidR="00AC44CB">
        <w:rPr>
          <w:szCs w:val="22"/>
        </w:rPr>
        <w:t>6 4</w:t>
      </w:r>
      <w:r w:rsidRPr="00AE6EDB">
        <w:rPr>
          <w:szCs w:val="22"/>
        </w:rPr>
        <w:t xml:space="preserve">81 </w:t>
      </w:r>
      <w:proofErr w:type="spellStart"/>
      <w:r w:rsidRPr="00AE6EDB">
        <w:rPr>
          <w:szCs w:val="22"/>
        </w:rPr>
        <w:t>UoZ</w:t>
      </w:r>
      <w:proofErr w:type="spellEnd"/>
      <w:r w:rsidRPr="00AE6EDB">
        <w:rPr>
          <w:szCs w:val="22"/>
        </w:rPr>
        <w:t>. Celkový príspevok bol čerpaný vo výške 1</w:t>
      </w:r>
      <w:r w:rsidR="0054295F">
        <w:rPr>
          <w:szCs w:val="22"/>
        </w:rPr>
        <w:t>0 4</w:t>
      </w:r>
      <w:r w:rsidRPr="00AE6EDB">
        <w:rPr>
          <w:szCs w:val="22"/>
        </w:rPr>
        <w:t>1</w:t>
      </w:r>
      <w:r w:rsidR="00AC44CB">
        <w:rPr>
          <w:szCs w:val="22"/>
        </w:rPr>
        <w:t>7 5</w:t>
      </w:r>
      <w:r w:rsidRPr="00AE6EDB">
        <w:rPr>
          <w:szCs w:val="22"/>
        </w:rPr>
        <w:t>90</w:t>
      </w:r>
      <w:r w:rsidR="0054295F">
        <w:rPr>
          <w:szCs w:val="22"/>
        </w:rPr>
        <w:t> eur</w:t>
      </w:r>
      <w:r w:rsidRPr="00AE6EDB">
        <w:rPr>
          <w:szCs w:val="22"/>
        </w:rPr>
        <w:t>, čo bolo o </w:t>
      </w:r>
      <w:r w:rsidR="0054295F">
        <w:rPr>
          <w:szCs w:val="22"/>
        </w:rPr>
        <w:t>4 6</w:t>
      </w:r>
      <w:r w:rsidRPr="00AE6EDB">
        <w:rPr>
          <w:szCs w:val="22"/>
        </w:rPr>
        <w:t>8</w:t>
      </w:r>
      <w:r w:rsidR="0054295F">
        <w:rPr>
          <w:szCs w:val="22"/>
        </w:rPr>
        <w:t>2 6</w:t>
      </w:r>
      <w:r w:rsidRPr="00AE6EDB">
        <w:rPr>
          <w:szCs w:val="22"/>
        </w:rPr>
        <w:t>62</w:t>
      </w:r>
      <w:r w:rsidR="0054295F">
        <w:rPr>
          <w:szCs w:val="22"/>
        </w:rPr>
        <w:t> eur</w:t>
      </w:r>
      <w:r w:rsidRPr="00AE6EDB">
        <w:rPr>
          <w:szCs w:val="22"/>
        </w:rPr>
        <w:t xml:space="preserve"> viac ako v roku 2014. V roku 2015 sa v porovnaní s rokom 2014 príspevok poskytoval vo zvýšenej miere obciam a vyšším územným celkom.</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 xml:space="preserve">Príspevok na dochádzku za prácou (§ 53) </w:t>
      </w:r>
    </w:p>
    <w:p w:rsidR="000A7585" w:rsidRPr="00AE6EDB" w:rsidRDefault="000A7585" w:rsidP="000A7585">
      <w:pPr>
        <w:pStyle w:val="Normlnysozarkami"/>
        <w:ind w:firstLine="431"/>
      </w:pPr>
      <w:r w:rsidRPr="00AE6EDB">
        <w:t xml:space="preserve">Príspevok sa poskytuje mesačne na úhradu časti cestovných výdavkov na dochádzku z miesta trvalého pobytu alebo z miesta prechodného pobytu zamestnanca do miesta výkonu zamestnania uvedeného v pracovnej zmluve a späť </w:t>
      </w:r>
      <w:proofErr w:type="spellStart"/>
      <w:r w:rsidRPr="00AE6EDB">
        <w:t>UoZ</w:t>
      </w:r>
      <w:proofErr w:type="spellEnd"/>
      <w:r w:rsidRPr="00AE6EDB">
        <w:t xml:space="preserve"> vedenému v evidencii </w:t>
      </w:r>
      <w:proofErr w:type="spellStart"/>
      <w:r w:rsidRPr="00AE6EDB">
        <w:t>UoZ</w:t>
      </w:r>
      <w:proofErr w:type="spellEnd"/>
      <w:r w:rsidRPr="00AE6EDB">
        <w:t xml:space="preserve"> viac ako tri mesiace, ktorý bol z tejto evidencie vyradený z dôvodu nástupu do zamestnania. Príspevok sa poskytuje najviac 6 mesiacov od nástupu do zamestnania a možno ho opätovne poskytnúť po uplynutí dvoch rokov od ukončenia obdobia jeho poskytovania. V prípade zhody miesta pobytu občana s miestom výkonu zamestnania uvedeného v pracovnej zmluve sa príspevok neposkytuje.</w:t>
      </w:r>
    </w:p>
    <w:p w:rsidR="000A7585" w:rsidRPr="00AE6EDB" w:rsidRDefault="000A7585" w:rsidP="000A7585">
      <w:pPr>
        <w:pStyle w:val="Normlnysozarkami"/>
        <w:ind w:firstLine="567"/>
        <w:rPr>
          <w:szCs w:val="22"/>
        </w:rPr>
      </w:pPr>
      <w:r w:rsidRPr="00AE6EDB">
        <w:rPr>
          <w:szCs w:val="22"/>
        </w:rPr>
        <w:t>V roku 2015 poberalo príspevok</w:t>
      </w:r>
      <w:r w:rsidR="001C72AB" w:rsidRPr="00AE6EDB">
        <w:rPr>
          <w:szCs w:val="22"/>
        </w:rPr>
        <w:t xml:space="preserve"> </w:t>
      </w:r>
      <w:r w:rsidR="00AC44CB">
        <w:rPr>
          <w:szCs w:val="22"/>
        </w:rPr>
        <w:t>5 8</w:t>
      </w:r>
      <w:r w:rsidRPr="00AE6EDB">
        <w:rPr>
          <w:szCs w:val="22"/>
        </w:rPr>
        <w:t>2</w:t>
      </w:r>
      <w:r w:rsidR="00174440">
        <w:rPr>
          <w:szCs w:val="22"/>
        </w:rPr>
        <w:t>4</w:t>
      </w:r>
      <w:r w:rsidRPr="00AE6EDB">
        <w:rPr>
          <w:szCs w:val="22"/>
        </w:rPr>
        <w:t xml:space="preserve"> osôb, čo je o </w:t>
      </w:r>
      <w:r w:rsidR="0054295F">
        <w:rPr>
          <w:szCs w:val="22"/>
        </w:rPr>
        <w:t>1 2</w:t>
      </w:r>
      <w:r w:rsidRPr="00AE6EDB">
        <w:rPr>
          <w:szCs w:val="22"/>
        </w:rPr>
        <w:t xml:space="preserve">35 menej ako v predchádzajúcom roku. Celková suma poskytnutých príspevkov bola vo výške </w:t>
      </w:r>
      <w:r w:rsidR="0054295F">
        <w:rPr>
          <w:szCs w:val="22"/>
        </w:rPr>
        <w:t>1 1</w:t>
      </w:r>
      <w:r w:rsidRPr="00AE6EDB">
        <w:rPr>
          <w:szCs w:val="22"/>
        </w:rPr>
        <w:t>4</w:t>
      </w:r>
      <w:r w:rsidR="0054295F">
        <w:rPr>
          <w:szCs w:val="22"/>
        </w:rPr>
        <w:t>1 0</w:t>
      </w:r>
      <w:r w:rsidRPr="00AE6EDB">
        <w:rPr>
          <w:szCs w:val="22"/>
        </w:rPr>
        <w:t>46</w:t>
      </w:r>
      <w:r w:rsidR="0054295F">
        <w:rPr>
          <w:szCs w:val="22"/>
        </w:rPr>
        <w:t> eur</w:t>
      </w:r>
      <w:r w:rsidRPr="00AE6EDB">
        <w:rPr>
          <w:szCs w:val="22"/>
        </w:rPr>
        <w:t>, čo je o 44</w:t>
      </w:r>
      <w:r w:rsidR="00AC44CB">
        <w:rPr>
          <w:szCs w:val="22"/>
        </w:rPr>
        <w:t>8 9</w:t>
      </w:r>
      <w:r w:rsidRPr="00AE6EDB">
        <w:rPr>
          <w:szCs w:val="22"/>
        </w:rPr>
        <w:t>93</w:t>
      </w:r>
      <w:r w:rsidR="0054295F">
        <w:rPr>
          <w:szCs w:val="22"/>
        </w:rPr>
        <w:t> eur</w:t>
      </w:r>
      <w:r w:rsidRPr="00AE6EDB">
        <w:rPr>
          <w:szCs w:val="22"/>
        </w:rPr>
        <w:t xml:space="preserve"> menej ako v roku 2014.</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Príspevok na presťahovanie za prácou (§ 53a)</w:t>
      </w:r>
    </w:p>
    <w:p w:rsidR="000A7585" w:rsidRPr="00AE6EDB" w:rsidRDefault="000A7585" w:rsidP="000A7585">
      <w:pPr>
        <w:pStyle w:val="Normlnysozarkami"/>
        <w:ind w:firstLine="431"/>
      </w:pPr>
      <w:r w:rsidRPr="00AE6EDB">
        <w:t xml:space="preserve">Príspevok na presťahovanie za prácou sa poskytuje </w:t>
      </w:r>
      <w:proofErr w:type="spellStart"/>
      <w:r w:rsidRPr="00AE6EDB">
        <w:t>UoZ</w:t>
      </w:r>
      <w:proofErr w:type="spellEnd"/>
      <w:r w:rsidRPr="00AE6EDB">
        <w:t xml:space="preserve"> ako náhrada časti preukázaných výdavkov súvisiacich s jeho presťahovaním z miesta jeho trvalého pobytu do nového trvalého pobytu na území Slovenskej republiky v súvislosti so získaním zamestnania. Nárok na príspevok má občan, ktorý bol vedený v evidencii </w:t>
      </w:r>
      <w:proofErr w:type="spellStart"/>
      <w:r w:rsidRPr="00AE6EDB">
        <w:t>UoZ</w:t>
      </w:r>
      <w:proofErr w:type="spellEnd"/>
      <w:r w:rsidRPr="00AE6EDB">
        <w:t xml:space="preserve"> najmenej tri mesiace a pokiaľ miesto jeho nového trvalého pobytu na území Slovenskej republiky je vzdialené od miesta pôvodného trvalého pobytu najmenej 50 km. </w:t>
      </w:r>
    </w:p>
    <w:p w:rsidR="000A7585" w:rsidRPr="00AE6EDB" w:rsidRDefault="000A7585" w:rsidP="000A7585">
      <w:pPr>
        <w:pStyle w:val="Normlnysozarkami"/>
        <w:ind w:firstLine="567"/>
        <w:rPr>
          <w:szCs w:val="22"/>
        </w:rPr>
      </w:pPr>
      <w:r w:rsidRPr="00AE6EDB">
        <w:rPr>
          <w:szCs w:val="22"/>
        </w:rPr>
        <w:t>V roku 2015 bol príspevok poskytnutý 46 osobám čo je o 8 osôb viac ako v predchádzajúcom roku. Celková suma poskytnutých príspevkov bola 6</w:t>
      </w:r>
      <w:r w:rsidR="00AC44CB">
        <w:rPr>
          <w:szCs w:val="22"/>
        </w:rPr>
        <w:t>6 8</w:t>
      </w:r>
      <w:r w:rsidRPr="00AE6EDB">
        <w:rPr>
          <w:szCs w:val="22"/>
        </w:rPr>
        <w:t>75</w:t>
      </w:r>
      <w:r w:rsidR="0054295F">
        <w:rPr>
          <w:szCs w:val="22"/>
        </w:rPr>
        <w:t> eur</w:t>
      </w:r>
      <w:r w:rsidRPr="00AE6EDB">
        <w:rPr>
          <w:szCs w:val="22"/>
        </w:rPr>
        <w:t>, čo je o 682</w:t>
      </w:r>
      <w:r w:rsidR="0054295F">
        <w:rPr>
          <w:szCs w:val="22"/>
        </w:rPr>
        <w:t> eur</w:t>
      </w:r>
      <w:r w:rsidRPr="00AE6EDB">
        <w:rPr>
          <w:szCs w:val="22"/>
        </w:rPr>
        <w:t xml:space="preserve"> viac ako v roku 2014.</w:t>
      </w:r>
    </w:p>
    <w:p w:rsidR="000A7585" w:rsidRPr="00AE6EDB" w:rsidRDefault="000A7585" w:rsidP="000A7585">
      <w:pPr>
        <w:spacing w:after="60"/>
        <w:rPr>
          <w:b/>
          <w:highlight w:val="cyan"/>
        </w:rPr>
      </w:pPr>
    </w:p>
    <w:p w:rsidR="000A7585" w:rsidRPr="00AE6EDB" w:rsidRDefault="000A7585" w:rsidP="000A7585">
      <w:pPr>
        <w:spacing w:after="60"/>
        <w:rPr>
          <w:b/>
        </w:rPr>
      </w:pPr>
      <w:r w:rsidRPr="00AE6EDB">
        <w:rPr>
          <w:b/>
        </w:rPr>
        <w:t>Príspevok na dopravu do zamestnania (§ 53b)</w:t>
      </w:r>
    </w:p>
    <w:p w:rsidR="000A7585" w:rsidRPr="00AE6EDB" w:rsidRDefault="000A7585" w:rsidP="000A7585">
      <w:pPr>
        <w:pStyle w:val="Normlnysozarkami"/>
        <w:ind w:firstLine="431"/>
      </w:pPr>
      <w:r w:rsidRPr="00AE6EDB">
        <w:t xml:space="preserve">Príspevok na dopravu do zamestnania, môže úrad PSVR poskytnúť zamestnávateľovi na základe uzatvorenej písomnej dohody, ak zamestnávateľ zabezpečuje každodenne dopravu zamestnancov do zamestnania a späť z dôvodu, že hromadnými dopravnými prostriedkami nie je doprava preukázateľne vykonávaná vôbec alebo v rozsahu zodpovedajúcom potrebám zamestnávateľa. </w:t>
      </w:r>
    </w:p>
    <w:p w:rsidR="000A7585" w:rsidRPr="00AE6EDB" w:rsidRDefault="000A7585" w:rsidP="000A7585">
      <w:pPr>
        <w:pStyle w:val="Normlnysozarkami"/>
        <w:ind w:firstLine="567"/>
        <w:rPr>
          <w:szCs w:val="22"/>
        </w:rPr>
      </w:pPr>
      <w:r w:rsidRPr="00AE6EDB">
        <w:rPr>
          <w:szCs w:val="22"/>
        </w:rPr>
        <w:t>V roku 2015 bol príspevok poskytnutý na dopravu do zamestnania 170 zamestnancov</w:t>
      </w:r>
      <w:r w:rsidR="004371CC" w:rsidRPr="00AE6EDB">
        <w:rPr>
          <w:szCs w:val="22"/>
        </w:rPr>
        <w:t xml:space="preserve"> u jedného zamestnávateľa v Žilinskom kraji</w:t>
      </w:r>
      <w:r w:rsidRPr="00AE6EDB">
        <w:rPr>
          <w:szCs w:val="22"/>
        </w:rPr>
        <w:t>. Na</w:t>
      </w:r>
      <w:r w:rsidR="00941C36" w:rsidRPr="00AE6EDB">
        <w:rPr>
          <w:szCs w:val="22"/>
        </w:rPr>
        <w:t> </w:t>
      </w:r>
      <w:r w:rsidRPr="00AE6EDB">
        <w:rPr>
          <w:szCs w:val="22"/>
        </w:rPr>
        <w:t>príspevok bolo čerpaných 4</w:t>
      </w:r>
      <w:r w:rsidR="00AC44CB">
        <w:rPr>
          <w:szCs w:val="22"/>
        </w:rPr>
        <w:t>7 9</w:t>
      </w:r>
      <w:r w:rsidRPr="00AE6EDB">
        <w:rPr>
          <w:szCs w:val="22"/>
        </w:rPr>
        <w:t>19</w:t>
      </w:r>
      <w:r w:rsidR="0054295F">
        <w:rPr>
          <w:szCs w:val="22"/>
        </w:rPr>
        <w:t> eur</w:t>
      </w:r>
      <w:r w:rsidRPr="00AE6EDB">
        <w:rPr>
          <w:szCs w:val="22"/>
        </w:rPr>
        <w:t>.</w:t>
      </w:r>
      <w:r w:rsidR="00941C36" w:rsidRPr="00AE6EDB">
        <w:rPr>
          <w:szCs w:val="22"/>
        </w:rPr>
        <w:t xml:space="preserve"> </w:t>
      </w:r>
    </w:p>
    <w:p w:rsidR="000A7585" w:rsidRPr="00AE6EDB" w:rsidRDefault="000A7585" w:rsidP="000A7585">
      <w:pPr>
        <w:pStyle w:val="Normlnysozarkami"/>
        <w:ind w:firstLine="431"/>
        <w:rPr>
          <w:color w:val="FF0000"/>
          <w:highlight w:val="cyan"/>
        </w:rPr>
      </w:pPr>
    </w:p>
    <w:p w:rsidR="000A7585" w:rsidRPr="00AE6EDB" w:rsidRDefault="000A7585" w:rsidP="000A7585">
      <w:pPr>
        <w:spacing w:after="60"/>
        <w:rPr>
          <w:b/>
        </w:rPr>
      </w:pPr>
      <w:r w:rsidRPr="00AE6EDB">
        <w:rPr>
          <w:b/>
        </w:rPr>
        <w:t xml:space="preserve">Príspevok na vytvorenie nového pracovného miesta (§ 53d) </w:t>
      </w:r>
    </w:p>
    <w:p w:rsidR="000A7585" w:rsidRPr="00AE6EDB" w:rsidRDefault="000A7585" w:rsidP="000A7585">
      <w:pPr>
        <w:ind w:firstLine="431"/>
      </w:pPr>
      <w:r w:rsidRPr="00AE6EDB">
        <w:t>Investičná pomoc formou príspevku na vytvorenie nového pracovného miesta je poskytovaná zo štátneho rozpočtu na základe schválenia vládou Slovenskej republiky, vydania rozhodnutia Ministerstva hospodárstva Slovenskej republiky o schválení investičnej pomoci a uzatvorenia zmluvy prijímateľa investičnej pomoci s Ústredím. Prijímatelia investičnej pomoci sú povinní zachovať počet vytvorených nových pracovných miest a obsadenie týchto miest zamestnancami najmenej päť rokov odo dňa prvého obsadenia pracovného miesta.</w:t>
      </w:r>
      <w:r w:rsidR="00593759">
        <w:t xml:space="preserve"> Mzdové náklady sú </w:t>
      </w:r>
      <w:proofErr w:type="spellStart"/>
      <w:r w:rsidR="00593759">
        <w:t>príjímateľom</w:t>
      </w:r>
      <w:proofErr w:type="spellEnd"/>
      <w:r w:rsidR="00593759">
        <w:t xml:space="preserve"> pomoci refundované po prvom a druhom roku udržania miesta podľa </w:t>
      </w:r>
      <w:r w:rsidR="00966F63">
        <w:t>oprávnených</w:t>
      </w:r>
      <w:r w:rsidR="00593759">
        <w:t xml:space="preserve"> mzdových nákladov.</w:t>
      </w:r>
    </w:p>
    <w:p w:rsidR="000A7585" w:rsidRPr="00AE6EDB" w:rsidRDefault="000A7585" w:rsidP="001C72AB">
      <w:pPr>
        <w:ind w:firstLine="431"/>
        <w:rPr>
          <w:szCs w:val="22"/>
        </w:rPr>
      </w:pPr>
      <w:r w:rsidRPr="00AE6EDB">
        <w:rPr>
          <w:szCs w:val="22"/>
        </w:rPr>
        <w:t xml:space="preserve">V roku 2015 boli poskytnuté príspevky na vytvorenie nových pracovných miest prijímateľom investičnej pomoci v celkovom objeme </w:t>
      </w:r>
      <w:r w:rsidR="00AC44CB">
        <w:rPr>
          <w:szCs w:val="22"/>
        </w:rPr>
        <w:t>5 8</w:t>
      </w:r>
      <w:r w:rsidRPr="00AE6EDB">
        <w:rPr>
          <w:szCs w:val="22"/>
        </w:rPr>
        <w:t>4</w:t>
      </w:r>
      <w:r w:rsidR="0054295F">
        <w:rPr>
          <w:szCs w:val="22"/>
        </w:rPr>
        <w:t>1 7</w:t>
      </w:r>
      <w:r w:rsidRPr="00AE6EDB">
        <w:rPr>
          <w:szCs w:val="22"/>
        </w:rPr>
        <w:t>80</w:t>
      </w:r>
      <w:r w:rsidR="0054295F">
        <w:rPr>
          <w:szCs w:val="22"/>
        </w:rPr>
        <w:t> eur</w:t>
      </w:r>
      <w:r w:rsidRPr="00AE6EDB">
        <w:rPr>
          <w:szCs w:val="22"/>
        </w:rPr>
        <w:t xml:space="preserve"> na 756 pracovných miest udržaných jeden rok a 330 pracovných miest udržaných dva roky, pričom investičná pomoc bola poskytnutá 9 investorom</w:t>
      </w:r>
      <w:r w:rsidR="00593759">
        <w:rPr>
          <w:szCs w:val="22"/>
        </w:rPr>
        <w:t xml:space="preserve"> (</w:t>
      </w:r>
      <w:r w:rsidR="00593759" w:rsidRPr="00AE6EDB">
        <w:rPr>
          <w:szCs w:val="22"/>
        </w:rPr>
        <w:t>1 investičnému zámeru v Banskobystrickom samosprávnom kraji, 2 investičným zámerom v</w:t>
      </w:r>
      <w:r w:rsidR="001110A1">
        <w:rPr>
          <w:szCs w:val="22"/>
        </w:rPr>
        <w:t> </w:t>
      </w:r>
      <w:r w:rsidR="00593759" w:rsidRPr="00AE6EDB">
        <w:rPr>
          <w:szCs w:val="22"/>
        </w:rPr>
        <w:t>Prešovskom samosprávnom kraji a 6 investičným zámerom v </w:t>
      </w:r>
      <w:r w:rsidR="00AA2B85">
        <w:rPr>
          <w:szCs w:val="22"/>
        </w:rPr>
        <w:t>Košickom samosprávnom kraji</w:t>
      </w:r>
      <w:r w:rsidR="00593759">
        <w:rPr>
          <w:szCs w:val="22"/>
        </w:rPr>
        <w:t>)</w:t>
      </w:r>
      <w:r w:rsidRPr="00AE6EDB">
        <w:rPr>
          <w:szCs w:val="22"/>
        </w:rPr>
        <w:t xml:space="preserve">. </w:t>
      </w:r>
      <w:r w:rsidR="004C4A69" w:rsidRPr="004C4A69">
        <w:rPr>
          <w:szCs w:val="22"/>
        </w:rPr>
        <w:t>Zo</w:t>
      </w:r>
      <w:r w:rsidR="001110A1">
        <w:rPr>
          <w:szCs w:val="22"/>
        </w:rPr>
        <w:t> </w:t>
      </w:r>
      <w:r w:rsidR="004C4A69" w:rsidRPr="004C4A69">
        <w:rPr>
          <w:szCs w:val="22"/>
        </w:rPr>
        <w:t>strany Ústredia bola poskytnutá investičná pomoc vo forme príspevku na vytvorenie nového pracovného miesta 4 stredným podnikom v celkovej výške 0,68 mil.</w:t>
      </w:r>
      <w:r w:rsidR="0054295F">
        <w:rPr>
          <w:szCs w:val="22"/>
        </w:rPr>
        <w:t> eur</w:t>
      </w:r>
      <w:r w:rsidR="004C4A69" w:rsidRPr="004C4A69">
        <w:rPr>
          <w:szCs w:val="22"/>
        </w:rPr>
        <w:t xml:space="preserve"> a 5 veľkým podnikom v</w:t>
      </w:r>
      <w:r w:rsidR="001110A1">
        <w:rPr>
          <w:szCs w:val="22"/>
        </w:rPr>
        <w:t> </w:t>
      </w:r>
      <w:r w:rsidR="004C4A69" w:rsidRPr="004C4A69">
        <w:rPr>
          <w:szCs w:val="22"/>
        </w:rPr>
        <w:t>celkovej výške 5,16 mil.</w:t>
      </w:r>
      <w:r w:rsidR="0054295F">
        <w:rPr>
          <w:szCs w:val="22"/>
        </w:rPr>
        <w:t> eur</w:t>
      </w:r>
      <w:r w:rsidR="004C4A69" w:rsidRPr="004C4A69">
        <w:rPr>
          <w:szCs w:val="22"/>
        </w:rPr>
        <w:t xml:space="preserve">. </w:t>
      </w:r>
      <w:r w:rsidRPr="00AE6EDB">
        <w:rPr>
          <w:szCs w:val="22"/>
        </w:rPr>
        <w:t>Podiel poskytnutej investičnej pomoci na celkovej štátnej pomoci poskytnutej Ústredím PSVR v roku 2015 predstavoval 52,52</w:t>
      </w:r>
      <w:r w:rsidR="005676EF">
        <w:rPr>
          <w:szCs w:val="22"/>
        </w:rPr>
        <w:t> %</w:t>
      </w:r>
      <w:r w:rsidRPr="00AE6EDB">
        <w:rPr>
          <w:szCs w:val="22"/>
        </w:rPr>
        <w:t>.</w:t>
      </w:r>
    </w:p>
    <w:p w:rsidR="000A7585" w:rsidRPr="00AE6EDB" w:rsidRDefault="000A7585" w:rsidP="001C72AB">
      <w:pPr>
        <w:pStyle w:val="123"/>
        <w:numPr>
          <w:ilvl w:val="0"/>
          <w:numId w:val="0"/>
        </w:numPr>
        <w:spacing w:before="0" w:after="0"/>
        <w:ind w:firstLine="567"/>
        <w:rPr>
          <w:b w:val="0"/>
        </w:rPr>
      </w:pPr>
      <w:r w:rsidRPr="00AE6EDB">
        <w:rPr>
          <w:b w:val="0"/>
        </w:rPr>
        <w:t xml:space="preserve">Z celkovej poskytnutej regionálnej investičnej pomoci investorom bola v roku 2014 poskytnutá investičná pomoc vo forme príspevku na pracovné miesta vo výške </w:t>
      </w:r>
      <w:r w:rsidR="0054295F">
        <w:rPr>
          <w:b w:val="0"/>
        </w:rPr>
        <w:t>2 6</w:t>
      </w:r>
      <w:r w:rsidRPr="00AE6EDB">
        <w:rPr>
          <w:b w:val="0"/>
        </w:rPr>
        <w:t>7</w:t>
      </w:r>
      <w:r w:rsidR="0054295F">
        <w:rPr>
          <w:b w:val="0"/>
        </w:rPr>
        <w:t>2 3</w:t>
      </w:r>
      <w:r w:rsidRPr="00AE6EDB">
        <w:rPr>
          <w:b w:val="0"/>
        </w:rPr>
        <w:t>10</w:t>
      </w:r>
      <w:r w:rsidR="0054295F">
        <w:rPr>
          <w:b w:val="0"/>
        </w:rPr>
        <w:t> eur</w:t>
      </w:r>
      <w:r w:rsidRPr="00AE6EDB">
        <w:rPr>
          <w:b w:val="0"/>
        </w:rPr>
        <w:t xml:space="preserve"> na 451 pracovných miest udržaných jeden rok a 119 pracovných miest udržaných dva roky.</w:t>
      </w:r>
    </w:p>
    <w:p w:rsidR="000A7585" w:rsidRPr="00AE6EDB" w:rsidRDefault="000A7585" w:rsidP="001C72AB">
      <w:pPr>
        <w:pStyle w:val="123"/>
        <w:numPr>
          <w:ilvl w:val="0"/>
          <w:numId w:val="0"/>
        </w:numPr>
        <w:spacing w:before="0" w:after="0"/>
        <w:ind w:firstLine="567"/>
        <w:rPr>
          <w:b w:val="0"/>
        </w:rPr>
      </w:pPr>
      <w:r w:rsidRPr="00AE6EDB">
        <w:rPr>
          <w:b w:val="0"/>
        </w:rPr>
        <w:t>V porovnaní rokov 2014 a 2015 sa poskytnutá investičná pomoc vo forme príspevku na</w:t>
      </w:r>
      <w:r w:rsidR="00D93079" w:rsidRPr="00AE6EDB">
        <w:rPr>
          <w:b w:val="0"/>
        </w:rPr>
        <w:t> </w:t>
      </w:r>
      <w:r w:rsidRPr="00AE6EDB">
        <w:rPr>
          <w:b w:val="0"/>
        </w:rPr>
        <w:t>vytvorenie nového pracovného miesta v roku 2015 zvýšila o </w:t>
      </w:r>
      <w:r w:rsidR="0054295F">
        <w:rPr>
          <w:b w:val="0"/>
        </w:rPr>
        <w:t>3 1</w:t>
      </w:r>
      <w:r w:rsidRPr="00AE6EDB">
        <w:rPr>
          <w:b w:val="0"/>
        </w:rPr>
        <w:t>6</w:t>
      </w:r>
      <w:r w:rsidR="00AC44CB">
        <w:rPr>
          <w:b w:val="0"/>
        </w:rPr>
        <w:t>9 4</w:t>
      </w:r>
      <w:r w:rsidRPr="00AE6EDB">
        <w:rPr>
          <w:b w:val="0"/>
        </w:rPr>
        <w:t>70</w:t>
      </w:r>
      <w:r w:rsidR="0054295F">
        <w:rPr>
          <w:b w:val="0"/>
        </w:rPr>
        <w:t> eur</w:t>
      </w:r>
      <w:r w:rsidRPr="00AE6EDB">
        <w:rPr>
          <w:b w:val="0"/>
        </w:rPr>
        <w:t>, čo predstavuje nárast o</w:t>
      </w:r>
      <w:r w:rsidR="00D93079" w:rsidRPr="00AE6EDB">
        <w:rPr>
          <w:b w:val="0"/>
        </w:rPr>
        <w:t> </w:t>
      </w:r>
      <w:r w:rsidRPr="00AE6EDB">
        <w:rPr>
          <w:b w:val="0"/>
        </w:rPr>
        <w:t>118,60</w:t>
      </w:r>
      <w:r w:rsidR="005676EF">
        <w:rPr>
          <w:b w:val="0"/>
        </w:rPr>
        <w:t> %</w:t>
      </w:r>
      <w:r w:rsidRPr="00AE6EDB">
        <w:rPr>
          <w:b w:val="0"/>
        </w:rPr>
        <w:t>. Dôvodom takéhoto vysokého nárastu bolo začatie čerpania investičnej pomoci investormi, ktorí v roku 2014 podpísali samostatné zmluvy s Ústredím PSVR a príspevok začali čerpať v roku 2015.</w:t>
      </w:r>
    </w:p>
    <w:p w:rsidR="000A7585" w:rsidRPr="00AE6EDB" w:rsidRDefault="000A7585" w:rsidP="001C72AB">
      <w:pPr>
        <w:pStyle w:val="123"/>
        <w:numPr>
          <w:ilvl w:val="0"/>
          <w:numId w:val="0"/>
        </w:numPr>
        <w:spacing w:before="0" w:after="0"/>
        <w:ind w:firstLine="567"/>
        <w:rPr>
          <w:b w:val="0"/>
        </w:rPr>
      </w:pPr>
    </w:p>
    <w:p w:rsidR="000A7585" w:rsidRPr="00AE6EDB" w:rsidRDefault="000A7585" w:rsidP="000A7585">
      <w:pPr>
        <w:spacing w:after="60"/>
        <w:rPr>
          <w:b/>
        </w:rPr>
      </w:pPr>
      <w:r w:rsidRPr="00AE6EDB">
        <w:rPr>
          <w:b/>
        </w:rPr>
        <w:t xml:space="preserve">Realizácia projektov a programov (§ 54) </w:t>
      </w:r>
    </w:p>
    <w:p w:rsidR="000A7585" w:rsidRPr="00AE6EDB" w:rsidRDefault="000A7585" w:rsidP="000A7585">
      <w:pPr>
        <w:pStyle w:val="Normlnysozarkami"/>
        <w:ind w:firstLine="0"/>
      </w:pPr>
      <w:r w:rsidRPr="00AE6EDB">
        <w:t xml:space="preserve">Za AOTP sú považované </w:t>
      </w:r>
    </w:p>
    <w:p w:rsidR="000A7585" w:rsidRPr="00AE6EDB" w:rsidRDefault="000A7585" w:rsidP="000A7585">
      <w:pPr>
        <w:pStyle w:val="bullet1"/>
        <w:numPr>
          <w:ilvl w:val="0"/>
          <w:numId w:val="36"/>
        </w:numPr>
        <w:rPr>
          <w:snapToGrid w:val="0"/>
        </w:rPr>
      </w:pPr>
      <w:r w:rsidRPr="00AE6EDB">
        <w:t xml:space="preserve">národné projekty, ktoré schvaľuje MPSVR SR a realizuje </w:t>
      </w:r>
      <w:r w:rsidRPr="00AE6EDB">
        <w:rPr>
          <w:szCs w:val="22"/>
        </w:rPr>
        <w:t xml:space="preserve">Ústredie </w:t>
      </w:r>
      <w:r w:rsidRPr="00AE6EDB">
        <w:t>alebo úrad PSVR,</w:t>
      </w:r>
    </w:p>
    <w:p w:rsidR="000A7585" w:rsidRPr="00AE6EDB" w:rsidRDefault="000A7585" w:rsidP="000A7585">
      <w:pPr>
        <w:pStyle w:val="bullet1"/>
        <w:numPr>
          <w:ilvl w:val="0"/>
          <w:numId w:val="36"/>
        </w:numPr>
        <w:rPr>
          <w:snapToGrid w:val="0"/>
        </w:rPr>
      </w:pPr>
      <w:r w:rsidRPr="00AE6EDB">
        <w:rPr>
          <w:snapToGrid w:val="0"/>
        </w:rPr>
        <w:t xml:space="preserve">projekty na zlepšenie postavenia </w:t>
      </w:r>
      <w:proofErr w:type="spellStart"/>
      <w:r w:rsidRPr="00AE6EDB">
        <w:rPr>
          <w:snapToGrid w:val="0"/>
        </w:rPr>
        <w:t>UoZ</w:t>
      </w:r>
      <w:proofErr w:type="spellEnd"/>
      <w:r w:rsidRPr="00AE6EDB">
        <w:rPr>
          <w:snapToGrid w:val="0"/>
        </w:rPr>
        <w:t xml:space="preserve"> na trhu práce, ktoré schvaľuje MPSVR SR a realizuje </w:t>
      </w:r>
      <w:r w:rsidRPr="00AE6EDB">
        <w:rPr>
          <w:szCs w:val="22"/>
        </w:rPr>
        <w:t>Ústredie</w:t>
      </w:r>
      <w:r w:rsidRPr="00AE6EDB">
        <w:rPr>
          <w:snapToGrid w:val="0"/>
        </w:rPr>
        <w:t xml:space="preserve">, </w:t>
      </w:r>
    </w:p>
    <w:p w:rsidR="000A7585" w:rsidRPr="00AE6EDB" w:rsidRDefault="000A7585" w:rsidP="000A7585">
      <w:pPr>
        <w:pStyle w:val="bullet1"/>
        <w:numPr>
          <w:ilvl w:val="0"/>
          <w:numId w:val="36"/>
        </w:numPr>
        <w:rPr>
          <w:snapToGrid w:val="0"/>
        </w:rPr>
      </w:pPr>
      <w:r w:rsidRPr="00AE6EDB">
        <w:rPr>
          <w:snapToGrid w:val="0"/>
        </w:rPr>
        <w:t xml:space="preserve">projekty na zlepšenie postavenia </w:t>
      </w:r>
      <w:proofErr w:type="spellStart"/>
      <w:r w:rsidRPr="00AE6EDB">
        <w:rPr>
          <w:snapToGrid w:val="0"/>
        </w:rPr>
        <w:t>UoZ</w:t>
      </w:r>
      <w:proofErr w:type="spellEnd"/>
      <w:r w:rsidRPr="00AE6EDB">
        <w:rPr>
          <w:snapToGrid w:val="0"/>
        </w:rPr>
        <w:t xml:space="preserve"> na trhu práce, ktoré schvaľuje </w:t>
      </w:r>
      <w:r w:rsidRPr="00AE6EDB">
        <w:rPr>
          <w:szCs w:val="22"/>
        </w:rPr>
        <w:t>Ústredie</w:t>
      </w:r>
      <w:r w:rsidRPr="00AE6EDB">
        <w:rPr>
          <w:snapToGrid w:val="0"/>
        </w:rPr>
        <w:t xml:space="preserve"> a realizuje úrad PSVR,</w:t>
      </w:r>
    </w:p>
    <w:p w:rsidR="000A7585" w:rsidRPr="00AE6EDB" w:rsidRDefault="000A7585" w:rsidP="000A7585">
      <w:pPr>
        <w:pStyle w:val="bullet1"/>
        <w:numPr>
          <w:ilvl w:val="0"/>
          <w:numId w:val="36"/>
        </w:numPr>
        <w:rPr>
          <w:snapToGrid w:val="0"/>
        </w:rPr>
      </w:pPr>
      <w:r w:rsidRPr="00AE6EDB">
        <w:rPr>
          <w:snapToGrid w:val="0"/>
        </w:rPr>
        <w:t xml:space="preserve"> projekty na zlepšenie postavenia </w:t>
      </w:r>
      <w:proofErr w:type="spellStart"/>
      <w:r w:rsidRPr="00AE6EDB">
        <w:rPr>
          <w:snapToGrid w:val="0"/>
        </w:rPr>
        <w:t>UoZ</w:t>
      </w:r>
      <w:proofErr w:type="spellEnd"/>
      <w:r w:rsidRPr="00AE6EDB">
        <w:rPr>
          <w:snapToGrid w:val="0"/>
        </w:rPr>
        <w:t xml:space="preserve"> na trhu práce, ktoré schvaľuje MPSVR SR alebo </w:t>
      </w:r>
      <w:r w:rsidRPr="00AE6EDB">
        <w:rPr>
          <w:szCs w:val="22"/>
        </w:rPr>
        <w:t>Ústredie</w:t>
      </w:r>
      <w:r w:rsidRPr="00AE6EDB">
        <w:rPr>
          <w:snapToGrid w:val="0"/>
        </w:rPr>
        <w:t xml:space="preserve"> a realizuje úrad PSVR alebo právnická osoba alebo fyzická osoba, </w:t>
      </w:r>
    </w:p>
    <w:p w:rsidR="000A7585" w:rsidRPr="00AE6EDB" w:rsidRDefault="000A7585" w:rsidP="000A7585">
      <w:pPr>
        <w:pStyle w:val="bullet1"/>
        <w:numPr>
          <w:ilvl w:val="0"/>
          <w:numId w:val="36"/>
        </w:numPr>
        <w:rPr>
          <w:snapToGrid w:val="0"/>
        </w:rPr>
      </w:pPr>
      <w:r w:rsidRPr="00AE6EDB">
        <w:rPr>
          <w:snapToGrid w:val="0"/>
        </w:rPr>
        <w:t xml:space="preserve">pilotné projekty na overenie nových AOTP, ktoré schvaľuje MPSVR SR a realizuje </w:t>
      </w:r>
      <w:r w:rsidRPr="00AE6EDB">
        <w:rPr>
          <w:szCs w:val="22"/>
        </w:rPr>
        <w:t>Ústredie,</w:t>
      </w:r>
      <w:r w:rsidRPr="00AE6EDB">
        <w:rPr>
          <w:snapToGrid w:val="0"/>
        </w:rPr>
        <w:t xml:space="preserve"> </w:t>
      </w:r>
    </w:p>
    <w:p w:rsidR="000A7585" w:rsidRPr="00AE6EDB" w:rsidRDefault="000A7585" w:rsidP="000A7585">
      <w:pPr>
        <w:pStyle w:val="bullet1"/>
        <w:numPr>
          <w:ilvl w:val="0"/>
          <w:numId w:val="36"/>
        </w:numPr>
        <w:rPr>
          <w:snapToGrid w:val="0"/>
        </w:rPr>
      </w:pPr>
      <w:r w:rsidRPr="00AE6EDB">
        <w:rPr>
          <w:snapToGrid w:val="0"/>
        </w:rPr>
        <w:t>pilotné projekty alebo pilotné programy na podporu rozvoja regionálnej alebo miestnej zamestnanosti, ktoré schvaľuje Ú</w:t>
      </w:r>
      <w:r w:rsidRPr="00AE6EDB">
        <w:rPr>
          <w:szCs w:val="22"/>
        </w:rPr>
        <w:t>stredie</w:t>
      </w:r>
      <w:r w:rsidRPr="00AE6EDB">
        <w:rPr>
          <w:snapToGrid w:val="0"/>
        </w:rPr>
        <w:t xml:space="preserve"> a realizuje úrad PSVR.</w:t>
      </w:r>
    </w:p>
    <w:p w:rsidR="000A7585" w:rsidRPr="00AE6EDB" w:rsidRDefault="000A7585" w:rsidP="000A7585">
      <w:pPr>
        <w:pStyle w:val="Normlnysozarkami"/>
        <w:ind w:firstLine="431"/>
      </w:pPr>
      <w:r w:rsidRPr="00AE6EDB">
        <w:t xml:space="preserve">Projekty a programy sú financované zo zdrojov Európskeho sociálneho fondu </w:t>
      </w:r>
      <w:r w:rsidRPr="00AE6EDB">
        <w:br/>
        <w:t xml:space="preserve">a spolufinancované zo štátneho rozpočtu alebo sú financované zo štátneho rozpočtu alebo iných zdrojov. </w:t>
      </w:r>
      <w:r w:rsidRPr="00AE6EDB">
        <w:rPr>
          <w:szCs w:val="22"/>
        </w:rPr>
        <w:t xml:space="preserve">V rámci tohto opatrenia bolo v roku 2015 prostredníctvom projektov podporených </w:t>
      </w:r>
      <w:r w:rsidR="00077FDA" w:rsidRPr="00AE6EDB">
        <w:rPr>
          <w:szCs w:val="22"/>
        </w:rPr>
        <w:br/>
      </w:r>
      <w:r w:rsidRPr="00AE6EDB">
        <w:rPr>
          <w:szCs w:val="22"/>
        </w:rPr>
        <w:t>3</w:t>
      </w:r>
      <w:r w:rsidR="0054295F">
        <w:rPr>
          <w:szCs w:val="22"/>
        </w:rPr>
        <w:t>3 6</w:t>
      </w:r>
      <w:r w:rsidRPr="00AE6EDB">
        <w:rPr>
          <w:szCs w:val="22"/>
        </w:rPr>
        <w:t>37 osôb v celkovej výške 4</w:t>
      </w:r>
      <w:r w:rsidR="0054295F">
        <w:rPr>
          <w:szCs w:val="22"/>
        </w:rPr>
        <w:t>1 9</w:t>
      </w:r>
      <w:r w:rsidRPr="00AE6EDB">
        <w:rPr>
          <w:szCs w:val="22"/>
        </w:rPr>
        <w:t>4</w:t>
      </w:r>
      <w:r w:rsidR="0054295F">
        <w:rPr>
          <w:szCs w:val="22"/>
        </w:rPr>
        <w:t>2 5</w:t>
      </w:r>
      <w:r w:rsidRPr="00AE6EDB">
        <w:rPr>
          <w:szCs w:val="22"/>
        </w:rPr>
        <w:t>18</w:t>
      </w:r>
      <w:r w:rsidR="0054295F">
        <w:rPr>
          <w:szCs w:val="22"/>
        </w:rPr>
        <w:t> eur</w:t>
      </w:r>
      <w:r w:rsidR="00077FDA" w:rsidRPr="00AE6EDB">
        <w:rPr>
          <w:szCs w:val="22"/>
        </w:rPr>
        <w:t>, čo predstavuje medziročný nárast o 1</w:t>
      </w:r>
      <w:r w:rsidR="00AC44CB">
        <w:rPr>
          <w:szCs w:val="22"/>
        </w:rPr>
        <w:t>6 4</w:t>
      </w:r>
      <w:r w:rsidR="00077FDA" w:rsidRPr="00AE6EDB">
        <w:rPr>
          <w:szCs w:val="22"/>
        </w:rPr>
        <w:t>49 osôb a </w:t>
      </w:r>
      <w:r w:rsidR="0054295F">
        <w:rPr>
          <w:szCs w:val="22"/>
        </w:rPr>
        <w:t>2 0</w:t>
      </w:r>
      <w:r w:rsidR="00077FDA" w:rsidRPr="00AE6EDB">
        <w:rPr>
          <w:szCs w:val="22"/>
        </w:rPr>
        <w:t>7</w:t>
      </w:r>
      <w:r w:rsidR="00AC44CB">
        <w:rPr>
          <w:szCs w:val="22"/>
        </w:rPr>
        <w:t>9 3</w:t>
      </w:r>
      <w:r w:rsidR="00077FDA" w:rsidRPr="00AE6EDB">
        <w:rPr>
          <w:szCs w:val="22"/>
        </w:rPr>
        <w:t>10</w:t>
      </w:r>
      <w:r w:rsidR="0054295F">
        <w:rPr>
          <w:szCs w:val="22"/>
        </w:rPr>
        <w:t> eur</w:t>
      </w:r>
      <w:r w:rsidRPr="00AE6EDB">
        <w:rPr>
          <w:szCs w:val="22"/>
        </w:rPr>
        <w:t>.</w:t>
      </w:r>
    </w:p>
    <w:p w:rsidR="000A7585" w:rsidRPr="00AE6EDB" w:rsidRDefault="000A7585" w:rsidP="000A7585">
      <w:pPr>
        <w:pStyle w:val="Normlnysozarkami"/>
        <w:ind w:firstLine="426"/>
        <w:rPr>
          <w:color w:val="000000"/>
          <w:szCs w:val="22"/>
        </w:rPr>
      </w:pPr>
      <w:r w:rsidRPr="00AE6EDB">
        <w:rPr>
          <w:color w:val="000000"/>
          <w:szCs w:val="22"/>
        </w:rPr>
        <w:t>Realizované boli národné projekty, cieľom ktorých bola podpora vytvárania pracovných miest pre</w:t>
      </w:r>
      <w:r w:rsidR="00D93079" w:rsidRPr="00AE6EDB">
        <w:rPr>
          <w:color w:val="000000"/>
          <w:szCs w:val="22"/>
        </w:rPr>
        <w:t> </w:t>
      </w:r>
      <w:r w:rsidRPr="00AE6EDB">
        <w:rPr>
          <w:color w:val="000000"/>
          <w:szCs w:val="22"/>
        </w:rPr>
        <w:t xml:space="preserve">mladých nezamestnaných do 29 rokov vrátane, ktoré v danom roku už prakticky skončili a išlo už len o vyplácanie príspevku resp. </w:t>
      </w:r>
      <w:proofErr w:type="spellStart"/>
      <w:r w:rsidRPr="00AE6EDB">
        <w:rPr>
          <w:color w:val="000000"/>
          <w:szCs w:val="22"/>
        </w:rPr>
        <w:t>preobsadzovanie</w:t>
      </w:r>
      <w:proofErr w:type="spellEnd"/>
      <w:r w:rsidRPr="00AE6EDB">
        <w:rPr>
          <w:color w:val="000000"/>
          <w:szCs w:val="22"/>
        </w:rPr>
        <w:t xml:space="preserve"> niektorých miest.</w:t>
      </w:r>
    </w:p>
    <w:p w:rsidR="000A7585" w:rsidRPr="00AE6EDB" w:rsidRDefault="000A7585" w:rsidP="000A7585">
      <w:pPr>
        <w:pStyle w:val="Normlnysozarkami"/>
        <w:numPr>
          <w:ilvl w:val="0"/>
          <w:numId w:val="37"/>
        </w:numPr>
        <w:ind w:left="567"/>
        <w:rPr>
          <w:color w:val="000000"/>
        </w:rPr>
      </w:pPr>
      <w:r w:rsidRPr="00AE6EDB">
        <w:rPr>
          <w:color w:val="000000"/>
        </w:rPr>
        <w:t xml:space="preserve">NP XX „Podpora zamestnávania nezamestnaných v samospráve“ v rámci ktorého v roku 2015 zaradených na vytvorené pracovné miesta 14 </w:t>
      </w:r>
      <w:proofErr w:type="spellStart"/>
      <w:r w:rsidRPr="00AE6EDB">
        <w:rPr>
          <w:color w:val="000000"/>
        </w:rPr>
        <w:t>UoZ</w:t>
      </w:r>
      <w:proofErr w:type="spellEnd"/>
      <w:r w:rsidRPr="00AE6EDB">
        <w:rPr>
          <w:color w:val="000000"/>
        </w:rPr>
        <w:t xml:space="preserve"> </w:t>
      </w:r>
    </w:p>
    <w:p w:rsidR="000A7585" w:rsidRPr="00AE6EDB" w:rsidRDefault="000A7585" w:rsidP="000A7585">
      <w:pPr>
        <w:pStyle w:val="Normlnysozarkami"/>
        <w:numPr>
          <w:ilvl w:val="0"/>
          <w:numId w:val="37"/>
        </w:numPr>
        <w:ind w:left="567"/>
        <w:rPr>
          <w:color w:val="000000"/>
        </w:rPr>
      </w:pPr>
      <w:r w:rsidRPr="00AE6EDB">
        <w:rPr>
          <w:color w:val="000000"/>
        </w:rPr>
        <w:t xml:space="preserve">NP XXI „Podpora vytvárania pracovných miest“ v rámci ktorého bolo v roku 2015 zaradených na vytvorené pracovné miesta 258 </w:t>
      </w:r>
      <w:proofErr w:type="spellStart"/>
      <w:r w:rsidRPr="00AE6EDB">
        <w:rPr>
          <w:color w:val="000000"/>
        </w:rPr>
        <w:t>UoZ</w:t>
      </w:r>
      <w:proofErr w:type="spellEnd"/>
      <w:r w:rsidRPr="00AE6EDB">
        <w:rPr>
          <w:color w:val="000000"/>
        </w:rPr>
        <w:t>.</w:t>
      </w:r>
    </w:p>
    <w:p w:rsidR="000A7585" w:rsidRPr="00AE6EDB" w:rsidRDefault="000A7585" w:rsidP="000A7585">
      <w:pPr>
        <w:pStyle w:val="Normlnysozarkami"/>
        <w:numPr>
          <w:ilvl w:val="0"/>
          <w:numId w:val="37"/>
        </w:numPr>
        <w:ind w:left="567"/>
        <w:rPr>
          <w:color w:val="000000"/>
        </w:rPr>
      </w:pPr>
      <w:r w:rsidRPr="00AE6EDB">
        <w:rPr>
          <w:color w:val="000000"/>
        </w:rPr>
        <w:t xml:space="preserve">NP XXI/A „Podpora vytvárania pracovných miest – 2“ s počtom zaradených 268 </w:t>
      </w:r>
      <w:proofErr w:type="spellStart"/>
      <w:r w:rsidRPr="00AE6EDB">
        <w:rPr>
          <w:color w:val="000000"/>
        </w:rPr>
        <w:t>UoZ</w:t>
      </w:r>
      <w:proofErr w:type="spellEnd"/>
      <w:r w:rsidRPr="00AE6EDB">
        <w:rPr>
          <w:color w:val="000000"/>
        </w:rPr>
        <w:t>.</w:t>
      </w:r>
    </w:p>
    <w:p w:rsidR="000A7585" w:rsidRPr="00AE6EDB" w:rsidRDefault="000A7585" w:rsidP="000A7585">
      <w:pPr>
        <w:pStyle w:val="Normlnysozarkami"/>
        <w:numPr>
          <w:ilvl w:val="0"/>
          <w:numId w:val="37"/>
        </w:numPr>
        <w:ind w:left="567"/>
        <w:rPr>
          <w:color w:val="000000"/>
        </w:rPr>
      </w:pPr>
      <w:r w:rsidRPr="00AE6EDB">
        <w:rPr>
          <w:color w:val="000000"/>
        </w:rPr>
        <w:t>NP XXI/B „Podpora vytvárania pracovných miest – 3“ s počtom umiestnených 201 </w:t>
      </w:r>
      <w:proofErr w:type="spellStart"/>
      <w:r w:rsidRPr="00AE6EDB">
        <w:rPr>
          <w:color w:val="000000"/>
        </w:rPr>
        <w:t>UoZ</w:t>
      </w:r>
      <w:proofErr w:type="spellEnd"/>
      <w:r w:rsidRPr="00AE6EDB">
        <w:rPr>
          <w:color w:val="000000"/>
        </w:rPr>
        <w:t>.</w:t>
      </w:r>
    </w:p>
    <w:p w:rsidR="000A7585" w:rsidRPr="00AE6EDB" w:rsidRDefault="000A7585" w:rsidP="000A7585">
      <w:pPr>
        <w:pStyle w:val="Normlnysozarkami"/>
        <w:numPr>
          <w:ilvl w:val="0"/>
          <w:numId w:val="37"/>
        </w:numPr>
        <w:ind w:left="567"/>
        <w:rPr>
          <w:color w:val="000000"/>
        </w:rPr>
      </w:pPr>
      <w:r w:rsidRPr="00AE6EDB">
        <w:rPr>
          <w:color w:val="000000"/>
        </w:rPr>
        <w:t xml:space="preserve">NP XXXVII „Podpora vytvárania pracovných miest pre </w:t>
      </w:r>
      <w:proofErr w:type="spellStart"/>
      <w:r w:rsidRPr="00AE6EDB">
        <w:rPr>
          <w:color w:val="000000"/>
        </w:rPr>
        <w:t>UoZ</w:t>
      </w:r>
      <w:proofErr w:type="spellEnd"/>
      <w:r w:rsidRPr="00AE6EDB">
        <w:rPr>
          <w:color w:val="000000"/>
        </w:rPr>
        <w:t xml:space="preserve"> do 29 rokov v BSK“ cieľom ktorého bola taktiež podpora vytvárania pracovných miest pre mladých nezamestnaných avšak v rámci BSK a na ktorý bolo zaradených 32 </w:t>
      </w:r>
      <w:proofErr w:type="spellStart"/>
      <w:r w:rsidRPr="00AE6EDB">
        <w:rPr>
          <w:color w:val="000000"/>
        </w:rPr>
        <w:t>UoZ</w:t>
      </w:r>
      <w:proofErr w:type="spellEnd"/>
      <w:r w:rsidRPr="00AE6EDB">
        <w:rPr>
          <w:color w:val="000000"/>
        </w:rPr>
        <w:t>.</w:t>
      </w:r>
    </w:p>
    <w:p w:rsidR="000A7585" w:rsidRPr="00AE6EDB" w:rsidRDefault="000A7585" w:rsidP="000A7585">
      <w:pPr>
        <w:pStyle w:val="Normlnysozarkami"/>
        <w:ind w:left="567" w:firstLine="0"/>
        <w:rPr>
          <w:color w:val="000000"/>
          <w:highlight w:val="cyan"/>
        </w:rPr>
      </w:pPr>
    </w:p>
    <w:p w:rsidR="000A7585" w:rsidRPr="00AE6EDB" w:rsidRDefault="000A7585" w:rsidP="001C72AB">
      <w:pPr>
        <w:pStyle w:val="Normlnysozarkami"/>
        <w:ind w:firstLine="567"/>
        <w:rPr>
          <w:szCs w:val="22"/>
        </w:rPr>
      </w:pPr>
      <w:r w:rsidRPr="00AE6EDB">
        <w:rPr>
          <w:szCs w:val="22"/>
        </w:rPr>
        <w:t xml:space="preserve">Taktiež bol realizovaný národný projekt NP XXXIV - 2 „Podpora rozvoja regionálnej zamestnanosti bez BSK“, ktorý bol zameraný na znižovanie dlhodobej nezamestnanosti. Oprávnenou cieľovou skupinou boli </w:t>
      </w:r>
      <w:proofErr w:type="spellStart"/>
      <w:r w:rsidRPr="00AE6EDB">
        <w:rPr>
          <w:szCs w:val="22"/>
        </w:rPr>
        <w:t>UoZ</w:t>
      </w:r>
      <w:proofErr w:type="spellEnd"/>
      <w:r w:rsidRPr="00AE6EDB">
        <w:rPr>
          <w:szCs w:val="22"/>
        </w:rPr>
        <w:t xml:space="preserve"> a znevýhodnení </w:t>
      </w:r>
      <w:proofErr w:type="spellStart"/>
      <w:r w:rsidRPr="00AE6EDB">
        <w:rPr>
          <w:szCs w:val="22"/>
        </w:rPr>
        <w:t>UoZ</w:t>
      </w:r>
      <w:proofErr w:type="spellEnd"/>
      <w:r w:rsidRPr="00AE6EDB">
        <w:rPr>
          <w:szCs w:val="22"/>
        </w:rPr>
        <w:t xml:space="preserve">, vedení v evidencii </w:t>
      </w:r>
      <w:proofErr w:type="spellStart"/>
      <w:r w:rsidRPr="00AE6EDB">
        <w:rPr>
          <w:szCs w:val="22"/>
        </w:rPr>
        <w:t>UoZ</w:t>
      </w:r>
      <w:proofErr w:type="spellEnd"/>
      <w:r w:rsidRPr="00AE6EDB">
        <w:rPr>
          <w:szCs w:val="22"/>
        </w:rPr>
        <w:t xml:space="preserve"> najmenej 3 mesiace. V</w:t>
      </w:r>
      <w:r w:rsidR="00D93079" w:rsidRPr="00AE6EDB">
        <w:rPr>
          <w:szCs w:val="22"/>
        </w:rPr>
        <w:t> </w:t>
      </w:r>
      <w:r w:rsidRPr="00AE6EDB">
        <w:rPr>
          <w:szCs w:val="22"/>
        </w:rPr>
        <w:t xml:space="preserve">roku 2015 bolo prostredníctvom tohto AOTP podporených 904 </w:t>
      </w:r>
      <w:proofErr w:type="spellStart"/>
      <w:r w:rsidRPr="00AE6EDB">
        <w:rPr>
          <w:szCs w:val="22"/>
        </w:rPr>
        <w:t>UoZ</w:t>
      </w:r>
      <w:proofErr w:type="spellEnd"/>
      <w:r w:rsidRPr="00AE6EDB">
        <w:rPr>
          <w:szCs w:val="22"/>
        </w:rPr>
        <w:t>.</w:t>
      </w:r>
    </w:p>
    <w:p w:rsidR="000A7585" w:rsidRPr="00AE6EDB" w:rsidRDefault="000A7585" w:rsidP="001C72AB">
      <w:pPr>
        <w:pStyle w:val="Normlnysozarkami"/>
        <w:ind w:firstLine="567"/>
        <w:rPr>
          <w:szCs w:val="22"/>
        </w:rPr>
      </w:pPr>
      <w:r w:rsidRPr="00AE6EDB">
        <w:rPr>
          <w:szCs w:val="22"/>
        </w:rPr>
        <w:t xml:space="preserve">Národný projekt „Podpora zamestnávania </w:t>
      </w:r>
      <w:proofErr w:type="spellStart"/>
      <w:r w:rsidRPr="00AE6EDB">
        <w:rPr>
          <w:szCs w:val="22"/>
        </w:rPr>
        <w:t>UoZ</w:t>
      </w:r>
      <w:proofErr w:type="spellEnd"/>
      <w:r w:rsidRPr="00AE6EDB">
        <w:rPr>
          <w:szCs w:val="22"/>
        </w:rPr>
        <w:t>“</w:t>
      </w:r>
      <w:r w:rsidRPr="00AE6EDB">
        <w:rPr>
          <w:b/>
          <w:szCs w:val="22"/>
        </w:rPr>
        <w:t xml:space="preserve"> </w:t>
      </w:r>
      <w:r w:rsidRPr="00AE6EDB">
        <w:rPr>
          <w:szCs w:val="22"/>
        </w:rPr>
        <w:t>sa</w:t>
      </w:r>
      <w:r w:rsidR="001C72AB" w:rsidRPr="00AE6EDB">
        <w:rPr>
          <w:szCs w:val="22"/>
        </w:rPr>
        <w:t xml:space="preserve"> </w:t>
      </w:r>
      <w:r w:rsidRPr="00AE6EDB">
        <w:rPr>
          <w:szCs w:val="22"/>
        </w:rPr>
        <w:t>realizoval od 1. januára 2015 do</w:t>
      </w:r>
      <w:r w:rsidR="00D93079" w:rsidRPr="00AE6EDB">
        <w:rPr>
          <w:szCs w:val="22"/>
        </w:rPr>
        <w:t> </w:t>
      </w:r>
      <w:r w:rsidRPr="00AE6EDB">
        <w:rPr>
          <w:szCs w:val="22"/>
        </w:rPr>
        <w:t>30. novembra 2015 prostredníctvom dvoch aktivít ako aktívne opatrenie na trhu práce podľa</w:t>
      </w:r>
      <w:r w:rsidR="001C72AB" w:rsidRPr="00AE6EDB">
        <w:rPr>
          <w:szCs w:val="22"/>
        </w:rPr>
        <w:t xml:space="preserve"> </w:t>
      </w:r>
      <w:r w:rsidRPr="00AE6EDB">
        <w:rPr>
          <w:szCs w:val="22"/>
        </w:rPr>
        <w:t>§ 51a</w:t>
      </w:r>
      <w:r w:rsidR="001C72AB" w:rsidRPr="00AE6EDB">
        <w:rPr>
          <w:szCs w:val="22"/>
        </w:rPr>
        <w:t xml:space="preserve"> </w:t>
      </w:r>
      <w:r w:rsidRPr="00AE6EDB">
        <w:rPr>
          <w:szCs w:val="22"/>
        </w:rPr>
        <w:t>a §</w:t>
      </w:r>
      <w:r w:rsidR="001C72AB" w:rsidRPr="00AE6EDB">
        <w:rPr>
          <w:szCs w:val="22"/>
        </w:rPr>
        <w:t> </w:t>
      </w:r>
      <w:r w:rsidRPr="00AE6EDB">
        <w:rPr>
          <w:szCs w:val="22"/>
        </w:rPr>
        <w:t>54 zákona o službách zamestnanosti vo všetkých krajoch Slovenska okrem Bratislavského samosprávneho kraja. Prostredníctvom aktivity č. 1 tohto opatrenia bolo podporených 745</w:t>
      </w:r>
      <w:r w:rsidR="001C72AB" w:rsidRPr="00AE6EDB">
        <w:rPr>
          <w:szCs w:val="22"/>
        </w:rPr>
        <w:t xml:space="preserve"> </w:t>
      </w:r>
      <w:proofErr w:type="spellStart"/>
      <w:r w:rsidRPr="00AE6EDB">
        <w:rPr>
          <w:szCs w:val="22"/>
        </w:rPr>
        <w:t>UoZ</w:t>
      </w:r>
      <w:proofErr w:type="spellEnd"/>
      <w:r w:rsidRPr="00AE6EDB">
        <w:rPr>
          <w:szCs w:val="22"/>
        </w:rPr>
        <w:t>.</w:t>
      </w:r>
    </w:p>
    <w:p w:rsidR="000A7585" w:rsidRPr="00AE6EDB" w:rsidRDefault="000A7585" w:rsidP="000A7585">
      <w:pPr>
        <w:pStyle w:val="Normlnysozarkami"/>
        <w:ind w:firstLine="0"/>
        <w:rPr>
          <w:szCs w:val="22"/>
        </w:rPr>
      </w:pPr>
      <w:r w:rsidRPr="00AE6EDB">
        <w:rPr>
          <w:szCs w:val="22"/>
        </w:rPr>
        <w:t xml:space="preserve">Prostredníctvom aktivity č. 2 tohto opatrenia bolo podporených </w:t>
      </w:r>
      <w:r w:rsidR="00AC44CB">
        <w:rPr>
          <w:szCs w:val="22"/>
        </w:rPr>
        <w:t>8 1</w:t>
      </w:r>
      <w:r w:rsidRPr="00AE6EDB">
        <w:rPr>
          <w:szCs w:val="22"/>
        </w:rPr>
        <w:t xml:space="preserve">89 </w:t>
      </w:r>
      <w:proofErr w:type="spellStart"/>
      <w:r w:rsidRPr="00AE6EDB">
        <w:rPr>
          <w:szCs w:val="22"/>
        </w:rPr>
        <w:t>UoZ</w:t>
      </w:r>
      <w:proofErr w:type="spellEnd"/>
      <w:r w:rsidRPr="00AE6EDB">
        <w:rPr>
          <w:b/>
          <w:szCs w:val="22"/>
        </w:rPr>
        <w:t>.</w:t>
      </w:r>
    </w:p>
    <w:p w:rsidR="000A7585" w:rsidRPr="00AE6EDB" w:rsidRDefault="000A7585" w:rsidP="001C72AB">
      <w:pPr>
        <w:ind w:firstLine="567"/>
        <w:rPr>
          <w:bCs/>
          <w:szCs w:val="22"/>
        </w:rPr>
      </w:pPr>
      <w:r w:rsidRPr="00AE6EDB">
        <w:rPr>
          <w:szCs w:val="22"/>
        </w:rPr>
        <w:t>Národný projekt „Zapojenie nezamestnaných do obnovy kultúrneho dedičstva - 3“ podporoval vytváranie krátkodobých pracovných miest pre</w:t>
      </w:r>
      <w:r w:rsidRPr="00AE6EDB">
        <w:rPr>
          <w:bCs/>
          <w:szCs w:val="22"/>
        </w:rPr>
        <w:t xml:space="preserve"> </w:t>
      </w:r>
      <w:proofErr w:type="spellStart"/>
      <w:r w:rsidRPr="00AE6EDB">
        <w:rPr>
          <w:bCs/>
          <w:szCs w:val="22"/>
        </w:rPr>
        <w:t>UoZ</w:t>
      </w:r>
      <w:proofErr w:type="spellEnd"/>
      <w:r w:rsidRPr="00AE6EDB">
        <w:rPr>
          <w:bCs/>
          <w:szCs w:val="22"/>
        </w:rPr>
        <w:t xml:space="preserve"> a znevýhodnených </w:t>
      </w:r>
      <w:proofErr w:type="spellStart"/>
      <w:r w:rsidRPr="00AE6EDB">
        <w:rPr>
          <w:bCs/>
          <w:szCs w:val="22"/>
        </w:rPr>
        <w:t>UoZ</w:t>
      </w:r>
      <w:proofErr w:type="spellEnd"/>
      <w:r w:rsidRPr="00AE6EDB">
        <w:rPr>
          <w:bCs/>
          <w:szCs w:val="22"/>
        </w:rPr>
        <w:t xml:space="preserve">. </w:t>
      </w:r>
      <w:r w:rsidRPr="00AE6EDB">
        <w:rPr>
          <w:szCs w:val="22"/>
          <w:lang w:eastAsia="cs-CZ"/>
        </w:rPr>
        <w:t>Do projektu obnovy kultúrneho dedičstva sa v roku 2015 zapojilo 43 subjektov (obcí, občianskych združení, nadácií a</w:t>
      </w:r>
      <w:r w:rsidR="00D93079" w:rsidRPr="00AE6EDB">
        <w:rPr>
          <w:szCs w:val="22"/>
          <w:lang w:eastAsia="cs-CZ"/>
        </w:rPr>
        <w:t> právnických osôb</w:t>
      </w:r>
      <w:r w:rsidRPr="00AE6EDB">
        <w:rPr>
          <w:szCs w:val="22"/>
          <w:lang w:eastAsia="cs-CZ"/>
        </w:rPr>
        <w:t xml:space="preserve">) v rámci pôsobnosti 22 úradov </w:t>
      </w:r>
      <w:r w:rsidR="00D93079" w:rsidRPr="00AE6EDB">
        <w:rPr>
          <w:szCs w:val="22"/>
          <w:lang w:eastAsia="cs-CZ"/>
        </w:rPr>
        <w:t>PSVR</w:t>
      </w:r>
      <w:r w:rsidRPr="00AE6EDB">
        <w:rPr>
          <w:szCs w:val="22"/>
          <w:lang w:eastAsia="cs-CZ"/>
        </w:rPr>
        <w:t>. Do projektu sa mohli zapojiť len subjekty, ktorým bola schválená dotácia z Ministerstva kultúry Slovenskej republiky v rámci výzvy</w:t>
      </w:r>
      <w:r w:rsidR="001C72AB" w:rsidRPr="00AE6EDB">
        <w:rPr>
          <w:szCs w:val="22"/>
          <w:lang w:eastAsia="cs-CZ"/>
        </w:rPr>
        <w:t xml:space="preserve"> </w:t>
      </w:r>
      <w:r w:rsidRPr="00AE6EDB">
        <w:rPr>
          <w:szCs w:val="22"/>
          <w:lang w:eastAsia="cs-CZ"/>
        </w:rPr>
        <w:t xml:space="preserve">programu Obnovme si svoj dom, podprogram 1.4 „Obnova a konzervácia </w:t>
      </w:r>
      <w:proofErr w:type="spellStart"/>
      <w:r w:rsidRPr="00AE6EDB">
        <w:rPr>
          <w:szCs w:val="22"/>
          <w:lang w:eastAsia="cs-CZ"/>
        </w:rPr>
        <w:t>torzálnej</w:t>
      </w:r>
      <w:proofErr w:type="spellEnd"/>
      <w:r w:rsidRPr="00AE6EDB">
        <w:rPr>
          <w:szCs w:val="22"/>
          <w:lang w:eastAsia="cs-CZ"/>
        </w:rPr>
        <w:t xml:space="preserve"> architektúry“. </w:t>
      </w:r>
      <w:r w:rsidR="00D93079" w:rsidRPr="00AE6EDB">
        <w:rPr>
          <w:szCs w:val="22"/>
          <w:lang w:eastAsia="cs-CZ"/>
        </w:rPr>
        <w:t>Do</w:t>
      </w:r>
      <w:r w:rsidRPr="00AE6EDB">
        <w:rPr>
          <w:szCs w:val="22"/>
        </w:rPr>
        <w:t xml:space="preserve"> obnov</w:t>
      </w:r>
      <w:r w:rsidR="00D93079" w:rsidRPr="00AE6EDB">
        <w:rPr>
          <w:szCs w:val="22"/>
        </w:rPr>
        <w:t>y</w:t>
      </w:r>
      <w:r w:rsidRPr="00AE6EDB">
        <w:rPr>
          <w:szCs w:val="22"/>
        </w:rPr>
        <w:t xml:space="preserve"> kultúrnych pamiatok bolo v roku 2015 zapojených 645 </w:t>
      </w:r>
      <w:proofErr w:type="spellStart"/>
      <w:r w:rsidRPr="00AE6EDB">
        <w:rPr>
          <w:szCs w:val="22"/>
        </w:rPr>
        <w:t>UoZ</w:t>
      </w:r>
      <w:proofErr w:type="spellEnd"/>
      <w:r w:rsidRPr="00AE6EDB">
        <w:rPr>
          <w:szCs w:val="22"/>
        </w:rPr>
        <w:t xml:space="preserve"> a znevýhodnených </w:t>
      </w:r>
      <w:proofErr w:type="spellStart"/>
      <w:r w:rsidRPr="00AE6EDB">
        <w:rPr>
          <w:szCs w:val="22"/>
        </w:rPr>
        <w:t>UoZ</w:t>
      </w:r>
      <w:proofErr w:type="spellEnd"/>
      <w:r w:rsidRPr="00AE6EDB">
        <w:rPr>
          <w:szCs w:val="22"/>
        </w:rPr>
        <w:t xml:space="preserve">, </w:t>
      </w:r>
      <w:r w:rsidR="00D93079" w:rsidRPr="00AE6EDB">
        <w:rPr>
          <w:szCs w:val="22"/>
        </w:rPr>
        <w:br/>
      </w:r>
      <w:r w:rsidRPr="00AE6EDB">
        <w:rPr>
          <w:szCs w:val="22"/>
        </w:rPr>
        <w:t xml:space="preserve">z toho 164 (25,4%) </w:t>
      </w:r>
      <w:proofErr w:type="spellStart"/>
      <w:r w:rsidRPr="00AE6EDB">
        <w:rPr>
          <w:szCs w:val="22"/>
        </w:rPr>
        <w:t>UoZ</w:t>
      </w:r>
      <w:proofErr w:type="spellEnd"/>
      <w:r w:rsidRPr="00AE6EDB">
        <w:rPr>
          <w:szCs w:val="22"/>
        </w:rPr>
        <w:t xml:space="preserve"> vo veku 50 rokov a viac. Z</w:t>
      </w:r>
      <w:r w:rsidRPr="00AE6EDB">
        <w:rPr>
          <w:bCs/>
          <w:szCs w:val="22"/>
        </w:rPr>
        <w:t xml:space="preserve">apojení </w:t>
      </w:r>
      <w:proofErr w:type="spellStart"/>
      <w:r w:rsidRPr="00AE6EDB">
        <w:rPr>
          <w:bCs/>
          <w:szCs w:val="22"/>
        </w:rPr>
        <w:t>UoZ</w:t>
      </w:r>
      <w:proofErr w:type="spellEnd"/>
      <w:r w:rsidRPr="00AE6EDB">
        <w:rPr>
          <w:bCs/>
          <w:szCs w:val="22"/>
        </w:rPr>
        <w:t xml:space="preserve"> získali pracovné návyky a skúsenosti z oblasti historického murárstva, kováčstva, tesárstva a archeológie. V rámci tohto národného projektu bolo vyčerpaných </w:t>
      </w:r>
      <w:r w:rsidR="0054295F">
        <w:rPr>
          <w:bCs/>
          <w:szCs w:val="22"/>
        </w:rPr>
        <w:t>2 5</w:t>
      </w:r>
      <w:r w:rsidRPr="00AE6EDB">
        <w:rPr>
          <w:bCs/>
          <w:szCs w:val="22"/>
        </w:rPr>
        <w:t>5</w:t>
      </w:r>
      <w:r w:rsidR="0054295F">
        <w:rPr>
          <w:bCs/>
          <w:szCs w:val="22"/>
        </w:rPr>
        <w:t>0 6</w:t>
      </w:r>
      <w:r w:rsidRPr="00AE6EDB">
        <w:rPr>
          <w:bCs/>
          <w:szCs w:val="22"/>
        </w:rPr>
        <w:t>25</w:t>
      </w:r>
      <w:r w:rsidR="0054295F">
        <w:rPr>
          <w:bCs/>
          <w:szCs w:val="22"/>
        </w:rPr>
        <w:t> eur</w:t>
      </w:r>
      <w:r w:rsidRPr="00AE6EDB">
        <w:rPr>
          <w:bCs/>
          <w:szCs w:val="22"/>
        </w:rPr>
        <w:t>.</w:t>
      </w:r>
    </w:p>
    <w:p w:rsidR="000A7585" w:rsidRPr="00AE6EDB" w:rsidRDefault="000A7585" w:rsidP="000A7585">
      <w:pPr>
        <w:pStyle w:val="Normlnysozarkami"/>
        <w:ind w:firstLine="567"/>
        <w:rPr>
          <w:szCs w:val="22"/>
        </w:rPr>
      </w:pPr>
      <w:r w:rsidRPr="00AE6EDB">
        <w:rPr>
          <w:szCs w:val="22"/>
        </w:rPr>
        <w:t xml:space="preserve">Národný projekt „Šanca na zamestnanie“ je realizovaný od 25. septembra 2015 vo všetkých krajoch Slovenska bez Bratislavského samosprávneho kraja. Cieľovou skupinou sú znevýhodnení </w:t>
      </w:r>
      <w:proofErr w:type="spellStart"/>
      <w:r w:rsidRPr="00AE6EDB">
        <w:rPr>
          <w:szCs w:val="22"/>
        </w:rPr>
        <w:t>UoZ</w:t>
      </w:r>
      <w:proofErr w:type="spellEnd"/>
      <w:r w:rsidRPr="00AE6EDB">
        <w:rPr>
          <w:szCs w:val="22"/>
        </w:rPr>
        <w:t xml:space="preserve"> s osobitným zreteľom na dlhodobo nezamestnaných </w:t>
      </w:r>
      <w:proofErr w:type="spellStart"/>
      <w:r w:rsidRPr="00AE6EDB">
        <w:rPr>
          <w:szCs w:val="22"/>
        </w:rPr>
        <w:t>UoZ</w:t>
      </w:r>
      <w:proofErr w:type="spellEnd"/>
      <w:r w:rsidRPr="00AE6EDB">
        <w:rPr>
          <w:szCs w:val="22"/>
        </w:rPr>
        <w:t>. Finančný príspevok sa poskytuje zamestnávateľovi, ak vytvoril pracovné miesto z niektorej z vymedzených oblastí verejného zamestnávania</w:t>
      </w:r>
      <w:r w:rsidR="001C72AB" w:rsidRPr="00AE6EDB">
        <w:rPr>
          <w:szCs w:val="22"/>
        </w:rPr>
        <w:t xml:space="preserve"> </w:t>
      </w:r>
      <w:r w:rsidRPr="00AE6EDB">
        <w:rPr>
          <w:szCs w:val="22"/>
        </w:rPr>
        <w:t xml:space="preserve">na dobu najmenej 3 mesiace. Pracovný pomer môže byť dohodnutý na obdobie </w:t>
      </w:r>
      <w:r w:rsidR="00D93079" w:rsidRPr="00AE6EDB">
        <w:rPr>
          <w:szCs w:val="22"/>
        </w:rPr>
        <w:br/>
      </w:r>
      <w:r w:rsidRPr="00AE6EDB">
        <w:rPr>
          <w:szCs w:val="22"/>
        </w:rPr>
        <w:t xml:space="preserve">3 až 9 mesiacov, prípade na dobu neurčitú. Finančný príspevok sa poskytne zamestnávateľovi najmenej počas 3 a najviac počas 9 kalendárnych mesiacov. Od začiatku realizácie tohto opatrenia bolo na tento nástroj umiestnených </w:t>
      </w:r>
      <w:r w:rsidR="0054295F">
        <w:rPr>
          <w:szCs w:val="22"/>
        </w:rPr>
        <w:t>3 1</w:t>
      </w:r>
      <w:r w:rsidRPr="00AE6EDB">
        <w:rPr>
          <w:szCs w:val="22"/>
        </w:rPr>
        <w:t xml:space="preserve">96 </w:t>
      </w:r>
      <w:proofErr w:type="spellStart"/>
      <w:r w:rsidRPr="00AE6EDB">
        <w:rPr>
          <w:szCs w:val="22"/>
        </w:rPr>
        <w:t>ZUoZ</w:t>
      </w:r>
      <w:proofErr w:type="spellEnd"/>
      <w:r w:rsidRPr="00AE6EDB">
        <w:rPr>
          <w:szCs w:val="22"/>
        </w:rPr>
        <w:t>.</w:t>
      </w:r>
    </w:p>
    <w:p w:rsidR="000A7585" w:rsidRPr="00AE6EDB" w:rsidRDefault="000A7585" w:rsidP="001C72AB">
      <w:pPr>
        <w:pStyle w:val="Normlnysozarkami"/>
        <w:ind w:firstLine="567"/>
        <w:rPr>
          <w:szCs w:val="22"/>
        </w:rPr>
      </w:pPr>
      <w:r w:rsidRPr="00AE6EDB">
        <w:rPr>
          <w:szCs w:val="22"/>
        </w:rPr>
        <w:t xml:space="preserve">Národný projekt „Praxou k zamestnaniu“ je realizovaný od 7. septembra 2015 vo všetkých samosprávnych krajoch Slovenska okrem Bratislavského samosprávneho kraja. Projekt je zameraný na podporu vytvárania pracovných miest pre mladých nezamestnaných a ich zamestnanosti formou mentorovaného zapracovania a praxe a je zároveň jedným z podporných opatrení pre integráciu mladých ľudí na trh práce. Cieľovou skupinou sú </w:t>
      </w:r>
      <w:proofErr w:type="spellStart"/>
      <w:r w:rsidRPr="00AE6EDB">
        <w:rPr>
          <w:szCs w:val="22"/>
        </w:rPr>
        <w:t>UoZ</w:t>
      </w:r>
      <w:proofErr w:type="spellEnd"/>
      <w:r w:rsidRPr="00AE6EDB">
        <w:rPr>
          <w:szCs w:val="22"/>
        </w:rPr>
        <w:t xml:space="preserve"> do 25 rokov vedení v evidencii </w:t>
      </w:r>
      <w:proofErr w:type="spellStart"/>
      <w:r w:rsidRPr="00AE6EDB">
        <w:rPr>
          <w:szCs w:val="22"/>
        </w:rPr>
        <w:t>UoZ</w:t>
      </w:r>
      <w:proofErr w:type="spellEnd"/>
      <w:r w:rsidRPr="00AE6EDB">
        <w:rPr>
          <w:szCs w:val="22"/>
        </w:rPr>
        <w:t xml:space="preserve"> minimálne 3 mesiace, ktorí nie sú zamestnaní, nepokračujú v procese vzdelávania, ani sa nezúčastňujú na</w:t>
      </w:r>
      <w:r w:rsidR="001110A1">
        <w:rPr>
          <w:szCs w:val="22"/>
        </w:rPr>
        <w:t> </w:t>
      </w:r>
      <w:r w:rsidRPr="00AE6EDB">
        <w:rPr>
          <w:szCs w:val="22"/>
        </w:rPr>
        <w:t>odbornej príprave (</w:t>
      </w:r>
      <w:proofErr w:type="spellStart"/>
      <w:r w:rsidRPr="00AE6EDB">
        <w:rPr>
          <w:szCs w:val="22"/>
        </w:rPr>
        <w:t>not</w:t>
      </w:r>
      <w:proofErr w:type="spellEnd"/>
      <w:r w:rsidRPr="00AE6EDB">
        <w:rPr>
          <w:szCs w:val="22"/>
        </w:rPr>
        <w:t xml:space="preserve"> in </w:t>
      </w:r>
      <w:proofErr w:type="spellStart"/>
      <w:r w:rsidRPr="00AE6EDB">
        <w:rPr>
          <w:szCs w:val="22"/>
        </w:rPr>
        <w:t>employment</w:t>
      </w:r>
      <w:proofErr w:type="spellEnd"/>
      <w:r w:rsidRPr="00AE6EDB">
        <w:rPr>
          <w:szCs w:val="22"/>
        </w:rPr>
        <w:t xml:space="preserve">, </w:t>
      </w:r>
      <w:proofErr w:type="spellStart"/>
      <w:r w:rsidRPr="00AE6EDB">
        <w:rPr>
          <w:szCs w:val="22"/>
        </w:rPr>
        <w:t>education</w:t>
      </w:r>
      <w:proofErr w:type="spellEnd"/>
      <w:r w:rsidRPr="00AE6EDB">
        <w:rPr>
          <w:szCs w:val="22"/>
        </w:rPr>
        <w:t xml:space="preserve"> or </w:t>
      </w:r>
      <w:proofErr w:type="spellStart"/>
      <w:r w:rsidRPr="00AE6EDB">
        <w:rPr>
          <w:szCs w:val="22"/>
        </w:rPr>
        <w:t>training</w:t>
      </w:r>
      <w:proofErr w:type="spellEnd"/>
      <w:r w:rsidRPr="00AE6EDB">
        <w:rPr>
          <w:szCs w:val="22"/>
        </w:rPr>
        <w:t xml:space="preserve"> – tzv. NEET) a NEET do 29 rokov, vedení v evidencii </w:t>
      </w:r>
      <w:proofErr w:type="spellStart"/>
      <w:r w:rsidRPr="00AE6EDB">
        <w:rPr>
          <w:szCs w:val="22"/>
        </w:rPr>
        <w:t>UoZ</w:t>
      </w:r>
      <w:proofErr w:type="spellEnd"/>
      <w:r w:rsidRPr="00AE6EDB">
        <w:rPr>
          <w:szCs w:val="22"/>
        </w:rPr>
        <w:t xml:space="preserve"> minimálne 6 mesiacov. Mentorované zapracovanie trvá prvých 3 - 6 mesiacov pracovného pomeru pod vedením mentora a po ukončení mentorovaného zapracovania bude prax, ktorá bude závisieť od dĺžky trvania mentorovaného zapracovania. Finančný príspevok sa poskytne zamestnávateľovi, ktorý prijme do pracovného pomeru takéhoto </w:t>
      </w:r>
      <w:proofErr w:type="spellStart"/>
      <w:r w:rsidRPr="00AE6EDB">
        <w:rPr>
          <w:szCs w:val="22"/>
        </w:rPr>
        <w:t>UoZ</w:t>
      </w:r>
      <w:proofErr w:type="spellEnd"/>
      <w:r w:rsidRPr="00AE6EDB">
        <w:rPr>
          <w:szCs w:val="22"/>
        </w:rPr>
        <w:t xml:space="preserve"> na polovičný pracovný úväzok na dobu minimálne 9 mesiacov, resp. na dobu neurčitú, pričom finančné príspevky sú poskytované mesačne počas 9 mesiacov. Prostredníctvom tohto opatrenia bolo od začiatku jeho realizácie zaradených 261 </w:t>
      </w:r>
      <w:proofErr w:type="spellStart"/>
      <w:r w:rsidRPr="00AE6EDB">
        <w:rPr>
          <w:szCs w:val="22"/>
        </w:rPr>
        <w:t>UoZ</w:t>
      </w:r>
      <w:proofErr w:type="spellEnd"/>
      <w:r w:rsidRPr="00AE6EDB">
        <w:rPr>
          <w:szCs w:val="22"/>
        </w:rPr>
        <w:t>.</w:t>
      </w:r>
    </w:p>
    <w:p w:rsidR="000A7585" w:rsidRPr="00AE6EDB" w:rsidRDefault="000A7585" w:rsidP="001C72AB">
      <w:pPr>
        <w:pStyle w:val="Normlnysozarkami"/>
        <w:ind w:firstLine="567"/>
        <w:rPr>
          <w:szCs w:val="22"/>
        </w:rPr>
      </w:pPr>
      <w:r w:rsidRPr="00AE6EDB">
        <w:rPr>
          <w:szCs w:val="22"/>
        </w:rPr>
        <w:t>V októbri 2015 sa začal v Bratislavskom samosprávnom kraji realizovať projekt „Praxou k zamestnaniu v BSK“. Tento projekt je financovaný výlučne zo zdrojov štátneho rozpočtu.</w:t>
      </w:r>
    </w:p>
    <w:p w:rsidR="000A7585" w:rsidRPr="00AE6EDB" w:rsidRDefault="000A7585" w:rsidP="001C72AB">
      <w:pPr>
        <w:pStyle w:val="Normlnysozarkami"/>
        <w:ind w:firstLine="567"/>
        <w:rPr>
          <w:szCs w:val="22"/>
        </w:rPr>
      </w:pPr>
      <w:r w:rsidRPr="00AE6EDB">
        <w:rPr>
          <w:szCs w:val="22"/>
        </w:rPr>
        <w:t>V decembri 2015 sa začali v rámci Operačného programu Ľudské zdroje implementovať ďalšie národné projekty, a to:</w:t>
      </w:r>
    </w:p>
    <w:p w:rsidR="000A7585" w:rsidRPr="00AE6EDB" w:rsidRDefault="000A7585" w:rsidP="000A7585">
      <w:pPr>
        <w:pStyle w:val="Normlnysozarkami"/>
        <w:spacing w:before="120" w:after="60"/>
        <w:ind w:firstLine="0"/>
        <w:rPr>
          <w:b/>
          <w:i/>
          <w:szCs w:val="22"/>
        </w:rPr>
      </w:pPr>
      <w:r w:rsidRPr="00AE6EDB">
        <w:rPr>
          <w:i/>
          <w:szCs w:val="22"/>
        </w:rPr>
        <w:t>Národný projekt „Absolventská prax štartuje zamestnanie“</w:t>
      </w:r>
    </w:p>
    <w:p w:rsidR="000A7585" w:rsidRPr="00AE6EDB" w:rsidRDefault="000A7585" w:rsidP="000A7585">
      <w:pPr>
        <w:pStyle w:val="Normlnysozarkami"/>
        <w:ind w:firstLine="567"/>
        <w:rPr>
          <w:szCs w:val="22"/>
        </w:rPr>
      </w:pPr>
      <w:r w:rsidRPr="00AE6EDB">
        <w:rPr>
          <w:szCs w:val="22"/>
        </w:rPr>
        <w:t xml:space="preserve">Cieľom je zvýšenie zamestnanosti a </w:t>
      </w:r>
      <w:proofErr w:type="spellStart"/>
      <w:r w:rsidRPr="00AE6EDB">
        <w:rPr>
          <w:szCs w:val="22"/>
        </w:rPr>
        <w:t>zamestnateľnosti</w:t>
      </w:r>
      <w:proofErr w:type="spellEnd"/>
      <w:r w:rsidRPr="00AE6EDB">
        <w:rPr>
          <w:szCs w:val="22"/>
        </w:rPr>
        <w:t xml:space="preserve"> mladých ľudí na trhu práce a</w:t>
      </w:r>
      <w:r w:rsidR="00D93079" w:rsidRPr="00AE6EDB">
        <w:rPr>
          <w:szCs w:val="22"/>
        </w:rPr>
        <w:t> </w:t>
      </w:r>
      <w:r w:rsidRPr="00AE6EDB">
        <w:rPr>
          <w:szCs w:val="22"/>
        </w:rPr>
        <w:t>začleňovanie mladých ľudí, najmä tých bez zamestnania, vzdelania, alebo odbornej prípravy a možnosti následného vytvorenia pracovného miesta pre mladého človeku u zamestnávateľa, u ktorého vykonával absolventskú prax. Cieľovou skupinou sú NEET do 29 rokov, ktorí v čase vstupu do projektu spĺňajú definíciu absolventa školy v zmysle zákona o službách zamestnanosti: občania mladší ako 26 rokov veku, ktorí ukončili príslušným stupňom vzdelania sústavnú prípravu</w:t>
      </w:r>
      <w:r w:rsidR="001C72AB" w:rsidRPr="00AE6EDB">
        <w:rPr>
          <w:szCs w:val="22"/>
        </w:rPr>
        <w:t xml:space="preserve"> </w:t>
      </w:r>
      <w:r w:rsidRPr="00AE6EDB">
        <w:rPr>
          <w:szCs w:val="22"/>
        </w:rPr>
        <w:t>na</w:t>
      </w:r>
      <w:r w:rsidR="008E56EB" w:rsidRPr="00AE6EDB">
        <w:rPr>
          <w:szCs w:val="22"/>
        </w:rPr>
        <w:t> </w:t>
      </w:r>
      <w:r w:rsidRPr="00AE6EDB">
        <w:rPr>
          <w:szCs w:val="22"/>
        </w:rPr>
        <w:t xml:space="preserve">povolanie v dennej forme štúdia pred menej ako dvomi rokmi a od jej ukončenia nemali pravidelne platené zamestnanie a sú vedení v evidencii </w:t>
      </w:r>
      <w:proofErr w:type="spellStart"/>
      <w:r w:rsidRPr="00AE6EDB">
        <w:rPr>
          <w:szCs w:val="22"/>
        </w:rPr>
        <w:t>UoZ</w:t>
      </w:r>
      <w:proofErr w:type="spellEnd"/>
      <w:r w:rsidRPr="00AE6EDB">
        <w:rPr>
          <w:szCs w:val="22"/>
        </w:rPr>
        <w:t xml:space="preserve"> na úradoch v oprávnenom území projektu. Projekt sa</w:t>
      </w:r>
      <w:r w:rsidR="001C72AB" w:rsidRPr="00AE6EDB">
        <w:rPr>
          <w:szCs w:val="22"/>
        </w:rPr>
        <w:t xml:space="preserve"> </w:t>
      </w:r>
      <w:r w:rsidRPr="00AE6EDB">
        <w:rPr>
          <w:szCs w:val="22"/>
        </w:rPr>
        <w:t>realizuje prostredníctvom dvoch hlavných aktivít ako aktívne opatrenie na trhu práce podľa</w:t>
      </w:r>
      <w:r w:rsidR="001C72AB" w:rsidRPr="00AE6EDB">
        <w:rPr>
          <w:szCs w:val="22"/>
        </w:rPr>
        <w:t xml:space="preserve"> </w:t>
      </w:r>
      <w:r w:rsidRPr="00AE6EDB">
        <w:rPr>
          <w:szCs w:val="22"/>
        </w:rPr>
        <w:t>§ 51 a § 54 zákona o službách zamestnanosti.</w:t>
      </w:r>
    </w:p>
    <w:p w:rsidR="000A7585" w:rsidRPr="00AE6EDB" w:rsidRDefault="000A7585">
      <w:pPr>
        <w:pStyle w:val="Normlnysozarkami"/>
        <w:spacing w:before="120" w:after="60"/>
        <w:ind w:firstLine="0"/>
        <w:rPr>
          <w:i/>
          <w:szCs w:val="22"/>
        </w:rPr>
      </w:pPr>
      <w:r w:rsidRPr="00AE6EDB">
        <w:rPr>
          <w:i/>
          <w:szCs w:val="22"/>
        </w:rPr>
        <w:t>Národný projekt „Úspešne na trhu práce“</w:t>
      </w:r>
    </w:p>
    <w:p w:rsidR="000A7585" w:rsidRPr="00AE6EDB" w:rsidRDefault="000A7585" w:rsidP="000A7585">
      <w:pPr>
        <w:pStyle w:val="Normlnysozarkami"/>
        <w:ind w:firstLine="567"/>
        <w:rPr>
          <w:szCs w:val="22"/>
        </w:rPr>
      </w:pPr>
      <w:r w:rsidRPr="00AE6EDB">
        <w:rPr>
          <w:szCs w:val="22"/>
        </w:rPr>
        <w:t xml:space="preserve">Cieľom projektu je zlepšenie postavenia mladých ľudí do 29 rokov veku na trhu práce, zvýšenie ich </w:t>
      </w:r>
      <w:proofErr w:type="spellStart"/>
      <w:r w:rsidRPr="00AE6EDB">
        <w:rPr>
          <w:szCs w:val="22"/>
        </w:rPr>
        <w:t>zamestnateľnosti</w:t>
      </w:r>
      <w:proofErr w:type="spellEnd"/>
      <w:r w:rsidRPr="00AE6EDB">
        <w:rPr>
          <w:szCs w:val="22"/>
        </w:rPr>
        <w:t xml:space="preserve"> a zamestnanosti. Cieľovou skupinou sú NEET do 25 rokov vedení v evidencii </w:t>
      </w:r>
      <w:proofErr w:type="spellStart"/>
      <w:r w:rsidRPr="00AE6EDB">
        <w:rPr>
          <w:szCs w:val="22"/>
        </w:rPr>
        <w:t>UoZ</w:t>
      </w:r>
      <w:proofErr w:type="spellEnd"/>
      <w:r w:rsidRPr="00AE6EDB">
        <w:rPr>
          <w:szCs w:val="22"/>
        </w:rPr>
        <w:t xml:space="preserve"> minimálne 3 mesiace a NEET do 29 rokov</w:t>
      </w:r>
      <w:r w:rsidR="001C72AB" w:rsidRPr="00AE6EDB">
        <w:rPr>
          <w:szCs w:val="22"/>
        </w:rPr>
        <w:t xml:space="preserve"> </w:t>
      </w:r>
      <w:r w:rsidRPr="00AE6EDB">
        <w:rPr>
          <w:szCs w:val="22"/>
        </w:rPr>
        <w:t xml:space="preserve">vedení v evidencii </w:t>
      </w:r>
      <w:proofErr w:type="spellStart"/>
      <w:r w:rsidRPr="00AE6EDB">
        <w:rPr>
          <w:szCs w:val="22"/>
        </w:rPr>
        <w:t>UoZ</w:t>
      </w:r>
      <w:proofErr w:type="spellEnd"/>
      <w:r w:rsidRPr="00AE6EDB">
        <w:rPr>
          <w:szCs w:val="22"/>
        </w:rPr>
        <w:t xml:space="preserve"> minimálne 6 mesiacov, s</w:t>
      </w:r>
      <w:r w:rsidR="008E56EB" w:rsidRPr="00AE6EDB">
        <w:rPr>
          <w:szCs w:val="22"/>
        </w:rPr>
        <w:t> </w:t>
      </w:r>
      <w:r w:rsidRPr="00AE6EDB">
        <w:rPr>
          <w:szCs w:val="22"/>
        </w:rPr>
        <w:t>dôrazom na dlhodobo nezamestnaných (v zmysle Záruky pre mladých ľudí v Slovenskej republike). Projekt sa realizuje od decembra 2015 prostredníctvom dvoch hlavných aktivít ako aktívne opatrenie na trhu práce podľa § 51a</w:t>
      </w:r>
      <w:r w:rsidR="001C72AB" w:rsidRPr="00AE6EDB">
        <w:rPr>
          <w:szCs w:val="22"/>
        </w:rPr>
        <w:t xml:space="preserve"> </w:t>
      </w:r>
      <w:r w:rsidRPr="00AE6EDB">
        <w:rPr>
          <w:szCs w:val="22"/>
        </w:rPr>
        <w:t>a § 54 zákona o službách zamestnanosti.</w:t>
      </w:r>
    </w:p>
    <w:p w:rsidR="000A7585" w:rsidRPr="00AE6EDB" w:rsidRDefault="000A7585" w:rsidP="000A7585">
      <w:pPr>
        <w:pStyle w:val="Normlnysozarkami"/>
        <w:spacing w:before="120" w:after="60"/>
        <w:ind w:firstLine="0"/>
        <w:rPr>
          <w:i/>
          <w:szCs w:val="22"/>
        </w:rPr>
      </w:pPr>
      <w:r w:rsidRPr="00AE6EDB">
        <w:rPr>
          <w:i/>
          <w:szCs w:val="22"/>
        </w:rPr>
        <w:t>Národný projekt „Cesta z kruhu nezamestnanosti“</w:t>
      </w:r>
    </w:p>
    <w:p w:rsidR="000A7585" w:rsidRPr="00AE6EDB" w:rsidRDefault="000A7585" w:rsidP="000A7585">
      <w:pPr>
        <w:pStyle w:val="Normlnysozarkami"/>
        <w:ind w:firstLine="567"/>
        <w:rPr>
          <w:szCs w:val="22"/>
        </w:rPr>
      </w:pPr>
      <w:r w:rsidRPr="00AE6EDB">
        <w:rPr>
          <w:szCs w:val="22"/>
        </w:rPr>
        <w:t xml:space="preserve">Cieľom je podpora zamestnanosti a znižovanie nezamestnanosti dlhodobo nezamestnaných </w:t>
      </w:r>
      <w:proofErr w:type="spellStart"/>
      <w:r w:rsidRPr="00AE6EDB">
        <w:rPr>
          <w:szCs w:val="22"/>
        </w:rPr>
        <w:t>UoZ</w:t>
      </w:r>
      <w:proofErr w:type="spellEnd"/>
      <w:r w:rsidRPr="00AE6EDB">
        <w:rPr>
          <w:szCs w:val="22"/>
        </w:rPr>
        <w:t xml:space="preserve"> prostredníctvom získania a prehlbovania pracovných zručností. Oprávnenou cieľovou skupinou sú znevýhodnení </w:t>
      </w:r>
      <w:proofErr w:type="spellStart"/>
      <w:r w:rsidRPr="00AE6EDB">
        <w:rPr>
          <w:szCs w:val="22"/>
        </w:rPr>
        <w:t>UoZ</w:t>
      </w:r>
      <w:proofErr w:type="spellEnd"/>
      <w:r w:rsidRPr="00AE6EDB">
        <w:rPr>
          <w:szCs w:val="22"/>
        </w:rPr>
        <w:t xml:space="preserve"> podľa § 8 ods. 1) písm. c) zákona o službách zamestnanosti. Hlavnou aktivitou národného projektu je poskytovanie finančného príspevku zamestnávateľovi, ktorý na vytvorené pracovné miesto prijme do pracovného pomeru </w:t>
      </w:r>
      <w:proofErr w:type="spellStart"/>
      <w:r w:rsidRPr="00AE6EDB">
        <w:rPr>
          <w:szCs w:val="22"/>
        </w:rPr>
        <w:t>UoZ</w:t>
      </w:r>
      <w:proofErr w:type="spellEnd"/>
      <w:r w:rsidRPr="00AE6EDB">
        <w:rPr>
          <w:szCs w:val="22"/>
        </w:rPr>
        <w:t xml:space="preserve">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w:t>
      </w:r>
      <w:proofErr w:type="spellStart"/>
      <w:r w:rsidRPr="00AE6EDB">
        <w:rPr>
          <w:szCs w:val="22"/>
        </w:rPr>
        <w:t>UoZ</w:t>
      </w:r>
      <w:proofErr w:type="spellEnd"/>
      <w:r w:rsidRPr="00AE6EDB">
        <w:rPr>
          <w:szCs w:val="22"/>
        </w:rPr>
        <w:t>.</w:t>
      </w:r>
    </w:p>
    <w:p w:rsidR="000A7585" w:rsidRPr="00AE6EDB" w:rsidRDefault="000A7585" w:rsidP="000A7585">
      <w:pPr>
        <w:pStyle w:val="Normlnysozarkami"/>
        <w:spacing w:before="120" w:after="60"/>
        <w:ind w:firstLine="0"/>
        <w:rPr>
          <w:i/>
          <w:szCs w:val="22"/>
        </w:rPr>
      </w:pPr>
      <w:r w:rsidRPr="00AE6EDB">
        <w:rPr>
          <w:i/>
          <w:szCs w:val="22"/>
        </w:rPr>
        <w:t>Národný projekt „Chceme byť aktívni na trhu práce“</w:t>
      </w:r>
    </w:p>
    <w:p w:rsidR="000A7585" w:rsidRPr="00AE6EDB" w:rsidRDefault="000A7585" w:rsidP="000A7585">
      <w:pPr>
        <w:pStyle w:val="Normlnysozarkami"/>
        <w:ind w:firstLine="0"/>
        <w:rPr>
          <w:szCs w:val="22"/>
        </w:rPr>
      </w:pPr>
      <w:r w:rsidRPr="00AE6EDB">
        <w:rPr>
          <w:szCs w:val="22"/>
        </w:rPr>
        <w:t xml:space="preserve">Cieľom je zlepšenie postavenia znevýhodnených </w:t>
      </w:r>
      <w:proofErr w:type="spellStart"/>
      <w:r w:rsidRPr="00AE6EDB">
        <w:rPr>
          <w:szCs w:val="22"/>
        </w:rPr>
        <w:t>UoZ</w:t>
      </w:r>
      <w:proofErr w:type="spellEnd"/>
      <w:r w:rsidRPr="00AE6EDB">
        <w:rPr>
          <w:szCs w:val="22"/>
        </w:rPr>
        <w:t xml:space="preserve"> podľa § 8 ods. 1 písm. b) zákona o službách zamestnanosti – občanov starších ako 50 rokov veku (ďalej len „</w:t>
      </w:r>
      <w:proofErr w:type="spellStart"/>
      <w:r w:rsidRPr="00AE6EDB">
        <w:rPr>
          <w:szCs w:val="22"/>
        </w:rPr>
        <w:t>UoZ</w:t>
      </w:r>
      <w:proofErr w:type="spellEnd"/>
      <w:r w:rsidRPr="00AE6EDB">
        <w:rPr>
          <w:szCs w:val="22"/>
        </w:rPr>
        <w:t xml:space="preserve"> vo veku 50+“), zvýšenie ich </w:t>
      </w:r>
      <w:proofErr w:type="spellStart"/>
      <w:r w:rsidRPr="00AE6EDB">
        <w:rPr>
          <w:szCs w:val="22"/>
        </w:rPr>
        <w:t>zamestnateľnosti</w:t>
      </w:r>
      <w:proofErr w:type="spellEnd"/>
      <w:r w:rsidRPr="00AE6EDB">
        <w:rPr>
          <w:szCs w:val="22"/>
        </w:rPr>
        <w:t xml:space="preserve"> a zamestnanosti prostredníctvom poskytovania finančných príspevkov na podporu vytvorenia pracovného miesta v menej rozvinutých regiónoch. Cieľovou skupinou sú znevýhodnení </w:t>
      </w:r>
      <w:proofErr w:type="spellStart"/>
      <w:r w:rsidRPr="00AE6EDB">
        <w:rPr>
          <w:szCs w:val="22"/>
        </w:rPr>
        <w:t>UoZ</w:t>
      </w:r>
      <w:proofErr w:type="spellEnd"/>
      <w:r w:rsidRPr="00AE6EDB">
        <w:rPr>
          <w:szCs w:val="22"/>
        </w:rPr>
        <w:t xml:space="preserve"> podľa § 8 ods. 1) písm. b) zákona o službách zamestnanosti. Hlavnou aktivitou je poskytovanie finančného príspevku (úhrada časti preddavku na poistné na povinné verejné zdravotné poistenie, poistného na sociálne poistenie a povinných príspevkov na starobné dôchodkové sporenie, platených zamestnávateľom, najviac vo výške 453,52</w:t>
      </w:r>
      <w:r w:rsidR="0054295F">
        <w:rPr>
          <w:szCs w:val="22"/>
        </w:rPr>
        <w:t> eura</w:t>
      </w:r>
      <w:r w:rsidRPr="00AE6EDB">
        <w:rPr>
          <w:szCs w:val="22"/>
        </w:rPr>
        <w:t xml:space="preserve"> pre rok 2016) na podporu vytvorenia pracovného miesta pre znevýhodneného </w:t>
      </w:r>
      <w:proofErr w:type="spellStart"/>
      <w:r w:rsidRPr="00AE6EDB">
        <w:rPr>
          <w:szCs w:val="22"/>
        </w:rPr>
        <w:t>UoZ</w:t>
      </w:r>
      <w:proofErr w:type="spellEnd"/>
      <w:r w:rsidRPr="00AE6EDB">
        <w:rPr>
          <w:szCs w:val="22"/>
        </w:rPr>
        <w:t xml:space="preserve"> vo veku 50+ podľa § 54 zákona o službách zamestnanosti. Finančný príspevok sa poskytne zamestnávateľovi, ktorý na vytvorené pracovné miesto príjme do pracovného pomeru znevýhodneného </w:t>
      </w:r>
      <w:proofErr w:type="spellStart"/>
      <w:r w:rsidRPr="00AE6EDB">
        <w:rPr>
          <w:szCs w:val="22"/>
        </w:rPr>
        <w:t>UoZ</w:t>
      </w:r>
      <w:proofErr w:type="spellEnd"/>
      <w:r w:rsidRPr="00AE6EDB">
        <w:rPr>
          <w:szCs w:val="22"/>
        </w:rPr>
        <w:t xml:space="preserve"> vo veku 50+, ak je pracovný pomer dohodnutý na dobu najmenej 12</w:t>
      </w:r>
      <w:r w:rsidR="008E56EB" w:rsidRPr="00AE6EDB">
        <w:rPr>
          <w:szCs w:val="22"/>
        </w:rPr>
        <w:t> </w:t>
      </w:r>
      <w:r w:rsidRPr="00AE6EDB">
        <w:rPr>
          <w:szCs w:val="22"/>
        </w:rPr>
        <w:t>mesiacov. Finančný príspevok sa poskytuje najviac počas 12 mesiacov. Zamestnávateľ je povinný zachovať toto vytvorené pracovné miesto najmenej počas týchto 12 mesiacov.</w:t>
      </w:r>
    </w:p>
    <w:p w:rsidR="000A7585" w:rsidRPr="00AE6EDB" w:rsidRDefault="000A7585" w:rsidP="000A7585">
      <w:pPr>
        <w:pStyle w:val="Normlnysozarkami"/>
        <w:ind w:firstLine="0"/>
        <w:rPr>
          <w:szCs w:val="22"/>
        </w:rPr>
      </w:pPr>
    </w:p>
    <w:p w:rsidR="000A7585" w:rsidRPr="00AE6EDB" w:rsidRDefault="000A7585" w:rsidP="000A7585">
      <w:pPr>
        <w:pStyle w:val="Normlnysozarkami"/>
        <w:ind w:firstLine="567"/>
        <w:rPr>
          <w:szCs w:val="22"/>
        </w:rPr>
      </w:pPr>
      <w:r w:rsidRPr="00AE6EDB">
        <w:rPr>
          <w:szCs w:val="22"/>
        </w:rPr>
        <w:t xml:space="preserve">Okrem Národných projektov boli v rámci § 54 v roku 2015 realizované aj regionálne a pilotné projekty vypracované úradmi a schválené Hodnotiacou komisiou na posudzovanie, hodnotenie a odporúčanie schvaľovania predložených projektov a programov v rámci aktívnych opatrení na trhu práce podľa § 54. Podporených bolo celkom 20 projektov s predpokladaným počtom </w:t>
      </w:r>
      <w:r w:rsidR="008E56EB" w:rsidRPr="00AE6EDB">
        <w:rPr>
          <w:szCs w:val="22"/>
        </w:rPr>
        <w:br/>
      </w:r>
      <w:r w:rsidR="0054295F">
        <w:rPr>
          <w:bCs/>
          <w:szCs w:val="22"/>
        </w:rPr>
        <w:t>1 9</w:t>
      </w:r>
      <w:r w:rsidRPr="00AE6EDB">
        <w:rPr>
          <w:bCs/>
          <w:szCs w:val="22"/>
        </w:rPr>
        <w:t>70</w:t>
      </w:r>
      <w:r w:rsidRPr="00AE6EDB">
        <w:rPr>
          <w:szCs w:val="22"/>
        </w:rPr>
        <w:t xml:space="preserve"> zaradených osôb. Výška schválených finančných prostriedkov bola </w:t>
      </w:r>
      <w:r w:rsidR="00AC44CB">
        <w:rPr>
          <w:szCs w:val="22"/>
        </w:rPr>
        <w:t>7 2</w:t>
      </w:r>
      <w:r w:rsidRPr="00AE6EDB">
        <w:rPr>
          <w:szCs w:val="22"/>
        </w:rPr>
        <w:t>1</w:t>
      </w:r>
      <w:r w:rsidR="0054295F">
        <w:rPr>
          <w:szCs w:val="22"/>
        </w:rPr>
        <w:t>0 7</w:t>
      </w:r>
      <w:r w:rsidRPr="00AE6EDB">
        <w:rPr>
          <w:szCs w:val="22"/>
        </w:rPr>
        <w:t>05,10</w:t>
      </w:r>
      <w:r w:rsidR="0054295F">
        <w:rPr>
          <w:szCs w:val="22"/>
        </w:rPr>
        <w:t> eura</w:t>
      </w:r>
      <w:r w:rsidRPr="00AE6EDB">
        <w:rPr>
          <w:szCs w:val="22"/>
        </w:rPr>
        <w:t xml:space="preserve">, ich čerpanie sa premietne aj do roku 2016 a 2017. V priebehu roka 2015 bolo prostredníctvom takýchto projektov zaradených na trh práce celkom </w:t>
      </w:r>
      <w:r w:rsidR="0054295F">
        <w:rPr>
          <w:bCs/>
          <w:szCs w:val="22"/>
        </w:rPr>
        <w:t>2 7</w:t>
      </w:r>
      <w:r w:rsidRPr="00AE6EDB">
        <w:rPr>
          <w:bCs/>
          <w:szCs w:val="22"/>
        </w:rPr>
        <w:t>25</w:t>
      </w:r>
      <w:r w:rsidRPr="00AE6EDB">
        <w:rPr>
          <w:szCs w:val="22"/>
        </w:rPr>
        <w:t xml:space="preserve"> osôb (tento údaj obsahuje aj počet zaradených osôb z</w:t>
      </w:r>
      <w:r w:rsidR="008E56EB" w:rsidRPr="00AE6EDB">
        <w:rPr>
          <w:szCs w:val="22"/>
        </w:rPr>
        <w:t> </w:t>
      </w:r>
      <w:r w:rsidRPr="00AE6EDB">
        <w:rPr>
          <w:szCs w:val="22"/>
        </w:rPr>
        <w:t>projektov schválených ešte koncom roka 2014).</w:t>
      </w:r>
    </w:p>
    <w:p w:rsidR="000A7585" w:rsidRPr="00AE6EDB" w:rsidRDefault="000A7585" w:rsidP="001C72AB">
      <w:pPr>
        <w:spacing w:before="120"/>
        <w:ind w:firstLine="567"/>
        <w:rPr>
          <w:szCs w:val="22"/>
        </w:rPr>
      </w:pPr>
      <w:r w:rsidRPr="00AE6EDB">
        <w:rPr>
          <w:i/>
          <w:szCs w:val="22"/>
        </w:rPr>
        <w:t>Príspevok na rekvalifikáciu (§ 54 ods. 1 písm. d)</w:t>
      </w:r>
      <w:r w:rsidRPr="00AE6EDB">
        <w:rPr>
          <w:b/>
          <w:i/>
          <w:szCs w:val="22"/>
        </w:rPr>
        <w:t xml:space="preserve"> - </w:t>
      </w:r>
      <w:r w:rsidRPr="00AE6EDB">
        <w:rPr>
          <w:szCs w:val="22"/>
        </w:rPr>
        <w:t xml:space="preserve">RE-PAS – rekvalifikácia ako príležitosť k spolupráci </w:t>
      </w:r>
      <w:proofErr w:type="spellStart"/>
      <w:r w:rsidRPr="00AE6EDB">
        <w:rPr>
          <w:szCs w:val="22"/>
        </w:rPr>
        <w:t>UoZ</w:t>
      </w:r>
      <w:proofErr w:type="spellEnd"/>
      <w:r w:rsidRPr="00AE6EDB">
        <w:rPr>
          <w:szCs w:val="22"/>
        </w:rPr>
        <w:t xml:space="preserve">, úradov a vzdelávacích inštitúcií, je určený pre všetkých </w:t>
      </w:r>
      <w:proofErr w:type="spellStart"/>
      <w:r w:rsidRPr="00AE6EDB">
        <w:rPr>
          <w:szCs w:val="22"/>
        </w:rPr>
        <w:t>UoZ</w:t>
      </w:r>
      <w:proofErr w:type="spellEnd"/>
      <w:r w:rsidRPr="00AE6EDB">
        <w:rPr>
          <w:szCs w:val="22"/>
        </w:rPr>
        <w:t>, vrátane znevýhodnených na trhu práce, ktorí majú problém pracovne sa uplatniť a potrebujú flexibilne reagovať na požiadavky trhu práce.</w:t>
      </w:r>
      <w:r w:rsidRPr="00AE6EDB">
        <w:rPr>
          <w:bCs/>
          <w:szCs w:val="22"/>
        </w:rPr>
        <w:t xml:space="preserve"> </w:t>
      </w:r>
      <w:proofErr w:type="spellStart"/>
      <w:r w:rsidRPr="00AE6EDB">
        <w:rPr>
          <w:szCs w:val="22"/>
        </w:rPr>
        <w:t>UoZ</w:t>
      </w:r>
      <w:proofErr w:type="spellEnd"/>
      <w:r w:rsidRPr="00AE6EDB">
        <w:rPr>
          <w:szCs w:val="22"/>
        </w:rPr>
        <w:t xml:space="preserve">, ktorý má problém uplatniť sa na trhu práce, si môže zvoliť druh pracovnej činnosti, na ktorú sa chce rekvalifikovať a poskytovateľa rekvalifikácie, ktorý má požadovanú rekvalifikáciu zrealizovať. Rekvalifikácia je príprava </w:t>
      </w:r>
      <w:proofErr w:type="spellStart"/>
      <w:r w:rsidRPr="00AE6EDB">
        <w:rPr>
          <w:szCs w:val="22"/>
        </w:rPr>
        <w:t>UoZ</w:t>
      </w:r>
      <w:proofErr w:type="spellEnd"/>
      <w:r w:rsidRPr="00AE6EDB">
        <w:rPr>
          <w:szCs w:val="22"/>
        </w:rPr>
        <w:t xml:space="preserve"> na uplatnenie sa na trhu práce s</w:t>
      </w:r>
      <w:r w:rsidR="001C72AB" w:rsidRPr="00AE6EDB">
        <w:rPr>
          <w:szCs w:val="22"/>
        </w:rPr>
        <w:t> </w:t>
      </w:r>
      <w:r w:rsidRPr="00AE6EDB">
        <w:rPr>
          <w:szCs w:val="22"/>
        </w:rPr>
        <w:t>cieľom nadobudnutia teoretických a</w:t>
      </w:r>
      <w:r w:rsidR="001C72AB" w:rsidRPr="00AE6EDB">
        <w:rPr>
          <w:szCs w:val="22"/>
        </w:rPr>
        <w:t> </w:t>
      </w:r>
      <w:r w:rsidRPr="00AE6EDB">
        <w:rPr>
          <w:szCs w:val="22"/>
        </w:rPr>
        <w:t>praktických vedomostí, schopností a</w:t>
      </w:r>
      <w:r w:rsidR="001C72AB" w:rsidRPr="00AE6EDB">
        <w:rPr>
          <w:szCs w:val="22"/>
        </w:rPr>
        <w:t> </w:t>
      </w:r>
      <w:r w:rsidRPr="00AE6EDB">
        <w:rPr>
          <w:szCs w:val="22"/>
        </w:rPr>
        <w:t>zručností vo vybranom vzdelávacom kurze.</w:t>
      </w:r>
      <w:r w:rsidRPr="00AE6EDB">
        <w:rPr>
          <w:b/>
          <w:szCs w:val="22"/>
        </w:rPr>
        <w:t xml:space="preserve"> </w:t>
      </w:r>
      <w:r w:rsidRPr="00AE6EDB">
        <w:rPr>
          <w:szCs w:val="22"/>
        </w:rPr>
        <w:t>Rekvalifikácia</w:t>
      </w:r>
      <w:r w:rsidRPr="00AE6EDB">
        <w:rPr>
          <w:b/>
          <w:szCs w:val="22"/>
        </w:rPr>
        <w:t xml:space="preserve"> </w:t>
      </w:r>
      <w:r w:rsidRPr="00AE6EDB">
        <w:rPr>
          <w:szCs w:val="22"/>
        </w:rPr>
        <w:t xml:space="preserve">umožňuje </w:t>
      </w:r>
      <w:proofErr w:type="spellStart"/>
      <w:r w:rsidRPr="00AE6EDB">
        <w:rPr>
          <w:szCs w:val="22"/>
        </w:rPr>
        <w:t>UoZ</w:t>
      </w:r>
      <w:proofErr w:type="spellEnd"/>
      <w:r w:rsidRPr="00AE6EDB">
        <w:rPr>
          <w:szCs w:val="22"/>
        </w:rPr>
        <w:t>:</w:t>
      </w:r>
    </w:p>
    <w:p w:rsidR="000A7585" w:rsidRPr="00AE6EDB" w:rsidRDefault="000A7585" w:rsidP="000A7585">
      <w:pPr>
        <w:pStyle w:val="Odsekzoznamu"/>
        <w:numPr>
          <w:ilvl w:val="0"/>
          <w:numId w:val="53"/>
        </w:numPr>
        <w:ind w:left="993" w:hanging="284"/>
        <w:rPr>
          <w:szCs w:val="22"/>
        </w:rPr>
      </w:pPr>
      <w:r w:rsidRPr="00AE6EDB">
        <w:rPr>
          <w:szCs w:val="22"/>
        </w:rPr>
        <w:t>rozšíriť alebo úplne zmeniť svoje profesijné zameranie prostredníctvom absolvovania rekvalifikácie,</w:t>
      </w:r>
    </w:p>
    <w:p w:rsidR="000A7585" w:rsidRPr="00AE6EDB" w:rsidRDefault="000A7585" w:rsidP="000A7585">
      <w:pPr>
        <w:pStyle w:val="Odsekzoznamu"/>
        <w:numPr>
          <w:ilvl w:val="0"/>
          <w:numId w:val="53"/>
        </w:numPr>
        <w:ind w:left="993" w:hanging="284"/>
        <w:rPr>
          <w:szCs w:val="22"/>
        </w:rPr>
      </w:pPr>
      <w:r w:rsidRPr="00AE6EDB">
        <w:rPr>
          <w:szCs w:val="22"/>
        </w:rPr>
        <w:t xml:space="preserve">zvoliť si rekvalifikáciu a poskytovateľa rekvalifikácie podľa vlastného výberu, </w:t>
      </w:r>
    </w:p>
    <w:p w:rsidR="000A7585" w:rsidRPr="00AE6EDB" w:rsidRDefault="000A7585" w:rsidP="000A7585">
      <w:pPr>
        <w:pStyle w:val="Odsekzoznamu"/>
        <w:numPr>
          <w:ilvl w:val="0"/>
          <w:numId w:val="53"/>
        </w:numPr>
        <w:ind w:left="993" w:hanging="284"/>
        <w:rPr>
          <w:szCs w:val="22"/>
        </w:rPr>
      </w:pPr>
      <w:r w:rsidRPr="00AE6EDB">
        <w:rPr>
          <w:szCs w:val="22"/>
        </w:rPr>
        <w:t>požiadať úrad o poskytnutie príspevku na rekvalifikáciu, to znamená o kurzovné za</w:t>
      </w:r>
      <w:r w:rsidR="008E56EB" w:rsidRPr="00AE6EDB">
        <w:rPr>
          <w:szCs w:val="22"/>
        </w:rPr>
        <w:t> </w:t>
      </w:r>
      <w:r w:rsidRPr="00AE6EDB">
        <w:rPr>
          <w:szCs w:val="22"/>
        </w:rPr>
        <w:t>rekvalifikáciu v plnej výške.</w:t>
      </w:r>
    </w:p>
    <w:p w:rsidR="000A7585" w:rsidRPr="00AE6EDB" w:rsidRDefault="000A7585" w:rsidP="000A7585">
      <w:pPr>
        <w:rPr>
          <w:szCs w:val="22"/>
        </w:rPr>
      </w:pPr>
      <w:r w:rsidRPr="00AE6EDB">
        <w:rPr>
          <w:szCs w:val="22"/>
        </w:rPr>
        <w:t xml:space="preserve">Úrad uhrádza </w:t>
      </w:r>
      <w:proofErr w:type="spellStart"/>
      <w:r w:rsidRPr="00AE6EDB">
        <w:rPr>
          <w:szCs w:val="22"/>
        </w:rPr>
        <w:t>UoZ</w:t>
      </w:r>
      <w:proofErr w:type="spellEnd"/>
      <w:r w:rsidRPr="00AE6EDB">
        <w:rPr>
          <w:szCs w:val="22"/>
        </w:rPr>
        <w:t xml:space="preserve"> príspevok na rekvalifikáciu vo výške 100</w:t>
      </w:r>
      <w:r w:rsidR="005676EF">
        <w:rPr>
          <w:szCs w:val="22"/>
        </w:rPr>
        <w:t> %</w:t>
      </w:r>
      <w:r w:rsidRPr="00AE6EDB">
        <w:rPr>
          <w:szCs w:val="22"/>
        </w:rPr>
        <w:t xml:space="preserve"> nákladov na rekvalifikáciu (kurzovné), maximálne však len do výšky uvedenej v dohode o poskytnutí príspevku na rekvalifikáciu, ktorú uzatvorí </w:t>
      </w:r>
      <w:proofErr w:type="spellStart"/>
      <w:r w:rsidRPr="00AE6EDB">
        <w:rPr>
          <w:szCs w:val="22"/>
        </w:rPr>
        <w:t>UoZ</w:t>
      </w:r>
      <w:proofErr w:type="spellEnd"/>
      <w:r w:rsidRPr="00AE6EDB">
        <w:rPr>
          <w:szCs w:val="22"/>
        </w:rPr>
        <w:t xml:space="preserve"> a úrad. V roku 2015 bolo zaradených na rekvalifikáciu 1</w:t>
      </w:r>
      <w:r w:rsidR="00AC44CB">
        <w:rPr>
          <w:szCs w:val="22"/>
        </w:rPr>
        <w:t>6 9</w:t>
      </w:r>
      <w:r w:rsidRPr="00AE6EDB">
        <w:rPr>
          <w:szCs w:val="22"/>
        </w:rPr>
        <w:t xml:space="preserve">44 </w:t>
      </w:r>
      <w:proofErr w:type="spellStart"/>
      <w:r w:rsidRPr="00AE6EDB">
        <w:rPr>
          <w:szCs w:val="22"/>
        </w:rPr>
        <w:t>UoZ</w:t>
      </w:r>
      <w:proofErr w:type="spellEnd"/>
      <w:r w:rsidRPr="00AE6EDB">
        <w:rPr>
          <w:szCs w:val="22"/>
        </w:rPr>
        <w:t xml:space="preserve">. Z celkového počtu </w:t>
      </w:r>
      <w:proofErr w:type="spellStart"/>
      <w:r w:rsidRPr="00AE6EDB">
        <w:rPr>
          <w:szCs w:val="22"/>
        </w:rPr>
        <w:t>UoZ</w:t>
      </w:r>
      <w:proofErr w:type="spellEnd"/>
      <w:r w:rsidRPr="00AE6EDB">
        <w:rPr>
          <w:szCs w:val="22"/>
        </w:rPr>
        <w:t xml:space="preserve"> bolo </w:t>
      </w:r>
      <w:r w:rsidR="00AC44CB">
        <w:rPr>
          <w:szCs w:val="22"/>
        </w:rPr>
        <w:t>6 3</w:t>
      </w:r>
      <w:r w:rsidRPr="00AE6EDB">
        <w:rPr>
          <w:szCs w:val="22"/>
        </w:rPr>
        <w:t>90 mužov (37,71</w:t>
      </w:r>
      <w:r w:rsidR="005676EF">
        <w:rPr>
          <w:szCs w:val="22"/>
        </w:rPr>
        <w:t> %</w:t>
      </w:r>
      <w:r w:rsidRPr="00AE6EDB">
        <w:rPr>
          <w:szCs w:val="22"/>
        </w:rPr>
        <w:t>) a 1</w:t>
      </w:r>
      <w:r w:rsidR="0054295F">
        <w:rPr>
          <w:szCs w:val="22"/>
        </w:rPr>
        <w:t>0 5</w:t>
      </w:r>
      <w:r w:rsidRPr="00AE6EDB">
        <w:rPr>
          <w:szCs w:val="22"/>
        </w:rPr>
        <w:t>54 žien (62,29</w:t>
      </w:r>
      <w:r w:rsidR="005676EF">
        <w:rPr>
          <w:szCs w:val="22"/>
        </w:rPr>
        <w:t> %</w:t>
      </w:r>
      <w:r w:rsidRPr="00AE6EDB">
        <w:rPr>
          <w:szCs w:val="22"/>
        </w:rPr>
        <w:t xml:space="preserve">). Z hľadiska veku najvyšší podiel, tvorili </w:t>
      </w:r>
      <w:proofErr w:type="spellStart"/>
      <w:r w:rsidRPr="00AE6EDB">
        <w:rPr>
          <w:bCs/>
          <w:szCs w:val="22"/>
        </w:rPr>
        <w:t>UoZ</w:t>
      </w:r>
      <w:proofErr w:type="spellEnd"/>
      <w:r w:rsidRPr="00AE6EDB">
        <w:rPr>
          <w:szCs w:val="22"/>
        </w:rPr>
        <w:t xml:space="preserve"> </w:t>
      </w:r>
      <w:r w:rsidRPr="00AE6EDB">
        <w:rPr>
          <w:bCs/>
          <w:szCs w:val="22"/>
        </w:rPr>
        <w:t xml:space="preserve">vo veku od 29 do 50 rokov </w:t>
      </w:r>
      <w:r w:rsidRPr="00AE6EDB">
        <w:rPr>
          <w:szCs w:val="22"/>
        </w:rPr>
        <w:t>(</w:t>
      </w:r>
      <w:r w:rsidRPr="00AE6EDB">
        <w:rPr>
          <w:bCs/>
          <w:szCs w:val="22"/>
        </w:rPr>
        <w:t>51,98</w:t>
      </w:r>
      <w:r w:rsidR="005676EF">
        <w:rPr>
          <w:bCs/>
          <w:szCs w:val="22"/>
        </w:rPr>
        <w:t> %</w:t>
      </w:r>
      <w:r w:rsidRPr="00AE6EDB">
        <w:rPr>
          <w:bCs/>
          <w:szCs w:val="22"/>
        </w:rPr>
        <w:t>)</w:t>
      </w:r>
      <w:r w:rsidRPr="00AE6EDB">
        <w:rPr>
          <w:szCs w:val="22"/>
        </w:rPr>
        <w:t xml:space="preserve"> v počte </w:t>
      </w:r>
      <w:r w:rsidR="00AC44CB">
        <w:rPr>
          <w:szCs w:val="22"/>
        </w:rPr>
        <w:t>8 8</w:t>
      </w:r>
      <w:r w:rsidRPr="00AE6EDB">
        <w:rPr>
          <w:szCs w:val="22"/>
        </w:rPr>
        <w:t xml:space="preserve">08 </w:t>
      </w:r>
      <w:proofErr w:type="spellStart"/>
      <w:r w:rsidRPr="00AE6EDB">
        <w:rPr>
          <w:szCs w:val="22"/>
        </w:rPr>
        <w:t>UoZ</w:t>
      </w:r>
      <w:proofErr w:type="spellEnd"/>
      <w:r w:rsidRPr="00AE6EDB">
        <w:rPr>
          <w:szCs w:val="22"/>
        </w:rPr>
        <w:t xml:space="preserve">. Z hľadiska vzdelania </w:t>
      </w:r>
      <w:proofErr w:type="spellStart"/>
      <w:r w:rsidRPr="00AE6EDB">
        <w:rPr>
          <w:szCs w:val="22"/>
        </w:rPr>
        <w:t>UoZ</w:t>
      </w:r>
      <w:proofErr w:type="spellEnd"/>
      <w:r w:rsidRPr="00AE6EDB">
        <w:rPr>
          <w:szCs w:val="22"/>
        </w:rPr>
        <w:t xml:space="preserve"> najvyšší podiel (</w:t>
      </w:r>
      <w:r w:rsidRPr="00AE6EDB">
        <w:rPr>
          <w:bCs/>
          <w:szCs w:val="22"/>
        </w:rPr>
        <w:t>37,19</w:t>
      </w:r>
      <w:r w:rsidR="005676EF">
        <w:rPr>
          <w:bCs/>
          <w:szCs w:val="22"/>
        </w:rPr>
        <w:t> %</w:t>
      </w:r>
      <w:r w:rsidRPr="00AE6EDB">
        <w:rPr>
          <w:bCs/>
          <w:szCs w:val="22"/>
        </w:rPr>
        <w:t>)</w:t>
      </w:r>
      <w:r w:rsidRPr="00AE6EDB">
        <w:rPr>
          <w:szCs w:val="22"/>
        </w:rPr>
        <w:t xml:space="preserve"> tvorili </w:t>
      </w:r>
      <w:proofErr w:type="spellStart"/>
      <w:r w:rsidRPr="00AE6EDB">
        <w:rPr>
          <w:bCs/>
          <w:szCs w:val="22"/>
        </w:rPr>
        <w:t>UoZ</w:t>
      </w:r>
      <w:proofErr w:type="spellEnd"/>
      <w:r w:rsidRPr="00AE6EDB">
        <w:rPr>
          <w:bCs/>
          <w:szCs w:val="22"/>
        </w:rPr>
        <w:t xml:space="preserve"> s úplným stredným odborným vzdelaním</w:t>
      </w:r>
      <w:r w:rsidRPr="00AE6EDB">
        <w:rPr>
          <w:szCs w:val="22"/>
        </w:rPr>
        <w:t xml:space="preserve"> - </w:t>
      </w:r>
      <w:r w:rsidR="00AC44CB">
        <w:rPr>
          <w:szCs w:val="22"/>
        </w:rPr>
        <w:t>6 3</w:t>
      </w:r>
      <w:r w:rsidRPr="00AE6EDB">
        <w:rPr>
          <w:szCs w:val="22"/>
        </w:rPr>
        <w:t>02 </w:t>
      </w:r>
      <w:proofErr w:type="spellStart"/>
      <w:r w:rsidRPr="00AE6EDB">
        <w:rPr>
          <w:szCs w:val="22"/>
        </w:rPr>
        <w:t>UoZ</w:t>
      </w:r>
      <w:proofErr w:type="spellEnd"/>
      <w:r w:rsidRPr="00AE6EDB">
        <w:rPr>
          <w:szCs w:val="22"/>
        </w:rPr>
        <w:t>. Z celkového počtu 1</w:t>
      </w:r>
      <w:r w:rsidR="0054295F">
        <w:rPr>
          <w:szCs w:val="22"/>
        </w:rPr>
        <w:t>3 3</w:t>
      </w:r>
      <w:r w:rsidRPr="00AE6EDB">
        <w:rPr>
          <w:szCs w:val="22"/>
        </w:rPr>
        <w:t xml:space="preserve">63 znevýhodnených </w:t>
      </w:r>
      <w:proofErr w:type="spellStart"/>
      <w:r w:rsidRPr="00AE6EDB">
        <w:rPr>
          <w:szCs w:val="22"/>
        </w:rPr>
        <w:t>UoZ</w:t>
      </w:r>
      <w:proofErr w:type="spellEnd"/>
      <w:r w:rsidRPr="00AE6EDB">
        <w:rPr>
          <w:szCs w:val="22"/>
        </w:rPr>
        <w:t xml:space="preserve"> (78,86</w:t>
      </w:r>
      <w:r w:rsidR="005676EF">
        <w:rPr>
          <w:szCs w:val="22"/>
        </w:rPr>
        <w:t> %</w:t>
      </w:r>
      <w:r w:rsidRPr="00AE6EDB">
        <w:rPr>
          <w:szCs w:val="22"/>
        </w:rPr>
        <w:t xml:space="preserve">) bolo najviac tých, ktorí najmenej 12 po sebe nasledujúcich kalendárnych mesiacov pred zaradením do evidencie </w:t>
      </w:r>
      <w:proofErr w:type="spellStart"/>
      <w:r w:rsidRPr="00AE6EDB">
        <w:rPr>
          <w:szCs w:val="22"/>
        </w:rPr>
        <w:t>UoZ</w:t>
      </w:r>
      <w:proofErr w:type="spellEnd"/>
      <w:r w:rsidRPr="00AE6EDB">
        <w:rPr>
          <w:szCs w:val="22"/>
        </w:rPr>
        <w:t xml:space="preserve"> nemali pravidelne platené zamestnanie</w:t>
      </w:r>
      <w:r w:rsidRPr="00AE6EDB">
        <w:rPr>
          <w:bCs/>
          <w:szCs w:val="22"/>
        </w:rPr>
        <w:t xml:space="preserve">, v počte </w:t>
      </w:r>
      <w:r w:rsidR="00AC44CB">
        <w:rPr>
          <w:szCs w:val="22"/>
        </w:rPr>
        <w:t>9 8</w:t>
      </w:r>
      <w:r w:rsidRPr="00AE6EDB">
        <w:rPr>
          <w:szCs w:val="22"/>
        </w:rPr>
        <w:t xml:space="preserve">36 </w:t>
      </w:r>
      <w:proofErr w:type="spellStart"/>
      <w:r w:rsidRPr="00AE6EDB">
        <w:rPr>
          <w:szCs w:val="22"/>
        </w:rPr>
        <w:t>UoZ</w:t>
      </w:r>
      <w:proofErr w:type="spellEnd"/>
      <w:r w:rsidRPr="00AE6EDB">
        <w:rPr>
          <w:szCs w:val="22"/>
        </w:rPr>
        <w:t xml:space="preserve">. Vynaložené finančné prostriedky na rekvalifikáciu predstavovali </w:t>
      </w:r>
      <w:r w:rsidR="00AC44CB">
        <w:rPr>
          <w:szCs w:val="22"/>
        </w:rPr>
        <w:t>6 7</w:t>
      </w:r>
      <w:r w:rsidRPr="00AE6EDB">
        <w:rPr>
          <w:szCs w:val="22"/>
        </w:rPr>
        <w:t>7</w:t>
      </w:r>
      <w:r w:rsidR="00AC44CB">
        <w:rPr>
          <w:szCs w:val="22"/>
        </w:rPr>
        <w:t>7 3</w:t>
      </w:r>
      <w:r w:rsidRPr="00AE6EDB">
        <w:rPr>
          <w:szCs w:val="22"/>
        </w:rPr>
        <w:t>13</w:t>
      </w:r>
      <w:r w:rsidR="0054295F">
        <w:rPr>
          <w:szCs w:val="22"/>
        </w:rPr>
        <w:t> eur</w:t>
      </w:r>
      <w:r w:rsidRPr="00AE6EDB">
        <w:rPr>
          <w:szCs w:val="22"/>
        </w:rPr>
        <w:t>.</w:t>
      </w:r>
    </w:p>
    <w:p w:rsidR="000A7585" w:rsidRPr="00AE6EDB" w:rsidRDefault="000A7585" w:rsidP="000A7585">
      <w:pPr>
        <w:ind w:firstLine="431"/>
        <w:jc w:val="left"/>
        <w:rPr>
          <w:bCs/>
          <w:color w:val="000000" w:themeColor="text1"/>
          <w:szCs w:val="22"/>
          <w:highlight w:val="cyan"/>
        </w:rPr>
      </w:pPr>
    </w:p>
    <w:p w:rsidR="000A7585" w:rsidRPr="00AE6EDB" w:rsidRDefault="000A7585" w:rsidP="000A7585">
      <w:pPr>
        <w:spacing w:after="60"/>
        <w:rPr>
          <w:b/>
        </w:rPr>
      </w:pPr>
      <w:r w:rsidRPr="00AE6EDB">
        <w:rPr>
          <w:b/>
        </w:rPr>
        <w:t>Príspevok na zriadenie chránenej dielne alebo chráneného pracoviska (§ 56)</w:t>
      </w:r>
    </w:p>
    <w:p w:rsidR="000A7585" w:rsidRPr="00AE6EDB" w:rsidRDefault="000A7585" w:rsidP="000A7585">
      <w:pPr>
        <w:pStyle w:val="Normlnysozarkami"/>
        <w:ind w:firstLine="431"/>
      </w:pPr>
      <w:r w:rsidRPr="00AE6EDB">
        <w:t xml:space="preserve">Úrad PSVR môže poskytnúť príspevok zamestnávateľovi, ktorý na zriadené pracovné miesto v chránenej dielni </w:t>
      </w:r>
      <w:r w:rsidRPr="00AE6EDB">
        <w:rPr>
          <w:bCs/>
        </w:rPr>
        <w:t xml:space="preserve">(CHD) </w:t>
      </w:r>
      <w:r w:rsidRPr="00AE6EDB">
        <w:t xml:space="preserve">alebo na chránenom pracovisku </w:t>
      </w:r>
      <w:r w:rsidRPr="00AE6EDB">
        <w:rPr>
          <w:bCs/>
        </w:rPr>
        <w:t xml:space="preserve">(CHP) </w:t>
      </w:r>
      <w:r w:rsidRPr="00AE6EDB">
        <w:t xml:space="preserve">prijme do pracovného pomeru </w:t>
      </w:r>
      <w:proofErr w:type="spellStart"/>
      <w:r w:rsidRPr="00AE6EDB">
        <w:t>UoZ</w:t>
      </w:r>
      <w:proofErr w:type="spellEnd"/>
      <w:r w:rsidRPr="00AE6EDB">
        <w:t xml:space="preserve">, ktorý je občanom so zdravotným postihnutím </w:t>
      </w:r>
      <w:r w:rsidRPr="00AE6EDB">
        <w:rPr>
          <w:bCs/>
        </w:rPr>
        <w:t>(OZP)</w:t>
      </w:r>
      <w:r w:rsidRPr="00AE6EDB">
        <w:t xml:space="preserve">, vedeného v evidencii </w:t>
      </w:r>
      <w:proofErr w:type="spellStart"/>
      <w:r w:rsidRPr="00AE6EDB">
        <w:t>UoZ</w:t>
      </w:r>
      <w:proofErr w:type="spellEnd"/>
      <w:r w:rsidRPr="00AE6EDB">
        <w:t xml:space="preserve"> najmenej 1 mesiac. Príspevok sa poskytuje na</w:t>
      </w:r>
      <w:r w:rsidRPr="00AE6EDB">
        <w:rPr>
          <w:szCs w:val="22"/>
        </w:rPr>
        <w:t xml:space="preserve"> úhradu časti nákladov na </w:t>
      </w:r>
      <w:r w:rsidRPr="00AE6EDB">
        <w:t xml:space="preserve">zriadenie pracovného miesta pre OZP v CHD alebo na CHP. </w:t>
      </w:r>
      <w:r w:rsidRPr="00AE6EDB">
        <w:rPr>
          <w:bCs/>
        </w:rPr>
        <w:t xml:space="preserve">Výška príspevku je závislá od priemernej miery evidovanej nezamestnanosti v príslušnom okrese, pričom je stanovená maximálna výška príspevku. Príspevok sa poskytuje </w:t>
      </w:r>
      <w:r w:rsidR="003E2180" w:rsidRPr="00AE6EDB">
        <w:rPr>
          <w:bCs/>
        </w:rPr>
        <w:t>po</w:t>
      </w:r>
      <w:r w:rsidRPr="00AE6EDB">
        <w:rPr>
          <w:bCs/>
        </w:rPr>
        <w:t xml:space="preserve"> doručen</w:t>
      </w:r>
      <w:r w:rsidR="003E2180" w:rsidRPr="00AE6EDB">
        <w:rPr>
          <w:bCs/>
        </w:rPr>
        <w:t>í</w:t>
      </w:r>
      <w:r w:rsidRPr="00AE6EDB">
        <w:rPr>
          <w:bCs/>
        </w:rPr>
        <w:t xml:space="preserve"> dokladov o vynaložených nákladoch, pričom dĺžka zachovania zriadeného pracovného miesta je najmenej dva roky</w:t>
      </w:r>
      <w:r w:rsidRPr="00AE6EDB">
        <w:t>.</w:t>
      </w:r>
    </w:p>
    <w:p w:rsidR="000A7585" w:rsidRPr="00AE6EDB" w:rsidRDefault="000A7585" w:rsidP="000A7585">
      <w:pPr>
        <w:tabs>
          <w:tab w:val="left" w:pos="9356"/>
        </w:tabs>
        <w:ind w:right="-22" w:firstLine="567"/>
        <w:rPr>
          <w:bCs/>
          <w:szCs w:val="22"/>
        </w:rPr>
      </w:pPr>
      <w:r w:rsidRPr="00AE6EDB">
        <w:rPr>
          <w:bCs/>
          <w:szCs w:val="22"/>
        </w:rPr>
        <w:t>V roku</w:t>
      </w:r>
      <w:r w:rsidRPr="00AE6EDB">
        <w:rPr>
          <w:b/>
          <w:bCs/>
          <w:szCs w:val="22"/>
        </w:rPr>
        <w:t> </w:t>
      </w:r>
      <w:r w:rsidRPr="00AE6EDB">
        <w:rPr>
          <w:bCs/>
          <w:szCs w:val="22"/>
        </w:rPr>
        <w:t xml:space="preserve">2015 bolo týmto opatrením podporených 545 pracovných miest a vynaložených </w:t>
      </w:r>
      <w:r w:rsidRPr="00AE6EDB">
        <w:rPr>
          <w:bCs/>
          <w:szCs w:val="22"/>
        </w:rPr>
        <w:br/>
      </w:r>
      <w:r w:rsidR="0054295F">
        <w:rPr>
          <w:bCs/>
          <w:szCs w:val="22"/>
        </w:rPr>
        <w:t>2 9</w:t>
      </w:r>
      <w:r w:rsidRPr="00AE6EDB">
        <w:rPr>
          <w:bCs/>
          <w:szCs w:val="22"/>
        </w:rPr>
        <w:t>2</w:t>
      </w:r>
      <w:r w:rsidR="00AC44CB">
        <w:rPr>
          <w:bCs/>
          <w:szCs w:val="22"/>
        </w:rPr>
        <w:t>9 7</w:t>
      </w:r>
      <w:r w:rsidRPr="00AE6EDB">
        <w:rPr>
          <w:bCs/>
          <w:szCs w:val="22"/>
        </w:rPr>
        <w:t>05</w:t>
      </w:r>
      <w:r w:rsidR="0054295F">
        <w:rPr>
          <w:bCs/>
          <w:szCs w:val="22"/>
        </w:rPr>
        <w:t> eur</w:t>
      </w:r>
      <w:r w:rsidRPr="00AE6EDB">
        <w:rPr>
          <w:bCs/>
          <w:szCs w:val="22"/>
        </w:rPr>
        <w:t>, čo je v porovnaní s rokom 2014 pokles o 449 pracovných miest a o </w:t>
      </w:r>
      <w:r w:rsidR="00AC44CB">
        <w:rPr>
          <w:bCs/>
          <w:szCs w:val="22"/>
        </w:rPr>
        <w:t>9 7</w:t>
      </w:r>
      <w:r w:rsidRPr="00AE6EDB">
        <w:rPr>
          <w:bCs/>
          <w:szCs w:val="22"/>
        </w:rPr>
        <w:t>1</w:t>
      </w:r>
      <w:r w:rsidR="0054295F">
        <w:rPr>
          <w:bCs/>
          <w:szCs w:val="22"/>
        </w:rPr>
        <w:t>0 7</w:t>
      </w:r>
      <w:r w:rsidRPr="00AE6EDB">
        <w:rPr>
          <w:bCs/>
          <w:szCs w:val="22"/>
        </w:rPr>
        <w:t>53</w:t>
      </w:r>
      <w:r w:rsidR="0054295F">
        <w:rPr>
          <w:bCs/>
          <w:szCs w:val="22"/>
        </w:rPr>
        <w:t> eur</w:t>
      </w:r>
      <w:r w:rsidRPr="00AE6EDB">
        <w:rPr>
          <w:bCs/>
          <w:szCs w:val="22"/>
        </w:rPr>
        <w:t>. Pokles súvisí so skutočnosťou, že v roku 2014 sa pri financovaní pracovných miest postupovalo v zmysle dohôd uzavretých pred novelou zákona o službách zamestnanosti, ktorou sa okrem iného zmenili aj podmienky poskytovania príspevku a to iba na úhradu časti nákladov na zriadenie pracovného miesta pre občana so zdravotným postihnutím v CHD alebo na CHP bez možnosti úhrady časti mzdy a povinných príspevkov do poistných fondov.</w:t>
      </w:r>
    </w:p>
    <w:p w:rsidR="000A7585" w:rsidRPr="00AE6EDB" w:rsidRDefault="000A7585" w:rsidP="000A7585">
      <w:pPr>
        <w:tabs>
          <w:tab w:val="left" w:pos="9356"/>
        </w:tabs>
        <w:ind w:right="-22" w:firstLine="567"/>
        <w:rPr>
          <w:bCs/>
          <w:highlight w:val="cyan"/>
        </w:rPr>
      </w:pPr>
    </w:p>
    <w:p w:rsidR="000A7585" w:rsidRPr="00AE6EDB" w:rsidRDefault="000A7585" w:rsidP="000A7585">
      <w:pPr>
        <w:spacing w:after="60"/>
        <w:rPr>
          <w:b/>
        </w:rPr>
      </w:pPr>
      <w:r w:rsidRPr="00AE6EDB">
        <w:rPr>
          <w:b/>
        </w:rPr>
        <w:t>Príspevok na udržanie občana so zdravotným postihnutím v zamestnaní (§ 56a)</w:t>
      </w:r>
    </w:p>
    <w:p w:rsidR="000A7585" w:rsidRPr="00AE6EDB" w:rsidRDefault="000A7585" w:rsidP="000A7585">
      <w:pPr>
        <w:ind w:firstLine="431"/>
      </w:pPr>
      <w:r w:rsidRPr="00AE6EDB">
        <w:t>Úrad PSVR môže poskytnúť príspevok na udržanie OZP v zamestnaní zamestnávateľovi, ktorý zamestnáva viac ako 25</w:t>
      </w:r>
      <w:r w:rsidR="005676EF">
        <w:t> %</w:t>
      </w:r>
      <w:r w:rsidRPr="00AE6EDB">
        <w:t xml:space="preserve"> občanov so zdravotným postihnutím z priemerného evidenčného počtu zamestnancov a ktorý nemá priznané postavenie CHD alebo CHP. Príspevok sa poskytuje na OZP, ak pracovný pomer je dohodnutý</w:t>
      </w:r>
      <w:r w:rsidRPr="00AE6EDB" w:rsidDel="00A10112">
        <w:t xml:space="preserve"> </w:t>
      </w:r>
      <w:r w:rsidRPr="00AE6EDB">
        <w:t>najmenej v rozsahu polovice ustanoveného týždenného pracovného času a poskytuje sa zamestnávateľovi na úhradu preddavku na poistné na povinné verejné zdravotné poistenie, poistného na sociálne poistenie a povinných príspevkov na starobné dôchodkové sporenie platených zamestnávateľom mesačne zo mzdy zamestnanca najviac vo výške preddavkov platených zamestnávateľom vypočítaných zo 60</w:t>
      </w:r>
      <w:r w:rsidR="005676EF">
        <w:t> %</w:t>
      </w:r>
      <w:r w:rsidRPr="00AE6EDB">
        <w:t xml:space="preserve"> priemernej mzdy zamestnanca v hospodárstve Slovenskej republiky za prvý až tretí štvrťrok kalendárneho roka, ktorý predchádza kalendárnemu roku, v ktorom sa príspevok poskytuje. Príspevok sa poskytuje štvrťročne na základe dokladov preukazujúcich úhrad</w:t>
      </w:r>
      <w:r w:rsidR="003E2180" w:rsidRPr="00AE6EDB">
        <w:t>y</w:t>
      </w:r>
      <w:r w:rsidRPr="00AE6EDB">
        <w:t>.</w:t>
      </w:r>
    </w:p>
    <w:p w:rsidR="000A7585" w:rsidRPr="00AE6EDB" w:rsidRDefault="000A7585" w:rsidP="000A7585">
      <w:pPr>
        <w:pStyle w:val="Normlnysozarkami"/>
        <w:rPr>
          <w:szCs w:val="22"/>
        </w:rPr>
      </w:pPr>
      <w:r w:rsidRPr="00AE6EDB">
        <w:rPr>
          <w:szCs w:val="22"/>
        </w:rPr>
        <w:t>V roku 2015 bolo prostredníctvom tohto opatrenia podporených 29 OZP, čo je o 2 osoby menej ako v roku 2014. Celková výška poskytnutého príspevku bola 3</w:t>
      </w:r>
      <w:r w:rsidR="0054295F">
        <w:rPr>
          <w:szCs w:val="22"/>
        </w:rPr>
        <w:t>3 0</w:t>
      </w:r>
      <w:r w:rsidRPr="00AE6EDB">
        <w:rPr>
          <w:szCs w:val="22"/>
        </w:rPr>
        <w:t>50</w:t>
      </w:r>
      <w:r w:rsidR="0054295F">
        <w:rPr>
          <w:szCs w:val="22"/>
        </w:rPr>
        <w:t> eur</w:t>
      </w:r>
      <w:r w:rsidRPr="00AE6EDB">
        <w:rPr>
          <w:szCs w:val="22"/>
        </w:rPr>
        <w:t>, čo je o 13</w:t>
      </w:r>
      <w:r w:rsidR="00AC44CB">
        <w:rPr>
          <w:szCs w:val="22"/>
        </w:rPr>
        <w:t>6 5</w:t>
      </w:r>
      <w:r w:rsidRPr="00AE6EDB">
        <w:rPr>
          <w:szCs w:val="22"/>
        </w:rPr>
        <w:t>93</w:t>
      </w:r>
      <w:r w:rsidR="0054295F">
        <w:rPr>
          <w:szCs w:val="22"/>
        </w:rPr>
        <w:t> eur</w:t>
      </w:r>
      <w:r w:rsidRPr="00AE6EDB">
        <w:rPr>
          <w:szCs w:val="22"/>
        </w:rPr>
        <w:t xml:space="preserve"> menej ako v roku 2014. Pokles v čerpaní finančných prostriedkov ovplyvnila novela zákona o službách zamestnanosti v roku 2013, ktorou sa zmenil spôsob výpočtu výšky príspevku. </w:t>
      </w:r>
    </w:p>
    <w:p w:rsidR="000A7585" w:rsidRPr="00AE6EDB" w:rsidRDefault="000A7585" w:rsidP="000A7585">
      <w:pPr>
        <w:pStyle w:val="Normlnysozarkami"/>
        <w:rPr>
          <w:highlight w:val="cyan"/>
        </w:rPr>
      </w:pPr>
    </w:p>
    <w:p w:rsidR="000A7585" w:rsidRPr="00AE6EDB" w:rsidRDefault="000A7585" w:rsidP="000A7585">
      <w:pPr>
        <w:spacing w:after="60"/>
        <w:rPr>
          <w:b/>
        </w:rPr>
      </w:pPr>
      <w:r w:rsidRPr="00AE6EDB">
        <w:rPr>
          <w:b/>
        </w:rPr>
        <w:t>Príspevok občanovi so zdravotným postihnutím na samostatnú zárobkovú činnosť (§ 57)</w:t>
      </w:r>
    </w:p>
    <w:p w:rsidR="000A7585" w:rsidRPr="00AE6EDB" w:rsidRDefault="000A7585" w:rsidP="000A7585">
      <w:pPr>
        <w:ind w:firstLine="431"/>
      </w:pPr>
      <w:r w:rsidRPr="00AE6EDB">
        <w:t xml:space="preserve">Úrad PSVR môže poskytnúť príspevok OZP na samostatnú zárobkovú činnosť na čiastočnú úhradu nákladov súvisiacich s prevádzkovaním samostatnej zárobkovej činnosti </w:t>
      </w:r>
      <w:proofErr w:type="spellStart"/>
      <w:r w:rsidRPr="00AE6EDB">
        <w:t>UoZ</w:t>
      </w:r>
      <w:proofErr w:type="spellEnd"/>
      <w:r w:rsidRPr="00AE6EDB">
        <w:t xml:space="preserve">, ktorý je OZP vedeným v evidencii </w:t>
      </w:r>
      <w:proofErr w:type="spellStart"/>
      <w:r w:rsidRPr="00AE6EDB">
        <w:t>UoZ</w:t>
      </w:r>
      <w:proofErr w:type="spellEnd"/>
      <w:r w:rsidRPr="00AE6EDB">
        <w:t xml:space="preserve"> najmenej tri mesiace a ktorý bude samostatne zárobkovo činnou osobou prevádzkujúcou samostatnú zárobkovú činnosť na CHP. </w:t>
      </w:r>
      <w:proofErr w:type="spellStart"/>
      <w:r w:rsidRPr="00AE6EDB">
        <w:t>UoZ</w:t>
      </w:r>
      <w:proofErr w:type="spellEnd"/>
      <w:r w:rsidRPr="00AE6EDB">
        <w:t>, ktorému bol poskytnutý príspevok, je povinný samostatnú zárobkovú činnosť prevádzkovať na CHP nepretržite najmenej dva roky.</w:t>
      </w:r>
      <w:r w:rsidRPr="00AE6EDB">
        <w:rPr>
          <w:bCs/>
        </w:rPr>
        <w:t xml:space="preserve"> Výška príspevku je závislá od priemernej miery evidovanej nezamestnanosti v príslušnom okrese</w:t>
      </w:r>
      <w:r w:rsidR="00A426B6">
        <w:rPr>
          <w:bCs/>
        </w:rPr>
        <w:t>.</w:t>
      </w:r>
    </w:p>
    <w:p w:rsidR="000A7585" w:rsidRPr="00AE6EDB" w:rsidRDefault="000A7585" w:rsidP="000A7585">
      <w:pPr>
        <w:pStyle w:val="Normlnysozarkami"/>
        <w:ind w:firstLine="567"/>
        <w:rPr>
          <w:szCs w:val="22"/>
        </w:rPr>
      </w:pPr>
      <w:r w:rsidRPr="00AE6EDB">
        <w:rPr>
          <w:szCs w:val="22"/>
        </w:rPr>
        <w:t>Prostredníctvom tohto opatrenia bolo v roku 2015 podporené vytvorenie 90 pracovných miest na </w:t>
      </w:r>
      <w:proofErr w:type="spellStart"/>
      <w:r w:rsidRPr="00AE6EDB">
        <w:rPr>
          <w:szCs w:val="22"/>
        </w:rPr>
        <w:t>samozamestnanie</w:t>
      </w:r>
      <w:proofErr w:type="spellEnd"/>
      <w:r w:rsidRPr="00AE6EDB">
        <w:rPr>
          <w:szCs w:val="22"/>
        </w:rPr>
        <w:t xml:space="preserve"> OZP (o 6 pracovných miest menej ako v roku 2014). Celkovo bol príspevok čerpaný vo výške 39</w:t>
      </w:r>
      <w:r w:rsidR="0054295F">
        <w:rPr>
          <w:szCs w:val="22"/>
        </w:rPr>
        <w:t>0 4</w:t>
      </w:r>
      <w:r w:rsidRPr="00AE6EDB">
        <w:rPr>
          <w:szCs w:val="22"/>
        </w:rPr>
        <w:t>73</w:t>
      </w:r>
      <w:r w:rsidR="0054295F">
        <w:rPr>
          <w:szCs w:val="22"/>
        </w:rPr>
        <w:t> eur</w:t>
      </w:r>
      <w:r w:rsidRPr="00AE6EDB">
        <w:rPr>
          <w:szCs w:val="22"/>
        </w:rPr>
        <w:t>, čo je v porovnaní s rokom 2014 pokles o 4</w:t>
      </w:r>
      <w:r w:rsidR="0054295F">
        <w:rPr>
          <w:szCs w:val="22"/>
        </w:rPr>
        <w:t>0 6</w:t>
      </w:r>
      <w:r w:rsidRPr="00AE6EDB">
        <w:rPr>
          <w:szCs w:val="22"/>
        </w:rPr>
        <w:t>22</w:t>
      </w:r>
      <w:r w:rsidR="0054295F">
        <w:rPr>
          <w:szCs w:val="22"/>
        </w:rPr>
        <w:t> eur</w:t>
      </w:r>
      <w:r w:rsidRPr="00AE6EDB">
        <w:rPr>
          <w:szCs w:val="22"/>
        </w:rPr>
        <w:t>.</w:t>
      </w:r>
    </w:p>
    <w:p w:rsidR="000A7585" w:rsidRPr="00AE6EDB" w:rsidRDefault="000A7585" w:rsidP="000A7585">
      <w:pPr>
        <w:pStyle w:val="Normlnysozarkami"/>
        <w:ind w:firstLine="567"/>
        <w:rPr>
          <w:highlight w:val="cyan"/>
        </w:rPr>
      </w:pPr>
    </w:p>
    <w:p w:rsidR="000A7585" w:rsidRPr="00AE6EDB" w:rsidRDefault="000A7585" w:rsidP="000A7585">
      <w:pPr>
        <w:spacing w:after="60"/>
        <w:rPr>
          <w:b/>
        </w:rPr>
      </w:pPr>
      <w:r w:rsidRPr="00AE6EDB">
        <w:rPr>
          <w:b/>
        </w:rPr>
        <w:t>Príspevok na činnosť pracovného asistenta (§ 59)</w:t>
      </w:r>
    </w:p>
    <w:p w:rsidR="000A7585" w:rsidRPr="00AE6EDB" w:rsidRDefault="000A7585" w:rsidP="000A7585">
      <w:pPr>
        <w:pStyle w:val="Normlnysozarkami"/>
        <w:ind w:firstLine="431"/>
        <w:rPr>
          <w:szCs w:val="22"/>
        </w:rPr>
      </w:pPr>
      <w:r w:rsidRPr="00AE6EDB">
        <w:t>Cieľom tohto opatrenia je vytvárať podmienky pre výkon zamestnania OZP</w:t>
      </w:r>
      <w:r w:rsidRPr="00AE6EDB">
        <w:rPr>
          <w:szCs w:val="22"/>
        </w:rPr>
        <w:t xml:space="preserve">, ak potreba pracovného asistenta vyplýva z druhu zdravotného postihnutia a z vykonávanej pracovnej činnosti OZP. </w:t>
      </w:r>
      <w:r w:rsidRPr="00AE6EDB">
        <w:rPr>
          <w:bCs/>
        </w:rPr>
        <w:t xml:space="preserve">Úrad PSVR poskytne príspevok zamestnávateľovi, ktorý zamestnáva OZP, alebo samostatne zárobkovo činnej osobe, ktorá je OZP, ak z druhu zdravotného postihnutia a z vykonávanej pracovnej činnosti zamestnanca alebo samostatne zárobkovo činnej osoby vyplýva potreba pracovného asistenta. </w:t>
      </w:r>
    </w:p>
    <w:p w:rsidR="000A7585" w:rsidRPr="00AE6EDB" w:rsidRDefault="000A7585" w:rsidP="000A7585">
      <w:pPr>
        <w:pStyle w:val="Normlnysozarkami"/>
        <w:ind w:firstLine="567"/>
        <w:rPr>
          <w:szCs w:val="22"/>
        </w:rPr>
      </w:pPr>
      <w:r w:rsidRPr="00AE6EDB">
        <w:rPr>
          <w:szCs w:val="22"/>
        </w:rPr>
        <w:t xml:space="preserve">Úrady v roku 2015 podporili 831 pracovných miest pre pracovného asistenta, čo bolo o 61 viac ako v roku 2014. Celková suma čerpaných finančných prostriedkov bola vo výške </w:t>
      </w:r>
      <w:r w:rsidR="0054295F">
        <w:rPr>
          <w:szCs w:val="22"/>
        </w:rPr>
        <w:t>3 2</w:t>
      </w:r>
      <w:r w:rsidRPr="00AE6EDB">
        <w:rPr>
          <w:szCs w:val="22"/>
        </w:rPr>
        <w:t>5</w:t>
      </w:r>
      <w:r w:rsidR="00AC44CB">
        <w:rPr>
          <w:szCs w:val="22"/>
        </w:rPr>
        <w:t>5 6</w:t>
      </w:r>
      <w:r w:rsidRPr="00AE6EDB">
        <w:rPr>
          <w:szCs w:val="22"/>
        </w:rPr>
        <w:t>76</w:t>
      </w:r>
      <w:r w:rsidR="0054295F">
        <w:rPr>
          <w:szCs w:val="22"/>
        </w:rPr>
        <w:t> eur</w:t>
      </w:r>
      <w:r w:rsidRPr="00AE6EDB">
        <w:rPr>
          <w:szCs w:val="22"/>
        </w:rPr>
        <w:t>, čo je o 3</w:t>
      </w:r>
      <w:r w:rsidR="00AC44CB">
        <w:rPr>
          <w:szCs w:val="22"/>
        </w:rPr>
        <w:t>4 9</w:t>
      </w:r>
      <w:r w:rsidRPr="00AE6EDB">
        <w:rPr>
          <w:szCs w:val="22"/>
        </w:rPr>
        <w:t>54</w:t>
      </w:r>
      <w:r w:rsidR="0054295F">
        <w:rPr>
          <w:szCs w:val="22"/>
        </w:rPr>
        <w:t> eur</w:t>
      </w:r>
      <w:r w:rsidRPr="00AE6EDB">
        <w:rPr>
          <w:szCs w:val="22"/>
        </w:rPr>
        <w:t xml:space="preserve"> viac ako v roku 2014.</w:t>
      </w:r>
    </w:p>
    <w:p w:rsidR="000A7585" w:rsidRPr="00AE6EDB" w:rsidRDefault="000A7585" w:rsidP="000A7585">
      <w:pPr>
        <w:pStyle w:val="Normlnysozarkami"/>
        <w:ind w:firstLine="567"/>
        <w:rPr>
          <w:highlight w:val="cyan"/>
        </w:rPr>
      </w:pPr>
      <w:r w:rsidRPr="00AE6EDB">
        <w:rPr>
          <w:highlight w:val="cyan"/>
        </w:rPr>
        <w:t xml:space="preserve"> </w:t>
      </w:r>
    </w:p>
    <w:p w:rsidR="000A7585" w:rsidRPr="00AE6EDB" w:rsidRDefault="000A7585" w:rsidP="000A7585">
      <w:pPr>
        <w:spacing w:after="60"/>
        <w:rPr>
          <w:b/>
        </w:rPr>
      </w:pPr>
      <w:r w:rsidRPr="00AE6EDB">
        <w:rPr>
          <w:b/>
        </w:rPr>
        <w:t>Príspevok na úhradu prevádzkových nákladov chránenej dielne alebo chráneného pracoviska a na úhradu nákladov na dopravu zamestnancov (§ 60)</w:t>
      </w:r>
    </w:p>
    <w:p w:rsidR="000A7585" w:rsidRPr="00AE6EDB" w:rsidRDefault="000A7585" w:rsidP="000A7585">
      <w:pPr>
        <w:ind w:firstLine="431"/>
      </w:pPr>
      <w:r w:rsidRPr="00AE6EDB">
        <w:t>Príspevok na úhradu prevádzkových nákladov CHD alebo CHP a na úhradu nákladov na dopravu zamestnancov sa poskytuje právnickej osobe alebo fyzickej osobe</w:t>
      </w:r>
      <w:r w:rsidR="003E2180" w:rsidRPr="00AE6EDB">
        <w:t>, pričom v</w:t>
      </w:r>
      <w:r w:rsidRPr="00AE6EDB">
        <w:rPr>
          <w:bCs/>
        </w:rPr>
        <w:t>ýška príspevku je závislá od priemernej miery evidovanej nezamestnanosti v príslušnom okrese.</w:t>
      </w:r>
    </w:p>
    <w:p w:rsidR="000A7585" w:rsidRPr="00AE6EDB" w:rsidRDefault="000A7585" w:rsidP="000A7585">
      <w:pPr>
        <w:pStyle w:val="Normlnysozarkami"/>
        <w:ind w:firstLine="567"/>
        <w:rPr>
          <w:rFonts w:ascii="Times New Roman Bold" w:hAnsi="Times New Roman Bold"/>
          <w:b/>
          <w:color w:val="4F81BD"/>
          <w:szCs w:val="22"/>
          <w:lang w:eastAsia="cs-CZ"/>
        </w:rPr>
      </w:pPr>
      <w:r w:rsidRPr="00AE6EDB">
        <w:rPr>
          <w:szCs w:val="22"/>
        </w:rPr>
        <w:t xml:space="preserve">V roku 2015 bolo prostredníctvom tohto opatrenia podporených </w:t>
      </w:r>
      <w:r w:rsidR="00AC44CB">
        <w:rPr>
          <w:szCs w:val="22"/>
        </w:rPr>
        <w:t>9 8</w:t>
      </w:r>
      <w:r w:rsidRPr="00AE6EDB">
        <w:rPr>
          <w:szCs w:val="22"/>
        </w:rPr>
        <w:t>08 pracovných miest, čo v porovnaní s rokom 2014 predstavuje nárast o 80 pracovných miest.</w:t>
      </w:r>
      <w:r w:rsidRPr="00AE6EDB">
        <w:rPr>
          <w:color w:val="00B050"/>
          <w:szCs w:val="22"/>
        </w:rPr>
        <w:t xml:space="preserve"> </w:t>
      </w:r>
      <w:r w:rsidRPr="00AE6EDB">
        <w:rPr>
          <w:szCs w:val="22"/>
        </w:rPr>
        <w:t>Celková suma na úhradu nákladov predstavovala 2</w:t>
      </w:r>
      <w:r w:rsidR="0054295F">
        <w:rPr>
          <w:szCs w:val="22"/>
        </w:rPr>
        <w:t>3 6</w:t>
      </w:r>
      <w:r w:rsidRPr="00AE6EDB">
        <w:rPr>
          <w:szCs w:val="22"/>
        </w:rPr>
        <w:t>1</w:t>
      </w:r>
      <w:r w:rsidR="0054295F">
        <w:rPr>
          <w:szCs w:val="22"/>
        </w:rPr>
        <w:t>4 1</w:t>
      </w:r>
      <w:r w:rsidRPr="00AE6EDB">
        <w:rPr>
          <w:szCs w:val="22"/>
        </w:rPr>
        <w:t>57</w:t>
      </w:r>
      <w:r w:rsidR="0054295F">
        <w:rPr>
          <w:szCs w:val="22"/>
        </w:rPr>
        <w:t> eur</w:t>
      </w:r>
      <w:r w:rsidRPr="00AE6EDB">
        <w:rPr>
          <w:szCs w:val="22"/>
        </w:rPr>
        <w:t xml:space="preserve"> čo je o </w:t>
      </w:r>
      <w:r w:rsidR="0054295F">
        <w:rPr>
          <w:szCs w:val="22"/>
        </w:rPr>
        <w:t>3 3</w:t>
      </w:r>
      <w:r w:rsidRPr="00AE6EDB">
        <w:rPr>
          <w:szCs w:val="22"/>
        </w:rPr>
        <w:t>5</w:t>
      </w:r>
      <w:r w:rsidR="00AC44CB">
        <w:rPr>
          <w:szCs w:val="22"/>
        </w:rPr>
        <w:t>6 0</w:t>
      </w:r>
      <w:r w:rsidRPr="00AE6EDB">
        <w:rPr>
          <w:szCs w:val="22"/>
        </w:rPr>
        <w:t>57</w:t>
      </w:r>
      <w:r w:rsidR="0054295F">
        <w:rPr>
          <w:szCs w:val="22"/>
        </w:rPr>
        <w:t> eur</w:t>
      </w:r>
      <w:r w:rsidRPr="00AE6EDB">
        <w:rPr>
          <w:szCs w:val="22"/>
        </w:rPr>
        <w:t xml:space="preserve"> viac ako v roku 2014. </w:t>
      </w:r>
    </w:p>
    <w:p w:rsidR="000A7585" w:rsidRPr="00AE6EDB" w:rsidRDefault="000A7585" w:rsidP="000A7585">
      <w:pPr>
        <w:pStyle w:val="Normlnysozarkami"/>
        <w:ind w:firstLine="431"/>
        <w:rPr>
          <w:highlight w:val="cyan"/>
        </w:rPr>
      </w:pPr>
      <w:r w:rsidRPr="00AE6EDB">
        <w:rPr>
          <w:highlight w:val="cyan"/>
        </w:rPr>
        <w:br w:type="page"/>
      </w:r>
    </w:p>
    <w:p w:rsidR="008466E5" w:rsidRPr="00AE6EDB" w:rsidRDefault="008466E5" w:rsidP="008466E5">
      <w:pPr>
        <w:pStyle w:val="Nadpis7"/>
        <w:rPr>
          <w:b w:val="0"/>
        </w:rPr>
      </w:pPr>
      <w:r w:rsidRPr="00AE6EDB">
        <w:t xml:space="preserve">Tabuľka 6 Priemerná mesačná nominálna mzda a jej rast v rokoch </w:t>
      </w:r>
      <w:r w:rsidR="00C25322" w:rsidRPr="00AE6EDB">
        <w:t xml:space="preserve">2014 a 2015 </w:t>
      </w:r>
      <w:r w:rsidRPr="00AE6EDB">
        <w:t>podľa krajov</w:t>
      </w:r>
    </w:p>
    <w:tbl>
      <w:tblPr>
        <w:tblStyle w:val="Mriekatabuky1"/>
        <w:tblW w:w="7144" w:type="dxa"/>
        <w:jc w:val="center"/>
        <w:tblLook w:val="04A0" w:firstRow="1" w:lastRow="0" w:firstColumn="1" w:lastColumn="0" w:noHBand="0" w:noVBand="1"/>
      </w:tblPr>
      <w:tblGrid>
        <w:gridCol w:w="2300"/>
        <w:gridCol w:w="1300"/>
        <w:gridCol w:w="1158"/>
        <w:gridCol w:w="1206"/>
        <w:gridCol w:w="1180"/>
      </w:tblGrid>
      <w:tr w:rsidR="008466E5" w:rsidRPr="00AE6EDB" w:rsidTr="008466E5">
        <w:trPr>
          <w:trHeight w:val="300"/>
          <w:jc w:val="center"/>
        </w:trPr>
        <w:tc>
          <w:tcPr>
            <w:tcW w:w="2300" w:type="dxa"/>
            <w:vMerge w:val="restart"/>
            <w:shd w:val="clear" w:color="auto" w:fill="FF9999" w:themeFill="accent3" w:themeFillTint="66"/>
            <w:noWrap/>
            <w:hideMark/>
          </w:tcPr>
          <w:p w:rsidR="008466E5" w:rsidRPr="00AE6EDB" w:rsidRDefault="008466E5" w:rsidP="008466E5">
            <w:pPr>
              <w:jc w:val="left"/>
              <w:rPr>
                <w:b/>
                <w:bCs/>
                <w:szCs w:val="22"/>
              </w:rPr>
            </w:pPr>
          </w:p>
        </w:tc>
        <w:tc>
          <w:tcPr>
            <w:tcW w:w="2458" w:type="dxa"/>
            <w:gridSpan w:val="2"/>
            <w:shd w:val="clear" w:color="auto" w:fill="FF9999" w:themeFill="accent3" w:themeFillTint="66"/>
            <w:noWrap/>
            <w:hideMark/>
          </w:tcPr>
          <w:p w:rsidR="008466E5" w:rsidRPr="00AE6EDB" w:rsidRDefault="008466E5" w:rsidP="00D81103">
            <w:pPr>
              <w:jc w:val="center"/>
              <w:rPr>
                <w:b/>
                <w:bCs/>
                <w:szCs w:val="22"/>
              </w:rPr>
            </w:pPr>
            <w:r w:rsidRPr="00AE6EDB">
              <w:rPr>
                <w:b/>
                <w:bCs/>
                <w:szCs w:val="22"/>
              </w:rPr>
              <w:t>2014</w:t>
            </w:r>
          </w:p>
        </w:tc>
        <w:tc>
          <w:tcPr>
            <w:tcW w:w="2386" w:type="dxa"/>
            <w:gridSpan w:val="2"/>
            <w:shd w:val="clear" w:color="auto" w:fill="FF9999" w:themeFill="accent3" w:themeFillTint="66"/>
            <w:noWrap/>
            <w:hideMark/>
          </w:tcPr>
          <w:p w:rsidR="008466E5" w:rsidRPr="00AE6EDB" w:rsidRDefault="008466E5" w:rsidP="00D81103">
            <w:pPr>
              <w:jc w:val="center"/>
              <w:rPr>
                <w:b/>
                <w:bCs/>
                <w:szCs w:val="22"/>
              </w:rPr>
            </w:pPr>
            <w:r w:rsidRPr="00AE6EDB">
              <w:rPr>
                <w:b/>
                <w:bCs/>
                <w:szCs w:val="22"/>
              </w:rPr>
              <w:t>2015</w:t>
            </w:r>
          </w:p>
        </w:tc>
      </w:tr>
      <w:tr w:rsidR="008466E5" w:rsidRPr="00AE6EDB" w:rsidTr="008466E5">
        <w:trPr>
          <w:trHeight w:val="585"/>
          <w:jc w:val="center"/>
        </w:trPr>
        <w:tc>
          <w:tcPr>
            <w:tcW w:w="2300" w:type="dxa"/>
            <w:vMerge/>
            <w:shd w:val="clear" w:color="auto" w:fill="FF9999" w:themeFill="accent3" w:themeFillTint="66"/>
            <w:noWrap/>
            <w:hideMark/>
          </w:tcPr>
          <w:p w:rsidR="008466E5" w:rsidRPr="00AE6EDB" w:rsidRDefault="008466E5" w:rsidP="00D81103">
            <w:pPr>
              <w:jc w:val="left"/>
              <w:rPr>
                <w:b/>
                <w:bCs/>
                <w:szCs w:val="22"/>
              </w:rPr>
            </w:pPr>
          </w:p>
        </w:tc>
        <w:tc>
          <w:tcPr>
            <w:tcW w:w="1300" w:type="dxa"/>
            <w:shd w:val="clear" w:color="auto" w:fill="FF9999" w:themeFill="accent3" w:themeFillTint="66"/>
            <w:hideMark/>
          </w:tcPr>
          <w:p w:rsidR="008466E5" w:rsidRPr="00AE6EDB" w:rsidRDefault="008466E5" w:rsidP="008466E5">
            <w:pPr>
              <w:ind w:firstLine="0"/>
              <w:jc w:val="center"/>
              <w:rPr>
                <w:b/>
                <w:bCs/>
                <w:szCs w:val="22"/>
              </w:rPr>
            </w:pPr>
            <w:r w:rsidRPr="00AE6EDB">
              <w:rPr>
                <w:b/>
                <w:bCs/>
                <w:szCs w:val="22"/>
              </w:rPr>
              <w:t>priemerná výška v €</w:t>
            </w:r>
          </w:p>
        </w:tc>
        <w:tc>
          <w:tcPr>
            <w:tcW w:w="1158" w:type="dxa"/>
            <w:shd w:val="clear" w:color="auto" w:fill="FF9999" w:themeFill="accent3" w:themeFillTint="66"/>
            <w:hideMark/>
          </w:tcPr>
          <w:p w:rsidR="008466E5" w:rsidRPr="00AE6EDB" w:rsidRDefault="008466E5" w:rsidP="008466E5">
            <w:pPr>
              <w:ind w:firstLine="0"/>
              <w:jc w:val="center"/>
              <w:rPr>
                <w:b/>
                <w:bCs/>
                <w:szCs w:val="22"/>
              </w:rPr>
            </w:pPr>
            <w:r w:rsidRPr="00AE6EDB">
              <w:rPr>
                <w:b/>
                <w:bCs/>
                <w:szCs w:val="22"/>
              </w:rPr>
              <w:t>index 2014/2013</w:t>
            </w:r>
          </w:p>
        </w:tc>
        <w:tc>
          <w:tcPr>
            <w:tcW w:w="1206" w:type="dxa"/>
            <w:shd w:val="clear" w:color="auto" w:fill="FF9999" w:themeFill="accent3" w:themeFillTint="66"/>
            <w:hideMark/>
          </w:tcPr>
          <w:p w:rsidR="008466E5" w:rsidRPr="00AE6EDB" w:rsidRDefault="008466E5" w:rsidP="008466E5">
            <w:pPr>
              <w:ind w:hanging="18"/>
              <w:jc w:val="center"/>
              <w:rPr>
                <w:b/>
                <w:bCs/>
                <w:szCs w:val="22"/>
              </w:rPr>
            </w:pPr>
            <w:r w:rsidRPr="00AE6EDB">
              <w:rPr>
                <w:b/>
                <w:bCs/>
                <w:szCs w:val="22"/>
              </w:rPr>
              <w:t>priemerná výška v €</w:t>
            </w:r>
          </w:p>
        </w:tc>
        <w:tc>
          <w:tcPr>
            <w:tcW w:w="1180" w:type="dxa"/>
            <w:shd w:val="clear" w:color="auto" w:fill="FF9999" w:themeFill="accent3" w:themeFillTint="66"/>
            <w:hideMark/>
          </w:tcPr>
          <w:p w:rsidR="008466E5" w:rsidRPr="00AE6EDB" w:rsidRDefault="008466E5" w:rsidP="008466E5">
            <w:pPr>
              <w:ind w:firstLine="0"/>
              <w:jc w:val="center"/>
              <w:rPr>
                <w:b/>
                <w:bCs/>
                <w:szCs w:val="22"/>
              </w:rPr>
            </w:pPr>
            <w:r w:rsidRPr="00AE6EDB">
              <w:rPr>
                <w:b/>
                <w:bCs/>
                <w:szCs w:val="22"/>
              </w:rPr>
              <w:t>index 2015/2014</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Bratislavský kraj</w:t>
            </w:r>
          </w:p>
        </w:tc>
        <w:tc>
          <w:tcPr>
            <w:tcW w:w="1300" w:type="dxa"/>
            <w:noWrap/>
            <w:hideMark/>
          </w:tcPr>
          <w:p w:rsidR="008466E5" w:rsidRPr="00AE6EDB" w:rsidRDefault="0054295F" w:rsidP="008466E5">
            <w:pPr>
              <w:ind w:right="61" w:firstLine="172"/>
              <w:jc w:val="right"/>
              <w:rPr>
                <w:color w:val="000000"/>
                <w:szCs w:val="22"/>
              </w:rPr>
            </w:pPr>
            <w:r>
              <w:rPr>
                <w:color w:val="000000"/>
                <w:szCs w:val="22"/>
              </w:rPr>
              <w:t>1 1</w:t>
            </w:r>
            <w:r w:rsidR="008466E5" w:rsidRPr="00AE6EDB">
              <w:rPr>
                <w:color w:val="000000"/>
                <w:szCs w:val="22"/>
              </w:rPr>
              <w:t>07</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105,5</w:t>
            </w:r>
          </w:p>
        </w:tc>
        <w:tc>
          <w:tcPr>
            <w:tcW w:w="1206" w:type="dxa"/>
            <w:noWrap/>
          </w:tcPr>
          <w:p w:rsidR="008466E5" w:rsidRPr="00AE6EDB" w:rsidRDefault="0054295F" w:rsidP="008466E5">
            <w:pPr>
              <w:ind w:right="61" w:firstLine="172"/>
              <w:jc w:val="right"/>
              <w:rPr>
                <w:color w:val="000000"/>
                <w:szCs w:val="22"/>
              </w:rPr>
            </w:pPr>
            <w:r>
              <w:rPr>
                <w:color w:val="000000"/>
                <w:szCs w:val="22"/>
              </w:rPr>
              <w:t>1 1</w:t>
            </w:r>
            <w:r w:rsidR="008466E5" w:rsidRPr="00AE6EDB">
              <w:rPr>
                <w:color w:val="000000"/>
                <w:szCs w:val="22"/>
              </w:rPr>
              <w:t>22</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101,4</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Trnavský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772</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103,6</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799</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103,5</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Trenčiansky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779</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103,9</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812</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104,2</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Nitriansky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705</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103,7</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736</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104,4</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Žilinský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750</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102,5</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786</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104,8</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Banskobystrický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730</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103,4</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751</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102,9</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Prešovský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657</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103,3</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683</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104,0</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color w:val="000000"/>
                <w:szCs w:val="22"/>
              </w:rPr>
            </w:pPr>
            <w:r w:rsidRPr="00AE6EDB">
              <w:rPr>
                <w:color w:val="000000"/>
                <w:szCs w:val="22"/>
              </w:rPr>
              <w:t>Košický kraj</w:t>
            </w:r>
          </w:p>
        </w:tc>
        <w:tc>
          <w:tcPr>
            <w:tcW w:w="1300" w:type="dxa"/>
            <w:noWrap/>
            <w:hideMark/>
          </w:tcPr>
          <w:p w:rsidR="008466E5" w:rsidRPr="00AE6EDB" w:rsidRDefault="008466E5" w:rsidP="008466E5">
            <w:pPr>
              <w:ind w:right="61" w:firstLine="172"/>
              <w:jc w:val="right"/>
              <w:rPr>
                <w:color w:val="000000"/>
                <w:szCs w:val="22"/>
              </w:rPr>
            </w:pPr>
            <w:r w:rsidRPr="00AE6EDB">
              <w:rPr>
                <w:color w:val="000000"/>
                <w:szCs w:val="22"/>
              </w:rPr>
              <w:t>775</w:t>
            </w:r>
          </w:p>
        </w:tc>
        <w:tc>
          <w:tcPr>
            <w:tcW w:w="1158" w:type="dxa"/>
            <w:noWrap/>
            <w:hideMark/>
          </w:tcPr>
          <w:p w:rsidR="008466E5" w:rsidRPr="00AE6EDB" w:rsidRDefault="008466E5" w:rsidP="008466E5">
            <w:pPr>
              <w:ind w:right="61" w:firstLine="172"/>
              <w:jc w:val="right"/>
              <w:rPr>
                <w:color w:val="000000"/>
                <w:szCs w:val="22"/>
              </w:rPr>
            </w:pPr>
            <w:r w:rsidRPr="00AE6EDB">
              <w:rPr>
                <w:color w:val="000000"/>
                <w:szCs w:val="22"/>
              </w:rPr>
              <w:t>102,2</w:t>
            </w:r>
          </w:p>
        </w:tc>
        <w:tc>
          <w:tcPr>
            <w:tcW w:w="1206" w:type="dxa"/>
            <w:noWrap/>
          </w:tcPr>
          <w:p w:rsidR="008466E5" w:rsidRPr="00AE6EDB" w:rsidRDefault="008466E5" w:rsidP="008466E5">
            <w:pPr>
              <w:ind w:right="61" w:firstLine="172"/>
              <w:jc w:val="right"/>
              <w:rPr>
                <w:color w:val="000000"/>
                <w:szCs w:val="22"/>
              </w:rPr>
            </w:pPr>
            <w:r w:rsidRPr="00AE6EDB">
              <w:rPr>
                <w:color w:val="000000"/>
                <w:szCs w:val="22"/>
              </w:rPr>
              <w:t>803</w:t>
            </w:r>
          </w:p>
        </w:tc>
        <w:tc>
          <w:tcPr>
            <w:tcW w:w="1180" w:type="dxa"/>
            <w:noWrap/>
          </w:tcPr>
          <w:p w:rsidR="008466E5" w:rsidRPr="00AE6EDB" w:rsidRDefault="008466E5" w:rsidP="008466E5">
            <w:pPr>
              <w:ind w:right="61" w:firstLine="172"/>
              <w:jc w:val="right"/>
              <w:rPr>
                <w:color w:val="000000"/>
                <w:szCs w:val="22"/>
              </w:rPr>
            </w:pPr>
            <w:r w:rsidRPr="00AE6EDB">
              <w:rPr>
                <w:color w:val="000000"/>
                <w:szCs w:val="22"/>
              </w:rPr>
              <w:t>103,6</w:t>
            </w:r>
          </w:p>
        </w:tc>
      </w:tr>
      <w:tr w:rsidR="008466E5" w:rsidRPr="00AE6EDB" w:rsidTr="008466E5">
        <w:trPr>
          <w:trHeight w:val="300"/>
          <w:jc w:val="center"/>
        </w:trPr>
        <w:tc>
          <w:tcPr>
            <w:tcW w:w="2300" w:type="dxa"/>
            <w:noWrap/>
            <w:hideMark/>
          </w:tcPr>
          <w:p w:rsidR="008466E5" w:rsidRPr="00AE6EDB" w:rsidRDefault="008466E5" w:rsidP="008466E5">
            <w:pPr>
              <w:ind w:firstLine="0"/>
              <w:jc w:val="left"/>
              <w:rPr>
                <w:b/>
                <w:bCs/>
                <w:color w:val="000000"/>
                <w:szCs w:val="22"/>
              </w:rPr>
            </w:pPr>
            <w:r w:rsidRPr="00AE6EDB">
              <w:rPr>
                <w:b/>
                <w:bCs/>
                <w:color w:val="000000"/>
                <w:szCs w:val="22"/>
              </w:rPr>
              <w:t>Slovenská republika</w:t>
            </w:r>
          </w:p>
        </w:tc>
        <w:tc>
          <w:tcPr>
            <w:tcW w:w="1300" w:type="dxa"/>
            <w:noWrap/>
            <w:hideMark/>
          </w:tcPr>
          <w:p w:rsidR="008466E5" w:rsidRPr="00AE6EDB" w:rsidRDefault="008466E5" w:rsidP="008466E5">
            <w:pPr>
              <w:ind w:right="61" w:firstLine="172"/>
              <w:jc w:val="right"/>
              <w:rPr>
                <w:b/>
                <w:bCs/>
                <w:color w:val="000000"/>
                <w:szCs w:val="22"/>
              </w:rPr>
            </w:pPr>
            <w:r w:rsidRPr="00AE6EDB">
              <w:rPr>
                <w:b/>
                <w:bCs/>
                <w:color w:val="000000"/>
                <w:szCs w:val="22"/>
              </w:rPr>
              <w:t>858</w:t>
            </w:r>
          </w:p>
        </w:tc>
        <w:tc>
          <w:tcPr>
            <w:tcW w:w="1158" w:type="dxa"/>
            <w:noWrap/>
            <w:hideMark/>
          </w:tcPr>
          <w:p w:rsidR="008466E5" w:rsidRPr="00AE6EDB" w:rsidRDefault="008466E5" w:rsidP="008466E5">
            <w:pPr>
              <w:ind w:right="61" w:firstLine="172"/>
              <w:jc w:val="right"/>
              <w:rPr>
                <w:b/>
                <w:bCs/>
                <w:color w:val="000000"/>
                <w:szCs w:val="22"/>
              </w:rPr>
            </w:pPr>
            <w:r w:rsidRPr="00AE6EDB">
              <w:rPr>
                <w:b/>
                <w:bCs/>
                <w:color w:val="000000"/>
                <w:szCs w:val="22"/>
              </w:rPr>
              <w:t>104,1</w:t>
            </w:r>
          </w:p>
        </w:tc>
        <w:tc>
          <w:tcPr>
            <w:tcW w:w="1206" w:type="dxa"/>
            <w:noWrap/>
          </w:tcPr>
          <w:p w:rsidR="008466E5" w:rsidRPr="00AE6EDB" w:rsidRDefault="008466E5" w:rsidP="008466E5">
            <w:pPr>
              <w:ind w:right="61" w:firstLine="172"/>
              <w:jc w:val="right"/>
              <w:rPr>
                <w:b/>
                <w:bCs/>
                <w:color w:val="000000"/>
                <w:szCs w:val="22"/>
              </w:rPr>
            </w:pPr>
            <w:r w:rsidRPr="00AE6EDB">
              <w:rPr>
                <w:b/>
                <w:bCs/>
                <w:color w:val="000000"/>
                <w:szCs w:val="22"/>
              </w:rPr>
              <w:t>883</w:t>
            </w:r>
          </w:p>
        </w:tc>
        <w:tc>
          <w:tcPr>
            <w:tcW w:w="1180" w:type="dxa"/>
            <w:noWrap/>
          </w:tcPr>
          <w:p w:rsidR="008466E5" w:rsidRPr="00AE6EDB" w:rsidRDefault="008466E5" w:rsidP="008466E5">
            <w:pPr>
              <w:ind w:right="61" w:firstLine="172"/>
              <w:jc w:val="right"/>
              <w:rPr>
                <w:b/>
                <w:bCs/>
                <w:color w:val="000000"/>
                <w:szCs w:val="22"/>
              </w:rPr>
            </w:pPr>
            <w:r w:rsidRPr="00AE6EDB">
              <w:rPr>
                <w:b/>
                <w:bCs/>
                <w:color w:val="000000"/>
                <w:szCs w:val="22"/>
              </w:rPr>
              <w:t>102,9</w:t>
            </w:r>
          </w:p>
        </w:tc>
      </w:tr>
    </w:tbl>
    <w:p w:rsidR="008466E5" w:rsidRPr="00AE6EDB" w:rsidRDefault="008466E5" w:rsidP="008466E5">
      <w:pPr>
        <w:pStyle w:val="zdroj"/>
        <w:ind w:left="567"/>
      </w:pPr>
      <w:r w:rsidRPr="00AE6EDB">
        <w:t>Zdroj: ŠÚ SR</w:t>
      </w:r>
    </w:p>
    <w:p w:rsidR="000A7585" w:rsidRPr="00AE6EDB" w:rsidRDefault="000A7585" w:rsidP="000A7585">
      <w:pPr>
        <w:pStyle w:val="Nadpis7"/>
      </w:pPr>
      <w:r w:rsidRPr="00AE6EDB">
        <w:t xml:space="preserve">Tabuľka </w:t>
      </w:r>
      <w:r w:rsidR="002A54EF" w:rsidRPr="00AE6EDB">
        <w:t>7</w:t>
      </w:r>
      <w:r w:rsidRPr="00AE6EDB">
        <w:t xml:space="preserve"> Priemerná hrubá mesačná mzda v podnikateľskej a nepodnikateľskej sfére </w:t>
      </w:r>
      <w:r w:rsidRPr="00AE6EDB">
        <w:br/>
        <w:t>podľa veku – rok 2015</w:t>
      </w:r>
    </w:p>
    <w:p w:rsidR="000A7585" w:rsidRPr="00AE6EDB" w:rsidRDefault="000A7585" w:rsidP="000A7585">
      <w:pPr>
        <w:spacing w:before="120"/>
        <w:ind w:right="1275"/>
        <w:jc w:val="right"/>
        <w:rPr>
          <w:b/>
          <w:i/>
          <w:color w:val="333300"/>
          <w:sz w:val="4"/>
          <w:szCs w:val="4"/>
        </w:rPr>
      </w:pPr>
      <w:r w:rsidRPr="00AE6EDB">
        <w:rPr>
          <w:color w:val="333300"/>
          <w:szCs w:val="22"/>
        </w:rPr>
        <w:t>v €</w:t>
      </w:r>
    </w:p>
    <w:tbl>
      <w:tblPr>
        <w:tblW w:w="3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980"/>
        <w:gridCol w:w="2161"/>
      </w:tblGrid>
      <w:tr w:rsidR="000A7585" w:rsidRPr="00AE6EDB" w:rsidTr="00DE0EEC">
        <w:trPr>
          <w:jc w:val="center"/>
        </w:trPr>
        <w:tc>
          <w:tcPr>
            <w:tcW w:w="1911" w:type="pct"/>
            <w:shd w:val="clear" w:color="auto" w:fill="FF9999" w:themeFill="accent3" w:themeFillTint="66"/>
            <w:vAlign w:val="center"/>
          </w:tcPr>
          <w:p w:rsidR="000A7585" w:rsidRPr="00AE6EDB" w:rsidRDefault="000A7585" w:rsidP="00DE0EEC">
            <w:pPr>
              <w:jc w:val="center"/>
              <w:rPr>
                <w:b/>
                <w:color w:val="333300"/>
              </w:rPr>
            </w:pPr>
            <w:r w:rsidRPr="00AE6EDB">
              <w:rPr>
                <w:b/>
                <w:color w:val="333300"/>
                <w:szCs w:val="22"/>
              </w:rPr>
              <w:t>Veková skupina</w:t>
            </w:r>
          </w:p>
        </w:tc>
        <w:tc>
          <w:tcPr>
            <w:tcW w:w="1477" w:type="pct"/>
            <w:shd w:val="clear" w:color="auto" w:fill="FF9999" w:themeFill="accent3" w:themeFillTint="66"/>
          </w:tcPr>
          <w:p w:rsidR="000A7585" w:rsidRPr="00AE6EDB" w:rsidRDefault="000A7585" w:rsidP="00DE0EEC">
            <w:pPr>
              <w:jc w:val="center"/>
              <w:rPr>
                <w:b/>
                <w:color w:val="333300"/>
              </w:rPr>
            </w:pPr>
            <w:r w:rsidRPr="00AE6EDB">
              <w:rPr>
                <w:b/>
                <w:color w:val="333300"/>
                <w:szCs w:val="22"/>
              </w:rPr>
              <w:t>Podnikateľská sféra</w:t>
            </w:r>
          </w:p>
        </w:tc>
        <w:tc>
          <w:tcPr>
            <w:tcW w:w="1612" w:type="pct"/>
            <w:shd w:val="clear" w:color="auto" w:fill="FF9999" w:themeFill="accent3" w:themeFillTint="66"/>
          </w:tcPr>
          <w:p w:rsidR="000A7585" w:rsidRPr="00AE6EDB" w:rsidRDefault="000A7585" w:rsidP="00DE0EEC">
            <w:pPr>
              <w:jc w:val="center"/>
              <w:rPr>
                <w:b/>
                <w:color w:val="333300"/>
              </w:rPr>
            </w:pPr>
            <w:r w:rsidRPr="00AE6EDB">
              <w:rPr>
                <w:b/>
                <w:color w:val="333300"/>
                <w:szCs w:val="22"/>
              </w:rPr>
              <w:t>Nepodnikateľská sféra</w:t>
            </w:r>
          </w:p>
        </w:tc>
      </w:tr>
      <w:tr w:rsidR="000A7585" w:rsidRPr="00AE6EDB" w:rsidTr="00DE0EEC">
        <w:trPr>
          <w:jc w:val="center"/>
        </w:trPr>
        <w:tc>
          <w:tcPr>
            <w:tcW w:w="1911" w:type="pct"/>
            <w:shd w:val="clear" w:color="auto" w:fill="FFFFFF"/>
          </w:tcPr>
          <w:p w:rsidR="000A7585" w:rsidRPr="00AE6EDB" w:rsidRDefault="000A7585" w:rsidP="00DE0EEC">
            <w:pPr>
              <w:jc w:val="left"/>
              <w:rPr>
                <w:b/>
                <w:bCs/>
                <w:iCs/>
                <w:color w:val="333300"/>
              </w:rPr>
            </w:pPr>
            <w:r w:rsidRPr="00AE6EDB">
              <w:rPr>
                <w:b/>
                <w:bCs/>
                <w:iCs/>
                <w:color w:val="333300"/>
                <w:szCs w:val="22"/>
              </w:rPr>
              <w:t>Spolu</w:t>
            </w:r>
          </w:p>
        </w:tc>
        <w:tc>
          <w:tcPr>
            <w:tcW w:w="1477" w:type="pct"/>
            <w:shd w:val="clear" w:color="auto" w:fill="FFFFFF"/>
            <w:vAlign w:val="center"/>
          </w:tcPr>
          <w:p w:rsidR="000A7585" w:rsidRPr="00AE6EDB" w:rsidRDefault="0054295F" w:rsidP="00DE0EEC">
            <w:pPr>
              <w:ind w:right="656"/>
              <w:jc w:val="right"/>
              <w:rPr>
                <w:b/>
                <w:sz w:val="20"/>
                <w:szCs w:val="20"/>
              </w:rPr>
            </w:pPr>
            <w:r>
              <w:rPr>
                <w:b/>
                <w:sz w:val="20"/>
                <w:szCs w:val="20"/>
              </w:rPr>
              <w:t>1 0</w:t>
            </w:r>
            <w:r w:rsidR="000A7585" w:rsidRPr="00AE6EDB">
              <w:rPr>
                <w:b/>
                <w:sz w:val="20"/>
                <w:szCs w:val="20"/>
              </w:rPr>
              <w:t>26</w:t>
            </w:r>
          </w:p>
        </w:tc>
        <w:tc>
          <w:tcPr>
            <w:tcW w:w="1612" w:type="pct"/>
            <w:shd w:val="clear" w:color="auto" w:fill="FFFFFF"/>
            <w:vAlign w:val="center"/>
          </w:tcPr>
          <w:p w:rsidR="000A7585" w:rsidRPr="00AE6EDB" w:rsidRDefault="000A7585" w:rsidP="00DE0EEC">
            <w:pPr>
              <w:ind w:right="656"/>
              <w:jc w:val="right"/>
              <w:rPr>
                <w:b/>
                <w:sz w:val="20"/>
                <w:szCs w:val="20"/>
              </w:rPr>
            </w:pPr>
            <w:r w:rsidRPr="00AE6EDB">
              <w:rPr>
                <w:b/>
                <w:sz w:val="20"/>
                <w:szCs w:val="20"/>
              </w:rPr>
              <w:t>863</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do 20 rokov</w:t>
            </w:r>
          </w:p>
        </w:tc>
        <w:tc>
          <w:tcPr>
            <w:tcW w:w="1477" w:type="pct"/>
            <w:vAlign w:val="center"/>
          </w:tcPr>
          <w:p w:rsidR="000A7585" w:rsidRPr="00AE6EDB" w:rsidRDefault="000A7585" w:rsidP="00DE0EEC">
            <w:pPr>
              <w:ind w:right="656"/>
              <w:jc w:val="right"/>
              <w:rPr>
                <w:sz w:val="20"/>
                <w:szCs w:val="20"/>
              </w:rPr>
            </w:pPr>
            <w:r w:rsidRPr="00AE6EDB">
              <w:rPr>
                <w:sz w:val="20"/>
                <w:szCs w:val="20"/>
              </w:rPr>
              <w:t>589</w:t>
            </w:r>
          </w:p>
        </w:tc>
        <w:tc>
          <w:tcPr>
            <w:tcW w:w="1612" w:type="pct"/>
            <w:vAlign w:val="center"/>
          </w:tcPr>
          <w:p w:rsidR="000A7585" w:rsidRPr="00AE6EDB" w:rsidRDefault="000A7585" w:rsidP="00DE0EEC">
            <w:pPr>
              <w:ind w:right="656"/>
              <w:jc w:val="right"/>
              <w:rPr>
                <w:sz w:val="20"/>
                <w:szCs w:val="20"/>
              </w:rPr>
            </w:pPr>
            <w:r w:rsidRPr="00AE6EDB">
              <w:rPr>
                <w:sz w:val="20"/>
                <w:szCs w:val="20"/>
              </w:rPr>
              <w:t>477</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20 – 24 rokov</w:t>
            </w:r>
          </w:p>
        </w:tc>
        <w:tc>
          <w:tcPr>
            <w:tcW w:w="1477" w:type="pct"/>
            <w:vAlign w:val="center"/>
          </w:tcPr>
          <w:p w:rsidR="000A7585" w:rsidRPr="00AE6EDB" w:rsidRDefault="000A7585" w:rsidP="00DE0EEC">
            <w:pPr>
              <w:ind w:right="656"/>
              <w:jc w:val="right"/>
              <w:rPr>
                <w:sz w:val="20"/>
                <w:szCs w:val="20"/>
              </w:rPr>
            </w:pPr>
            <w:r w:rsidRPr="00AE6EDB">
              <w:rPr>
                <w:sz w:val="20"/>
                <w:szCs w:val="20"/>
              </w:rPr>
              <w:t>693</w:t>
            </w:r>
          </w:p>
        </w:tc>
        <w:tc>
          <w:tcPr>
            <w:tcW w:w="1612" w:type="pct"/>
            <w:vAlign w:val="center"/>
          </w:tcPr>
          <w:p w:rsidR="000A7585" w:rsidRPr="00AE6EDB" w:rsidRDefault="000A7585" w:rsidP="00DE0EEC">
            <w:pPr>
              <w:ind w:right="656"/>
              <w:jc w:val="right"/>
              <w:rPr>
                <w:sz w:val="20"/>
                <w:szCs w:val="20"/>
              </w:rPr>
            </w:pPr>
            <w:r w:rsidRPr="00AE6EDB">
              <w:rPr>
                <w:sz w:val="20"/>
                <w:szCs w:val="20"/>
              </w:rPr>
              <w:t>608</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25 – 29 rokov</w:t>
            </w:r>
          </w:p>
        </w:tc>
        <w:tc>
          <w:tcPr>
            <w:tcW w:w="1477" w:type="pct"/>
            <w:vAlign w:val="center"/>
          </w:tcPr>
          <w:p w:rsidR="000A7585" w:rsidRPr="00AE6EDB" w:rsidRDefault="000A7585" w:rsidP="00DE0EEC">
            <w:pPr>
              <w:ind w:right="656"/>
              <w:jc w:val="right"/>
              <w:rPr>
                <w:sz w:val="20"/>
                <w:szCs w:val="20"/>
              </w:rPr>
            </w:pPr>
            <w:r w:rsidRPr="00AE6EDB">
              <w:rPr>
                <w:sz w:val="20"/>
                <w:szCs w:val="20"/>
              </w:rPr>
              <w:t>905</w:t>
            </w:r>
          </w:p>
        </w:tc>
        <w:tc>
          <w:tcPr>
            <w:tcW w:w="1612" w:type="pct"/>
            <w:vAlign w:val="center"/>
          </w:tcPr>
          <w:p w:rsidR="000A7585" w:rsidRPr="00AE6EDB" w:rsidRDefault="000A7585" w:rsidP="00DE0EEC">
            <w:pPr>
              <w:ind w:right="656"/>
              <w:jc w:val="right"/>
              <w:rPr>
                <w:sz w:val="20"/>
                <w:szCs w:val="20"/>
              </w:rPr>
            </w:pPr>
            <w:r w:rsidRPr="00AE6EDB">
              <w:rPr>
                <w:sz w:val="20"/>
                <w:szCs w:val="20"/>
              </w:rPr>
              <w:t>769</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30 – 34 rokov</w:t>
            </w:r>
          </w:p>
        </w:tc>
        <w:tc>
          <w:tcPr>
            <w:tcW w:w="1477" w:type="pct"/>
            <w:vAlign w:val="center"/>
          </w:tcPr>
          <w:p w:rsidR="000A7585" w:rsidRPr="00AE6EDB" w:rsidRDefault="0054295F" w:rsidP="00DE0EEC">
            <w:pPr>
              <w:ind w:right="656"/>
              <w:jc w:val="right"/>
              <w:rPr>
                <w:sz w:val="20"/>
                <w:szCs w:val="20"/>
              </w:rPr>
            </w:pPr>
            <w:r>
              <w:rPr>
                <w:sz w:val="20"/>
                <w:szCs w:val="20"/>
              </w:rPr>
              <w:t>1 0</w:t>
            </w:r>
            <w:r w:rsidR="000A7585" w:rsidRPr="00AE6EDB">
              <w:rPr>
                <w:sz w:val="20"/>
                <w:szCs w:val="20"/>
              </w:rPr>
              <w:t>92</w:t>
            </w:r>
          </w:p>
        </w:tc>
        <w:tc>
          <w:tcPr>
            <w:tcW w:w="1612" w:type="pct"/>
            <w:vAlign w:val="center"/>
          </w:tcPr>
          <w:p w:rsidR="000A7585" w:rsidRPr="00AE6EDB" w:rsidRDefault="000A7585" w:rsidP="00DE0EEC">
            <w:pPr>
              <w:ind w:right="656"/>
              <w:jc w:val="right"/>
              <w:rPr>
                <w:sz w:val="20"/>
                <w:szCs w:val="20"/>
              </w:rPr>
            </w:pPr>
            <w:r w:rsidRPr="00AE6EDB">
              <w:rPr>
                <w:sz w:val="20"/>
                <w:szCs w:val="20"/>
              </w:rPr>
              <w:t>860</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35 – 39 rokov</w:t>
            </w:r>
          </w:p>
        </w:tc>
        <w:tc>
          <w:tcPr>
            <w:tcW w:w="1477" w:type="pct"/>
            <w:vAlign w:val="center"/>
          </w:tcPr>
          <w:p w:rsidR="000A7585" w:rsidRPr="00AE6EDB" w:rsidRDefault="0054295F" w:rsidP="00DE0EEC">
            <w:pPr>
              <w:ind w:right="656"/>
              <w:jc w:val="right"/>
              <w:rPr>
                <w:sz w:val="20"/>
                <w:szCs w:val="20"/>
              </w:rPr>
            </w:pPr>
            <w:r>
              <w:rPr>
                <w:sz w:val="20"/>
                <w:szCs w:val="20"/>
              </w:rPr>
              <w:t>1 1</w:t>
            </w:r>
            <w:r w:rsidR="000A7585" w:rsidRPr="00AE6EDB">
              <w:rPr>
                <w:sz w:val="20"/>
                <w:szCs w:val="20"/>
              </w:rPr>
              <w:t>55</w:t>
            </w:r>
          </w:p>
        </w:tc>
        <w:tc>
          <w:tcPr>
            <w:tcW w:w="1612" w:type="pct"/>
            <w:vAlign w:val="center"/>
          </w:tcPr>
          <w:p w:rsidR="000A7585" w:rsidRPr="00AE6EDB" w:rsidRDefault="000A7585" w:rsidP="00DE0EEC">
            <w:pPr>
              <w:ind w:right="656"/>
              <w:jc w:val="right"/>
              <w:rPr>
                <w:sz w:val="20"/>
                <w:szCs w:val="20"/>
              </w:rPr>
            </w:pPr>
            <w:r w:rsidRPr="00AE6EDB">
              <w:rPr>
                <w:sz w:val="20"/>
                <w:szCs w:val="20"/>
              </w:rPr>
              <w:t>866</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40 – 44 rokov</w:t>
            </w:r>
          </w:p>
        </w:tc>
        <w:tc>
          <w:tcPr>
            <w:tcW w:w="1477" w:type="pct"/>
            <w:vAlign w:val="center"/>
          </w:tcPr>
          <w:p w:rsidR="000A7585" w:rsidRPr="00AE6EDB" w:rsidRDefault="0054295F" w:rsidP="00DE0EEC">
            <w:pPr>
              <w:ind w:right="656"/>
              <w:jc w:val="right"/>
              <w:rPr>
                <w:sz w:val="20"/>
                <w:szCs w:val="20"/>
              </w:rPr>
            </w:pPr>
            <w:r>
              <w:rPr>
                <w:sz w:val="20"/>
                <w:szCs w:val="20"/>
              </w:rPr>
              <w:t>1 1</w:t>
            </w:r>
            <w:r w:rsidR="000A7585" w:rsidRPr="00AE6EDB">
              <w:rPr>
                <w:sz w:val="20"/>
                <w:szCs w:val="20"/>
              </w:rPr>
              <w:t>14</w:t>
            </w:r>
          </w:p>
        </w:tc>
        <w:tc>
          <w:tcPr>
            <w:tcW w:w="1612" w:type="pct"/>
            <w:vAlign w:val="center"/>
          </w:tcPr>
          <w:p w:rsidR="000A7585" w:rsidRPr="00AE6EDB" w:rsidRDefault="000A7585" w:rsidP="00DE0EEC">
            <w:pPr>
              <w:ind w:right="656"/>
              <w:jc w:val="right"/>
              <w:rPr>
                <w:sz w:val="20"/>
                <w:szCs w:val="20"/>
              </w:rPr>
            </w:pPr>
            <w:r w:rsidRPr="00AE6EDB">
              <w:rPr>
                <w:sz w:val="20"/>
                <w:szCs w:val="20"/>
              </w:rPr>
              <w:t>881</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45 – 49 rokov</w:t>
            </w:r>
          </w:p>
        </w:tc>
        <w:tc>
          <w:tcPr>
            <w:tcW w:w="1477" w:type="pct"/>
            <w:vAlign w:val="center"/>
          </w:tcPr>
          <w:p w:rsidR="000A7585" w:rsidRPr="00AE6EDB" w:rsidRDefault="0054295F" w:rsidP="00DE0EEC">
            <w:pPr>
              <w:ind w:right="656"/>
              <w:jc w:val="right"/>
              <w:rPr>
                <w:sz w:val="20"/>
                <w:szCs w:val="20"/>
              </w:rPr>
            </w:pPr>
            <w:r>
              <w:rPr>
                <w:sz w:val="20"/>
                <w:szCs w:val="20"/>
              </w:rPr>
              <w:t>1 0</w:t>
            </w:r>
            <w:r w:rsidR="000A7585" w:rsidRPr="00AE6EDB">
              <w:rPr>
                <w:sz w:val="20"/>
                <w:szCs w:val="20"/>
              </w:rPr>
              <w:t>34</w:t>
            </w:r>
          </w:p>
        </w:tc>
        <w:tc>
          <w:tcPr>
            <w:tcW w:w="1612" w:type="pct"/>
            <w:vAlign w:val="center"/>
          </w:tcPr>
          <w:p w:rsidR="000A7585" w:rsidRPr="00AE6EDB" w:rsidRDefault="000A7585" w:rsidP="00DE0EEC">
            <w:pPr>
              <w:ind w:right="656"/>
              <w:jc w:val="right"/>
              <w:rPr>
                <w:sz w:val="20"/>
                <w:szCs w:val="20"/>
              </w:rPr>
            </w:pPr>
            <w:r w:rsidRPr="00AE6EDB">
              <w:rPr>
                <w:sz w:val="20"/>
                <w:szCs w:val="20"/>
              </w:rPr>
              <w:t>880</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50 – 54 rokov</w:t>
            </w:r>
          </w:p>
        </w:tc>
        <w:tc>
          <w:tcPr>
            <w:tcW w:w="1477" w:type="pct"/>
            <w:vAlign w:val="center"/>
          </w:tcPr>
          <w:p w:rsidR="000A7585" w:rsidRPr="00AE6EDB" w:rsidRDefault="0054295F" w:rsidP="00DE0EEC">
            <w:pPr>
              <w:ind w:right="656"/>
              <w:jc w:val="right"/>
              <w:rPr>
                <w:sz w:val="20"/>
                <w:szCs w:val="20"/>
              </w:rPr>
            </w:pPr>
            <w:r>
              <w:rPr>
                <w:sz w:val="20"/>
                <w:szCs w:val="20"/>
              </w:rPr>
              <w:t>1 0</w:t>
            </w:r>
            <w:r w:rsidR="000A7585" w:rsidRPr="00AE6EDB">
              <w:rPr>
                <w:sz w:val="20"/>
                <w:szCs w:val="20"/>
              </w:rPr>
              <w:t>05</w:t>
            </w:r>
          </w:p>
        </w:tc>
        <w:tc>
          <w:tcPr>
            <w:tcW w:w="1612" w:type="pct"/>
            <w:vAlign w:val="center"/>
          </w:tcPr>
          <w:p w:rsidR="000A7585" w:rsidRPr="00AE6EDB" w:rsidRDefault="000A7585" w:rsidP="00DE0EEC">
            <w:pPr>
              <w:ind w:right="656"/>
              <w:jc w:val="right"/>
              <w:rPr>
                <w:sz w:val="20"/>
                <w:szCs w:val="20"/>
              </w:rPr>
            </w:pPr>
            <w:r w:rsidRPr="00AE6EDB">
              <w:rPr>
                <w:sz w:val="20"/>
                <w:szCs w:val="20"/>
              </w:rPr>
              <w:t>866</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55 – 59 rokov</w:t>
            </w:r>
          </w:p>
        </w:tc>
        <w:tc>
          <w:tcPr>
            <w:tcW w:w="1477" w:type="pct"/>
            <w:vAlign w:val="center"/>
          </w:tcPr>
          <w:p w:rsidR="000A7585" w:rsidRPr="00AE6EDB" w:rsidRDefault="000A7585" w:rsidP="00DE0EEC">
            <w:pPr>
              <w:ind w:right="656"/>
              <w:jc w:val="right"/>
              <w:rPr>
                <w:sz w:val="20"/>
                <w:szCs w:val="20"/>
              </w:rPr>
            </w:pPr>
            <w:r w:rsidRPr="00AE6EDB">
              <w:rPr>
                <w:sz w:val="20"/>
                <w:szCs w:val="20"/>
              </w:rPr>
              <w:t>976</w:t>
            </w:r>
          </w:p>
        </w:tc>
        <w:tc>
          <w:tcPr>
            <w:tcW w:w="1612" w:type="pct"/>
            <w:vAlign w:val="center"/>
          </w:tcPr>
          <w:p w:rsidR="000A7585" w:rsidRPr="00AE6EDB" w:rsidRDefault="000A7585" w:rsidP="00DE0EEC">
            <w:pPr>
              <w:ind w:right="656"/>
              <w:jc w:val="right"/>
              <w:rPr>
                <w:sz w:val="20"/>
                <w:szCs w:val="20"/>
              </w:rPr>
            </w:pPr>
            <w:r w:rsidRPr="00AE6EDB">
              <w:rPr>
                <w:sz w:val="20"/>
                <w:szCs w:val="20"/>
              </w:rPr>
              <w:t>854</w:t>
            </w:r>
          </w:p>
        </w:tc>
      </w:tr>
      <w:tr w:rsidR="000A7585" w:rsidRPr="00AE6EDB" w:rsidTr="00DE0EEC">
        <w:trPr>
          <w:jc w:val="center"/>
        </w:trPr>
        <w:tc>
          <w:tcPr>
            <w:tcW w:w="1911" w:type="pct"/>
          </w:tcPr>
          <w:p w:rsidR="000A7585" w:rsidRPr="00AE6EDB" w:rsidRDefault="000A7585" w:rsidP="00DE0EEC">
            <w:pPr>
              <w:ind w:left="113"/>
              <w:jc w:val="left"/>
              <w:rPr>
                <w:color w:val="333300"/>
              </w:rPr>
            </w:pPr>
            <w:r w:rsidRPr="00AE6EDB">
              <w:rPr>
                <w:color w:val="333300"/>
                <w:szCs w:val="22"/>
              </w:rPr>
              <w:t xml:space="preserve">60 a viac rokov </w:t>
            </w:r>
          </w:p>
        </w:tc>
        <w:tc>
          <w:tcPr>
            <w:tcW w:w="1477" w:type="pct"/>
            <w:vAlign w:val="center"/>
          </w:tcPr>
          <w:p w:rsidR="000A7585" w:rsidRPr="00AE6EDB" w:rsidRDefault="0054295F" w:rsidP="00DE0EEC">
            <w:pPr>
              <w:ind w:right="656"/>
              <w:jc w:val="right"/>
              <w:rPr>
                <w:sz w:val="20"/>
                <w:szCs w:val="20"/>
              </w:rPr>
            </w:pPr>
            <w:r>
              <w:rPr>
                <w:sz w:val="20"/>
                <w:szCs w:val="20"/>
              </w:rPr>
              <w:t>1 0</w:t>
            </w:r>
            <w:r w:rsidR="000A7585" w:rsidRPr="00AE6EDB">
              <w:rPr>
                <w:sz w:val="20"/>
                <w:szCs w:val="20"/>
              </w:rPr>
              <w:t>42</w:t>
            </w:r>
          </w:p>
        </w:tc>
        <w:tc>
          <w:tcPr>
            <w:tcW w:w="1612" w:type="pct"/>
            <w:vAlign w:val="center"/>
          </w:tcPr>
          <w:p w:rsidR="000A7585" w:rsidRPr="00AE6EDB" w:rsidRDefault="000A7585" w:rsidP="00DE0EEC">
            <w:pPr>
              <w:ind w:right="656"/>
              <w:jc w:val="right"/>
              <w:rPr>
                <w:sz w:val="20"/>
                <w:szCs w:val="20"/>
              </w:rPr>
            </w:pPr>
            <w:r w:rsidRPr="00AE6EDB">
              <w:rPr>
                <w:sz w:val="20"/>
                <w:szCs w:val="20"/>
              </w:rPr>
              <w:t>923</w:t>
            </w:r>
          </w:p>
        </w:tc>
      </w:tr>
    </w:tbl>
    <w:p w:rsidR="000A7585" w:rsidRPr="00AE6EDB" w:rsidRDefault="000A7585" w:rsidP="000A7585">
      <w:pPr>
        <w:pStyle w:val="zdroj"/>
        <w:spacing w:after="0"/>
        <w:ind w:left="708" w:firstLine="426"/>
        <w:rPr>
          <w:sz w:val="18"/>
          <w:szCs w:val="18"/>
        </w:rPr>
      </w:pPr>
      <w:r w:rsidRPr="00AE6EDB">
        <w:t xml:space="preserve"> Zdroj: </w:t>
      </w:r>
      <w:proofErr w:type="spellStart"/>
      <w:r w:rsidRPr="00AE6EDB">
        <w:t>Trexima</w:t>
      </w:r>
      <w:proofErr w:type="spellEnd"/>
      <w:r w:rsidRPr="00AE6EDB">
        <w:t xml:space="preserve">, Informačný systém o priemerných </w:t>
      </w:r>
      <w:r w:rsidRPr="00AE6EDB">
        <w:rPr>
          <w:sz w:val="18"/>
          <w:szCs w:val="18"/>
        </w:rPr>
        <w:t>zárobkoch IV. štvrťrok 2015</w:t>
      </w:r>
    </w:p>
    <w:p w:rsidR="000A7585" w:rsidRPr="00AE6EDB" w:rsidRDefault="000A7585" w:rsidP="000A7585">
      <w:pPr>
        <w:pStyle w:val="zdroj"/>
        <w:rPr>
          <w:sz w:val="18"/>
          <w:szCs w:val="18"/>
        </w:rPr>
      </w:pPr>
    </w:p>
    <w:p w:rsidR="000A7585" w:rsidRPr="00AE6EDB" w:rsidRDefault="000A7585" w:rsidP="000A7585">
      <w:pPr>
        <w:pStyle w:val="Nadpis7"/>
        <w:rPr>
          <w:b w:val="0"/>
          <w:i/>
        </w:rPr>
      </w:pPr>
      <w:r w:rsidRPr="00AE6EDB">
        <w:t xml:space="preserve">Tabuľka </w:t>
      </w:r>
      <w:r w:rsidR="002A54EF" w:rsidRPr="00AE6EDB">
        <w:t>8</w:t>
      </w:r>
      <w:r w:rsidRPr="00AE6EDB">
        <w:t xml:space="preserve"> Priemerná hrubá mesačná mzda v podnikateľskej a nepodnikateľskej sfére </w:t>
      </w:r>
      <w:r w:rsidRPr="00AE6EDB">
        <w:br/>
        <w:t>podľa regiónov – rok 2015</w:t>
      </w:r>
    </w:p>
    <w:p w:rsidR="000A7585" w:rsidRPr="00AE6EDB" w:rsidRDefault="000A7585" w:rsidP="000A7585">
      <w:pPr>
        <w:ind w:right="1134"/>
        <w:jc w:val="right"/>
        <w:rPr>
          <w:color w:val="333300"/>
        </w:rPr>
      </w:pPr>
      <w:r w:rsidRPr="00AE6EDB">
        <w:rPr>
          <w:color w:val="333300"/>
          <w:szCs w:val="22"/>
        </w:rPr>
        <w:t>v €</w:t>
      </w:r>
    </w:p>
    <w:p w:rsidR="000A7585" w:rsidRPr="00AE6EDB" w:rsidRDefault="000A7585" w:rsidP="000A7585">
      <w:pPr>
        <w:jc w:val="center"/>
        <w:rPr>
          <w:b/>
          <w:i/>
          <w:color w:val="333300"/>
          <w:sz w:val="4"/>
          <w:szCs w:val="4"/>
        </w:rPr>
      </w:pPr>
    </w:p>
    <w:tbl>
      <w:tblPr>
        <w:tblW w:w="3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939"/>
        <w:gridCol w:w="2171"/>
      </w:tblGrid>
      <w:tr w:rsidR="000A7585" w:rsidRPr="00AE6EDB" w:rsidTr="00DE0EEC">
        <w:trPr>
          <w:trHeight w:val="262"/>
          <w:jc w:val="center"/>
        </w:trPr>
        <w:tc>
          <w:tcPr>
            <w:tcW w:w="1973" w:type="pct"/>
            <w:shd w:val="clear" w:color="auto" w:fill="FF9999" w:themeFill="accent3" w:themeFillTint="66"/>
            <w:vAlign w:val="center"/>
          </w:tcPr>
          <w:p w:rsidR="000A7585" w:rsidRPr="00AE6EDB" w:rsidRDefault="000A7585" w:rsidP="00DE0EEC">
            <w:pPr>
              <w:jc w:val="center"/>
              <w:rPr>
                <w:b/>
                <w:color w:val="333300"/>
              </w:rPr>
            </w:pPr>
            <w:r w:rsidRPr="00AE6EDB">
              <w:rPr>
                <w:b/>
                <w:color w:val="333300"/>
                <w:szCs w:val="22"/>
              </w:rPr>
              <w:t>Región</w:t>
            </w:r>
          </w:p>
        </w:tc>
        <w:tc>
          <w:tcPr>
            <w:tcW w:w="1428" w:type="pct"/>
            <w:shd w:val="clear" w:color="auto" w:fill="FF9999" w:themeFill="accent3" w:themeFillTint="66"/>
          </w:tcPr>
          <w:p w:rsidR="000A7585" w:rsidRPr="00AE6EDB" w:rsidRDefault="000A7585" w:rsidP="00DE0EEC">
            <w:pPr>
              <w:jc w:val="center"/>
              <w:rPr>
                <w:b/>
                <w:color w:val="333300"/>
              </w:rPr>
            </w:pPr>
            <w:r w:rsidRPr="00AE6EDB">
              <w:rPr>
                <w:b/>
                <w:color w:val="333300"/>
                <w:szCs w:val="22"/>
              </w:rPr>
              <w:t>Podnikateľská sféra</w:t>
            </w:r>
          </w:p>
        </w:tc>
        <w:tc>
          <w:tcPr>
            <w:tcW w:w="1599" w:type="pct"/>
            <w:shd w:val="clear" w:color="auto" w:fill="FF9999" w:themeFill="accent3" w:themeFillTint="66"/>
          </w:tcPr>
          <w:p w:rsidR="000A7585" w:rsidRPr="00AE6EDB" w:rsidRDefault="000A7585" w:rsidP="00DE0EEC">
            <w:pPr>
              <w:jc w:val="center"/>
              <w:rPr>
                <w:b/>
                <w:color w:val="333300"/>
              </w:rPr>
            </w:pPr>
            <w:r w:rsidRPr="00AE6EDB">
              <w:rPr>
                <w:b/>
                <w:color w:val="333300"/>
                <w:szCs w:val="22"/>
              </w:rPr>
              <w:t>Nepodnikateľská sféra</w:t>
            </w:r>
          </w:p>
        </w:tc>
      </w:tr>
      <w:tr w:rsidR="000A7585" w:rsidRPr="00AE6EDB" w:rsidTr="00DE0EEC">
        <w:trPr>
          <w:trHeight w:val="247"/>
          <w:jc w:val="center"/>
        </w:trPr>
        <w:tc>
          <w:tcPr>
            <w:tcW w:w="1973" w:type="pct"/>
          </w:tcPr>
          <w:p w:rsidR="000A7585" w:rsidRPr="00AE6EDB" w:rsidRDefault="000A7585" w:rsidP="00DE0EEC">
            <w:pPr>
              <w:jc w:val="left"/>
              <w:rPr>
                <w:b/>
                <w:bCs/>
                <w:iCs/>
                <w:color w:val="333300"/>
              </w:rPr>
            </w:pPr>
            <w:r w:rsidRPr="00AE6EDB">
              <w:rPr>
                <w:b/>
                <w:bCs/>
                <w:iCs/>
                <w:color w:val="333300"/>
                <w:szCs w:val="22"/>
              </w:rPr>
              <w:t>Spolu</w:t>
            </w:r>
          </w:p>
        </w:tc>
        <w:tc>
          <w:tcPr>
            <w:tcW w:w="1428" w:type="pct"/>
            <w:vAlign w:val="center"/>
          </w:tcPr>
          <w:p w:rsidR="000A7585" w:rsidRPr="00AE6EDB" w:rsidRDefault="0054295F" w:rsidP="00DE0EEC">
            <w:pPr>
              <w:ind w:right="656"/>
              <w:jc w:val="right"/>
              <w:rPr>
                <w:b/>
                <w:sz w:val="20"/>
                <w:szCs w:val="20"/>
              </w:rPr>
            </w:pPr>
            <w:r>
              <w:rPr>
                <w:b/>
                <w:sz w:val="20"/>
                <w:szCs w:val="20"/>
              </w:rPr>
              <w:t>1 0</w:t>
            </w:r>
            <w:r w:rsidR="000A7585" w:rsidRPr="00AE6EDB">
              <w:rPr>
                <w:b/>
                <w:sz w:val="20"/>
                <w:szCs w:val="20"/>
              </w:rPr>
              <w:t>26</w:t>
            </w:r>
          </w:p>
        </w:tc>
        <w:tc>
          <w:tcPr>
            <w:tcW w:w="1599" w:type="pct"/>
            <w:vAlign w:val="center"/>
          </w:tcPr>
          <w:p w:rsidR="000A7585" w:rsidRPr="00AE6EDB" w:rsidRDefault="000A7585" w:rsidP="00DE0EEC">
            <w:pPr>
              <w:ind w:right="656"/>
              <w:jc w:val="right"/>
              <w:rPr>
                <w:b/>
                <w:sz w:val="20"/>
                <w:szCs w:val="20"/>
              </w:rPr>
            </w:pPr>
            <w:r w:rsidRPr="00AE6EDB">
              <w:rPr>
                <w:b/>
                <w:sz w:val="20"/>
                <w:szCs w:val="20"/>
              </w:rPr>
              <w:t>863</w:t>
            </w:r>
          </w:p>
        </w:tc>
      </w:tr>
      <w:tr w:rsidR="000A7585" w:rsidRPr="00AE6EDB" w:rsidTr="00DE0EEC">
        <w:trPr>
          <w:trHeight w:val="262"/>
          <w:jc w:val="center"/>
        </w:trPr>
        <w:tc>
          <w:tcPr>
            <w:tcW w:w="1973" w:type="pct"/>
          </w:tcPr>
          <w:p w:rsidR="000A7585" w:rsidRPr="00AE6EDB" w:rsidRDefault="000A7585" w:rsidP="00DE0EEC">
            <w:pPr>
              <w:ind w:left="113"/>
              <w:jc w:val="left"/>
              <w:rPr>
                <w:color w:val="333300"/>
              </w:rPr>
            </w:pPr>
            <w:r w:rsidRPr="00AE6EDB">
              <w:rPr>
                <w:color w:val="333300"/>
                <w:szCs w:val="22"/>
              </w:rPr>
              <w:t>Bratislavský</w:t>
            </w:r>
          </w:p>
        </w:tc>
        <w:tc>
          <w:tcPr>
            <w:tcW w:w="1428" w:type="pct"/>
            <w:vAlign w:val="center"/>
          </w:tcPr>
          <w:p w:rsidR="000A7585" w:rsidRPr="00AE6EDB" w:rsidRDefault="0054295F" w:rsidP="00DE0EEC">
            <w:pPr>
              <w:ind w:right="690"/>
              <w:jc w:val="right"/>
              <w:rPr>
                <w:sz w:val="20"/>
                <w:szCs w:val="20"/>
              </w:rPr>
            </w:pPr>
            <w:r>
              <w:rPr>
                <w:sz w:val="20"/>
                <w:szCs w:val="20"/>
              </w:rPr>
              <w:t>1 3</w:t>
            </w:r>
            <w:r w:rsidR="000A7585" w:rsidRPr="00AE6EDB">
              <w:rPr>
                <w:sz w:val="20"/>
                <w:szCs w:val="20"/>
              </w:rPr>
              <w:t>90</w:t>
            </w:r>
          </w:p>
        </w:tc>
        <w:tc>
          <w:tcPr>
            <w:tcW w:w="1599" w:type="pct"/>
            <w:vAlign w:val="center"/>
          </w:tcPr>
          <w:p w:rsidR="000A7585" w:rsidRPr="00AE6EDB" w:rsidRDefault="0054295F" w:rsidP="00DE0EEC">
            <w:pPr>
              <w:ind w:right="690"/>
              <w:jc w:val="right"/>
              <w:rPr>
                <w:sz w:val="20"/>
                <w:szCs w:val="20"/>
              </w:rPr>
            </w:pPr>
            <w:r>
              <w:rPr>
                <w:sz w:val="20"/>
                <w:szCs w:val="20"/>
              </w:rPr>
              <w:t>1 0</w:t>
            </w:r>
            <w:r w:rsidR="000A7585" w:rsidRPr="00AE6EDB">
              <w:rPr>
                <w:sz w:val="20"/>
                <w:szCs w:val="20"/>
              </w:rPr>
              <w:t>04</w:t>
            </w:r>
          </w:p>
        </w:tc>
      </w:tr>
      <w:tr w:rsidR="000A7585" w:rsidRPr="00AE6EDB" w:rsidTr="00DE0EEC">
        <w:trPr>
          <w:trHeight w:val="247"/>
          <w:jc w:val="center"/>
        </w:trPr>
        <w:tc>
          <w:tcPr>
            <w:tcW w:w="1973" w:type="pct"/>
          </w:tcPr>
          <w:p w:rsidR="000A7585" w:rsidRPr="00AE6EDB" w:rsidRDefault="000A7585" w:rsidP="00DE0EEC">
            <w:pPr>
              <w:ind w:left="113"/>
              <w:jc w:val="left"/>
              <w:rPr>
                <w:color w:val="333300"/>
              </w:rPr>
            </w:pPr>
            <w:r w:rsidRPr="00AE6EDB">
              <w:rPr>
                <w:color w:val="333300"/>
                <w:szCs w:val="22"/>
              </w:rPr>
              <w:t>Trnavský</w:t>
            </w:r>
          </w:p>
        </w:tc>
        <w:tc>
          <w:tcPr>
            <w:tcW w:w="1428" w:type="pct"/>
            <w:vAlign w:val="center"/>
          </w:tcPr>
          <w:p w:rsidR="000A7585" w:rsidRPr="00AE6EDB" w:rsidRDefault="000A7585" w:rsidP="00DE0EEC">
            <w:pPr>
              <w:ind w:right="690"/>
              <w:jc w:val="right"/>
              <w:rPr>
                <w:sz w:val="20"/>
                <w:szCs w:val="20"/>
              </w:rPr>
            </w:pPr>
            <w:r w:rsidRPr="00AE6EDB">
              <w:rPr>
                <w:sz w:val="20"/>
                <w:szCs w:val="20"/>
              </w:rPr>
              <w:t>956</w:t>
            </w:r>
          </w:p>
        </w:tc>
        <w:tc>
          <w:tcPr>
            <w:tcW w:w="1599" w:type="pct"/>
            <w:vAlign w:val="center"/>
          </w:tcPr>
          <w:p w:rsidR="000A7585" w:rsidRPr="00AE6EDB" w:rsidRDefault="000A7585" w:rsidP="00DE0EEC">
            <w:pPr>
              <w:ind w:right="690"/>
              <w:jc w:val="right"/>
              <w:rPr>
                <w:sz w:val="20"/>
                <w:szCs w:val="20"/>
              </w:rPr>
            </w:pPr>
            <w:r w:rsidRPr="00AE6EDB">
              <w:rPr>
                <w:sz w:val="20"/>
                <w:szCs w:val="20"/>
              </w:rPr>
              <w:t>836</w:t>
            </w:r>
          </w:p>
        </w:tc>
      </w:tr>
      <w:tr w:rsidR="000A7585" w:rsidRPr="00AE6EDB" w:rsidTr="00DE0EEC">
        <w:trPr>
          <w:trHeight w:val="262"/>
          <w:jc w:val="center"/>
        </w:trPr>
        <w:tc>
          <w:tcPr>
            <w:tcW w:w="1973" w:type="pct"/>
          </w:tcPr>
          <w:p w:rsidR="000A7585" w:rsidRPr="00AE6EDB" w:rsidRDefault="000A7585" w:rsidP="00DE0EEC">
            <w:pPr>
              <w:ind w:left="113"/>
              <w:jc w:val="left"/>
              <w:rPr>
                <w:color w:val="333300"/>
              </w:rPr>
            </w:pPr>
            <w:r w:rsidRPr="00AE6EDB">
              <w:rPr>
                <w:color w:val="333300"/>
                <w:szCs w:val="22"/>
              </w:rPr>
              <w:t>Trenčiansky</w:t>
            </w:r>
          </w:p>
        </w:tc>
        <w:tc>
          <w:tcPr>
            <w:tcW w:w="1428" w:type="pct"/>
            <w:vAlign w:val="center"/>
          </w:tcPr>
          <w:p w:rsidR="000A7585" w:rsidRPr="00AE6EDB" w:rsidRDefault="000A7585" w:rsidP="00DE0EEC">
            <w:pPr>
              <w:ind w:right="690"/>
              <w:jc w:val="right"/>
              <w:rPr>
                <w:sz w:val="20"/>
                <w:szCs w:val="20"/>
              </w:rPr>
            </w:pPr>
            <w:r w:rsidRPr="00AE6EDB">
              <w:rPr>
                <w:sz w:val="20"/>
                <w:szCs w:val="20"/>
              </w:rPr>
              <w:t>919</w:t>
            </w:r>
          </w:p>
        </w:tc>
        <w:tc>
          <w:tcPr>
            <w:tcW w:w="1599" w:type="pct"/>
            <w:vAlign w:val="center"/>
          </w:tcPr>
          <w:p w:rsidR="000A7585" w:rsidRPr="00AE6EDB" w:rsidRDefault="000A7585" w:rsidP="00DE0EEC">
            <w:pPr>
              <w:ind w:right="690"/>
              <w:jc w:val="right"/>
              <w:rPr>
                <w:sz w:val="20"/>
                <w:szCs w:val="20"/>
              </w:rPr>
            </w:pPr>
            <w:r w:rsidRPr="00AE6EDB">
              <w:rPr>
                <w:sz w:val="20"/>
                <w:szCs w:val="20"/>
              </w:rPr>
              <w:t>824</w:t>
            </w:r>
          </w:p>
        </w:tc>
      </w:tr>
      <w:tr w:rsidR="000A7585" w:rsidRPr="00AE6EDB" w:rsidTr="00DE0EEC">
        <w:trPr>
          <w:trHeight w:val="247"/>
          <w:jc w:val="center"/>
        </w:trPr>
        <w:tc>
          <w:tcPr>
            <w:tcW w:w="1973" w:type="pct"/>
          </w:tcPr>
          <w:p w:rsidR="000A7585" w:rsidRPr="00AE6EDB" w:rsidRDefault="000A7585" w:rsidP="00DE0EEC">
            <w:pPr>
              <w:ind w:left="113"/>
              <w:jc w:val="left"/>
              <w:rPr>
                <w:color w:val="333300"/>
              </w:rPr>
            </w:pPr>
            <w:r w:rsidRPr="00AE6EDB">
              <w:rPr>
                <w:color w:val="333300"/>
                <w:szCs w:val="22"/>
              </w:rPr>
              <w:t>Nitriansky</w:t>
            </w:r>
          </w:p>
        </w:tc>
        <w:tc>
          <w:tcPr>
            <w:tcW w:w="1428" w:type="pct"/>
            <w:vAlign w:val="center"/>
          </w:tcPr>
          <w:p w:rsidR="000A7585" w:rsidRPr="00AE6EDB" w:rsidRDefault="000A7585" w:rsidP="00DE0EEC">
            <w:pPr>
              <w:ind w:right="690"/>
              <w:jc w:val="right"/>
              <w:rPr>
                <w:sz w:val="20"/>
                <w:szCs w:val="20"/>
              </w:rPr>
            </w:pPr>
            <w:r w:rsidRPr="00AE6EDB">
              <w:rPr>
                <w:sz w:val="20"/>
                <w:szCs w:val="20"/>
              </w:rPr>
              <w:t>863</w:t>
            </w:r>
          </w:p>
        </w:tc>
        <w:tc>
          <w:tcPr>
            <w:tcW w:w="1599" w:type="pct"/>
            <w:vAlign w:val="center"/>
          </w:tcPr>
          <w:p w:rsidR="000A7585" w:rsidRPr="00AE6EDB" w:rsidRDefault="000A7585" w:rsidP="00DE0EEC">
            <w:pPr>
              <w:ind w:right="690"/>
              <w:jc w:val="right"/>
              <w:rPr>
                <w:sz w:val="20"/>
                <w:szCs w:val="20"/>
              </w:rPr>
            </w:pPr>
            <w:r w:rsidRPr="00AE6EDB">
              <w:rPr>
                <w:sz w:val="20"/>
                <w:szCs w:val="20"/>
              </w:rPr>
              <w:t>813</w:t>
            </w:r>
          </w:p>
        </w:tc>
      </w:tr>
      <w:tr w:rsidR="000A7585" w:rsidRPr="00AE6EDB" w:rsidTr="00DE0EEC">
        <w:trPr>
          <w:trHeight w:val="262"/>
          <w:jc w:val="center"/>
        </w:trPr>
        <w:tc>
          <w:tcPr>
            <w:tcW w:w="1973" w:type="pct"/>
          </w:tcPr>
          <w:p w:rsidR="000A7585" w:rsidRPr="00AE6EDB" w:rsidRDefault="000A7585" w:rsidP="00DE0EEC">
            <w:pPr>
              <w:ind w:left="113"/>
              <w:jc w:val="left"/>
              <w:rPr>
                <w:color w:val="333300"/>
              </w:rPr>
            </w:pPr>
            <w:r w:rsidRPr="00AE6EDB">
              <w:rPr>
                <w:color w:val="333300"/>
                <w:szCs w:val="22"/>
              </w:rPr>
              <w:t>Žilinský</w:t>
            </w:r>
          </w:p>
        </w:tc>
        <w:tc>
          <w:tcPr>
            <w:tcW w:w="1428" w:type="pct"/>
            <w:vAlign w:val="center"/>
          </w:tcPr>
          <w:p w:rsidR="000A7585" w:rsidRPr="00AE6EDB" w:rsidRDefault="000A7585" w:rsidP="00DE0EEC">
            <w:pPr>
              <w:ind w:right="690"/>
              <w:jc w:val="right"/>
              <w:rPr>
                <w:sz w:val="20"/>
                <w:szCs w:val="20"/>
              </w:rPr>
            </w:pPr>
            <w:r w:rsidRPr="00AE6EDB">
              <w:rPr>
                <w:sz w:val="20"/>
                <w:szCs w:val="20"/>
              </w:rPr>
              <w:t>934</w:t>
            </w:r>
          </w:p>
        </w:tc>
        <w:tc>
          <w:tcPr>
            <w:tcW w:w="1599" w:type="pct"/>
            <w:vAlign w:val="center"/>
          </w:tcPr>
          <w:p w:rsidR="000A7585" w:rsidRPr="00AE6EDB" w:rsidRDefault="000A7585" w:rsidP="00DE0EEC">
            <w:pPr>
              <w:ind w:right="690"/>
              <w:jc w:val="right"/>
              <w:rPr>
                <w:sz w:val="20"/>
                <w:szCs w:val="20"/>
              </w:rPr>
            </w:pPr>
            <w:r w:rsidRPr="00AE6EDB">
              <w:rPr>
                <w:sz w:val="20"/>
                <w:szCs w:val="20"/>
              </w:rPr>
              <w:t>846</w:t>
            </w:r>
          </w:p>
        </w:tc>
      </w:tr>
      <w:tr w:rsidR="000A7585" w:rsidRPr="00AE6EDB" w:rsidTr="00DE0EEC">
        <w:trPr>
          <w:trHeight w:val="247"/>
          <w:jc w:val="center"/>
        </w:trPr>
        <w:tc>
          <w:tcPr>
            <w:tcW w:w="1973" w:type="pct"/>
          </w:tcPr>
          <w:p w:rsidR="000A7585" w:rsidRPr="00AE6EDB" w:rsidRDefault="000A7585" w:rsidP="00DE0EEC">
            <w:pPr>
              <w:ind w:left="113"/>
              <w:jc w:val="left"/>
              <w:rPr>
                <w:color w:val="333300"/>
              </w:rPr>
            </w:pPr>
            <w:r w:rsidRPr="00AE6EDB">
              <w:rPr>
                <w:color w:val="333300"/>
                <w:szCs w:val="22"/>
              </w:rPr>
              <w:t>Banskobystrický</w:t>
            </w:r>
          </w:p>
        </w:tc>
        <w:tc>
          <w:tcPr>
            <w:tcW w:w="1428" w:type="pct"/>
            <w:vAlign w:val="center"/>
          </w:tcPr>
          <w:p w:rsidR="000A7585" w:rsidRPr="00AE6EDB" w:rsidRDefault="000A7585" w:rsidP="00DE0EEC">
            <w:pPr>
              <w:ind w:right="690"/>
              <w:jc w:val="right"/>
              <w:rPr>
                <w:sz w:val="20"/>
                <w:szCs w:val="20"/>
              </w:rPr>
            </w:pPr>
            <w:r w:rsidRPr="00AE6EDB">
              <w:rPr>
                <w:sz w:val="20"/>
                <w:szCs w:val="20"/>
              </w:rPr>
              <w:t>866</w:t>
            </w:r>
          </w:p>
        </w:tc>
        <w:tc>
          <w:tcPr>
            <w:tcW w:w="1599" w:type="pct"/>
            <w:vAlign w:val="center"/>
          </w:tcPr>
          <w:p w:rsidR="000A7585" w:rsidRPr="00AE6EDB" w:rsidRDefault="000A7585" w:rsidP="00DE0EEC">
            <w:pPr>
              <w:ind w:right="690"/>
              <w:jc w:val="right"/>
              <w:rPr>
                <w:sz w:val="20"/>
                <w:szCs w:val="20"/>
              </w:rPr>
            </w:pPr>
            <w:r w:rsidRPr="00AE6EDB">
              <w:rPr>
                <w:sz w:val="20"/>
                <w:szCs w:val="20"/>
              </w:rPr>
              <w:t>825</w:t>
            </w:r>
          </w:p>
        </w:tc>
      </w:tr>
      <w:tr w:rsidR="000A7585" w:rsidRPr="00AE6EDB" w:rsidTr="00DE0EEC">
        <w:trPr>
          <w:trHeight w:val="262"/>
          <w:jc w:val="center"/>
        </w:trPr>
        <w:tc>
          <w:tcPr>
            <w:tcW w:w="1973" w:type="pct"/>
          </w:tcPr>
          <w:p w:rsidR="000A7585" w:rsidRPr="00AE6EDB" w:rsidRDefault="000A7585" w:rsidP="00DE0EEC">
            <w:pPr>
              <w:ind w:left="113"/>
              <w:jc w:val="left"/>
              <w:rPr>
                <w:color w:val="333300"/>
              </w:rPr>
            </w:pPr>
            <w:r w:rsidRPr="00AE6EDB">
              <w:rPr>
                <w:color w:val="333300"/>
                <w:szCs w:val="22"/>
              </w:rPr>
              <w:t>Prešovský</w:t>
            </w:r>
          </w:p>
        </w:tc>
        <w:tc>
          <w:tcPr>
            <w:tcW w:w="1428" w:type="pct"/>
            <w:vAlign w:val="center"/>
          </w:tcPr>
          <w:p w:rsidR="000A7585" w:rsidRPr="00AE6EDB" w:rsidRDefault="000A7585" w:rsidP="00DE0EEC">
            <w:pPr>
              <w:ind w:right="690"/>
              <w:jc w:val="right"/>
              <w:rPr>
                <w:sz w:val="20"/>
                <w:szCs w:val="20"/>
              </w:rPr>
            </w:pPr>
            <w:r w:rsidRPr="00AE6EDB">
              <w:rPr>
                <w:sz w:val="20"/>
                <w:szCs w:val="20"/>
              </w:rPr>
              <w:t>777</w:t>
            </w:r>
          </w:p>
        </w:tc>
        <w:tc>
          <w:tcPr>
            <w:tcW w:w="1599" w:type="pct"/>
            <w:vAlign w:val="center"/>
          </w:tcPr>
          <w:p w:rsidR="000A7585" w:rsidRPr="00AE6EDB" w:rsidRDefault="000A7585" w:rsidP="00DE0EEC">
            <w:pPr>
              <w:ind w:right="690"/>
              <w:jc w:val="right"/>
              <w:rPr>
                <w:sz w:val="20"/>
                <w:szCs w:val="20"/>
              </w:rPr>
            </w:pPr>
            <w:r w:rsidRPr="00AE6EDB">
              <w:rPr>
                <w:sz w:val="20"/>
                <w:szCs w:val="20"/>
              </w:rPr>
              <w:t>814</w:t>
            </w:r>
          </w:p>
        </w:tc>
      </w:tr>
      <w:tr w:rsidR="000A7585" w:rsidRPr="00AE6EDB" w:rsidTr="00DE0EEC">
        <w:trPr>
          <w:trHeight w:val="262"/>
          <w:jc w:val="center"/>
        </w:trPr>
        <w:tc>
          <w:tcPr>
            <w:tcW w:w="1973" w:type="pct"/>
          </w:tcPr>
          <w:p w:rsidR="000A7585" w:rsidRPr="00AE6EDB" w:rsidRDefault="000A7585" w:rsidP="00DE0EEC">
            <w:pPr>
              <w:ind w:left="113"/>
              <w:jc w:val="left"/>
              <w:rPr>
                <w:color w:val="333300"/>
              </w:rPr>
            </w:pPr>
            <w:r w:rsidRPr="00AE6EDB">
              <w:rPr>
                <w:color w:val="333300"/>
                <w:szCs w:val="22"/>
              </w:rPr>
              <w:t>Košický</w:t>
            </w:r>
          </w:p>
        </w:tc>
        <w:tc>
          <w:tcPr>
            <w:tcW w:w="1428" w:type="pct"/>
            <w:vAlign w:val="center"/>
          </w:tcPr>
          <w:p w:rsidR="000A7585" w:rsidRPr="00AE6EDB" w:rsidRDefault="000A7585" w:rsidP="00DE0EEC">
            <w:pPr>
              <w:ind w:right="690"/>
              <w:jc w:val="right"/>
              <w:rPr>
                <w:sz w:val="20"/>
                <w:szCs w:val="20"/>
              </w:rPr>
            </w:pPr>
            <w:r w:rsidRPr="00AE6EDB">
              <w:rPr>
                <w:sz w:val="20"/>
                <w:szCs w:val="20"/>
              </w:rPr>
              <w:t>976</w:t>
            </w:r>
          </w:p>
        </w:tc>
        <w:tc>
          <w:tcPr>
            <w:tcW w:w="1599" w:type="pct"/>
            <w:vAlign w:val="center"/>
          </w:tcPr>
          <w:p w:rsidR="000A7585" w:rsidRPr="00AE6EDB" w:rsidRDefault="000A7585" w:rsidP="00DE0EEC">
            <w:pPr>
              <w:ind w:right="690"/>
              <w:jc w:val="right"/>
              <w:rPr>
                <w:sz w:val="20"/>
                <w:szCs w:val="20"/>
              </w:rPr>
            </w:pPr>
            <w:r w:rsidRPr="00AE6EDB">
              <w:rPr>
                <w:sz w:val="20"/>
                <w:szCs w:val="20"/>
              </w:rPr>
              <w:t>844</w:t>
            </w:r>
          </w:p>
        </w:tc>
      </w:tr>
    </w:tbl>
    <w:p w:rsidR="000A7585" w:rsidRPr="00AE6EDB" w:rsidRDefault="000A7585" w:rsidP="000A7585">
      <w:pPr>
        <w:pStyle w:val="zdroj"/>
        <w:ind w:left="709" w:firstLine="709"/>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3E2180">
      <w:pPr>
        <w:pStyle w:val="Nadpis7"/>
        <w:spacing w:before="0" w:after="0"/>
        <w:rPr>
          <w:b w:val="0"/>
          <w:i/>
        </w:rPr>
      </w:pPr>
      <w:r w:rsidRPr="00AE6EDB">
        <w:t xml:space="preserve">Tabuľka </w:t>
      </w:r>
      <w:r w:rsidR="002A54EF" w:rsidRPr="00AE6EDB">
        <w:t>9</w:t>
      </w:r>
      <w:r w:rsidRPr="00AE6EDB">
        <w:t xml:space="preserve"> Priemerná hrubá mesačná mzda a vybrané zložky mzdy zamestnancov </w:t>
      </w:r>
      <w:r w:rsidRPr="00AE6EDB">
        <w:br/>
        <w:t>podľa pohlavia – rok 2015</w:t>
      </w:r>
    </w:p>
    <w:p w:rsidR="000A7585" w:rsidRPr="00AE6EDB" w:rsidRDefault="000A7585" w:rsidP="000A7585">
      <w:pPr>
        <w:ind w:right="-142"/>
        <w:jc w:val="right"/>
        <w:rPr>
          <w:color w:val="333300"/>
          <w:szCs w:val="22"/>
        </w:rPr>
      </w:pPr>
      <w:r w:rsidRPr="00AE6EDB">
        <w:rPr>
          <w:color w:val="333300"/>
          <w:szCs w:val="22"/>
        </w:rPr>
        <w:t>v €</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1169"/>
        <w:gridCol w:w="732"/>
        <w:gridCol w:w="1451"/>
        <w:gridCol w:w="1146"/>
        <w:gridCol w:w="1116"/>
        <w:gridCol w:w="1142"/>
        <w:gridCol w:w="1170"/>
        <w:gridCol w:w="1362"/>
      </w:tblGrid>
      <w:tr w:rsidR="000A7585" w:rsidRPr="00AE6EDB" w:rsidTr="00DE0EEC">
        <w:trPr>
          <w:trHeight w:val="299"/>
          <w:jc w:val="center"/>
        </w:trPr>
        <w:tc>
          <w:tcPr>
            <w:tcW w:w="1023" w:type="pct"/>
            <w:gridSpan w:val="2"/>
            <w:vMerge w:val="restart"/>
            <w:tcBorders>
              <w:top w:val="single" w:sz="4" w:space="0" w:color="auto"/>
              <w:bottom w:val="single" w:sz="6" w:space="0" w:color="000000"/>
            </w:tcBorders>
            <w:shd w:val="clear" w:color="auto" w:fill="FF9999" w:themeFill="accent3" w:themeFillTint="66"/>
            <w:vAlign w:val="center"/>
          </w:tcPr>
          <w:p w:rsidR="000A7585" w:rsidRPr="00AE6EDB" w:rsidRDefault="000A7585" w:rsidP="00DE0EEC">
            <w:pPr>
              <w:jc w:val="center"/>
              <w:rPr>
                <w:b/>
                <w:caps/>
                <w:color w:val="333300"/>
                <w:sz w:val="20"/>
                <w:szCs w:val="20"/>
              </w:rPr>
            </w:pPr>
            <w:r w:rsidRPr="00AE6EDB">
              <w:rPr>
                <w:b/>
                <w:caps/>
                <w:color w:val="333300"/>
                <w:sz w:val="20"/>
                <w:szCs w:val="20"/>
              </w:rPr>
              <w:t>Pohlavie / zložky mzdy</w:t>
            </w:r>
          </w:p>
        </w:tc>
        <w:tc>
          <w:tcPr>
            <w:tcW w:w="781" w:type="pct"/>
            <w:vMerge w:val="restart"/>
            <w:tcBorders>
              <w:top w:val="single" w:sz="4" w:space="0" w:color="auto"/>
              <w:bottom w:val="single" w:sz="6" w:space="0" w:color="000000"/>
            </w:tcBorders>
            <w:shd w:val="clear" w:color="auto" w:fill="FF9999" w:themeFill="accent3" w:themeFillTint="66"/>
            <w:vAlign w:val="center"/>
          </w:tcPr>
          <w:p w:rsidR="000A7585" w:rsidRPr="00AE6EDB" w:rsidRDefault="000A7585" w:rsidP="00DE0EEC">
            <w:pPr>
              <w:jc w:val="center"/>
              <w:rPr>
                <w:b/>
                <w:caps/>
                <w:color w:val="333300"/>
                <w:sz w:val="20"/>
                <w:szCs w:val="20"/>
              </w:rPr>
            </w:pPr>
            <w:r w:rsidRPr="00AE6EDB">
              <w:rPr>
                <w:b/>
                <w:caps/>
                <w:color w:val="333300"/>
                <w:sz w:val="20"/>
                <w:szCs w:val="20"/>
              </w:rPr>
              <w:t>Priemerná mesačná hrubá mzda</w:t>
            </w:r>
          </w:p>
        </w:tc>
        <w:tc>
          <w:tcPr>
            <w:tcW w:w="3196" w:type="pct"/>
            <w:gridSpan w:val="5"/>
            <w:tcBorders>
              <w:top w:val="single" w:sz="4" w:space="0" w:color="auto"/>
              <w:bottom w:val="single" w:sz="6" w:space="0" w:color="000000"/>
            </w:tcBorders>
            <w:shd w:val="clear" w:color="auto" w:fill="FF9999" w:themeFill="accent3" w:themeFillTint="66"/>
            <w:vAlign w:val="center"/>
          </w:tcPr>
          <w:p w:rsidR="000A7585" w:rsidRPr="00AE6EDB" w:rsidRDefault="000A7585" w:rsidP="00DE0EEC">
            <w:pPr>
              <w:jc w:val="center"/>
              <w:rPr>
                <w:b/>
                <w:caps/>
                <w:color w:val="333300"/>
                <w:sz w:val="20"/>
                <w:szCs w:val="20"/>
              </w:rPr>
            </w:pPr>
            <w:r w:rsidRPr="00AE6EDB">
              <w:rPr>
                <w:b/>
                <w:caps/>
                <w:color w:val="333300"/>
                <w:sz w:val="20"/>
                <w:szCs w:val="20"/>
              </w:rPr>
              <w:t>v tom zložky priemernej mesačnej hrubej mzdy</w:t>
            </w:r>
          </w:p>
        </w:tc>
      </w:tr>
      <w:tr w:rsidR="000A7585" w:rsidRPr="00AE6EDB" w:rsidTr="00DE0EEC">
        <w:trPr>
          <w:trHeight w:val="151"/>
          <w:jc w:val="center"/>
        </w:trPr>
        <w:tc>
          <w:tcPr>
            <w:tcW w:w="1023" w:type="pct"/>
            <w:gridSpan w:val="2"/>
            <w:vMerge/>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p>
        </w:tc>
        <w:tc>
          <w:tcPr>
            <w:tcW w:w="781" w:type="pct"/>
            <w:vMerge/>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p>
        </w:tc>
        <w:tc>
          <w:tcPr>
            <w:tcW w:w="617" w:type="pct"/>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r w:rsidRPr="00AE6EDB">
              <w:rPr>
                <w:b/>
                <w:color w:val="333300"/>
                <w:sz w:val="20"/>
                <w:szCs w:val="20"/>
              </w:rPr>
              <w:t>základná mzda</w:t>
            </w:r>
          </w:p>
        </w:tc>
        <w:tc>
          <w:tcPr>
            <w:tcW w:w="601" w:type="pct"/>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r w:rsidRPr="00AE6EDB">
              <w:rPr>
                <w:b/>
                <w:color w:val="333300"/>
                <w:sz w:val="20"/>
                <w:szCs w:val="20"/>
              </w:rPr>
              <w:t>prémie a odmeny</w:t>
            </w:r>
          </w:p>
        </w:tc>
        <w:tc>
          <w:tcPr>
            <w:tcW w:w="615" w:type="pct"/>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r w:rsidRPr="00AE6EDB">
              <w:rPr>
                <w:b/>
                <w:color w:val="333300"/>
                <w:sz w:val="20"/>
                <w:szCs w:val="20"/>
              </w:rPr>
              <w:t>príplatky a doplatky</w:t>
            </w:r>
          </w:p>
        </w:tc>
        <w:tc>
          <w:tcPr>
            <w:tcW w:w="630" w:type="pct"/>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r w:rsidRPr="00AE6EDB">
              <w:rPr>
                <w:b/>
                <w:color w:val="333300"/>
                <w:sz w:val="20"/>
                <w:szCs w:val="20"/>
              </w:rPr>
              <w:t>Náhrady mzdy</w:t>
            </w:r>
          </w:p>
        </w:tc>
        <w:tc>
          <w:tcPr>
            <w:tcW w:w="733" w:type="pct"/>
            <w:tcBorders>
              <w:top w:val="single" w:sz="6" w:space="0" w:color="000000"/>
              <w:bottom w:val="single" w:sz="6" w:space="0" w:color="000000"/>
            </w:tcBorders>
            <w:shd w:val="clear" w:color="auto" w:fill="FF9999" w:themeFill="accent3" w:themeFillTint="66"/>
            <w:vAlign w:val="center"/>
          </w:tcPr>
          <w:p w:rsidR="000A7585" w:rsidRPr="00AE6EDB" w:rsidRDefault="000A7585" w:rsidP="00DE0EEC">
            <w:pPr>
              <w:jc w:val="center"/>
              <w:rPr>
                <w:b/>
                <w:color w:val="333300"/>
                <w:sz w:val="20"/>
                <w:szCs w:val="20"/>
              </w:rPr>
            </w:pPr>
            <w:r w:rsidRPr="00AE6EDB">
              <w:rPr>
                <w:b/>
                <w:color w:val="333300"/>
                <w:sz w:val="20"/>
                <w:szCs w:val="20"/>
              </w:rPr>
              <w:t>ostatné mzdové zložky</w:t>
            </w:r>
          </w:p>
        </w:tc>
      </w:tr>
      <w:tr w:rsidR="000A7585" w:rsidRPr="00AE6EDB" w:rsidTr="00DE0EEC">
        <w:trPr>
          <w:trHeight w:val="283"/>
          <w:jc w:val="center"/>
        </w:trPr>
        <w:tc>
          <w:tcPr>
            <w:tcW w:w="629" w:type="pct"/>
            <w:vMerge w:val="restart"/>
            <w:vAlign w:val="center"/>
          </w:tcPr>
          <w:p w:rsidR="000A7585" w:rsidRPr="00AE6EDB" w:rsidRDefault="000A7585" w:rsidP="00DE0EEC">
            <w:pPr>
              <w:jc w:val="center"/>
              <w:rPr>
                <w:b/>
                <w:bCs/>
                <w:color w:val="333300"/>
                <w:sz w:val="20"/>
                <w:szCs w:val="20"/>
              </w:rPr>
            </w:pPr>
            <w:r w:rsidRPr="00AE6EDB">
              <w:rPr>
                <w:b/>
                <w:bCs/>
                <w:color w:val="333300"/>
                <w:sz w:val="20"/>
                <w:szCs w:val="20"/>
              </w:rPr>
              <w:t>Spolu</w:t>
            </w:r>
          </w:p>
        </w:tc>
        <w:tc>
          <w:tcPr>
            <w:tcW w:w="394" w:type="pct"/>
            <w:tcBorders>
              <w:bottom w:val="nil"/>
              <w:right w:val="single" w:sz="2" w:space="0" w:color="auto"/>
            </w:tcBorders>
            <w:vAlign w:val="center"/>
          </w:tcPr>
          <w:p w:rsidR="000A7585" w:rsidRPr="00AE6EDB" w:rsidRDefault="000A7585" w:rsidP="00DE0EEC">
            <w:pPr>
              <w:jc w:val="center"/>
              <w:rPr>
                <w:b/>
                <w:bCs/>
                <w:color w:val="333300"/>
                <w:sz w:val="20"/>
                <w:szCs w:val="20"/>
              </w:rPr>
            </w:pPr>
            <w:r w:rsidRPr="00AE6EDB">
              <w:rPr>
                <w:b/>
                <w:bCs/>
                <w:color w:val="333300"/>
                <w:sz w:val="20"/>
                <w:szCs w:val="20"/>
              </w:rPr>
              <w:t>v €</w:t>
            </w:r>
          </w:p>
        </w:tc>
        <w:tc>
          <w:tcPr>
            <w:tcW w:w="781" w:type="pct"/>
            <w:tcBorders>
              <w:left w:val="single" w:sz="2" w:space="0" w:color="auto"/>
              <w:bottom w:val="nil"/>
              <w:right w:val="single" w:sz="2" w:space="0" w:color="auto"/>
            </w:tcBorders>
            <w:vAlign w:val="center"/>
          </w:tcPr>
          <w:p w:rsidR="000A7585" w:rsidRPr="00AE6EDB" w:rsidRDefault="000A7585" w:rsidP="00DE0EEC">
            <w:pPr>
              <w:ind w:right="415"/>
              <w:jc w:val="right"/>
              <w:rPr>
                <w:b/>
                <w:sz w:val="20"/>
                <w:szCs w:val="20"/>
              </w:rPr>
            </w:pPr>
            <w:r w:rsidRPr="00AE6EDB">
              <w:rPr>
                <w:b/>
                <w:sz w:val="20"/>
                <w:szCs w:val="20"/>
              </w:rPr>
              <w:t>987</w:t>
            </w:r>
          </w:p>
        </w:tc>
        <w:tc>
          <w:tcPr>
            <w:tcW w:w="617" w:type="pct"/>
            <w:tcBorders>
              <w:left w:val="single" w:sz="2" w:space="0" w:color="auto"/>
              <w:bottom w:val="nil"/>
              <w:right w:val="single" w:sz="2" w:space="0" w:color="auto"/>
            </w:tcBorders>
            <w:vAlign w:val="center"/>
          </w:tcPr>
          <w:p w:rsidR="000A7585" w:rsidRPr="00AE6EDB" w:rsidRDefault="000A7585" w:rsidP="00DE0EEC">
            <w:pPr>
              <w:ind w:right="415"/>
              <w:jc w:val="right"/>
              <w:rPr>
                <w:b/>
                <w:sz w:val="20"/>
                <w:szCs w:val="20"/>
              </w:rPr>
            </w:pPr>
            <w:r w:rsidRPr="00AE6EDB">
              <w:rPr>
                <w:b/>
                <w:sz w:val="20"/>
                <w:szCs w:val="20"/>
              </w:rPr>
              <w:t>656</w:t>
            </w:r>
          </w:p>
        </w:tc>
        <w:tc>
          <w:tcPr>
            <w:tcW w:w="601" w:type="pct"/>
            <w:tcBorders>
              <w:left w:val="single" w:sz="2" w:space="0" w:color="auto"/>
              <w:bottom w:val="nil"/>
              <w:right w:val="single" w:sz="2" w:space="0" w:color="auto"/>
            </w:tcBorders>
            <w:vAlign w:val="center"/>
          </w:tcPr>
          <w:p w:rsidR="000A7585" w:rsidRPr="00AE6EDB" w:rsidRDefault="000A7585" w:rsidP="00DE0EEC">
            <w:pPr>
              <w:ind w:right="415"/>
              <w:jc w:val="right"/>
              <w:rPr>
                <w:b/>
                <w:sz w:val="20"/>
                <w:szCs w:val="20"/>
              </w:rPr>
            </w:pPr>
            <w:r w:rsidRPr="00AE6EDB">
              <w:rPr>
                <w:b/>
                <w:sz w:val="20"/>
                <w:szCs w:val="20"/>
              </w:rPr>
              <w:t>113</w:t>
            </w:r>
          </w:p>
        </w:tc>
        <w:tc>
          <w:tcPr>
            <w:tcW w:w="615" w:type="pct"/>
            <w:tcBorders>
              <w:left w:val="single" w:sz="2" w:space="0" w:color="auto"/>
              <w:bottom w:val="nil"/>
              <w:right w:val="single" w:sz="2" w:space="0" w:color="auto"/>
            </w:tcBorders>
            <w:vAlign w:val="center"/>
          </w:tcPr>
          <w:p w:rsidR="000A7585" w:rsidRPr="00AE6EDB" w:rsidRDefault="000A7585" w:rsidP="00DE0EEC">
            <w:pPr>
              <w:ind w:right="415"/>
              <w:jc w:val="right"/>
              <w:rPr>
                <w:b/>
                <w:sz w:val="20"/>
                <w:szCs w:val="20"/>
              </w:rPr>
            </w:pPr>
            <w:r w:rsidRPr="00AE6EDB">
              <w:rPr>
                <w:b/>
                <w:sz w:val="20"/>
                <w:szCs w:val="20"/>
              </w:rPr>
              <w:t>67</w:t>
            </w:r>
          </w:p>
        </w:tc>
        <w:tc>
          <w:tcPr>
            <w:tcW w:w="630" w:type="pct"/>
            <w:tcBorders>
              <w:left w:val="single" w:sz="2" w:space="0" w:color="auto"/>
              <w:bottom w:val="nil"/>
              <w:right w:val="single" w:sz="2" w:space="0" w:color="auto"/>
            </w:tcBorders>
            <w:vAlign w:val="center"/>
          </w:tcPr>
          <w:p w:rsidR="000A7585" w:rsidRPr="00AE6EDB" w:rsidRDefault="000A7585" w:rsidP="00DE0EEC">
            <w:pPr>
              <w:ind w:right="415"/>
              <w:jc w:val="right"/>
              <w:rPr>
                <w:b/>
                <w:sz w:val="20"/>
                <w:szCs w:val="20"/>
              </w:rPr>
            </w:pPr>
            <w:r w:rsidRPr="00AE6EDB">
              <w:rPr>
                <w:b/>
                <w:sz w:val="20"/>
                <w:szCs w:val="20"/>
              </w:rPr>
              <w:t>117</w:t>
            </w:r>
          </w:p>
        </w:tc>
        <w:tc>
          <w:tcPr>
            <w:tcW w:w="733" w:type="pct"/>
            <w:tcBorders>
              <w:left w:val="single" w:sz="2" w:space="0" w:color="auto"/>
              <w:bottom w:val="nil"/>
            </w:tcBorders>
            <w:vAlign w:val="center"/>
          </w:tcPr>
          <w:p w:rsidR="000A7585" w:rsidRPr="00AE6EDB" w:rsidRDefault="000A7585" w:rsidP="00DE0EEC">
            <w:pPr>
              <w:ind w:right="415"/>
              <w:jc w:val="right"/>
              <w:rPr>
                <w:b/>
                <w:sz w:val="20"/>
                <w:szCs w:val="20"/>
              </w:rPr>
            </w:pPr>
            <w:r w:rsidRPr="00AE6EDB">
              <w:rPr>
                <w:b/>
                <w:sz w:val="20"/>
                <w:szCs w:val="20"/>
              </w:rPr>
              <w:t>32</w:t>
            </w:r>
          </w:p>
        </w:tc>
      </w:tr>
      <w:tr w:rsidR="000A7585" w:rsidRPr="00AE6EDB" w:rsidTr="00DE0EEC">
        <w:trPr>
          <w:trHeight w:val="151"/>
          <w:jc w:val="center"/>
        </w:trPr>
        <w:tc>
          <w:tcPr>
            <w:tcW w:w="629" w:type="pct"/>
            <w:vMerge/>
            <w:vAlign w:val="center"/>
          </w:tcPr>
          <w:p w:rsidR="000A7585" w:rsidRPr="00AE6EDB" w:rsidRDefault="000A7585" w:rsidP="00DE0EEC">
            <w:pPr>
              <w:jc w:val="center"/>
              <w:rPr>
                <w:color w:val="333300"/>
                <w:sz w:val="20"/>
                <w:szCs w:val="20"/>
              </w:rPr>
            </w:pPr>
          </w:p>
        </w:tc>
        <w:tc>
          <w:tcPr>
            <w:tcW w:w="394" w:type="pct"/>
            <w:tcBorders>
              <w:top w:val="nil"/>
              <w:right w:val="single" w:sz="2" w:space="0" w:color="auto"/>
            </w:tcBorders>
            <w:vAlign w:val="center"/>
          </w:tcPr>
          <w:p w:rsidR="000A7585" w:rsidRPr="00AE6EDB" w:rsidRDefault="000A7585" w:rsidP="00DE0EEC">
            <w:pPr>
              <w:jc w:val="center"/>
              <w:rPr>
                <w:iCs/>
                <w:color w:val="333300"/>
                <w:sz w:val="20"/>
                <w:szCs w:val="20"/>
              </w:rPr>
            </w:pPr>
            <w:r w:rsidRPr="00AE6EDB">
              <w:rPr>
                <w:iCs/>
                <w:color w:val="333300"/>
                <w:sz w:val="20"/>
                <w:szCs w:val="20"/>
              </w:rPr>
              <w:t>v</w:t>
            </w:r>
            <w:r w:rsidR="005676EF">
              <w:rPr>
                <w:iCs/>
                <w:color w:val="333300"/>
                <w:sz w:val="20"/>
                <w:szCs w:val="20"/>
              </w:rPr>
              <w:t> %</w:t>
            </w:r>
          </w:p>
        </w:tc>
        <w:tc>
          <w:tcPr>
            <w:tcW w:w="781" w:type="pct"/>
            <w:tcBorders>
              <w:top w:val="nil"/>
              <w:left w:val="single" w:sz="2" w:space="0" w:color="auto"/>
              <w:right w:val="single" w:sz="2" w:space="0" w:color="auto"/>
            </w:tcBorders>
            <w:vAlign w:val="center"/>
          </w:tcPr>
          <w:p w:rsidR="000A7585" w:rsidRPr="00AE6EDB" w:rsidRDefault="000A7585" w:rsidP="00DE0EEC">
            <w:pPr>
              <w:ind w:left="72" w:right="415"/>
              <w:jc w:val="right"/>
              <w:rPr>
                <w:iCs/>
                <w:color w:val="333300"/>
                <w:sz w:val="20"/>
                <w:szCs w:val="20"/>
              </w:rPr>
            </w:pPr>
            <w:r w:rsidRPr="00AE6EDB">
              <w:rPr>
                <w:iCs/>
                <w:color w:val="333300"/>
                <w:sz w:val="20"/>
                <w:szCs w:val="20"/>
              </w:rPr>
              <w:t>100</w:t>
            </w:r>
          </w:p>
        </w:tc>
        <w:tc>
          <w:tcPr>
            <w:tcW w:w="617" w:type="pct"/>
            <w:tcBorders>
              <w:top w:val="nil"/>
              <w:left w:val="single" w:sz="2" w:space="0" w:color="auto"/>
              <w:right w:val="single" w:sz="2" w:space="0" w:color="auto"/>
            </w:tcBorders>
            <w:vAlign w:val="center"/>
          </w:tcPr>
          <w:p w:rsidR="000A7585" w:rsidRPr="00AE6EDB" w:rsidRDefault="000A7585" w:rsidP="00DE0EEC">
            <w:pPr>
              <w:ind w:right="415"/>
              <w:jc w:val="right"/>
              <w:rPr>
                <w:sz w:val="20"/>
                <w:szCs w:val="20"/>
              </w:rPr>
            </w:pPr>
            <w:r w:rsidRPr="00AE6EDB">
              <w:rPr>
                <w:sz w:val="20"/>
                <w:szCs w:val="20"/>
              </w:rPr>
              <w:t>67</w:t>
            </w:r>
          </w:p>
        </w:tc>
        <w:tc>
          <w:tcPr>
            <w:tcW w:w="601" w:type="pct"/>
            <w:tcBorders>
              <w:top w:val="nil"/>
              <w:left w:val="single" w:sz="2" w:space="0" w:color="auto"/>
              <w:right w:val="single" w:sz="2" w:space="0" w:color="auto"/>
            </w:tcBorders>
            <w:vAlign w:val="center"/>
          </w:tcPr>
          <w:p w:rsidR="000A7585" w:rsidRPr="00AE6EDB" w:rsidRDefault="000A7585" w:rsidP="00DE0EEC">
            <w:pPr>
              <w:ind w:right="415"/>
              <w:jc w:val="right"/>
              <w:rPr>
                <w:sz w:val="20"/>
                <w:szCs w:val="20"/>
              </w:rPr>
            </w:pPr>
            <w:r w:rsidRPr="00AE6EDB">
              <w:rPr>
                <w:sz w:val="20"/>
                <w:szCs w:val="20"/>
              </w:rPr>
              <w:t>11</w:t>
            </w:r>
          </w:p>
        </w:tc>
        <w:tc>
          <w:tcPr>
            <w:tcW w:w="615" w:type="pct"/>
            <w:tcBorders>
              <w:top w:val="nil"/>
              <w:left w:val="single" w:sz="2" w:space="0" w:color="auto"/>
              <w:right w:val="single" w:sz="2" w:space="0" w:color="auto"/>
            </w:tcBorders>
            <w:vAlign w:val="center"/>
          </w:tcPr>
          <w:p w:rsidR="000A7585" w:rsidRPr="00AE6EDB" w:rsidRDefault="000A7585" w:rsidP="00DE0EEC">
            <w:pPr>
              <w:ind w:right="415"/>
              <w:jc w:val="right"/>
              <w:rPr>
                <w:sz w:val="20"/>
                <w:szCs w:val="20"/>
              </w:rPr>
            </w:pPr>
            <w:r w:rsidRPr="00AE6EDB">
              <w:rPr>
                <w:sz w:val="20"/>
                <w:szCs w:val="20"/>
              </w:rPr>
              <w:t>7</w:t>
            </w:r>
          </w:p>
        </w:tc>
        <w:tc>
          <w:tcPr>
            <w:tcW w:w="630" w:type="pct"/>
            <w:tcBorders>
              <w:top w:val="nil"/>
              <w:left w:val="single" w:sz="2" w:space="0" w:color="auto"/>
              <w:right w:val="single" w:sz="2" w:space="0" w:color="auto"/>
            </w:tcBorders>
            <w:vAlign w:val="center"/>
          </w:tcPr>
          <w:p w:rsidR="000A7585" w:rsidRPr="00AE6EDB" w:rsidRDefault="000A7585" w:rsidP="00DE0EEC">
            <w:pPr>
              <w:ind w:right="415"/>
              <w:jc w:val="right"/>
              <w:rPr>
                <w:sz w:val="20"/>
                <w:szCs w:val="20"/>
              </w:rPr>
            </w:pPr>
            <w:r w:rsidRPr="00AE6EDB">
              <w:rPr>
                <w:sz w:val="20"/>
                <w:szCs w:val="20"/>
              </w:rPr>
              <w:t>12</w:t>
            </w:r>
          </w:p>
        </w:tc>
        <w:tc>
          <w:tcPr>
            <w:tcW w:w="733" w:type="pct"/>
            <w:tcBorders>
              <w:top w:val="nil"/>
              <w:left w:val="single" w:sz="2" w:space="0" w:color="auto"/>
            </w:tcBorders>
            <w:vAlign w:val="center"/>
          </w:tcPr>
          <w:p w:rsidR="000A7585" w:rsidRPr="00AE6EDB" w:rsidRDefault="000A7585" w:rsidP="00DE0EEC">
            <w:pPr>
              <w:ind w:right="415"/>
              <w:jc w:val="right"/>
              <w:rPr>
                <w:sz w:val="20"/>
                <w:szCs w:val="20"/>
              </w:rPr>
            </w:pPr>
            <w:r w:rsidRPr="00AE6EDB">
              <w:rPr>
                <w:sz w:val="20"/>
                <w:szCs w:val="20"/>
              </w:rPr>
              <w:t>3</w:t>
            </w:r>
          </w:p>
        </w:tc>
      </w:tr>
      <w:tr w:rsidR="000A7585" w:rsidRPr="00AE6EDB" w:rsidTr="00DE0EEC">
        <w:trPr>
          <w:trHeight w:val="225"/>
          <w:jc w:val="center"/>
        </w:trPr>
        <w:tc>
          <w:tcPr>
            <w:tcW w:w="629" w:type="pct"/>
            <w:vMerge w:val="restart"/>
            <w:vAlign w:val="center"/>
          </w:tcPr>
          <w:p w:rsidR="000A7585" w:rsidRPr="00AE6EDB" w:rsidRDefault="000A7585" w:rsidP="00DE0EEC">
            <w:pPr>
              <w:jc w:val="center"/>
              <w:rPr>
                <w:color w:val="333300"/>
                <w:sz w:val="20"/>
                <w:szCs w:val="20"/>
              </w:rPr>
            </w:pPr>
            <w:r w:rsidRPr="00AE6EDB">
              <w:rPr>
                <w:color w:val="333300"/>
                <w:sz w:val="20"/>
                <w:szCs w:val="20"/>
              </w:rPr>
              <w:t>Muži</w:t>
            </w:r>
          </w:p>
        </w:tc>
        <w:tc>
          <w:tcPr>
            <w:tcW w:w="394" w:type="pct"/>
            <w:tcBorders>
              <w:bottom w:val="nil"/>
            </w:tcBorders>
            <w:vAlign w:val="center"/>
          </w:tcPr>
          <w:p w:rsidR="000A7585" w:rsidRPr="00AE6EDB" w:rsidRDefault="000A7585" w:rsidP="00DE0EEC">
            <w:pPr>
              <w:jc w:val="center"/>
              <w:rPr>
                <w:color w:val="333300"/>
                <w:sz w:val="20"/>
                <w:szCs w:val="20"/>
              </w:rPr>
            </w:pPr>
            <w:r w:rsidRPr="00AE6EDB">
              <w:rPr>
                <w:color w:val="333300"/>
                <w:sz w:val="20"/>
                <w:szCs w:val="20"/>
              </w:rPr>
              <w:t>v €</w:t>
            </w:r>
          </w:p>
        </w:tc>
        <w:tc>
          <w:tcPr>
            <w:tcW w:w="781" w:type="pct"/>
            <w:tcBorders>
              <w:bottom w:val="nil"/>
            </w:tcBorders>
            <w:vAlign w:val="center"/>
          </w:tcPr>
          <w:p w:rsidR="000A7585" w:rsidRPr="00AE6EDB" w:rsidRDefault="0054295F" w:rsidP="00DE0EEC">
            <w:pPr>
              <w:ind w:right="415"/>
              <w:jc w:val="right"/>
              <w:rPr>
                <w:sz w:val="18"/>
                <w:szCs w:val="18"/>
              </w:rPr>
            </w:pPr>
            <w:r>
              <w:rPr>
                <w:sz w:val="18"/>
                <w:szCs w:val="18"/>
              </w:rPr>
              <w:t>1 1</w:t>
            </w:r>
            <w:r w:rsidR="000A7585" w:rsidRPr="00AE6EDB">
              <w:rPr>
                <w:sz w:val="18"/>
                <w:szCs w:val="18"/>
              </w:rPr>
              <w:t>08</w:t>
            </w:r>
          </w:p>
        </w:tc>
        <w:tc>
          <w:tcPr>
            <w:tcW w:w="617" w:type="pct"/>
            <w:tcBorders>
              <w:bottom w:val="nil"/>
            </w:tcBorders>
            <w:vAlign w:val="center"/>
          </w:tcPr>
          <w:p w:rsidR="000A7585" w:rsidRPr="00AE6EDB" w:rsidRDefault="000A7585" w:rsidP="00DE0EEC">
            <w:pPr>
              <w:ind w:right="415"/>
              <w:jc w:val="right"/>
              <w:rPr>
                <w:sz w:val="18"/>
                <w:szCs w:val="18"/>
              </w:rPr>
            </w:pPr>
            <w:r w:rsidRPr="00AE6EDB">
              <w:rPr>
                <w:sz w:val="18"/>
                <w:szCs w:val="18"/>
              </w:rPr>
              <w:t>723</w:t>
            </w:r>
          </w:p>
        </w:tc>
        <w:tc>
          <w:tcPr>
            <w:tcW w:w="601" w:type="pct"/>
            <w:tcBorders>
              <w:bottom w:val="nil"/>
            </w:tcBorders>
            <w:vAlign w:val="center"/>
          </w:tcPr>
          <w:p w:rsidR="000A7585" w:rsidRPr="00AE6EDB" w:rsidRDefault="000A7585" w:rsidP="00DE0EEC">
            <w:pPr>
              <w:ind w:right="415"/>
              <w:jc w:val="right"/>
              <w:rPr>
                <w:sz w:val="18"/>
                <w:szCs w:val="18"/>
              </w:rPr>
            </w:pPr>
            <w:r w:rsidRPr="00AE6EDB">
              <w:rPr>
                <w:sz w:val="18"/>
                <w:szCs w:val="18"/>
              </w:rPr>
              <w:t>145</w:t>
            </w:r>
          </w:p>
        </w:tc>
        <w:tc>
          <w:tcPr>
            <w:tcW w:w="615" w:type="pct"/>
            <w:tcBorders>
              <w:bottom w:val="nil"/>
            </w:tcBorders>
            <w:vAlign w:val="center"/>
          </w:tcPr>
          <w:p w:rsidR="000A7585" w:rsidRPr="00AE6EDB" w:rsidRDefault="000A7585" w:rsidP="00DE0EEC">
            <w:pPr>
              <w:ind w:right="415"/>
              <w:jc w:val="right"/>
              <w:rPr>
                <w:sz w:val="18"/>
                <w:szCs w:val="18"/>
              </w:rPr>
            </w:pPr>
            <w:r w:rsidRPr="00AE6EDB">
              <w:rPr>
                <w:sz w:val="18"/>
                <w:szCs w:val="18"/>
              </w:rPr>
              <w:t>72</w:t>
            </w:r>
          </w:p>
        </w:tc>
        <w:tc>
          <w:tcPr>
            <w:tcW w:w="630" w:type="pct"/>
            <w:tcBorders>
              <w:bottom w:val="nil"/>
            </w:tcBorders>
            <w:vAlign w:val="center"/>
          </w:tcPr>
          <w:p w:rsidR="000A7585" w:rsidRPr="00AE6EDB" w:rsidRDefault="000A7585" w:rsidP="00DE0EEC">
            <w:pPr>
              <w:ind w:right="415"/>
              <w:jc w:val="right"/>
              <w:rPr>
                <w:sz w:val="18"/>
                <w:szCs w:val="18"/>
              </w:rPr>
            </w:pPr>
            <w:r w:rsidRPr="00AE6EDB">
              <w:rPr>
                <w:sz w:val="18"/>
                <w:szCs w:val="18"/>
              </w:rPr>
              <w:t>127</w:t>
            </w:r>
          </w:p>
        </w:tc>
        <w:tc>
          <w:tcPr>
            <w:tcW w:w="733" w:type="pct"/>
            <w:tcBorders>
              <w:bottom w:val="nil"/>
            </w:tcBorders>
            <w:vAlign w:val="center"/>
          </w:tcPr>
          <w:p w:rsidR="000A7585" w:rsidRPr="00AE6EDB" w:rsidRDefault="000A7585" w:rsidP="00DE0EEC">
            <w:pPr>
              <w:ind w:right="415"/>
              <w:jc w:val="right"/>
              <w:rPr>
                <w:sz w:val="18"/>
                <w:szCs w:val="18"/>
              </w:rPr>
            </w:pPr>
            <w:r w:rsidRPr="00AE6EDB">
              <w:rPr>
                <w:sz w:val="18"/>
                <w:szCs w:val="18"/>
              </w:rPr>
              <w:t>39</w:t>
            </w:r>
          </w:p>
        </w:tc>
      </w:tr>
      <w:tr w:rsidR="000A7585" w:rsidRPr="00AE6EDB" w:rsidTr="00DE0EEC">
        <w:trPr>
          <w:trHeight w:val="151"/>
          <w:jc w:val="center"/>
        </w:trPr>
        <w:tc>
          <w:tcPr>
            <w:tcW w:w="629" w:type="pct"/>
            <w:vMerge/>
            <w:vAlign w:val="center"/>
          </w:tcPr>
          <w:p w:rsidR="000A7585" w:rsidRPr="00AE6EDB" w:rsidRDefault="000A7585" w:rsidP="00DE0EEC">
            <w:pPr>
              <w:jc w:val="center"/>
              <w:rPr>
                <w:color w:val="333300"/>
                <w:sz w:val="20"/>
                <w:szCs w:val="20"/>
              </w:rPr>
            </w:pPr>
          </w:p>
        </w:tc>
        <w:tc>
          <w:tcPr>
            <w:tcW w:w="394" w:type="pct"/>
            <w:tcBorders>
              <w:top w:val="nil"/>
            </w:tcBorders>
            <w:vAlign w:val="center"/>
          </w:tcPr>
          <w:p w:rsidR="000A7585" w:rsidRPr="00AE6EDB" w:rsidRDefault="000A7585" w:rsidP="00DE0EEC">
            <w:pPr>
              <w:jc w:val="center"/>
              <w:rPr>
                <w:iCs/>
                <w:color w:val="333300"/>
                <w:sz w:val="20"/>
                <w:szCs w:val="20"/>
              </w:rPr>
            </w:pPr>
            <w:r w:rsidRPr="00AE6EDB">
              <w:rPr>
                <w:iCs/>
                <w:color w:val="333300"/>
                <w:sz w:val="20"/>
                <w:szCs w:val="20"/>
              </w:rPr>
              <w:t>v</w:t>
            </w:r>
            <w:r w:rsidR="005676EF">
              <w:rPr>
                <w:iCs/>
                <w:color w:val="333300"/>
                <w:sz w:val="20"/>
                <w:szCs w:val="20"/>
              </w:rPr>
              <w:t> %</w:t>
            </w:r>
          </w:p>
        </w:tc>
        <w:tc>
          <w:tcPr>
            <w:tcW w:w="781" w:type="pct"/>
            <w:tcBorders>
              <w:top w:val="nil"/>
            </w:tcBorders>
            <w:vAlign w:val="center"/>
          </w:tcPr>
          <w:p w:rsidR="000A7585" w:rsidRPr="00AE6EDB" w:rsidRDefault="000A7585" w:rsidP="00DE0EEC">
            <w:pPr>
              <w:ind w:left="72" w:right="415"/>
              <w:jc w:val="right"/>
              <w:rPr>
                <w:iCs/>
                <w:color w:val="333300"/>
                <w:sz w:val="20"/>
                <w:szCs w:val="20"/>
              </w:rPr>
            </w:pPr>
            <w:r w:rsidRPr="00AE6EDB">
              <w:rPr>
                <w:iCs/>
                <w:color w:val="333300"/>
                <w:sz w:val="20"/>
                <w:szCs w:val="20"/>
              </w:rPr>
              <w:t>100</w:t>
            </w:r>
          </w:p>
        </w:tc>
        <w:tc>
          <w:tcPr>
            <w:tcW w:w="617" w:type="pct"/>
            <w:tcBorders>
              <w:top w:val="nil"/>
            </w:tcBorders>
            <w:vAlign w:val="center"/>
          </w:tcPr>
          <w:p w:rsidR="000A7585" w:rsidRPr="00AE6EDB" w:rsidRDefault="000A7585" w:rsidP="00DE0EEC">
            <w:pPr>
              <w:ind w:right="415"/>
              <w:jc w:val="right"/>
              <w:rPr>
                <w:sz w:val="18"/>
                <w:szCs w:val="18"/>
              </w:rPr>
            </w:pPr>
            <w:r w:rsidRPr="00AE6EDB">
              <w:rPr>
                <w:sz w:val="18"/>
                <w:szCs w:val="18"/>
              </w:rPr>
              <w:t>65</w:t>
            </w:r>
          </w:p>
        </w:tc>
        <w:tc>
          <w:tcPr>
            <w:tcW w:w="601" w:type="pct"/>
            <w:tcBorders>
              <w:top w:val="nil"/>
            </w:tcBorders>
            <w:vAlign w:val="center"/>
          </w:tcPr>
          <w:p w:rsidR="000A7585" w:rsidRPr="00AE6EDB" w:rsidRDefault="000A7585" w:rsidP="00DE0EEC">
            <w:pPr>
              <w:ind w:right="415"/>
              <w:jc w:val="right"/>
              <w:rPr>
                <w:sz w:val="18"/>
                <w:szCs w:val="18"/>
              </w:rPr>
            </w:pPr>
            <w:r w:rsidRPr="00AE6EDB">
              <w:rPr>
                <w:sz w:val="18"/>
                <w:szCs w:val="18"/>
              </w:rPr>
              <w:t>13</w:t>
            </w:r>
          </w:p>
        </w:tc>
        <w:tc>
          <w:tcPr>
            <w:tcW w:w="615" w:type="pct"/>
            <w:tcBorders>
              <w:top w:val="nil"/>
            </w:tcBorders>
            <w:vAlign w:val="center"/>
          </w:tcPr>
          <w:p w:rsidR="000A7585" w:rsidRPr="00AE6EDB" w:rsidRDefault="000A7585" w:rsidP="00DE0EEC">
            <w:pPr>
              <w:ind w:right="415"/>
              <w:jc w:val="right"/>
              <w:rPr>
                <w:sz w:val="18"/>
                <w:szCs w:val="18"/>
              </w:rPr>
            </w:pPr>
            <w:r w:rsidRPr="00AE6EDB">
              <w:rPr>
                <w:sz w:val="18"/>
                <w:szCs w:val="18"/>
              </w:rPr>
              <w:t>6</w:t>
            </w:r>
          </w:p>
        </w:tc>
        <w:tc>
          <w:tcPr>
            <w:tcW w:w="630" w:type="pct"/>
            <w:tcBorders>
              <w:top w:val="nil"/>
            </w:tcBorders>
            <w:vAlign w:val="center"/>
          </w:tcPr>
          <w:p w:rsidR="000A7585" w:rsidRPr="00AE6EDB" w:rsidRDefault="000A7585" w:rsidP="00DE0EEC">
            <w:pPr>
              <w:ind w:right="415"/>
              <w:jc w:val="right"/>
              <w:rPr>
                <w:sz w:val="18"/>
                <w:szCs w:val="18"/>
              </w:rPr>
            </w:pPr>
            <w:r w:rsidRPr="00AE6EDB">
              <w:rPr>
                <w:sz w:val="18"/>
                <w:szCs w:val="18"/>
              </w:rPr>
              <w:t>12</w:t>
            </w:r>
          </w:p>
        </w:tc>
        <w:tc>
          <w:tcPr>
            <w:tcW w:w="733" w:type="pct"/>
            <w:tcBorders>
              <w:top w:val="nil"/>
            </w:tcBorders>
            <w:vAlign w:val="center"/>
          </w:tcPr>
          <w:p w:rsidR="000A7585" w:rsidRPr="00AE6EDB" w:rsidRDefault="000A7585" w:rsidP="00DE0EEC">
            <w:pPr>
              <w:ind w:right="415"/>
              <w:jc w:val="right"/>
              <w:rPr>
                <w:sz w:val="18"/>
                <w:szCs w:val="18"/>
              </w:rPr>
            </w:pPr>
            <w:r w:rsidRPr="00AE6EDB">
              <w:rPr>
                <w:sz w:val="18"/>
                <w:szCs w:val="18"/>
              </w:rPr>
              <w:t>4</w:t>
            </w:r>
          </w:p>
        </w:tc>
      </w:tr>
      <w:tr w:rsidR="000A7585" w:rsidRPr="00AE6EDB" w:rsidTr="00DE0EEC">
        <w:trPr>
          <w:trHeight w:val="147"/>
          <w:jc w:val="center"/>
        </w:trPr>
        <w:tc>
          <w:tcPr>
            <w:tcW w:w="629" w:type="pct"/>
            <w:vMerge w:val="restart"/>
            <w:vAlign w:val="center"/>
          </w:tcPr>
          <w:p w:rsidR="000A7585" w:rsidRPr="00AE6EDB" w:rsidRDefault="000A7585" w:rsidP="00DE0EEC">
            <w:pPr>
              <w:jc w:val="center"/>
              <w:rPr>
                <w:color w:val="333300"/>
                <w:sz w:val="20"/>
                <w:szCs w:val="20"/>
              </w:rPr>
            </w:pPr>
            <w:r w:rsidRPr="00AE6EDB">
              <w:rPr>
                <w:color w:val="333300"/>
                <w:sz w:val="20"/>
                <w:szCs w:val="20"/>
              </w:rPr>
              <w:t>Ženy</w:t>
            </w:r>
          </w:p>
        </w:tc>
        <w:tc>
          <w:tcPr>
            <w:tcW w:w="394" w:type="pct"/>
            <w:tcBorders>
              <w:bottom w:val="nil"/>
            </w:tcBorders>
            <w:vAlign w:val="center"/>
          </w:tcPr>
          <w:p w:rsidR="000A7585" w:rsidRPr="00AE6EDB" w:rsidRDefault="000A7585" w:rsidP="00DE0EEC">
            <w:pPr>
              <w:jc w:val="center"/>
              <w:rPr>
                <w:color w:val="333300"/>
                <w:sz w:val="20"/>
                <w:szCs w:val="20"/>
              </w:rPr>
            </w:pPr>
            <w:r w:rsidRPr="00AE6EDB">
              <w:rPr>
                <w:color w:val="333300"/>
                <w:sz w:val="20"/>
                <w:szCs w:val="20"/>
              </w:rPr>
              <w:t>v €</w:t>
            </w:r>
          </w:p>
        </w:tc>
        <w:tc>
          <w:tcPr>
            <w:tcW w:w="781" w:type="pct"/>
            <w:tcBorders>
              <w:bottom w:val="nil"/>
            </w:tcBorders>
            <w:vAlign w:val="center"/>
          </w:tcPr>
          <w:p w:rsidR="000A7585" w:rsidRPr="00AE6EDB" w:rsidRDefault="000A7585" w:rsidP="00DE0EEC">
            <w:pPr>
              <w:ind w:right="415"/>
              <w:jc w:val="right"/>
              <w:rPr>
                <w:sz w:val="18"/>
                <w:szCs w:val="18"/>
              </w:rPr>
            </w:pPr>
            <w:r w:rsidRPr="00AE6EDB">
              <w:rPr>
                <w:sz w:val="18"/>
                <w:szCs w:val="18"/>
              </w:rPr>
              <w:t>861</w:t>
            </w:r>
          </w:p>
        </w:tc>
        <w:tc>
          <w:tcPr>
            <w:tcW w:w="617" w:type="pct"/>
            <w:tcBorders>
              <w:bottom w:val="nil"/>
            </w:tcBorders>
            <w:vAlign w:val="center"/>
          </w:tcPr>
          <w:p w:rsidR="000A7585" w:rsidRPr="00AE6EDB" w:rsidRDefault="000A7585" w:rsidP="00DE0EEC">
            <w:pPr>
              <w:ind w:right="415"/>
              <w:jc w:val="right"/>
              <w:rPr>
                <w:sz w:val="18"/>
                <w:szCs w:val="18"/>
              </w:rPr>
            </w:pPr>
            <w:r w:rsidRPr="00AE6EDB">
              <w:rPr>
                <w:sz w:val="18"/>
                <w:szCs w:val="18"/>
              </w:rPr>
              <w:t>586</w:t>
            </w:r>
          </w:p>
        </w:tc>
        <w:tc>
          <w:tcPr>
            <w:tcW w:w="601" w:type="pct"/>
            <w:tcBorders>
              <w:bottom w:val="nil"/>
            </w:tcBorders>
            <w:vAlign w:val="center"/>
          </w:tcPr>
          <w:p w:rsidR="000A7585" w:rsidRPr="00AE6EDB" w:rsidRDefault="000A7585" w:rsidP="00DE0EEC">
            <w:pPr>
              <w:ind w:right="415"/>
              <w:jc w:val="right"/>
              <w:rPr>
                <w:sz w:val="18"/>
                <w:szCs w:val="18"/>
              </w:rPr>
            </w:pPr>
            <w:r w:rsidRPr="00AE6EDB">
              <w:rPr>
                <w:sz w:val="18"/>
                <w:szCs w:val="18"/>
              </w:rPr>
              <w:t>80</w:t>
            </w:r>
          </w:p>
        </w:tc>
        <w:tc>
          <w:tcPr>
            <w:tcW w:w="615" w:type="pct"/>
            <w:tcBorders>
              <w:bottom w:val="nil"/>
            </w:tcBorders>
            <w:vAlign w:val="center"/>
          </w:tcPr>
          <w:p w:rsidR="000A7585" w:rsidRPr="00AE6EDB" w:rsidRDefault="000A7585" w:rsidP="00DE0EEC">
            <w:pPr>
              <w:ind w:right="415"/>
              <w:jc w:val="right"/>
              <w:rPr>
                <w:sz w:val="18"/>
                <w:szCs w:val="18"/>
              </w:rPr>
            </w:pPr>
            <w:r w:rsidRPr="00AE6EDB">
              <w:rPr>
                <w:sz w:val="18"/>
                <w:szCs w:val="18"/>
              </w:rPr>
              <w:t>62</w:t>
            </w:r>
          </w:p>
        </w:tc>
        <w:tc>
          <w:tcPr>
            <w:tcW w:w="630" w:type="pct"/>
            <w:tcBorders>
              <w:bottom w:val="nil"/>
            </w:tcBorders>
            <w:vAlign w:val="center"/>
          </w:tcPr>
          <w:p w:rsidR="000A7585" w:rsidRPr="00AE6EDB" w:rsidRDefault="000A7585" w:rsidP="00DE0EEC">
            <w:pPr>
              <w:ind w:right="415"/>
              <w:jc w:val="right"/>
              <w:rPr>
                <w:sz w:val="18"/>
                <w:szCs w:val="18"/>
              </w:rPr>
            </w:pPr>
            <w:r w:rsidRPr="00AE6EDB">
              <w:rPr>
                <w:sz w:val="18"/>
                <w:szCs w:val="18"/>
              </w:rPr>
              <w:t>107</w:t>
            </w:r>
          </w:p>
        </w:tc>
        <w:tc>
          <w:tcPr>
            <w:tcW w:w="733" w:type="pct"/>
            <w:tcBorders>
              <w:bottom w:val="nil"/>
            </w:tcBorders>
            <w:vAlign w:val="center"/>
          </w:tcPr>
          <w:p w:rsidR="000A7585" w:rsidRPr="00AE6EDB" w:rsidRDefault="000A7585" w:rsidP="00DE0EEC">
            <w:pPr>
              <w:ind w:right="415"/>
              <w:jc w:val="right"/>
              <w:rPr>
                <w:sz w:val="18"/>
                <w:szCs w:val="18"/>
              </w:rPr>
            </w:pPr>
            <w:r w:rsidRPr="00AE6EDB">
              <w:rPr>
                <w:sz w:val="18"/>
                <w:szCs w:val="18"/>
              </w:rPr>
              <w:t>24</w:t>
            </w:r>
          </w:p>
        </w:tc>
      </w:tr>
      <w:tr w:rsidR="000A7585" w:rsidRPr="00AE6EDB" w:rsidTr="00DE0EEC">
        <w:trPr>
          <w:trHeight w:val="151"/>
          <w:jc w:val="center"/>
        </w:trPr>
        <w:tc>
          <w:tcPr>
            <w:tcW w:w="629" w:type="pct"/>
            <w:vMerge/>
            <w:tcBorders>
              <w:bottom w:val="single" w:sz="4" w:space="0" w:color="auto"/>
            </w:tcBorders>
            <w:vAlign w:val="center"/>
          </w:tcPr>
          <w:p w:rsidR="000A7585" w:rsidRPr="00AE6EDB" w:rsidRDefault="000A7585" w:rsidP="00DE0EEC">
            <w:pPr>
              <w:jc w:val="center"/>
              <w:rPr>
                <w:color w:val="333300"/>
                <w:sz w:val="20"/>
                <w:szCs w:val="20"/>
              </w:rPr>
            </w:pPr>
          </w:p>
        </w:tc>
        <w:tc>
          <w:tcPr>
            <w:tcW w:w="394" w:type="pct"/>
            <w:tcBorders>
              <w:top w:val="nil"/>
              <w:bottom w:val="single" w:sz="4" w:space="0" w:color="auto"/>
            </w:tcBorders>
            <w:vAlign w:val="center"/>
          </w:tcPr>
          <w:p w:rsidR="000A7585" w:rsidRPr="00AE6EDB" w:rsidRDefault="000A7585" w:rsidP="00DE0EEC">
            <w:pPr>
              <w:jc w:val="center"/>
              <w:rPr>
                <w:iCs/>
                <w:color w:val="333300"/>
                <w:sz w:val="20"/>
                <w:szCs w:val="20"/>
              </w:rPr>
            </w:pPr>
            <w:r w:rsidRPr="00AE6EDB">
              <w:rPr>
                <w:iCs/>
                <w:color w:val="333300"/>
                <w:sz w:val="20"/>
                <w:szCs w:val="20"/>
              </w:rPr>
              <w:t>v</w:t>
            </w:r>
            <w:r w:rsidR="005676EF">
              <w:rPr>
                <w:iCs/>
                <w:color w:val="333300"/>
                <w:sz w:val="20"/>
                <w:szCs w:val="20"/>
              </w:rPr>
              <w:t> %</w:t>
            </w:r>
          </w:p>
        </w:tc>
        <w:tc>
          <w:tcPr>
            <w:tcW w:w="781" w:type="pct"/>
            <w:tcBorders>
              <w:top w:val="nil"/>
              <w:bottom w:val="single" w:sz="4" w:space="0" w:color="auto"/>
            </w:tcBorders>
            <w:vAlign w:val="center"/>
          </w:tcPr>
          <w:p w:rsidR="000A7585" w:rsidRPr="00AE6EDB" w:rsidRDefault="000A7585" w:rsidP="00DE0EEC">
            <w:pPr>
              <w:ind w:left="72" w:right="415"/>
              <w:jc w:val="right"/>
              <w:rPr>
                <w:iCs/>
                <w:color w:val="333300"/>
                <w:sz w:val="20"/>
                <w:szCs w:val="20"/>
              </w:rPr>
            </w:pPr>
            <w:r w:rsidRPr="00AE6EDB">
              <w:rPr>
                <w:iCs/>
                <w:color w:val="333300"/>
                <w:sz w:val="20"/>
                <w:szCs w:val="20"/>
              </w:rPr>
              <w:t>100</w:t>
            </w:r>
          </w:p>
        </w:tc>
        <w:tc>
          <w:tcPr>
            <w:tcW w:w="617" w:type="pct"/>
            <w:tcBorders>
              <w:top w:val="nil"/>
              <w:bottom w:val="single" w:sz="4" w:space="0" w:color="auto"/>
            </w:tcBorders>
            <w:vAlign w:val="center"/>
          </w:tcPr>
          <w:p w:rsidR="000A7585" w:rsidRPr="00AE6EDB" w:rsidRDefault="000A7585" w:rsidP="00DE0EEC">
            <w:pPr>
              <w:ind w:right="415"/>
              <w:jc w:val="right"/>
              <w:rPr>
                <w:sz w:val="18"/>
                <w:szCs w:val="18"/>
              </w:rPr>
            </w:pPr>
            <w:r w:rsidRPr="00AE6EDB">
              <w:rPr>
                <w:sz w:val="18"/>
                <w:szCs w:val="18"/>
              </w:rPr>
              <w:t>68</w:t>
            </w:r>
          </w:p>
        </w:tc>
        <w:tc>
          <w:tcPr>
            <w:tcW w:w="601" w:type="pct"/>
            <w:tcBorders>
              <w:top w:val="nil"/>
              <w:bottom w:val="single" w:sz="4" w:space="0" w:color="auto"/>
            </w:tcBorders>
            <w:vAlign w:val="center"/>
          </w:tcPr>
          <w:p w:rsidR="000A7585" w:rsidRPr="00AE6EDB" w:rsidRDefault="000A7585" w:rsidP="00DE0EEC">
            <w:pPr>
              <w:ind w:right="415"/>
              <w:jc w:val="right"/>
              <w:rPr>
                <w:sz w:val="18"/>
                <w:szCs w:val="18"/>
              </w:rPr>
            </w:pPr>
            <w:r w:rsidRPr="00AE6EDB">
              <w:rPr>
                <w:sz w:val="18"/>
                <w:szCs w:val="18"/>
              </w:rPr>
              <w:t>9</w:t>
            </w:r>
          </w:p>
        </w:tc>
        <w:tc>
          <w:tcPr>
            <w:tcW w:w="615" w:type="pct"/>
            <w:tcBorders>
              <w:top w:val="nil"/>
              <w:bottom w:val="single" w:sz="4" w:space="0" w:color="auto"/>
            </w:tcBorders>
            <w:vAlign w:val="center"/>
          </w:tcPr>
          <w:p w:rsidR="000A7585" w:rsidRPr="00AE6EDB" w:rsidRDefault="000A7585" w:rsidP="00DE0EEC">
            <w:pPr>
              <w:ind w:right="415"/>
              <w:jc w:val="right"/>
              <w:rPr>
                <w:sz w:val="18"/>
                <w:szCs w:val="18"/>
              </w:rPr>
            </w:pPr>
            <w:r w:rsidRPr="00AE6EDB">
              <w:rPr>
                <w:sz w:val="18"/>
                <w:szCs w:val="18"/>
              </w:rPr>
              <w:t>7</w:t>
            </w:r>
          </w:p>
        </w:tc>
        <w:tc>
          <w:tcPr>
            <w:tcW w:w="630" w:type="pct"/>
            <w:tcBorders>
              <w:top w:val="nil"/>
              <w:bottom w:val="single" w:sz="4" w:space="0" w:color="auto"/>
            </w:tcBorders>
            <w:vAlign w:val="center"/>
          </w:tcPr>
          <w:p w:rsidR="000A7585" w:rsidRPr="00AE6EDB" w:rsidRDefault="000A7585" w:rsidP="00DE0EEC">
            <w:pPr>
              <w:ind w:right="415"/>
              <w:jc w:val="right"/>
              <w:rPr>
                <w:sz w:val="18"/>
                <w:szCs w:val="18"/>
              </w:rPr>
            </w:pPr>
            <w:r w:rsidRPr="00AE6EDB">
              <w:rPr>
                <w:sz w:val="18"/>
                <w:szCs w:val="18"/>
              </w:rPr>
              <w:t>12</w:t>
            </w:r>
          </w:p>
        </w:tc>
        <w:tc>
          <w:tcPr>
            <w:tcW w:w="733" w:type="pct"/>
            <w:tcBorders>
              <w:top w:val="nil"/>
              <w:bottom w:val="single" w:sz="4" w:space="0" w:color="auto"/>
            </w:tcBorders>
            <w:vAlign w:val="center"/>
          </w:tcPr>
          <w:p w:rsidR="000A7585" w:rsidRPr="00AE6EDB" w:rsidRDefault="000A7585" w:rsidP="00DE0EEC">
            <w:pPr>
              <w:ind w:right="415"/>
              <w:jc w:val="right"/>
              <w:rPr>
                <w:sz w:val="18"/>
                <w:szCs w:val="18"/>
              </w:rPr>
            </w:pPr>
            <w:r w:rsidRPr="00AE6EDB">
              <w:rPr>
                <w:sz w:val="18"/>
                <w:szCs w:val="18"/>
              </w:rPr>
              <w:t>3</w:t>
            </w:r>
          </w:p>
        </w:tc>
      </w:tr>
    </w:tbl>
    <w:p w:rsidR="000A7585" w:rsidRPr="00AE6EDB" w:rsidRDefault="000A7585" w:rsidP="000A7585">
      <w:pPr>
        <w:pStyle w:val="zdroj"/>
        <w:ind w:hanging="142"/>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pStyle w:val="zdroj"/>
        <w:ind w:hanging="142"/>
        <w:rPr>
          <w:highlight w:val="cyan"/>
        </w:rPr>
      </w:pPr>
    </w:p>
    <w:p w:rsidR="001451D7" w:rsidRPr="00AE6EDB" w:rsidRDefault="001451D7" w:rsidP="003E2180">
      <w:pPr>
        <w:pStyle w:val="Nadpis7"/>
        <w:spacing w:after="0"/>
        <w:rPr>
          <w:b w:val="0"/>
          <w:i/>
        </w:rPr>
      </w:pPr>
      <w:r w:rsidRPr="00AE6EDB">
        <w:t xml:space="preserve">Tabuľka </w:t>
      </w:r>
      <w:r w:rsidR="002A54EF" w:rsidRPr="00AE6EDB">
        <w:t>10</w:t>
      </w:r>
      <w:r w:rsidRPr="00AE6EDB">
        <w:t xml:space="preserve"> Priemerná hrubá mesačná mzda v podnikateľskej a nepodnikateľskej sfére podľa stupňov vzdelania (plný pracovný čas) </w:t>
      </w:r>
      <w:r w:rsidRPr="00AE6EDB">
        <w:rPr>
          <w:color w:val="000000" w:themeColor="text1"/>
        </w:rPr>
        <w:t>–</w:t>
      </w:r>
      <w:r w:rsidRPr="00AE6EDB">
        <w:t xml:space="preserve"> rok 2015</w:t>
      </w:r>
    </w:p>
    <w:p w:rsidR="001451D7" w:rsidRPr="00AE6EDB" w:rsidRDefault="001451D7" w:rsidP="001451D7">
      <w:pPr>
        <w:ind w:right="-426"/>
        <w:jc w:val="right"/>
        <w:rPr>
          <w:color w:val="333300"/>
        </w:rPr>
      </w:pPr>
      <w:r w:rsidRPr="00AE6EDB">
        <w:rPr>
          <w:color w:val="333300"/>
          <w:szCs w:val="22"/>
        </w:rPr>
        <w:t>v €</w:t>
      </w:r>
    </w:p>
    <w:tbl>
      <w:tblPr>
        <w:tblW w:w="9633" w:type="dxa"/>
        <w:jc w:val="center"/>
        <w:tblLayout w:type="fixed"/>
        <w:tblCellMar>
          <w:left w:w="70" w:type="dxa"/>
          <w:right w:w="70" w:type="dxa"/>
        </w:tblCellMar>
        <w:tblLook w:val="0000" w:firstRow="0" w:lastRow="0" w:firstColumn="0" w:lastColumn="0" w:noHBand="0" w:noVBand="0"/>
      </w:tblPr>
      <w:tblGrid>
        <w:gridCol w:w="3417"/>
        <w:gridCol w:w="1134"/>
        <w:gridCol w:w="993"/>
        <w:gridCol w:w="992"/>
        <w:gridCol w:w="1134"/>
        <w:gridCol w:w="992"/>
        <w:gridCol w:w="971"/>
      </w:tblGrid>
      <w:tr w:rsidR="001451D7" w:rsidRPr="00AE6EDB" w:rsidTr="00D81103">
        <w:trPr>
          <w:trHeight w:val="234"/>
          <w:jc w:val="center"/>
        </w:trPr>
        <w:tc>
          <w:tcPr>
            <w:tcW w:w="3417" w:type="dxa"/>
            <w:vMerge w:val="restart"/>
            <w:tcBorders>
              <w:top w:val="single" w:sz="4" w:space="0" w:color="auto"/>
              <w:left w:val="single" w:sz="4" w:space="0" w:color="auto"/>
              <w:bottom w:val="single" w:sz="4" w:space="0" w:color="000000"/>
              <w:right w:val="single" w:sz="4" w:space="0" w:color="auto"/>
            </w:tcBorders>
            <w:shd w:val="clear" w:color="auto" w:fill="FF9999" w:themeFill="accent3" w:themeFillTint="66"/>
            <w:vAlign w:val="center"/>
          </w:tcPr>
          <w:p w:rsidR="001451D7" w:rsidRPr="00AE6EDB" w:rsidRDefault="001451D7" w:rsidP="00D81103">
            <w:pPr>
              <w:jc w:val="center"/>
              <w:rPr>
                <w:b/>
                <w:bCs/>
                <w:color w:val="333300"/>
                <w:sz w:val="20"/>
                <w:szCs w:val="20"/>
              </w:rPr>
            </w:pPr>
            <w:r w:rsidRPr="00AE6EDB">
              <w:rPr>
                <w:b/>
                <w:bCs/>
                <w:color w:val="333300"/>
                <w:sz w:val="20"/>
                <w:szCs w:val="20"/>
              </w:rPr>
              <w:t>Vzdelanie</w:t>
            </w:r>
          </w:p>
        </w:tc>
        <w:tc>
          <w:tcPr>
            <w:tcW w:w="3119" w:type="dxa"/>
            <w:gridSpan w:val="3"/>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ind w:hanging="10"/>
              <w:jc w:val="center"/>
              <w:rPr>
                <w:b/>
                <w:color w:val="333300"/>
                <w:sz w:val="20"/>
                <w:szCs w:val="20"/>
              </w:rPr>
            </w:pPr>
            <w:r w:rsidRPr="00AE6EDB">
              <w:rPr>
                <w:b/>
                <w:color w:val="333300"/>
                <w:sz w:val="20"/>
                <w:szCs w:val="20"/>
              </w:rPr>
              <w:t xml:space="preserve">Podnikateľská sféra </w:t>
            </w:r>
          </w:p>
        </w:tc>
        <w:tc>
          <w:tcPr>
            <w:tcW w:w="3097" w:type="dxa"/>
            <w:gridSpan w:val="3"/>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jc w:val="center"/>
              <w:rPr>
                <w:b/>
                <w:color w:val="333300"/>
                <w:sz w:val="20"/>
                <w:szCs w:val="20"/>
              </w:rPr>
            </w:pPr>
            <w:r w:rsidRPr="00AE6EDB">
              <w:rPr>
                <w:b/>
                <w:color w:val="333300"/>
                <w:sz w:val="20"/>
                <w:szCs w:val="20"/>
              </w:rPr>
              <w:t>Nepodnikateľská sféra</w:t>
            </w:r>
          </w:p>
        </w:tc>
      </w:tr>
      <w:tr w:rsidR="001451D7" w:rsidRPr="00AE6EDB" w:rsidTr="00D81103">
        <w:trPr>
          <w:trHeight w:val="264"/>
          <w:jc w:val="center"/>
        </w:trPr>
        <w:tc>
          <w:tcPr>
            <w:tcW w:w="341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1451D7" w:rsidRPr="00AE6EDB" w:rsidRDefault="001451D7" w:rsidP="00D81103">
            <w:pPr>
              <w:rPr>
                <w:b/>
                <w:bCs/>
                <w:color w:val="333300"/>
                <w:sz w:val="20"/>
                <w:szCs w:val="20"/>
              </w:rPr>
            </w:pPr>
          </w:p>
        </w:tc>
        <w:tc>
          <w:tcPr>
            <w:tcW w:w="1134"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ind w:hanging="10"/>
              <w:jc w:val="center"/>
              <w:rPr>
                <w:b/>
                <w:color w:val="333300"/>
                <w:sz w:val="20"/>
                <w:szCs w:val="20"/>
              </w:rPr>
            </w:pPr>
            <w:r w:rsidRPr="00AE6EDB">
              <w:rPr>
                <w:b/>
                <w:color w:val="333300"/>
                <w:sz w:val="20"/>
                <w:szCs w:val="20"/>
              </w:rPr>
              <w:t>Spolu</w:t>
            </w:r>
          </w:p>
        </w:tc>
        <w:tc>
          <w:tcPr>
            <w:tcW w:w="993"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ind w:hanging="10"/>
              <w:jc w:val="center"/>
              <w:rPr>
                <w:b/>
                <w:color w:val="333300"/>
                <w:sz w:val="20"/>
                <w:szCs w:val="20"/>
              </w:rPr>
            </w:pPr>
            <w:r w:rsidRPr="00AE6EDB">
              <w:rPr>
                <w:b/>
                <w:color w:val="333300"/>
                <w:sz w:val="20"/>
                <w:szCs w:val="20"/>
              </w:rPr>
              <w:t>Muži</w:t>
            </w:r>
          </w:p>
        </w:tc>
        <w:tc>
          <w:tcPr>
            <w:tcW w:w="992"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ind w:hanging="10"/>
              <w:jc w:val="center"/>
              <w:rPr>
                <w:b/>
                <w:color w:val="333300"/>
                <w:sz w:val="20"/>
                <w:szCs w:val="20"/>
              </w:rPr>
            </w:pPr>
            <w:r w:rsidRPr="00AE6EDB">
              <w:rPr>
                <w:b/>
                <w:color w:val="333300"/>
                <w:sz w:val="20"/>
                <w:szCs w:val="20"/>
              </w:rPr>
              <w:t>Ženy</w:t>
            </w:r>
          </w:p>
        </w:tc>
        <w:tc>
          <w:tcPr>
            <w:tcW w:w="1134"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jc w:val="center"/>
              <w:rPr>
                <w:b/>
                <w:color w:val="333300"/>
                <w:sz w:val="20"/>
                <w:szCs w:val="20"/>
              </w:rPr>
            </w:pPr>
            <w:r w:rsidRPr="00AE6EDB">
              <w:rPr>
                <w:b/>
                <w:color w:val="333300"/>
                <w:sz w:val="20"/>
                <w:szCs w:val="20"/>
              </w:rPr>
              <w:t>Spolu</w:t>
            </w:r>
          </w:p>
        </w:tc>
        <w:tc>
          <w:tcPr>
            <w:tcW w:w="992"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jc w:val="center"/>
              <w:rPr>
                <w:b/>
                <w:color w:val="333300"/>
                <w:sz w:val="20"/>
                <w:szCs w:val="20"/>
              </w:rPr>
            </w:pPr>
            <w:r w:rsidRPr="00AE6EDB">
              <w:rPr>
                <w:b/>
                <w:color w:val="333300"/>
                <w:sz w:val="20"/>
                <w:szCs w:val="20"/>
              </w:rPr>
              <w:t>Muži</w:t>
            </w:r>
          </w:p>
        </w:tc>
        <w:tc>
          <w:tcPr>
            <w:tcW w:w="971" w:type="dxa"/>
            <w:tcBorders>
              <w:top w:val="single" w:sz="4" w:space="0" w:color="auto"/>
              <w:left w:val="nil"/>
              <w:bottom w:val="single" w:sz="4" w:space="0" w:color="auto"/>
              <w:right w:val="single" w:sz="4" w:space="0" w:color="auto"/>
            </w:tcBorders>
            <w:shd w:val="clear" w:color="auto" w:fill="FF9999" w:themeFill="accent3" w:themeFillTint="66"/>
          </w:tcPr>
          <w:p w:rsidR="001451D7" w:rsidRPr="00AE6EDB" w:rsidRDefault="001451D7" w:rsidP="00D81103">
            <w:pPr>
              <w:jc w:val="center"/>
              <w:rPr>
                <w:b/>
                <w:color w:val="333300"/>
                <w:sz w:val="20"/>
                <w:szCs w:val="20"/>
              </w:rPr>
            </w:pPr>
            <w:r w:rsidRPr="00AE6EDB">
              <w:rPr>
                <w:b/>
                <w:color w:val="333300"/>
                <w:sz w:val="20"/>
                <w:szCs w:val="20"/>
              </w:rPr>
              <w:t>Ženy</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rPr>
                <w:b/>
                <w:color w:val="333300"/>
                <w:sz w:val="20"/>
                <w:szCs w:val="20"/>
              </w:rPr>
            </w:pPr>
            <w:r w:rsidRPr="00AE6EDB">
              <w:rPr>
                <w:b/>
                <w:color w:val="333300"/>
                <w:sz w:val="20"/>
                <w:szCs w:val="20"/>
              </w:rPr>
              <w:t>Spolu SR</w:t>
            </w:r>
          </w:p>
        </w:tc>
        <w:tc>
          <w:tcPr>
            <w:tcW w:w="1134"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b/>
                <w:color w:val="333300"/>
                <w:sz w:val="20"/>
                <w:szCs w:val="20"/>
              </w:rPr>
            </w:pPr>
            <w:r>
              <w:rPr>
                <w:b/>
                <w:color w:val="333300"/>
                <w:sz w:val="20"/>
                <w:szCs w:val="20"/>
              </w:rPr>
              <w:t>1 0</w:t>
            </w:r>
            <w:r w:rsidR="001451D7" w:rsidRPr="00AE6EDB">
              <w:rPr>
                <w:b/>
                <w:color w:val="333300"/>
                <w:sz w:val="20"/>
                <w:szCs w:val="20"/>
              </w:rPr>
              <w:t>55</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b/>
                <w:color w:val="333300"/>
                <w:sz w:val="20"/>
                <w:szCs w:val="20"/>
              </w:rPr>
            </w:pPr>
            <w:r>
              <w:rPr>
                <w:b/>
                <w:color w:val="333300"/>
                <w:sz w:val="20"/>
                <w:szCs w:val="20"/>
              </w:rPr>
              <w:t>1 1</w:t>
            </w:r>
            <w:r w:rsidR="001451D7" w:rsidRPr="00AE6EDB">
              <w:rPr>
                <w:b/>
                <w:color w:val="333300"/>
                <w:sz w:val="20"/>
                <w:szCs w:val="20"/>
              </w:rPr>
              <w:t>50</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b/>
                <w:color w:val="333300"/>
                <w:sz w:val="20"/>
                <w:szCs w:val="20"/>
              </w:rPr>
            </w:pPr>
            <w:r w:rsidRPr="00AE6EDB">
              <w:rPr>
                <w:b/>
                <w:color w:val="333300"/>
                <w:sz w:val="20"/>
                <w:szCs w:val="20"/>
              </w:rPr>
              <w:t>910</w:t>
            </w:r>
          </w:p>
        </w:tc>
        <w:tc>
          <w:tcPr>
            <w:tcW w:w="1134"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b/>
                <w:color w:val="333300"/>
                <w:sz w:val="20"/>
                <w:szCs w:val="20"/>
              </w:rPr>
            </w:pPr>
            <w:r w:rsidRPr="00AE6EDB">
              <w:rPr>
                <w:b/>
                <w:color w:val="333300"/>
                <w:sz w:val="20"/>
                <w:szCs w:val="20"/>
              </w:rPr>
              <w:t>905</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b/>
                <w:color w:val="333300"/>
                <w:sz w:val="20"/>
                <w:szCs w:val="20"/>
              </w:rPr>
            </w:pPr>
            <w:r w:rsidRPr="00AE6EDB">
              <w:rPr>
                <w:b/>
                <w:color w:val="333300"/>
                <w:sz w:val="20"/>
                <w:szCs w:val="20"/>
              </w:rPr>
              <w:t>988</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b/>
                <w:color w:val="333300"/>
                <w:sz w:val="20"/>
                <w:szCs w:val="20"/>
              </w:rPr>
            </w:pPr>
            <w:r w:rsidRPr="00AE6EDB">
              <w:rPr>
                <w:b/>
                <w:color w:val="333300"/>
                <w:sz w:val="20"/>
                <w:szCs w:val="20"/>
              </w:rPr>
              <w:t>875</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Základné</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color w:val="333300"/>
                <w:sz w:val="20"/>
                <w:szCs w:val="20"/>
              </w:rPr>
            </w:pPr>
            <w:r w:rsidRPr="00AE6EDB">
              <w:rPr>
                <w:color w:val="333300"/>
                <w:sz w:val="20"/>
                <w:szCs w:val="20"/>
              </w:rPr>
              <w:t>705</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781</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617</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507</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547</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489</w:t>
            </w:r>
          </w:p>
        </w:tc>
      </w:tr>
      <w:tr w:rsidR="001451D7" w:rsidRPr="00AE6EDB" w:rsidTr="00D81103">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Vyučení</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color w:val="333300"/>
                <w:sz w:val="20"/>
                <w:szCs w:val="20"/>
              </w:rPr>
            </w:pPr>
            <w:r w:rsidRPr="00AE6EDB">
              <w:rPr>
                <w:color w:val="333300"/>
                <w:sz w:val="20"/>
                <w:szCs w:val="20"/>
              </w:rPr>
              <w:t>803</w:t>
            </w:r>
          </w:p>
        </w:tc>
        <w:tc>
          <w:tcPr>
            <w:tcW w:w="993"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873</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646</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552</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640</w:t>
            </w:r>
          </w:p>
        </w:tc>
        <w:tc>
          <w:tcPr>
            <w:tcW w:w="971"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498</w:t>
            </w:r>
          </w:p>
        </w:tc>
      </w:tr>
      <w:tr w:rsidR="001451D7" w:rsidRPr="00AE6EDB" w:rsidTr="00D81103">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Stredné (bez maturity)</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color w:val="333300"/>
                <w:sz w:val="20"/>
                <w:szCs w:val="20"/>
              </w:rPr>
            </w:pPr>
            <w:r w:rsidRPr="00AE6EDB">
              <w:rPr>
                <w:color w:val="333300"/>
                <w:sz w:val="20"/>
                <w:szCs w:val="20"/>
              </w:rPr>
              <w:t>771</w:t>
            </w:r>
          </w:p>
        </w:tc>
        <w:tc>
          <w:tcPr>
            <w:tcW w:w="993"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827</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667</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608</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714</w:t>
            </w:r>
          </w:p>
        </w:tc>
        <w:tc>
          <w:tcPr>
            <w:tcW w:w="971"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550</w:t>
            </w:r>
          </w:p>
        </w:tc>
      </w:tr>
      <w:tr w:rsidR="001451D7" w:rsidRPr="00AE6EDB" w:rsidTr="00D81103">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Vyučení s maturitou</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color w:val="333300"/>
                <w:sz w:val="20"/>
                <w:szCs w:val="20"/>
              </w:rPr>
            </w:pPr>
            <w:r w:rsidRPr="00AE6EDB">
              <w:rPr>
                <w:color w:val="333300"/>
                <w:sz w:val="20"/>
                <w:szCs w:val="20"/>
              </w:rPr>
              <w:t>942</w:t>
            </w:r>
          </w:p>
        </w:tc>
        <w:tc>
          <w:tcPr>
            <w:tcW w:w="993" w:type="dxa"/>
            <w:tcBorders>
              <w:top w:val="nil"/>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1 0</w:t>
            </w:r>
            <w:r w:rsidR="001451D7" w:rsidRPr="00AE6EDB">
              <w:rPr>
                <w:color w:val="333300"/>
                <w:sz w:val="20"/>
                <w:szCs w:val="20"/>
              </w:rPr>
              <w:t>31</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761</w:t>
            </w:r>
          </w:p>
        </w:tc>
        <w:tc>
          <w:tcPr>
            <w:tcW w:w="1134" w:type="dxa"/>
            <w:tcBorders>
              <w:top w:val="nil"/>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720</w:t>
            </w:r>
          </w:p>
        </w:tc>
        <w:tc>
          <w:tcPr>
            <w:tcW w:w="992"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805</w:t>
            </w:r>
          </w:p>
        </w:tc>
        <w:tc>
          <w:tcPr>
            <w:tcW w:w="971" w:type="dxa"/>
            <w:tcBorders>
              <w:top w:val="nil"/>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677</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Úplné stredné všeobecné</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color w:val="333300"/>
                <w:sz w:val="20"/>
                <w:szCs w:val="20"/>
              </w:rPr>
            </w:pPr>
            <w:r w:rsidRPr="00AE6EDB">
              <w:rPr>
                <w:color w:val="333300"/>
                <w:sz w:val="20"/>
                <w:szCs w:val="20"/>
              </w:rPr>
              <w:t>958</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1 0</w:t>
            </w:r>
            <w:r w:rsidR="001451D7" w:rsidRPr="00AE6EDB">
              <w:rPr>
                <w:color w:val="333300"/>
                <w:sz w:val="20"/>
                <w:szCs w:val="20"/>
              </w:rPr>
              <w:t>81</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851</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793</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877</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776</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Úplné stredné odborné</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color w:val="333300"/>
                <w:sz w:val="20"/>
                <w:szCs w:val="20"/>
              </w:rPr>
            </w:pPr>
            <w:r>
              <w:rPr>
                <w:color w:val="333300"/>
                <w:sz w:val="20"/>
                <w:szCs w:val="20"/>
              </w:rPr>
              <w:t>1 0</w:t>
            </w:r>
            <w:r w:rsidR="001451D7" w:rsidRPr="00AE6EDB">
              <w:rPr>
                <w:color w:val="333300"/>
                <w:sz w:val="20"/>
                <w:szCs w:val="20"/>
              </w:rPr>
              <w:t>07</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1 1</w:t>
            </w:r>
            <w:r w:rsidR="001451D7" w:rsidRPr="00AE6EDB">
              <w:rPr>
                <w:color w:val="333300"/>
                <w:sz w:val="20"/>
                <w:szCs w:val="20"/>
              </w:rPr>
              <w:t>27</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887</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815</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843</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810</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Vyššie odborné</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color w:val="333300"/>
                <w:sz w:val="20"/>
                <w:szCs w:val="20"/>
              </w:rPr>
            </w:pPr>
            <w:r>
              <w:rPr>
                <w:color w:val="333300"/>
                <w:sz w:val="20"/>
                <w:szCs w:val="20"/>
              </w:rPr>
              <w:t>1 1</w:t>
            </w:r>
            <w:r w:rsidR="001451D7" w:rsidRPr="00AE6EDB">
              <w:rPr>
                <w:color w:val="333300"/>
                <w:sz w:val="20"/>
                <w:szCs w:val="20"/>
              </w:rPr>
              <w:t>18</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1 3</w:t>
            </w:r>
            <w:r w:rsidR="001451D7" w:rsidRPr="00AE6EDB">
              <w:rPr>
                <w:color w:val="333300"/>
                <w:sz w:val="20"/>
                <w:szCs w:val="20"/>
              </w:rPr>
              <w:t>41</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973</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945</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897</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955</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 xml:space="preserve">Vysokoškolské I. stupňa </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color w:val="333300"/>
                <w:sz w:val="20"/>
                <w:szCs w:val="20"/>
              </w:rPr>
            </w:pPr>
            <w:r>
              <w:rPr>
                <w:color w:val="333300"/>
                <w:sz w:val="20"/>
                <w:szCs w:val="20"/>
              </w:rPr>
              <w:t>1 2</w:t>
            </w:r>
            <w:r w:rsidR="001451D7" w:rsidRPr="00AE6EDB">
              <w:rPr>
                <w:color w:val="333300"/>
                <w:sz w:val="20"/>
                <w:szCs w:val="20"/>
              </w:rPr>
              <w:t>18</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1 4</w:t>
            </w:r>
            <w:r w:rsidR="001451D7" w:rsidRPr="00AE6EDB">
              <w:rPr>
                <w:color w:val="333300"/>
                <w:sz w:val="20"/>
                <w:szCs w:val="20"/>
              </w:rPr>
              <w:t>43</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1 0</w:t>
            </w:r>
            <w:r w:rsidR="001451D7" w:rsidRPr="00AE6EDB">
              <w:rPr>
                <w:color w:val="333300"/>
                <w:sz w:val="20"/>
                <w:szCs w:val="20"/>
              </w:rPr>
              <w:t>32</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1451D7" w:rsidP="00D81103">
            <w:pPr>
              <w:ind w:right="174"/>
              <w:jc w:val="right"/>
              <w:rPr>
                <w:sz w:val="20"/>
                <w:szCs w:val="20"/>
              </w:rPr>
            </w:pPr>
            <w:r w:rsidRPr="00AE6EDB">
              <w:rPr>
                <w:sz w:val="20"/>
                <w:szCs w:val="20"/>
              </w:rPr>
              <w:t>885</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962</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1451D7" w:rsidP="00D81103">
            <w:pPr>
              <w:ind w:right="174"/>
              <w:jc w:val="right"/>
              <w:rPr>
                <w:color w:val="333300"/>
                <w:sz w:val="20"/>
                <w:szCs w:val="20"/>
              </w:rPr>
            </w:pPr>
            <w:r w:rsidRPr="00AE6EDB">
              <w:rPr>
                <w:color w:val="333300"/>
                <w:sz w:val="20"/>
                <w:szCs w:val="20"/>
              </w:rPr>
              <w:t>865</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 xml:space="preserve">Vysokoškolské II. stupňa </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color w:val="333300"/>
                <w:sz w:val="20"/>
                <w:szCs w:val="20"/>
              </w:rPr>
            </w:pPr>
            <w:r>
              <w:rPr>
                <w:color w:val="333300"/>
                <w:sz w:val="20"/>
                <w:szCs w:val="20"/>
              </w:rPr>
              <w:t>1 7</w:t>
            </w:r>
            <w:r w:rsidR="001451D7" w:rsidRPr="00AE6EDB">
              <w:rPr>
                <w:color w:val="333300"/>
                <w:sz w:val="20"/>
                <w:szCs w:val="20"/>
              </w:rPr>
              <w:t>40</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1 9</w:t>
            </w:r>
            <w:r w:rsidR="001451D7" w:rsidRPr="00AE6EDB">
              <w:rPr>
                <w:color w:val="333300"/>
                <w:sz w:val="20"/>
                <w:szCs w:val="20"/>
              </w:rPr>
              <w:t>56</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1 4</w:t>
            </w:r>
            <w:r w:rsidR="001451D7" w:rsidRPr="00AE6EDB">
              <w:rPr>
                <w:color w:val="333300"/>
                <w:sz w:val="20"/>
                <w:szCs w:val="20"/>
              </w:rPr>
              <w:t>36</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sz w:val="20"/>
                <w:szCs w:val="20"/>
              </w:rPr>
            </w:pPr>
            <w:r>
              <w:rPr>
                <w:sz w:val="20"/>
                <w:szCs w:val="20"/>
              </w:rPr>
              <w:t>1 1</w:t>
            </w:r>
            <w:r w:rsidR="001451D7" w:rsidRPr="00AE6EDB">
              <w:rPr>
                <w:sz w:val="20"/>
                <w:szCs w:val="20"/>
              </w:rPr>
              <w:t>14</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1 2</w:t>
            </w:r>
            <w:r w:rsidR="001451D7" w:rsidRPr="00AE6EDB">
              <w:rPr>
                <w:color w:val="333300"/>
                <w:sz w:val="20"/>
                <w:szCs w:val="20"/>
              </w:rPr>
              <w:t>17</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1 0</w:t>
            </w:r>
            <w:r w:rsidR="001451D7" w:rsidRPr="00AE6EDB">
              <w:rPr>
                <w:color w:val="333300"/>
                <w:sz w:val="20"/>
                <w:szCs w:val="20"/>
              </w:rPr>
              <w:t>77</w:t>
            </w:r>
          </w:p>
        </w:tc>
      </w:tr>
      <w:tr w:rsidR="001451D7" w:rsidRPr="00AE6EDB" w:rsidTr="00D81103">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1451D7" w:rsidRPr="00AE6EDB" w:rsidRDefault="001451D7" w:rsidP="00D81103">
            <w:pPr>
              <w:ind w:left="113"/>
              <w:rPr>
                <w:color w:val="333300"/>
                <w:sz w:val="20"/>
                <w:szCs w:val="20"/>
              </w:rPr>
            </w:pPr>
            <w:r w:rsidRPr="00AE6EDB">
              <w:rPr>
                <w:color w:val="333300"/>
                <w:sz w:val="20"/>
                <w:szCs w:val="20"/>
              </w:rPr>
              <w:t xml:space="preserve">Vysokoškolské III. stupňa </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color w:val="333300"/>
                <w:sz w:val="20"/>
                <w:szCs w:val="20"/>
              </w:rPr>
            </w:pPr>
            <w:r>
              <w:rPr>
                <w:color w:val="333300"/>
                <w:sz w:val="20"/>
                <w:szCs w:val="20"/>
              </w:rPr>
              <w:t>2 3</w:t>
            </w:r>
            <w:r w:rsidR="001451D7" w:rsidRPr="00AE6EDB">
              <w:rPr>
                <w:color w:val="333300"/>
                <w:sz w:val="20"/>
                <w:szCs w:val="20"/>
              </w:rPr>
              <w:t>21</w:t>
            </w:r>
          </w:p>
        </w:tc>
        <w:tc>
          <w:tcPr>
            <w:tcW w:w="993"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2 6</w:t>
            </w:r>
            <w:r w:rsidR="001451D7" w:rsidRPr="00AE6EDB">
              <w:rPr>
                <w:color w:val="333300"/>
                <w:sz w:val="20"/>
                <w:szCs w:val="20"/>
              </w:rPr>
              <w:t>69</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1 7</w:t>
            </w:r>
            <w:r w:rsidR="001451D7" w:rsidRPr="00AE6EDB">
              <w:rPr>
                <w:color w:val="333300"/>
                <w:sz w:val="20"/>
                <w:szCs w:val="20"/>
              </w:rPr>
              <w:t>58</w:t>
            </w:r>
          </w:p>
        </w:tc>
        <w:tc>
          <w:tcPr>
            <w:tcW w:w="1134" w:type="dxa"/>
            <w:tcBorders>
              <w:top w:val="single" w:sz="4" w:space="0" w:color="auto"/>
              <w:left w:val="nil"/>
              <w:bottom w:val="single" w:sz="4" w:space="0" w:color="auto"/>
              <w:right w:val="single" w:sz="4" w:space="0" w:color="auto"/>
            </w:tcBorders>
            <w:vAlign w:val="center"/>
          </w:tcPr>
          <w:p w:rsidR="001451D7" w:rsidRPr="00AE6EDB" w:rsidRDefault="0054295F" w:rsidP="00D81103">
            <w:pPr>
              <w:ind w:right="174"/>
              <w:jc w:val="right"/>
              <w:rPr>
                <w:sz w:val="20"/>
                <w:szCs w:val="20"/>
              </w:rPr>
            </w:pPr>
            <w:r>
              <w:rPr>
                <w:sz w:val="20"/>
                <w:szCs w:val="20"/>
              </w:rPr>
              <w:t>1 3</w:t>
            </w:r>
            <w:r w:rsidR="001451D7" w:rsidRPr="00AE6EDB">
              <w:rPr>
                <w:sz w:val="20"/>
                <w:szCs w:val="20"/>
              </w:rPr>
              <w:t>75</w:t>
            </w:r>
          </w:p>
        </w:tc>
        <w:tc>
          <w:tcPr>
            <w:tcW w:w="992"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1 4</w:t>
            </w:r>
            <w:r w:rsidR="001451D7" w:rsidRPr="00AE6EDB">
              <w:rPr>
                <w:color w:val="333300"/>
                <w:sz w:val="20"/>
                <w:szCs w:val="20"/>
              </w:rPr>
              <w:t>56</w:t>
            </w:r>
          </w:p>
        </w:tc>
        <w:tc>
          <w:tcPr>
            <w:tcW w:w="971" w:type="dxa"/>
            <w:tcBorders>
              <w:top w:val="single" w:sz="4" w:space="0" w:color="auto"/>
              <w:left w:val="nil"/>
              <w:bottom w:val="single" w:sz="4" w:space="0" w:color="auto"/>
              <w:right w:val="single" w:sz="4" w:space="0" w:color="auto"/>
            </w:tcBorders>
            <w:noWrap/>
            <w:vAlign w:val="center"/>
          </w:tcPr>
          <w:p w:rsidR="001451D7" w:rsidRPr="00AE6EDB" w:rsidRDefault="0054295F" w:rsidP="00D81103">
            <w:pPr>
              <w:ind w:right="174"/>
              <w:jc w:val="right"/>
              <w:rPr>
                <w:color w:val="333300"/>
                <w:sz w:val="20"/>
                <w:szCs w:val="20"/>
              </w:rPr>
            </w:pPr>
            <w:r>
              <w:rPr>
                <w:color w:val="333300"/>
                <w:sz w:val="20"/>
                <w:szCs w:val="20"/>
              </w:rPr>
              <w:t>1 2</w:t>
            </w:r>
            <w:r w:rsidR="001451D7" w:rsidRPr="00AE6EDB">
              <w:rPr>
                <w:color w:val="333300"/>
                <w:sz w:val="20"/>
                <w:szCs w:val="20"/>
              </w:rPr>
              <w:t>75</w:t>
            </w:r>
          </w:p>
        </w:tc>
      </w:tr>
    </w:tbl>
    <w:p w:rsidR="001451D7" w:rsidRPr="00AE6EDB" w:rsidRDefault="001451D7" w:rsidP="001451D7">
      <w:pPr>
        <w:pStyle w:val="zdroj"/>
        <w:spacing w:after="0"/>
        <w:ind w:firstLine="0"/>
      </w:pPr>
      <w:r w:rsidRPr="00AE6EDB">
        <w:t xml:space="preserve">Zdroj: </w:t>
      </w:r>
      <w:proofErr w:type="spellStart"/>
      <w:r w:rsidRPr="00AE6EDB">
        <w:t>Trexima</w:t>
      </w:r>
      <w:proofErr w:type="spellEnd"/>
      <w:r w:rsidRPr="00AE6EDB">
        <w:t>, Informačný systém o priemerných zárobkoch IV. štvrťrok 2015</w:t>
      </w:r>
    </w:p>
    <w:p w:rsidR="001451D7" w:rsidRPr="00AE6EDB" w:rsidRDefault="001451D7" w:rsidP="001451D7">
      <w:pPr>
        <w:rPr>
          <w:highlight w:val="cyan"/>
          <w:lang w:eastAsia="cs-CZ"/>
        </w:rPr>
      </w:pPr>
    </w:p>
    <w:p w:rsidR="001451D7" w:rsidRPr="00AE6EDB" w:rsidRDefault="001451D7" w:rsidP="001451D7">
      <w:pPr>
        <w:pStyle w:val="Nadpis7"/>
        <w:rPr>
          <w:b w:val="0"/>
          <w:i/>
        </w:rPr>
      </w:pPr>
      <w:r w:rsidRPr="00AE6EDB">
        <w:t xml:space="preserve">Tabuľka </w:t>
      </w:r>
      <w:r w:rsidR="002A54EF" w:rsidRPr="00AE6EDB">
        <w:t>11</w:t>
      </w:r>
      <w:r w:rsidRPr="00AE6EDB">
        <w:t xml:space="preserve"> Priemerná hrubá mesačná mzda v podnikateľskej a nepodnikateľskej sfére podľa hlavnej triedy SK ISCO-08 a pohlavia (plný pracovný čas) – rok 2015</w:t>
      </w:r>
    </w:p>
    <w:p w:rsidR="001451D7" w:rsidRPr="00AE6EDB" w:rsidRDefault="001451D7" w:rsidP="001451D7">
      <w:pPr>
        <w:ind w:right="-426"/>
        <w:jc w:val="right"/>
        <w:rPr>
          <w:color w:val="333300"/>
          <w:szCs w:val="22"/>
        </w:rPr>
      </w:pPr>
      <w:r w:rsidRPr="00AE6EDB">
        <w:rPr>
          <w:color w:val="333300"/>
          <w:szCs w:val="22"/>
        </w:rPr>
        <w:t>v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1"/>
        <w:gridCol w:w="856"/>
        <w:gridCol w:w="856"/>
        <w:gridCol w:w="856"/>
        <w:gridCol w:w="856"/>
        <w:gridCol w:w="856"/>
        <w:gridCol w:w="856"/>
      </w:tblGrid>
      <w:tr w:rsidR="001451D7" w:rsidRPr="00AE6EDB" w:rsidTr="00D81103">
        <w:trPr>
          <w:trHeight w:val="323"/>
          <w:jc w:val="center"/>
        </w:trPr>
        <w:tc>
          <w:tcPr>
            <w:tcW w:w="4481" w:type="dxa"/>
            <w:vMerge w:val="restart"/>
            <w:shd w:val="clear" w:color="auto" w:fill="FF9999" w:themeFill="accent3" w:themeFillTint="66"/>
            <w:vAlign w:val="center"/>
          </w:tcPr>
          <w:p w:rsidR="001451D7" w:rsidRPr="00AE6EDB" w:rsidRDefault="001451D7" w:rsidP="00D81103">
            <w:pPr>
              <w:jc w:val="center"/>
              <w:rPr>
                <w:b/>
                <w:bCs/>
                <w:color w:val="333300"/>
                <w:sz w:val="20"/>
                <w:szCs w:val="20"/>
              </w:rPr>
            </w:pPr>
            <w:r w:rsidRPr="00AE6EDB">
              <w:rPr>
                <w:b/>
                <w:bCs/>
                <w:color w:val="333300"/>
                <w:sz w:val="20"/>
                <w:szCs w:val="20"/>
              </w:rPr>
              <w:t>Hlavná trieda SK ISCO-08</w:t>
            </w:r>
          </w:p>
        </w:tc>
        <w:tc>
          <w:tcPr>
            <w:tcW w:w="2568" w:type="dxa"/>
            <w:gridSpan w:val="3"/>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Podnikateľská sféra</w:t>
            </w:r>
          </w:p>
        </w:tc>
        <w:tc>
          <w:tcPr>
            <w:tcW w:w="2568" w:type="dxa"/>
            <w:gridSpan w:val="3"/>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Nepodnikateľská sféra</w:t>
            </w:r>
          </w:p>
        </w:tc>
      </w:tr>
      <w:tr w:rsidR="001451D7" w:rsidRPr="00AE6EDB" w:rsidTr="00D81103">
        <w:trPr>
          <w:trHeight w:val="70"/>
          <w:jc w:val="center"/>
        </w:trPr>
        <w:tc>
          <w:tcPr>
            <w:tcW w:w="4481" w:type="dxa"/>
            <w:vMerge/>
            <w:shd w:val="clear" w:color="auto" w:fill="FF9999" w:themeFill="accent3" w:themeFillTint="66"/>
            <w:vAlign w:val="center"/>
          </w:tcPr>
          <w:p w:rsidR="001451D7" w:rsidRPr="00AE6EDB" w:rsidRDefault="001451D7" w:rsidP="00D81103">
            <w:pPr>
              <w:jc w:val="center"/>
              <w:rPr>
                <w:b/>
                <w:bCs/>
                <w:color w:val="333300"/>
                <w:sz w:val="20"/>
                <w:szCs w:val="20"/>
              </w:rPr>
            </w:pP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Spolu</w:t>
            </w: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Muži</w:t>
            </w: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Ženy</w:t>
            </w: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Spolu</w:t>
            </w: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Muži</w:t>
            </w:r>
          </w:p>
        </w:tc>
        <w:tc>
          <w:tcPr>
            <w:tcW w:w="856" w:type="dxa"/>
            <w:shd w:val="clear" w:color="auto" w:fill="FF9999" w:themeFill="accent3" w:themeFillTint="66"/>
            <w:vAlign w:val="center"/>
          </w:tcPr>
          <w:p w:rsidR="001451D7" w:rsidRPr="00AE6EDB" w:rsidRDefault="001451D7" w:rsidP="00D81103">
            <w:pPr>
              <w:jc w:val="center"/>
              <w:rPr>
                <w:b/>
                <w:color w:val="333300"/>
                <w:sz w:val="20"/>
                <w:szCs w:val="20"/>
              </w:rPr>
            </w:pPr>
            <w:r w:rsidRPr="00AE6EDB">
              <w:rPr>
                <w:b/>
                <w:color w:val="333300"/>
                <w:sz w:val="20"/>
                <w:szCs w:val="20"/>
              </w:rPr>
              <w:t>Ženy</w:t>
            </w:r>
          </w:p>
        </w:tc>
      </w:tr>
      <w:tr w:rsidR="001451D7" w:rsidRPr="00AE6EDB" w:rsidTr="00D81103">
        <w:trPr>
          <w:trHeight w:val="270"/>
          <w:jc w:val="center"/>
        </w:trPr>
        <w:tc>
          <w:tcPr>
            <w:tcW w:w="4481" w:type="dxa"/>
            <w:vAlign w:val="center"/>
          </w:tcPr>
          <w:p w:rsidR="001451D7" w:rsidRPr="00AE6EDB" w:rsidRDefault="001451D7" w:rsidP="00D81103">
            <w:pPr>
              <w:rPr>
                <w:b/>
                <w:color w:val="333300"/>
                <w:sz w:val="20"/>
                <w:szCs w:val="20"/>
              </w:rPr>
            </w:pPr>
            <w:r w:rsidRPr="00AE6EDB">
              <w:rPr>
                <w:b/>
                <w:color w:val="333300"/>
                <w:sz w:val="20"/>
                <w:szCs w:val="20"/>
              </w:rPr>
              <w:t>Spolu SR</w:t>
            </w:r>
          </w:p>
        </w:tc>
        <w:tc>
          <w:tcPr>
            <w:tcW w:w="856" w:type="dxa"/>
            <w:noWrap/>
            <w:vAlign w:val="center"/>
          </w:tcPr>
          <w:p w:rsidR="001451D7" w:rsidRPr="00AE6EDB" w:rsidRDefault="0054295F" w:rsidP="00D81103">
            <w:pPr>
              <w:ind w:right="75"/>
              <w:jc w:val="right"/>
              <w:rPr>
                <w:b/>
                <w:sz w:val="20"/>
                <w:szCs w:val="20"/>
              </w:rPr>
            </w:pPr>
            <w:r>
              <w:rPr>
                <w:b/>
                <w:sz w:val="20"/>
                <w:szCs w:val="20"/>
              </w:rPr>
              <w:t>1 0</w:t>
            </w:r>
            <w:r w:rsidR="001451D7" w:rsidRPr="00AE6EDB">
              <w:rPr>
                <w:b/>
                <w:sz w:val="20"/>
                <w:szCs w:val="20"/>
              </w:rPr>
              <w:t>55</w:t>
            </w:r>
          </w:p>
        </w:tc>
        <w:tc>
          <w:tcPr>
            <w:tcW w:w="856" w:type="dxa"/>
            <w:noWrap/>
            <w:vAlign w:val="center"/>
          </w:tcPr>
          <w:p w:rsidR="001451D7" w:rsidRPr="00AE6EDB" w:rsidRDefault="0054295F" w:rsidP="00D81103">
            <w:pPr>
              <w:ind w:right="75"/>
              <w:jc w:val="right"/>
              <w:rPr>
                <w:b/>
                <w:sz w:val="20"/>
                <w:szCs w:val="20"/>
              </w:rPr>
            </w:pPr>
            <w:r>
              <w:rPr>
                <w:b/>
                <w:sz w:val="20"/>
                <w:szCs w:val="20"/>
              </w:rPr>
              <w:t>1 1</w:t>
            </w:r>
            <w:r w:rsidR="001451D7" w:rsidRPr="00AE6EDB">
              <w:rPr>
                <w:b/>
                <w:sz w:val="20"/>
                <w:szCs w:val="20"/>
              </w:rPr>
              <w:t>50</w:t>
            </w:r>
          </w:p>
        </w:tc>
        <w:tc>
          <w:tcPr>
            <w:tcW w:w="856" w:type="dxa"/>
            <w:noWrap/>
            <w:vAlign w:val="center"/>
          </w:tcPr>
          <w:p w:rsidR="001451D7" w:rsidRPr="00AE6EDB" w:rsidRDefault="001451D7" w:rsidP="00D81103">
            <w:pPr>
              <w:ind w:right="75"/>
              <w:jc w:val="right"/>
              <w:rPr>
                <w:b/>
                <w:sz w:val="20"/>
                <w:szCs w:val="20"/>
              </w:rPr>
            </w:pPr>
            <w:r w:rsidRPr="00AE6EDB">
              <w:rPr>
                <w:b/>
                <w:sz w:val="20"/>
                <w:szCs w:val="20"/>
              </w:rPr>
              <w:t>910</w:t>
            </w:r>
          </w:p>
        </w:tc>
        <w:tc>
          <w:tcPr>
            <w:tcW w:w="856" w:type="dxa"/>
            <w:noWrap/>
            <w:vAlign w:val="center"/>
          </w:tcPr>
          <w:p w:rsidR="001451D7" w:rsidRPr="00AE6EDB" w:rsidRDefault="001451D7" w:rsidP="00D81103">
            <w:pPr>
              <w:ind w:right="75"/>
              <w:jc w:val="right"/>
              <w:rPr>
                <w:b/>
                <w:sz w:val="20"/>
                <w:szCs w:val="20"/>
              </w:rPr>
            </w:pPr>
            <w:r w:rsidRPr="00AE6EDB">
              <w:rPr>
                <w:b/>
                <w:sz w:val="20"/>
                <w:szCs w:val="20"/>
              </w:rPr>
              <w:t>905</w:t>
            </w:r>
          </w:p>
        </w:tc>
        <w:tc>
          <w:tcPr>
            <w:tcW w:w="856" w:type="dxa"/>
            <w:noWrap/>
            <w:vAlign w:val="center"/>
          </w:tcPr>
          <w:p w:rsidR="001451D7" w:rsidRPr="00AE6EDB" w:rsidRDefault="001451D7" w:rsidP="00D81103">
            <w:pPr>
              <w:ind w:right="75"/>
              <w:jc w:val="right"/>
              <w:rPr>
                <w:b/>
                <w:sz w:val="20"/>
                <w:szCs w:val="20"/>
              </w:rPr>
            </w:pPr>
            <w:r w:rsidRPr="00AE6EDB">
              <w:rPr>
                <w:b/>
                <w:sz w:val="20"/>
                <w:szCs w:val="20"/>
              </w:rPr>
              <w:t>988</w:t>
            </w:r>
          </w:p>
        </w:tc>
        <w:tc>
          <w:tcPr>
            <w:tcW w:w="856" w:type="dxa"/>
            <w:noWrap/>
            <w:vAlign w:val="center"/>
          </w:tcPr>
          <w:p w:rsidR="001451D7" w:rsidRPr="00AE6EDB" w:rsidRDefault="001451D7" w:rsidP="00D81103">
            <w:pPr>
              <w:ind w:right="75"/>
              <w:jc w:val="right"/>
              <w:rPr>
                <w:b/>
                <w:sz w:val="20"/>
                <w:szCs w:val="20"/>
              </w:rPr>
            </w:pPr>
            <w:r w:rsidRPr="00AE6EDB">
              <w:rPr>
                <w:b/>
                <w:sz w:val="20"/>
                <w:szCs w:val="20"/>
              </w:rPr>
              <w:t>875</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Zákonodarcovia, vedúci a riadiaci zamestnanci</w:t>
            </w:r>
          </w:p>
        </w:tc>
        <w:tc>
          <w:tcPr>
            <w:tcW w:w="856" w:type="dxa"/>
            <w:vAlign w:val="center"/>
          </w:tcPr>
          <w:p w:rsidR="001451D7" w:rsidRPr="00AE6EDB" w:rsidRDefault="0054295F" w:rsidP="00D81103">
            <w:pPr>
              <w:ind w:right="75"/>
              <w:jc w:val="right"/>
              <w:rPr>
                <w:sz w:val="20"/>
                <w:szCs w:val="20"/>
              </w:rPr>
            </w:pPr>
            <w:r>
              <w:rPr>
                <w:sz w:val="20"/>
                <w:szCs w:val="20"/>
              </w:rPr>
              <w:t>2 3</w:t>
            </w:r>
            <w:r w:rsidR="001451D7" w:rsidRPr="00AE6EDB">
              <w:rPr>
                <w:sz w:val="20"/>
                <w:szCs w:val="20"/>
              </w:rPr>
              <w:t>74</w:t>
            </w:r>
          </w:p>
        </w:tc>
        <w:tc>
          <w:tcPr>
            <w:tcW w:w="856" w:type="dxa"/>
            <w:vAlign w:val="center"/>
          </w:tcPr>
          <w:p w:rsidR="001451D7" w:rsidRPr="00AE6EDB" w:rsidRDefault="0054295F" w:rsidP="00D81103">
            <w:pPr>
              <w:ind w:right="75"/>
              <w:jc w:val="right"/>
              <w:rPr>
                <w:sz w:val="20"/>
                <w:szCs w:val="20"/>
              </w:rPr>
            </w:pPr>
            <w:r>
              <w:rPr>
                <w:sz w:val="20"/>
                <w:szCs w:val="20"/>
              </w:rPr>
              <w:t>2 5</w:t>
            </w:r>
            <w:r w:rsidR="001451D7" w:rsidRPr="00AE6EDB">
              <w:rPr>
                <w:sz w:val="20"/>
                <w:szCs w:val="20"/>
              </w:rPr>
              <w:t>94</w:t>
            </w:r>
          </w:p>
        </w:tc>
        <w:tc>
          <w:tcPr>
            <w:tcW w:w="856" w:type="dxa"/>
            <w:vAlign w:val="center"/>
          </w:tcPr>
          <w:p w:rsidR="001451D7" w:rsidRPr="00AE6EDB" w:rsidRDefault="0054295F" w:rsidP="00D81103">
            <w:pPr>
              <w:ind w:right="75"/>
              <w:jc w:val="right"/>
              <w:rPr>
                <w:sz w:val="20"/>
                <w:szCs w:val="20"/>
              </w:rPr>
            </w:pPr>
            <w:r>
              <w:rPr>
                <w:sz w:val="20"/>
                <w:szCs w:val="20"/>
              </w:rPr>
              <w:t>1 8</w:t>
            </w:r>
            <w:r w:rsidR="001451D7" w:rsidRPr="00AE6EDB">
              <w:rPr>
                <w:sz w:val="20"/>
                <w:szCs w:val="20"/>
              </w:rPr>
              <w:t>92</w:t>
            </w:r>
          </w:p>
        </w:tc>
        <w:tc>
          <w:tcPr>
            <w:tcW w:w="856" w:type="dxa"/>
            <w:vAlign w:val="center"/>
          </w:tcPr>
          <w:p w:rsidR="001451D7" w:rsidRPr="00AE6EDB" w:rsidRDefault="0054295F" w:rsidP="00D81103">
            <w:pPr>
              <w:ind w:right="75"/>
              <w:jc w:val="right"/>
              <w:rPr>
                <w:sz w:val="20"/>
                <w:szCs w:val="20"/>
              </w:rPr>
            </w:pPr>
            <w:r>
              <w:rPr>
                <w:sz w:val="20"/>
                <w:szCs w:val="20"/>
              </w:rPr>
              <w:t>1 5</w:t>
            </w:r>
            <w:r w:rsidR="001451D7" w:rsidRPr="00AE6EDB">
              <w:rPr>
                <w:sz w:val="20"/>
                <w:szCs w:val="20"/>
              </w:rPr>
              <w:t>82</w:t>
            </w:r>
          </w:p>
        </w:tc>
        <w:tc>
          <w:tcPr>
            <w:tcW w:w="856" w:type="dxa"/>
            <w:noWrap/>
            <w:vAlign w:val="center"/>
          </w:tcPr>
          <w:p w:rsidR="001451D7" w:rsidRPr="00AE6EDB" w:rsidRDefault="0054295F" w:rsidP="00D81103">
            <w:pPr>
              <w:ind w:right="75"/>
              <w:jc w:val="right"/>
              <w:rPr>
                <w:sz w:val="20"/>
                <w:szCs w:val="20"/>
              </w:rPr>
            </w:pPr>
            <w:r>
              <w:rPr>
                <w:sz w:val="20"/>
                <w:szCs w:val="20"/>
              </w:rPr>
              <w:t>1 8</w:t>
            </w:r>
            <w:r w:rsidR="001451D7" w:rsidRPr="00AE6EDB">
              <w:rPr>
                <w:sz w:val="20"/>
                <w:szCs w:val="20"/>
              </w:rPr>
              <w:t>32</w:t>
            </w:r>
          </w:p>
        </w:tc>
        <w:tc>
          <w:tcPr>
            <w:tcW w:w="856" w:type="dxa"/>
            <w:noWrap/>
            <w:vAlign w:val="center"/>
          </w:tcPr>
          <w:p w:rsidR="001451D7" w:rsidRPr="00AE6EDB" w:rsidRDefault="0054295F" w:rsidP="00D81103">
            <w:pPr>
              <w:ind w:right="75"/>
              <w:jc w:val="right"/>
              <w:rPr>
                <w:sz w:val="20"/>
                <w:szCs w:val="20"/>
              </w:rPr>
            </w:pPr>
            <w:r>
              <w:rPr>
                <w:sz w:val="20"/>
                <w:szCs w:val="20"/>
              </w:rPr>
              <w:t>1 4</w:t>
            </w:r>
            <w:r w:rsidR="001451D7" w:rsidRPr="00AE6EDB">
              <w:rPr>
                <w:sz w:val="20"/>
                <w:szCs w:val="20"/>
              </w:rPr>
              <w:t>07</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Vedeckí a odborní duševní zamestnanci</w:t>
            </w:r>
          </w:p>
        </w:tc>
        <w:tc>
          <w:tcPr>
            <w:tcW w:w="856" w:type="dxa"/>
            <w:vAlign w:val="center"/>
          </w:tcPr>
          <w:p w:rsidR="001451D7" w:rsidRPr="00AE6EDB" w:rsidRDefault="0054295F" w:rsidP="00D81103">
            <w:pPr>
              <w:ind w:right="75"/>
              <w:jc w:val="right"/>
              <w:rPr>
                <w:sz w:val="20"/>
                <w:szCs w:val="20"/>
              </w:rPr>
            </w:pPr>
            <w:r>
              <w:rPr>
                <w:sz w:val="20"/>
                <w:szCs w:val="20"/>
              </w:rPr>
              <w:t>1 6</w:t>
            </w:r>
            <w:r w:rsidR="001451D7" w:rsidRPr="00AE6EDB">
              <w:rPr>
                <w:sz w:val="20"/>
                <w:szCs w:val="20"/>
              </w:rPr>
              <w:t>05</w:t>
            </w:r>
          </w:p>
        </w:tc>
        <w:tc>
          <w:tcPr>
            <w:tcW w:w="856" w:type="dxa"/>
            <w:vAlign w:val="center"/>
          </w:tcPr>
          <w:p w:rsidR="001451D7" w:rsidRPr="00AE6EDB" w:rsidRDefault="0054295F" w:rsidP="00D81103">
            <w:pPr>
              <w:ind w:right="75"/>
              <w:jc w:val="right"/>
              <w:rPr>
                <w:sz w:val="20"/>
                <w:szCs w:val="20"/>
              </w:rPr>
            </w:pPr>
            <w:r>
              <w:rPr>
                <w:sz w:val="20"/>
                <w:szCs w:val="20"/>
              </w:rPr>
              <w:t>1 8</w:t>
            </w:r>
            <w:r w:rsidR="001451D7" w:rsidRPr="00AE6EDB">
              <w:rPr>
                <w:sz w:val="20"/>
                <w:szCs w:val="20"/>
              </w:rPr>
              <w:t>08</w:t>
            </w:r>
          </w:p>
        </w:tc>
        <w:tc>
          <w:tcPr>
            <w:tcW w:w="856" w:type="dxa"/>
            <w:vAlign w:val="center"/>
          </w:tcPr>
          <w:p w:rsidR="001451D7" w:rsidRPr="00AE6EDB" w:rsidRDefault="0054295F" w:rsidP="00D81103">
            <w:pPr>
              <w:ind w:right="75"/>
              <w:jc w:val="right"/>
              <w:rPr>
                <w:sz w:val="20"/>
                <w:szCs w:val="20"/>
              </w:rPr>
            </w:pPr>
            <w:r>
              <w:rPr>
                <w:sz w:val="20"/>
                <w:szCs w:val="20"/>
              </w:rPr>
              <w:t>1 3</w:t>
            </w:r>
            <w:r w:rsidR="001451D7" w:rsidRPr="00AE6EDB">
              <w:rPr>
                <w:sz w:val="20"/>
                <w:szCs w:val="20"/>
              </w:rPr>
              <w:t>65</w:t>
            </w:r>
          </w:p>
        </w:tc>
        <w:tc>
          <w:tcPr>
            <w:tcW w:w="856" w:type="dxa"/>
            <w:vAlign w:val="center"/>
          </w:tcPr>
          <w:p w:rsidR="001451D7" w:rsidRPr="00AE6EDB" w:rsidRDefault="0054295F" w:rsidP="00D81103">
            <w:pPr>
              <w:ind w:right="75"/>
              <w:jc w:val="right"/>
              <w:rPr>
                <w:sz w:val="20"/>
                <w:szCs w:val="20"/>
              </w:rPr>
            </w:pPr>
            <w:r>
              <w:rPr>
                <w:sz w:val="20"/>
                <w:szCs w:val="20"/>
              </w:rPr>
              <w:t>1 0</w:t>
            </w:r>
            <w:r w:rsidR="001451D7" w:rsidRPr="00AE6EDB">
              <w:rPr>
                <w:sz w:val="20"/>
                <w:szCs w:val="20"/>
              </w:rPr>
              <w:t>45</w:t>
            </w:r>
          </w:p>
        </w:tc>
        <w:tc>
          <w:tcPr>
            <w:tcW w:w="856" w:type="dxa"/>
            <w:noWrap/>
            <w:vAlign w:val="center"/>
          </w:tcPr>
          <w:p w:rsidR="001451D7" w:rsidRPr="00AE6EDB" w:rsidRDefault="0054295F" w:rsidP="00D81103">
            <w:pPr>
              <w:ind w:right="75"/>
              <w:jc w:val="right"/>
              <w:rPr>
                <w:sz w:val="20"/>
                <w:szCs w:val="20"/>
              </w:rPr>
            </w:pPr>
            <w:r>
              <w:rPr>
                <w:sz w:val="20"/>
                <w:szCs w:val="20"/>
              </w:rPr>
              <w:t>1 1</w:t>
            </w:r>
            <w:r w:rsidR="001451D7" w:rsidRPr="00AE6EDB">
              <w:rPr>
                <w:sz w:val="20"/>
                <w:szCs w:val="20"/>
              </w:rPr>
              <w:t>41</w:t>
            </w:r>
          </w:p>
        </w:tc>
        <w:tc>
          <w:tcPr>
            <w:tcW w:w="856" w:type="dxa"/>
            <w:noWrap/>
            <w:vAlign w:val="center"/>
          </w:tcPr>
          <w:p w:rsidR="001451D7" w:rsidRPr="00AE6EDB" w:rsidRDefault="0054295F" w:rsidP="00D81103">
            <w:pPr>
              <w:ind w:right="75"/>
              <w:jc w:val="right"/>
              <w:rPr>
                <w:sz w:val="20"/>
                <w:szCs w:val="20"/>
              </w:rPr>
            </w:pPr>
            <w:r>
              <w:rPr>
                <w:sz w:val="20"/>
                <w:szCs w:val="20"/>
              </w:rPr>
              <w:t>1 0</w:t>
            </w:r>
            <w:r w:rsidR="001451D7" w:rsidRPr="00AE6EDB">
              <w:rPr>
                <w:sz w:val="20"/>
                <w:szCs w:val="20"/>
              </w:rPr>
              <w:t>15</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Technickí, zdravotnícki, pedagogickí zamestnanci</w:t>
            </w:r>
          </w:p>
        </w:tc>
        <w:tc>
          <w:tcPr>
            <w:tcW w:w="856" w:type="dxa"/>
            <w:vAlign w:val="center"/>
          </w:tcPr>
          <w:p w:rsidR="001451D7" w:rsidRPr="00AE6EDB" w:rsidRDefault="0054295F" w:rsidP="00D81103">
            <w:pPr>
              <w:ind w:right="75"/>
              <w:jc w:val="right"/>
              <w:rPr>
                <w:sz w:val="20"/>
                <w:szCs w:val="20"/>
              </w:rPr>
            </w:pPr>
            <w:r>
              <w:rPr>
                <w:sz w:val="20"/>
                <w:szCs w:val="20"/>
              </w:rPr>
              <w:t>1 1</w:t>
            </w:r>
            <w:r w:rsidR="001451D7" w:rsidRPr="00AE6EDB">
              <w:rPr>
                <w:sz w:val="20"/>
                <w:szCs w:val="20"/>
              </w:rPr>
              <w:t>76</w:t>
            </w:r>
          </w:p>
        </w:tc>
        <w:tc>
          <w:tcPr>
            <w:tcW w:w="856" w:type="dxa"/>
            <w:vAlign w:val="center"/>
          </w:tcPr>
          <w:p w:rsidR="001451D7" w:rsidRPr="00AE6EDB" w:rsidRDefault="0054295F" w:rsidP="00D81103">
            <w:pPr>
              <w:ind w:right="75"/>
              <w:jc w:val="right"/>
              <w:rPr>
                <w:sz w:val="20"/>
                <w:szCs w:val="20"/>
              </w:rPr>
            </w:pPr>
            <w:r>
              <w:rPr>
                <w:sz w:val="20"/>
                <w:szCs w:val="20"/>
              </w:rPr>
              <w:t>1 2</w:t>
            </w:r>
            <w:r w:rsidR="001451D7" w:rsidRPr="00AE6EDB">
              <w:rPr>
                <w:sz w:val="20"/>
                <w:szCs w:val="20"/>
              </w:rPr>
              <w:t>97</w:t>
            </w:r>
          </w:p>
        </w:tc>
        <w:tc>
          <w:tcPr>
            <w:tcW w:w="856" w:type="dxa"/>
            <w:vAlign w:val="center"/>
          </w:tcPr>
          <w:p w:rsidR="001451D7" w:rsidRPr="00AE6EDB" w:rsidRDefault="0054295F" w:rsidP="00D81103">
            <w:pPr>
              <w:ind w:right="75"/>
              <w:jc w:val="right"/>
              <w:rPr>
                <w:sz w:val="20"/>
                <w:szCs w:val="20"/>
              </w:rPr>
            </w:pPr>
            <w:r>
              <w:rPr>
                <w:sz w:val="20"/>
                <w:szCs w:val="20"/>
              </w:rPr>
              <w:t>1 0</w:t>
            </w:r>
            <w:r w:rsidR="001451D7" w:rsidRPr="00AE6EDB">
              <w:rPr>
                <w:sz w:val="20"/>
                <w:szCs w:val="20"/>
              </w:rPr>
              <w:t>42</w:t>
            </w:r>
          </w:p>
        </w:tc>
        <w:tc>
          <w:tcPr>
            <w:tcW w:w="856" w:type="dxa"/>
            <w:vAlign w:val="center"/>
          </w:tcPr>
          <w:p w:rsidR="001451D7" w:rsidRPr="00AE6EDB" w:rsidRDefault="001451D7" w:rsidP="00D81103">
            <w:pPr>
              <w:ind w:right="75"/>
              <w:jc w:val="right"/>
              <w:rPr>
                <w:sz w:val="20"/>
                <w:szCs w:val="20"/>
              </w:rPr>
            </w:pPr>
            <w:r w:rsidRPr="00AE6EDB">
              <w:rPr>
                <w:sz w:val="20"/>
                <w:szCs w:val="20"/>
              </w:rPr>
              <w:t>878</w:t>
            </w:r>
          </w:p>
        </w:tc>
        <w:tc>
          <w:tcPr>
            <w:tcW w:w="856" w:type="dxa"/>
            <w:noWrap/>
            <w:vAlign w:val="center"/>
          </w:tcPr>
          <w:p w:rsidR="001451D7" w:rsidRPr="00AE6EDB" w:rsidRDefault="001451D7" w:rsidP="00D81103">
            <w:pPr>
              <w:ind w:right="75"/>
              <w:jc w:val="right"/>
              <w:rPr>
                <w:sz w:val="20"/>
                <w:szCs w:val="20"/>
              </w:rPr>
            </w:pPr>
            <w:r w:rsidRPr="00AE6EDB">
              <w:rPr>
                <w:sz w:val="20"/>
                <w:szCs w:val="20"/>
              </w:rPr>
              <w:t>932</w:t>
            </w:r>
          </w:p>
        </w:tc>
        <w:tc>
          <w:tcPr>
            <w:tcW w:w="856" w:type="dxa"/>
            <w:noWrap/>
            <w:vAlign w:val="center"/>
          </w:tcPr>
          <w:p w:rsidR="001451D7" w:rsidRPr="00AE6EDB" w:rsidRDefault="001451D7" w:rsidP="00D81103">
            <w:pPr>
              <w:ind w:right="75"/>
              <w:jc w:val="right"/>
              <w:rPr>
                <w:sz w:val="20"/>
                <w:szCs w:val="20"/>
              </w:rPr>
            </w:pPr>
            <w:r w:rsidRPr="00AE6EDB">
              <w:rPr>
                <w:sz w:val="20"/>
                <w:szCs w:val="20"/>
              </w:rPr>
              <w:t>865</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Nižší administratívni zamestnanci (úradníci)</w:t>
            </w:r>
          </w:p>
        </w:tc>
        <w:tc>
          <w:tcPr>
            <w:tcW w:w="856" w:type="dxa"/>
            <w:vAlign w:val="center"/>
          </w:tcPr>
          <w:p w:rsidR="001451D7" w:rsidRPr="00AE6EDB" w:rsidRDefault="001451D7" w:rsidP="00D81103">
            <w:pPr>
              <w:ind w:right="75"/>
              <w:jc w:val="right"/>
              <w:rPr>
                <w:sz w:val="20"/>
                <w:szCs w:val="20"/>
              </w:rPr>
            </w:pPr>
            <w:r w:rsidRPr="00AE6EDB">
              <w:rPr>
                <w:sz w:val="20"/>
                <w:szCs w:val="20"/>
              </w:rPr>
              <w:t>860</w:t>
            </w:r>
          </w:p>
        </w:tc>
        <w:tc>
          <w:tcPr>
            <w:tcW w:w="856" w:type="dxa"/>
            <w:vAlign w:val="center"/>
          </w:tcPr>
          <w:p w:rsidR="001451D7" w:rsidRPr="00AE6EDB" w:rsidRDefault="001451D7" w:rsidP="00D81103">
            <w:pPr>
              <w:ind w:right="75"/>
              <w:jc w:val="right"/>
              <w:rPr>
                <w:sz w:val="20"/>
                <w:szCs w:val="20"/>
              </w:rPr>
            </w:pPr>
            <w:r w:rsidRPr="00AE6EDB">
              <w:rPr>
                <w:sz w:val="20"/>
                <w:szCs w:val="20"/>
              </w:rPr>
              <w:t>929</w:t>
            </w:r>
          </w:p>
        </w:tc>
        <w:tc>
          <w:tcPr>
            <w:tcW w:w="856" w:type="dxa"/>
            <w:vAlign w:val="center"/>
          </w:tcPr>
          <w:p w:rsidR="001451D7" w:rsidRPr="00AE6EDB" w:rsidRDefault="001451D7" w:rsidP="00D81103">
            <w:pPr>
              <w:ind w:right="75"/>
              <w:jc w:val="right"/>
              <w:rPr>
                <w:sz w:val="20"/>
                <w:szCs w:val="20"/>
              </w:rPr>
            </w:pPr>
            <w:r w:rsidRPr="00AE6EDB">
              <w:rPr>
                <w:sz w:val="20"/>
                <w:szCs w:val="20"/>
              </w:rPr>
              <w:t>826</w:t>
            </w:r>
          </w:p>
        </w:tc>
        <w:tc>
          <w:tcPr>
            <w:tcW w:w="856" w:type="dxa"/>
            <w:vAlign w:val="center"/>
          </w:tcPr>
          <w:p w:rsidR="001451D7" w:rsidRPr="00AE6EDB" w:rsidRDefault="001451D7" w:rsidP="00D81103">
            <w:pPr>
              <w:ind w:right="75"/>
              <w:jc w:val="right"/>
              <w:rPr>
                <w:sz w:val="20"/>
                <w:szCs w:val="20"/>
              </w:rPr>
            </w:pPr>
            <w:r w:rsidRPr="00AE6EDB">
              <w:rPr>
                <w:sz w:val="20"/>
                <w:szCs w:val="20"/>
              </w:rPr>
              <w:t>770</w:t>
            </w:r>
          </w:p>
        </w:tc>
        <w:tc>
          <w:tcPr>
            <w:tcW w:w="856" w:type="dxa"/>
            <w:noWrap/>
            <w:vAlign w:val="center"/>
          </w:tcPr>
          <w:p w:rsidR="001451D7" w:rsidRPr="00AE6EDB" w:rsidRDefault="001451D7" w:rsidP="00D81103">
            <w:pPr>
              <w:ind w:right="75"/>
              <w:jc w:val="right"/>
              <w:rPr>
                <w:sz w:val="20"/>
                <w:szCs w:val="20"/>
              </w:rPr>
            </w:pPr>
            <w:r w:rsidRPr="00AE6EDB">
              <w:rPr>
                <w:sz w:val="20"/>
                <w:szCs w:val="20"/>
              </w:rPr>
              <w:t>783</w:t>
            </w:r>
          </w:p>
        </w:tc>
        <w:tc>
          <w:tcPr>
            <w:tcW w:w="856" w:type="dxa"/>
            <w:noWrap/>
            <w:vAlign w:val="center"/>
          </w:tcPr>
          <w:p w:rsidR="001451D7" w:rsidRPr="00AE6EDB" w:rsidRDefault="001451D7" w:rsidP="00D81103">
            <w:pPr>
              <w:ind w:right="75"/>
              <w:jc w:val="right"/>
              <w:rPr>
                <w:sz w:val="20"/>
                <w:szCs w:val="20"/>
              </w:rPr>
            </w:pPr>
            <w:r w:rsidRPr="00AE6EDB">
              <w:rPr>
                <w:sz w:val="20"/>
                <w:szCs w:val="20"/>
              </w:rPr>
              <w:t>769</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Prevádzkoví zamestnanci v službách a obchode</w:t>
            </w:r>
          </w:p>
        </w:tc>
        <w:tc>
          <w:tcPr>
            <w:tcW w:w="856" w:type="dxa"/>
            <w:vAlign w:val="center"/>
          </w:tcPr>
          <w:p w:rsidR="001451D7" w:rsidRPr="00AE6EDB" w:rsidRDefault="001451D7" w:rsidP="00D81103">
            <w:pPr>
              <w:ind w:right="75"/>
              <w:jc w:val="right"/>
              <w:rPr>
                <w:sz w:val="20"/>
                <w:szCs w:val="20"/>
              </w:rPr>
            </w:pPr>
            <w:r w:rsidRPr="00AE6EDB">
              <w:rPr>
                <w:sz w:val="20"/>
                <w:szCs w:val="20"/>
              </w:rPr>
              <w:t>684</w:t>
            </w:r>
          </w:p>
        </w:tc>
        <w:tc>
          <w:tcPr>
            <w:tcW w:w="856" w:type="dxa"/>
            <w:vAlign w:val="center"/>
          </w:tcPr>
          <w:p w:rsidR="001451D7" w:rsidRPr="00AE6EDB" w:rsidRDefault="001451D7" w:rsidP="00D81103">
            <w:pPr>
              <w:ind w:right="75"/>
              <w:jc w:val="right"/>
              <w:rPr>
                <w:sz w:val="20"/>
                <w:szCs w:val="20"/>
              </w:rPr>
            </w:pPr>
            <w:r w:rsidRPr="00AE6EDB">
              <w:rPr>
                <w:sz w:val="20"/>
                <w:szCs w:val="20"/>
              </w:rPr>
              <w:t>757</w:t>
            </w:r>
          </w:p>
        </w:tc>
        <w:tc>
          <w:tcPr>
            <w:tcW w:w="856" w:type="dxa"/>
            <w:vAlign w:val="center"/>
          </w:tcPr>
          <w:p w:rsidR="001451D7" w:rsidRPr="00AE6EDB" w:rsidRDefault="001451D7" w:rsidP="00D81103">
            <w:pPr>
              <w:ind w:right="75"/>
              <w:jc w:val="right"/>
              <w:rPr>
                <w:sz w:val="20"/>
                <w:szCs w:val="20"/>
              </w:rPr>
            </w:pPr>
            <w:r w:rsidRPr="00AE6EDB">
              <w:rPr>
                <w:sz w:val="20"/>
                <w:szCs w:val="20"/>
              </w:rPr>
              <w:t>634</w:t>
            </w:r>
          </w:p>
        </w:tc>
        <w:tc>
          <w:tcPr>
            <w:tcW w:w="856" w:type="dxa"/>
            <w:vAlign w:val="center"/>
          </w:tcPr>
          <w:p w:rsidR="001451D7" w:rsidRPr="00AE6EDB" w:rsidRDefault="001451D7" w:rsidP="00D81103">
            <w:pPr>
              <w:ind w:right="75"/>
              <w:jc w:val="right"/>
              <w:rPr>
                <w:sz w:val="20"/>
                <w:szCs w:val="20"/>
              </w:rPr>
            </w:pPr>
            <w:r w:rsidRPr="00AE6EDB">
              <w:rPr>
                <w:sz w:val="20"/>
                <w:szCs w:val="20"/>
              </w:rPr>
              <w:t>603</w:t>
            </w:r>
          </w:p>
        </w:tc>
        <w:tc>
          <w:tcPr>
            <w:tcW w:w="856" w:type="dxa"/>
            <w:noWrap/>
            <w:vAlign w:val="center"/>
          </w:tcPr>
          <w:p w:rsidR="001451D7" w:rsidRPr="00AE6EDB" w:rsidRDefault="001451D7" w:rsidP="00D81103">
            <w:pPr>
              <w:ind w:right="75"/>
              <w:jc w:val="right"/>
              <w:rPr>
                <w:sz w:val="20"/>
                <w:szCs w:val="20"/>
              </w:rPr>
            </w:pPr>
            <w:r w:rsidRPr="00AE6EDB">
              <w:rPr>
                <w:sz w:val="20"/>
                <w:szCs w:val="20"/>
              </w:rPr>
              <w:t>744</w:t>
            </w:r>
          </w:p>
        </w:tc>
        <w:tc>
          <w:tcPr>
            <w:tcW w:w="856" w:type="dxa"/>
            <w:noWrap/>
            <w:vAlign w:val="center"/>
          </w:tcPr>
          <w:p w:rsidR="001451D7" w:rsidRPr="00AE6EDB" w:rsidRDefault="001451D7" w:rsidP="00D81103">
            <w:pPr>
              <w:ind w:right="75"/>
              <w:jc w:val="right"/>
              <w:rPr>
                <w:sz w:val="20"/>
                <w:szCs w:val="20"/>
              </w:rPr>
            </w:pPr>
            <w:r w:rsidRPr="00AE6EDB">
              <w:rPr>
                <w:sz w:val="20"/>
                <w:szCs w:val="20"/>
              </w:rPr>
              <w:t>537</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Kvalifikovaní robotníci v </w:t>
            </w:r>
            <w:proofErr w:type="spellStart"/>
            <w:r w:rsidRPr="00AE6EDB">
              <w:rPr>
                <w:color w:val="333300"/>
                <w:sz w:val="20"/>
                <w:szCs w:val="20"/>
              </w:rPr>
              <w:t>poľnohosp</w:t>
            </w:r>
            <w:proofErr w:type="spellEnd"/>
            <w:r w:rsidRPr="00AE6EDB">
              <w:rPr>
                <w:color w:val="333300"/>
                <w:sz w:val="20"/>
                <w:szCs w:val="20"/>
              </w:rPr>
              <w:t>., lesníctve</w:t>
            </w:r>
          </w:p>
        </w:tc>
        <w:tc>
          <w:tcPr>
            <w:tcW w:w="856" w:type="dxa"/>
            <w:vAlign w:val="center"/>
          </w:tcPr>
          <w:p w:rsidR="001451D7" w:rsidRPr="00AE6EDB" w:rsidRDefault="001451D7" w:rsidP="00D81103">
            <w:pPr>
              <w:ind w:right="75"/>
              <w:jc w:val="right"/>
              <w:rPr>
                <w:sz w:val="20"/>
                <w:szCs w:val="20"/>
              </w:rPr>
            </w:pPr>
            <w:r w:rsidRPr="00AE6EDB">
              <w:rPr>
                <w:sz w:val="20"/>
                <w:szCs w:val="20"/>
              </w:rPr>
              <w:t>706</w:t>
            </w:r>
          </w:p>
        </w:tc>
        <w:tc>
          <w:tcPr>
            <w:tcW w:w="856" w:type="dxa"/>
            <w:vAlign w:val="center"/>
          </w:tcPr>
          <w:p w:rsidR="001451D7" w:rsidRPr="00AE6EDB" w:rsidRDefault="001451D7" w:rsidP="00D81103">
            <w:pPr>
              <w:ind w:right="75"/>
              <w:jc w:val="right"/>
              <w:rPr>
                <w:sz w:val="20"/>
                <w:szCs w:val="20"/>
              </w:rPr>
            </w:pPr>
            <w:r w:rsidRPr="00AE6EDB">
              <w:rPr>
                <w:sz w:val="20"/>
                <w:szCs w:val="20"/>
              </w:rPr>
              <w:t>749</w:t>
            </w:r>
          </w:p>
        </w:tc>
        <w:tc>
          <w:tcPr>
            <w:tcW w:w="856" w:type="dxa"/>
            <w:vAlign w:val="center"/>
          </w:tcPr>
          <w:p w:rsidR="001451D7" w:rsidRPr="00AE6EDB" w:rsidRDefault="001451D7" w:rsidP="00D81103">
            <w:pPr>
              <w:ind w:right="75"/>
              <w:jc w:val="right"/>
              <w:rPr>
                <w:sz w:val="20"/>
                <w:szCs w:val="20"/>
              </w:rPr>
            </w:pPr>
            <w:r w:rsidRPr="00AE6EDB">
              <w:rPr>
                <w:sz w:val="20"/>
                <w:szCs w:val="20"/>
              </w:rPr>
              <w:t>634</w:t>
            </w:r>
          </w:p>
        </w:tc>
        <w:tc>
          <w:tcPr>
            <w:tcW w:w="856" w:type="dxa"/>
            <w:vAlign w:val="center"/>
          </w:tcPr>
          <w:p w:rsidR="001451D7" w:rsidRPr="00AE6EDB" w:rsidRDefault="001451D7" w:rsidP="00D81103">
            <w:pPr>
              <w:ind w:right="75"/>
              <w:jc w:val="right"/>
              <w:rPr>
                <w:sz w:val="20"/>
                <w:szCs w:val="20"/>
              </w:rPr>
            </w:pPr>
            <w:r w:rsidRPr="00AE6EDB">
              <w:rPr>
                <w:sz w:val="20"/>
                <w:szCs w:val="20"/>
              </w:rPr>
              <w:t>555</w:t>
            </w:r>
          </w:p>
        </w:tc>
        <w:tc>
          <w:tcPr>
            <w:tcW w:w="856" w:type="dxa"/>
            <w:noWrap/>
            <w:vAlign w:val="center"/>
          </w:tcPr>
          <w:p w:rsidR="001451D7" w:rsidRPr="00AE6EDB" w:rsidRDefault="001451D7" w:rsidP="00D81103">
            <w:pPr>
              <w:ind w:right="75"/>
              <w:jc w:val="right"/>
              <w:rPr>
                <w:sz w:val="20"/>
                <w:szCs w:val="20"/>
              </w:rPr>
            </w:pPr>
            <w:r w:rsidRPr="00AE6EDB">
              <w:rPr>
                <w:sz w:val="20"/>
                <w:szCs w:val="20"/>
              </w:rPr>
              <w:t>567</w:t>
            </w:r>
          </w:p>
        </w:tc>
        <w:tc>
          <w:tcPr>
            <w:tcW w:w="856" w:type="dxa"/>
            <w:noWrap/>
            <w:vAlign w:val="center"/>
          </w:tcPr>
          <w:p w:rsidR="001451D7" w:rsidRPr="00AE6EDB" w:rsidRDefault="001451D7" w:rsidP="00D81103">
            <w:pPr>
              <w:ind w:right="75"/>
              <w:jc w:val="right"/>
              <w:rPr>
                <w:sz w:val="20"/>
                <w:szCs w:val="20"/>
              </w:rPr>
            </w:pPr>
            <w:r w:rsidRPr="00AE6EDB">
              <w:rPr>
                <w:sz w:val="20"/>
                <w:szCs w:val="20"/>
              </w:rPr>
              <w:t>539</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Remeselní a kvalifikovaní robotníci v </w:t>
            </w:r>
            <w:proofErr w:type="spellStart"/>
            <w:r w:rsidRPr="00AE6EDB">
              <w:rPr>
                <w:color w:val="333300"/>
                <w:sz w:val="20"/>
                <w:szCs w:val="20"/>
              </w:rPr>
              <w:t>príb</w:t>
            </w:r>
            <w:proofErr w:type="spellEnd"/>
            <w:r w:rsidRPr="00AE6EDB">
              <w:rPr>
                <w:color w:val="333300"/>
                <w:sz w:val="20"/>
                <w:szCs w:val="20"/>
              </w:rPr>
              <w:t>. odb.</w:t>
            </w:r>
          </w:p>
        </w:tc>
        <w:tc>
          <w:tcPr>
            <w:tcW w:w="856" w:type="dxa"/>
            <w:vAlign w:val="center"/>
          </w:tcPr>
          <w:p w:rsidR="001451D7" w:rsidRPr="00AE6EDB" w:rsidRDefault="001451D7" w:rsidP="00D81103">
            <w:pPr>
              <w:ind w:right="75"/>
              <w:jc w:val="right"/>
              <w:rPr>
                <w:sz w:val="20"/>
                <w:szCs w:val="20"/>
              </w:rPr>
            </w:pPr>
            <w:r w:rsidRPr="00AE6EDB">
              <w:rPr>
                <w:sz w:val="20"/>
                <w:szCs w:val="20"/>
              </w:rPr>
              <w:t>896</w:t>
            </w:r>
          </w:p>
        </w:tc>
        <w:tc>
          <w:tcPr>
            <w:tcW w:w="856" w:type="dxa"/>
            <w:vAlign w:val="center"/>
          </w:tcPr>
          <w:p w:rsidR="001451D7" w:rsidRPr="00AE6EDB" w:rsidRDefault="001451D7" w:rsidP="00D81103">
            <w:pPr>
              <w:ind w:right="75"/>
              <w:jc w:val="right"/>
              <w:rPr>
                <w:sz w:val="20"/>
                <w:szCs w:val="20"/>
              </w:rPr>
            </w:pPr>
            <w:r w:rsidRPr="00AE6EDB">
              <w:rPr>
                <w:sz w:val="20"/>
                <w:szCs w:val="20"/>
              </w:rPr>
              <w:t>945</w:t>
            </w:r>
          </w:p>
        </w:tc>
        <w:tc>
          <w:tcPr>
            <w:tcW w:w="856" w:type="dxa"/>
            <w:vAlign w:val="center"/>
          </w:tcPr>
          <w:p w:rsidR="001451D7" w:rsidRPr="00AE6EDB" w:rsidRDefault="001451D7" w:rsidP="00D81103">
            <w:pPr>
              <w:ind w:right="75"/>
              <w:jc w:val="right"/>
              <w:rPr>
                <w:sz w:val="20"/>
                <w:szCs w:val="20"/>
              </w:rPr>
            </w:pPr>
            <w:r w:rsidRPr="00AE6EDB">
              <w:rPr>
                <w:sz w:val="20"/>
                <w:szCs w:val="20"/>
              </w:rPr>
              <w:t>683</w:t>
            </w:r>
          </w:p>
        </w:tc>
        <w:tc>
          <w:tcPr>
            <w:tcW w:w="856" w:type="dxa"/>
            <w:vAlign w:val="center"/>
          </w:tcPr>
          <w:p w:rsidR="001451D7" w:rsidRPr="00AE6EDB" w:rsidRDefault="001451D7" w:rsidP="00D81103">
            <w:pPr>
              <w:ind w:right="75"/>
              <w:jc w:val="right"/>
              <w:rPr>
                <w:sz w:val="20"/>
                <w:szCs w:val="20"/>
              </w:rPr>
            </w:pPr>
            <w:r w:rsidRPr="00AE6EDB">
              <w:rPr>
                <w:sz w:val="20"/>
                <w:szCs w:val="20"/>
              </w:rPr>
              <w:t>660</w:t>
            </w:r>
          </w:p>
        </w:tc>
        <w:tc>
          <w:tcPr>
            <w:tcW w:w="856" w:type="dxa"/>
            <w:noWrap/>
            <w:vAlign w:val="center"/>
          </w:tcPr>
          <w:p w:rsidR="001451D7" w:rsidRPr="00AE6EDB" w:rsidRDefault="001451D7" w:rsidP="00D81103">
            <w:pPr>
              <w:ind w:right="75"/>
              <w:jc w:val="right"/>
              <w:rPr>
                <w:sz w:val="20"/>
                <w:szCs w:val="20"/>
              </w:rPr>
            </w:pPr>
            <w:r w:rsidRPr="00AE6EDB">
              <w:rPr>
                <w:sz w:val="20"/>
                <w:szCs w:val="20"/>
              </w:rPr>
              <w:t>672</w:t>
            </w:r>
          </w:p>
        </w:tc>
        <w:tc>
          <w:tcPr>
            <w:tcW w:w="856" w:type="dxa"/>
            <w:noWrap/>
            <w:vAlign w:val="center"/>
          </w:tcPr>
          <w:p w:rsidR="001451D7" w:rsidRPr="00AE6EDB" w:rsidRDefault="001451D7" w:rsidP="00D81103">
            <w:pPr>
              <w:ind w:right="75"/>
              <w:jc w:val="right"/>
              <w:rPr>
                <w:sz w:val="20"/>
                <w:szCs w:val="20"/>
              </w:rPr>
            </w:pPr>
            <w:r w:rsidRPr="00AE6EDB">
              <w:rPr>
                <w:sz w:val="20"/>
                <w:szCs w:val="20"/>
              </w:rPr>
              <w:t>558</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Obsluha strojov a zariadení</w:t>
            </w:r>
          </w:p>
        </w:tc>
        <w:tc>
          <w:tcPr>
            <w:tcW w:w="856" w:type="dxa"/>
            <w:vAlign w:val="center"/>
          </w:tcPr>
          <w:p w:rsidR="001451D7" w:rsidRPr="00AE6EDB" w:rsidRDefault="001451D7" w:rsidP="00D81103">
            <w:pPr>
              <w:ind w:right="75"/>
              <w:jc w:val="right"/>
              <w:rPr>
                <w:sz w:val="20"/>
                <w:szCs w:val="20"/>
              </w:rPr>
            </w:pPr>
            <w:r w:rsidRPr="00AE6EDB">
              <w:rPr>
                <w:sz w:val="20"/>
                <w:szCs w:val="20"/>
              </w:rPr>
              <w:t>830</w:t>
            </w:r>
          </w:p>
        </w:tc>
        <w:tc>
          <w:tcPr>
            <w:tcW w:w="856" w:type="dxa"/>
            <w:vAlign w:val="center"/>
          </w:tcPr>
          <w:p w:rsidR="001451D7" w:rsidRPr="00AE6EDB" w:rsidRDefault="001451D7" w:rsidP="00D81103">
            <w:pPr>
              <w:ind w:right="75"/>
              <w:jc w:val="right"/>
              <w:rPr>
                <w:sz w:val="20"/>
                <w:szCs w:val="20"/>
              </w:rPr>
            </w:pPr>
            <w:r w:rsidRPr="00AE6EDB">
              <w:rPr>
                <w:sz w:val="20"/>
                <w:szCs w:val="20"/>
              </w:rPr>
              <w:t>878</w:t>
            </w:r>
          </w:p>
        </w:tc>
        <w:tc>
          <w:tcPr>
            <w:tcW w:w="856" w:type="dxa"/>
            <w:vAlign w:val="center"/>
          </w:tcPr>
          <w:p w:rsidR="001451D7" w:rsidRPr="00AE6EDB" w:rsidRDefault="001451D7" w:rsidP="00D81103">
            <w:pPr>
              <w:ind w:right="75"/>
              <w:jc w:val="right"/>
              <w:rPr>
                <w:sz w:val="20"/>
                <w:szCs w:val="20"/>
              </w:rPr>
            </w:pPr>
            <w:r w:rsidRPr="00AE6EDB">
              <w:rPr>
                <w:sz w:val="20"/>
                <w:szCs w:val="20"/>
              </w:rPr>
              <w:t>684</w:t>
            </w:r>
          </w:p>
        </w:tc>
        <w:tc>
          <w:tcPr>
            <w:tcW w:w="856" w:type="dxa"/>
            <w:vAlign w:val="center"/>
          </w:tcPr>
          <w:p w:rsidR="001451D7" w:rsidRPr="00AE6EDB" w:rsidRDefault="001451D7" w:rsidP="00D81103">
            <w:pPr>
              <w:ind w:right="75"/>
              <w:jc w:val="right"/>
              <w:rPr>
                <w:sz w:val="20"/>
                <w:szCs w:val="20"/>
              </w:rPr>
            </w:pPr>
            <w:r w:rsidRPr="00AE6EDB">
              <w:rPr>
                <w:sz w:val="20"/>
                <w:szCs w:val="20"/>
              </w:rPr>
              <w:t>715</w:t>
            </w:r>
          </w:p>
        </w:tc>
        <w:tc>
          <w:tcPr>
            <w:tcW w:w="856" w:type="dxa"/>
            <w:noWrap/>
            <w:vAlign w:val="center"/>
          </w:tcPr>
          <w:p w:rsidR="001451D7" w:rsidRPr="00AE6EDB" w:rsidRDefault="001451D7" w:rsidP="00D81103">
            <w:pPr>
              <w:ind w:right="75"/>
              <w:jc w:val="right"/>
              <w:rPr>
                <w:sz w:val="20"/>
                <w:szCs w:val="20"/>
              </w:rPr>
            </w:pPr>
            <w:r w:rsidRPr="00AE6EDB">
              <w:rPr>
                <w:sz w:val="20"/>
                <w:szCs w:val="20"/>
              </w:rPr>
              <w:t>724</w:t>
            </w:r>
          </w:p>
        </w:tc>
        <w:tc>
          <w:tcPr>
            <w:tcW w:w="856" w:type="dxa"/>
            <w:noWrap/>
            <w:vAlign w:val="center"/>
          </w:tcPr>
          <w:p w:rsidR="001451D7" w:rsidRPr="00AE6EDB" w:rsidRDefault="001451D7" w:rsidP="00D81103">
            <w:pPr>
              <w:ind w:right="75"/>
              <w:jc w:val="right"/>
              <w:rPr>
                <w:sz w:val="20"/>
                <w:szCs w:val="20"/>
              </w:rPr>
            </w:pPr>
            <w:r w:rsidRPr="00AE6EDB">
              <w:rPr>
                <w:sz w:val="20"/>
                <w:szCs w:val="20"/>
              </w:rPr>
              <w:t>486</w:t>
            </w:r>
          </w:p>
        </w:tc>
      </w:tr>
      <w:tr w:rsidR="001451D7" w:rsidRPr="00AE6EDB" w:rsidTr="00D81103">
        <w:trPr>
          <w:trHeight w:hRule="exact" w:val="284"/>
          <w:jc w:val="center"/>
        </w:trPr>
        <w:tc>
          <w:tcPr>
            <w:tcW w:w="4481" w:type="dxa"/>
            <w:vAlign w:val="center"/>
          </w:tcPr>
          <w:p w:rsidR="001451D7" w:rsidRPr="00AE6EDB" w:rsidRDefault="001451D7" w:rsidP="00D81103">
            <w:pPr>
              <w:ind w:left="113"/>
              <w:rPr>
                <w:color w:val="333300"/>
                <w:sz w:val="20"/>
                <w:szCs w:val="20"/>
              </w:rPr>
            </w:pPr>
            <w:r w:rsidRPr="00AE6EDB">
              <w:rPr>
                <w:color w:val="333300"/>
                <w:sz w:val="20"/>
                <w:szCs w:val="20"/>
              </w:rPr>
              <w:t>Pomocní a nekvalifikovaní zamestnanci</w:t>
            </w:r>
          </w:p>
        </w:tc>
        <w:tc>
          <w:tcPr>
            <w:tcW w:w="856" w:type="dxa"/>
            <w:vAlign w:val="center"/>
          </w:tcPr>
          <w:p w:rsidR="001451D7" w:rsidRPr="00AE6EDB" w:rsidRDefault="001451D7" w:rsidP="00D81103">
            <w:pPr>
              <w:ind w:right="75"/>
              <w:jc w:val="right"/>
              <w:rPr>
                <w:sz w:val="20"/>
                <w:szCs w:val="20"/>
              </w:rPr>
            </w:pPr>
            <w:r w:rsidRPr="00AE6EDB">
              <w:rPr>
                <w:sz w:val="20"/>
                <w:szCs w:val="20"/>
              </w:rPr>
              <w:t>618</w:t>
            </w:r>
          </w:p>
        </w:tc>
        <w:tc>
          <w:tcPr>
            <w:tcW w:w="856" w:type="dxa"/>
            <w:vAlign w:val="center"/>
          </w:tcPr>
          <w:p w:rsidR="001451D7" w:rsidRPr="00AE6EDB" w:rsidRDefault="001451D7" w:rsidP="00D81103">
            <w:pPr>
              <w:ind w:right="75"/>
              <w:jc w:val="right"/>
              <w:rPr>
                <w:sz w:val="20"/>
                <w:szCs w:val="20"/>
              </w:rPr>
            </w:pPr>
            <w:r w:rsidRPr="00AE6EDB">
              <w:rPr>
                <w:sz w:val="20"/>
                <w:szCs w:val="20"/>
              </w:rPr>
              <w:t>675</w:t>
            </w:r>
          </w:p>
        </w:tc>
        <w:tc>
          <w:tcPr>
            <w:tcW w:w="856" w:type="dxa"/>
            <w:vAlign w:val="center"/>
          </w:tcPr>
          <w:p w:rsidR="001451D7" w:rsidRPr="00AE6EDB" w:rsidRDefault="001451D7" w:rsidP="00D81103">
            <w:pPr>
              <w:ind w:right="75"/>
              <w:jc w:val="right"/>
              <w:rPr>
                <w:sz w:val="20"/>
                <w:szCs w:val="20"/>
              </w:rPr>
            </w:pPr>
            <w:r w:rsidRPr="00AE6EDB">
              <w:rPr>
                <w:sz w:val="20"/>
                <w:szCs w:val="20"/>
              </w:rPr>
              <w:t>550</w:t>
            </w:r>
          </w:p>
        </w:tc>
        <w:tc>
          <w:tcPr>
            <w:tcW w:w="856" w:type="dxa"/>
            <w:vAlign w:val="center"/>
          </w:tcPr>
          <w:p w:rsidR="001451D7" w:rsidRPr="00AE6EDB" w:rsidRDefault="001451D7" w:rsidP="00D81103">
            <w:pPr>
              <w:ind w:right="75"/>
              <w:jc w:val="right"/>
              <w:rPr>
                <w:sz w:val="20"/>
                <w:szCs w:val="20"/>
              </w:rPr>
            </w:pPr>
            <w:r w:rsidRPr="00AE6EDB">
              <w:rPr>
                <w:sz w:val="20"/>
                <w:szCs w:val="20"/>
              </w:rPr>
              <w:t>480</w:t>
            </w:r>
          </w:p>
        </w:tc>
        <w:tc>
          <w:tcPr>
            <w:tcW w:w="856" w:type="dxa"/>
            <w:noWrap/>
            <w:vAlign w:val="center"/>
          </w:tcPr>
          <w:p w:rsidR="001451D7" w:rsidRPr="00AE6EDB" w:rsidRDefault="001451D7" w:rsidP="00D81103">
            <w:pPr>
              <w:ind w:right="75"/>
              <w:jc w:val="right"/>
              <w:rPr>
                <w:sz w:val="20"/>
                <w:szCs w:val="20"/>
              </w:rPr>
            </w:pPr>
            <w:r w:rsidRPr="00AE6EDB">
              <w:rPr>
                <w:sz w:val="20"/>
                <w:szCs w:val="20"/>
              </w:rPr>
              <w:t>526</w:t>
            </w:r>
          </w:p>
        </w:tc>
        <w:tc>
          <w:tcPr>
            <w:tcW w:w="856" w:type="dxa"/>
            <w:noWrap/>
            <w:vAlign w:val="center"/>
          </w:tcPr>
          <w:p w:rsidR="001451D7" w:rsidRPr="00AE6EDB" w:rsidRDefault="001451D7" w:rsidP="00D81103">
            <w:pPr>
              <w:ind w:right="75"/>
              <w:jc w:val="right"/>
              <w:rPr>
                <w:sz w:val="20"/>
                <w:szCs w:val="20"/>
              </w:rPr>
            </w:pPr>
            <w:r w:rsidRPr="00AE6EDB">
              <w:rPr>
                <w:sz w:val="20"/>
                <w:szCs w:val="20"/>
              </w:rPr>
              <w:t>463</w:t>
            </w:r>
          </w:p>
        </w:tc>
      </w:tr>
    </w:tbl>
    <w:p w:rsidR="001451D7" w:rsidRPr="00AE6EDB" w:rsidRDefault="001451D7" w:rsidP="003E2180">
      <w:pPr>
        <w:pStyle w:val="zdroj"/>
        <w:spacing w:after="0"/>
        <w:ind w:firstLine="0"/>
        <w:rPr>
          <w:b/>
        </w:rPr>
      </w:pPr>
      <w:r w:rsidRPr="00AE6EDB">
        <w:t xml:space="preserve">Zdroj: </w:t>
      </w:r>
      <w:proofErr w:type="spellStart"/>
      <w:r w:rsidRPr="00AE6EDB">
        <w:t>Trexima</w:t>
      </w:r>
      <w:proofErr w:type="spellEnd"/>
      <w:r w:rsidRPr="00AE6EDB">
        <w:t>, Informačný systém o priemerných zárobkoch IV. štvrťrok 2015</w:t>
      </w:r>
      <w:r w:rsidRPr="00AE6EDB">
        <w:br w:type="page"/>
      </w:r>
    </w:p>
    <w:p w:rsidR="000A7585" w:rsidRPr="00AE6EDB" w:rsidRDefault="000A7585" w:rsidP="000A7585">
      <w:pPr>
        <w:pStyle w:val="Nadpis7"/>
        <w:rPr>
          <w:b w:val="0"/>
          <w:i/>
        </w:rPr>
      </w:pPr>
      <w:r w:rsidRPr="00AE6EDB">
        <w:t>Tabuľka 1</w:t>
      </w:r>
      <w:r w:rsidR="002A54EF" w:rsidRPr="00AE6EDB">
        <w:t>2</w:t>
      </w:r>
      <w:r w:rsidRPr="00AE6EDB">
        <w:t xml:space="preserve"> Podiely zamestnancov v pásmach priemernej hrubej mesačnej mzdy – rok 2015</w:t>
      </w:r>
    </w:p>
    <w:p w:rsidR="000A7585" w:rsidRPr="00AE6EDB" w:rsidRDefault="000A7585" w:rsidP="000A7585">
      <w:pPr>
        <w:rPr>
          <w:b/>
          <w:color w:val="333300"/>
          <w:sz w:val="16"/>
          <w:szCs w:val="16"/>
        </w:rPr>
      </w:pPr>
    </w:p>
    <w:tbl>
      <w:tblPr>
        <w:tblW w:w="4370" w:type="pct"/>
        <w:jc w:val="center"/>
        <w:tblLayout w:type="fixed"/>
        <w:tblCellMar>
          <w:left w:w="70" w:type="dxa"/>
          <w:right w:w="70" w:type="dxa"/>
        </w:tblCellMar>
        <w:tblLook w:val="04A0" w:firstRow="1" w:lastRow="0" w:firstColumn="1" w:lastColumn="0" w:noHBand="0" w:noVBand="1"/>
      </w:tblPr>
      <w:tblGrid>
        <w:gridCol w:w="2042"/>
        <w:gridCol w:w="710"/>
        <w:gridCol w:w="567"/>
        <w:gridCol w:w="589"/>
        <w:gridCol w:w="498"/>
        <w:gridCol w:w="512"/>
        <w:gridCol w:w="642"/>
        <w:gridCol w:w="620"/>
        <w:gridCol w:w="594"/>
        <w:gridCol w:w="564"/>
        <w:gridCol w:w="713"/>
      </w:tblGrid>
      <w:tr w:rsidR="000A7585" w:rsidRPr="00AE6EDB" w:rsidTr="00DE0EEC">
        <w:trPr>
          <w:trHeight w:val="204"/>
          <w:jc w:val="center"/>
        </w:trPr>
        <w:tc>
          <w:tcPr>
            <w:tcW w:w="1268"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ind w:right="8"/>
              <w:jc w:val="center"/>
              <w:rPr>
                <w:color w:val="333300"/>
                <w:szCs w:val="22"/>
              </w:rPr>
            </w:pPr>
            <w:r w:rsidRPr="00AE6EDB">
              <w:rPr>
                <w:b/>
                <w:bCs/>
                <w:color w:val="333300"/>
                <w:szCs w:val="22"/>
              </w:rPr>
              <w:t>Mzdové pásmo priemernej mesačnej hrubej mzdy v €</w:t>
            </w:r>
          </w:p>
        </w:tc>
        <w:tc>
          <w:tcPr>
            <w:tcW w:w="441"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right"/>
              <w:rPr>
                <w:sz w:val="18"/>
                <w:szCs w:val="18"/>
              </w:rPr>
            </w:pPr>
            <w:r w:rsidRPr="00AE6EDB">
              <w:rPr>
                <w:b/>
                <w:color w:val="333300"/>
                <w:szCs w:val="22"/>
              </w:rPr>
              <w:t>Spolu</w:t>
            </w:r>
          </w:p>
        </w:tc>
        <w:tc>
          <w:tcPr>
            <w:tcW w:w="3291" w:type="pct"/>
            <w:gridSpan w:val="9"/>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sz w:val="18"/>
                <w:szCs w:val="18"/>
              </w:rPr>
            </w:pPr>
            <w:r w:rsidRPr="00AE6EDB">
              <w:rPr>
                <w:b/>
                <w:color w:val="333300"/>
                <w:szCs w:val="22"/>
              </w:rPr>
              <w:t>Podiely zamestnancov podľa hlavných tried zamestnaní v</w:t>
            </w:r>
            <w:r w:rsidR="005676EF">
              <w:rPr>
                <w:b/>
                <w:color w:val="333300"/>
                <w:szCs w:val="22"/>
              </w:rPr>
              <w:t> %</w:t>
            </w:r>
          </w:p>
        </w:tc>
      </w:tr>
      <w:tr w:rsidR="000A7585" w:rsidRPr="00AE6EDB" w:rsidTr="00DE0EEC">
        <w:trPr>
          <w:trHeight w:val="204"/>
          <w:jc w:val="center"/>
        </w:trPr>
        <w:tc>
          <w:tcPr>
            <w:tcW w:w="1268"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ind w:right="8"/>
              <w:jc w:val="center"/>
              <w:rPr>
                <w:color w:val="333300"/>
                <w:szCs w:val="22"/>
              </w:rPr>
            </w:pPr>
          </w:p>
        </w:tc>
        <w:tc>
          <w:tcPr>
            <w:tcW w:w="441"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right"/>
              <w:rPr>
                <w:sz w:val="18"/>
                <w:szCs w:val="18"/>
              </w:rPr>
            </w:pPr>
          </w:p>
        </w:tc>
        <w:tc>
          <w:tcPr>
            <w:tcW w:w="352"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1</w:t>
            </w:r>
          </w:p>
        </w:tc>
        <w:tc>
          <w:tcPr>
            <w:tcW w:w="366"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2</w:t>
            </w:r>
          </w:p>
        </w:tc>
        <w:tc>
          <w:tcPr>
            <w:tcW w:w="30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3</w:t>
            </w:r>
          </w:p>
        </w:tc>
        <w:tc>
          <w:tcPr>
            <w:tcW w:w="318"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4</w:t>
            </w:r>
          </w:p>
        </w:tc>
        <w:tc>
          <w:tcPr>
            <w:tcW w:w="39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5</w:t>
            </w:r>
          </w:p>
        </w:tc>
        <w:tc>
          <w:tcPr>
            <w:tcW w:w="385"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6</w:t>
            </w:r>
          </w:p>
        </w:tc>
        <w:tc>
          <w:tcPr>
            <w:tcW w:w="36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7</w:t>
            </w:r>
          </w:p>
        </w:tc>
        <w:tc>
          <w:tcPr>
            <w:tcW w:w="350"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8</w:t>
            </w:r>
          </w:p>
        </w:tc>
        <w:tc>
          <w:tcPr>
            <w:tcW w:w="443"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9</w:t>
            </w:r>
          </w:p>
        </w:tc>
      </w:tr>
      <w:tr w:rsidR="000A7585" w:rsidRPr="00AE6EDB" w:rsidTr="00DE0EEC">
        <w:trPr>
          <w:trHeight w:val="204"/>
          <w:jc w:val="center"/>
        </w:trPr>
        <w:tc>
          <w:tcPr>
            <w:tcW w:w="1268" w:type="pct"/>
            <w:tcBorders>
              <w:top w:val="single" w:sz="6" w:space="0" w:color="auto"/>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menej ako 200</w:t>
            </w:r>
          </w:p>
        </w:tc>
        <w:tc>
          <w:tcPr>
            <w:tcW w:w="441" w:type="pct"/>
            <w:tcBorders>
              <w:top w:val="single" w:sz="6" w:space="0" w:color="auto"/>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0,90</w:t>
            </w:r>
          </w:p>
        </w:tc>
        <w:tc>
          <w:tcPr>
            <w:tcW w:w="352" w:type="pct"/>
            <w:tcBorders>
              <w:top w:val="single" w:sz="6" w:space="0" w:color="auto"/>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0,13</w:t>
            </w:r>
          </w:p>
        </w:tc>
        <w:tc>
          <w:tcPr>
            <w:tcW w:w="366"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1,16</w:t>
            </w:r>
          </w:p>
        </w:tc>
        <w:tc>
          <w:tcPr>
            <w:tcW w:w="309"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0,33</w:t>
            </w:r>
          </w:p>
        </w:tc>
        <w:tc>
          <w:tcPr>
            <w:tcW w:w="318"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1,19</w:t>
            </w:r>
          </w:p>
        </w:tc>
        <w:tc>
          <w:tcPr>
            <w:tcW w:w="399"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1,76</w:t>
            </w:r>
          </w:p>
        </w:tc>
        <w:tc>
          <w:tcPr>
            <w:tcW w:w="385"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0,37</w:t>
            </w:r>
          </w:p>
        </w:tc>
        <w:tc>
          <w:tcPr>
            <w:tcW w:w="369"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0,14</w:t>
            </w:r>
          </w:p>
        </w:tc>
        <w:tc>
          <w:tcPr>
            <w:tcW w:w="350" w:type="pct"/>
            <w:tcBorders>
              <w:top w:val="single" w:sz="6" w:space="0" w:color="auto"/>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0,21</w:t>
            </w:r>
          </w:p>
        </w:tc>
        <w:tc>
          <w:tcPr>
            <w:tcW w:w="443" w:type="pct"/>
            <w:tcBorders>
              <w:top w:val="single" w:sz="6" w:space="0" w:color="auto"/>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1,81</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200,01 – 250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0,49</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0,08</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0,41</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0,17</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0,39</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1,14</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0,44</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0,10</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0,09</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1,45</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250,01 </w:t>
            </w:r>
            <w:r w:rsidRPr="00AE6EDB">
              <w:rPr>
                <w:color w:val="000000" w:themeColor="text1"/>
              </w:rPr>
              <w:t>–</w:t>
            </w:r>
            <w:r w:rsidRPr="00AE6EDB">
              <w:rPr>
                <w:color w:val="333300"/>
                <w:szCs w:val="22"/>
              </w:rPr>
              <w:t xml:space="preserve"> 300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0,48</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0,09</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0,47</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0,19</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0,47</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1,40</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0,63</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0,11</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0,10</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1,22</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300,01 </w:t>
            </w:r>
            <w:r w:rsidRPr="00AE6EDB">
              <w:rPr>
                <w:color w:val="000000" w:themeColor="text1"/>
              </w:rPr>
              <w:t>–</w:t>
            </w:r>
            <w:r w:rsidRPr="00AE6EDB">
              <w:rPr>
                <w:color w:val="333300"/>
                <w:szCs w:val="22"/>
              </w:rPr>
              <w:t xml:space="preserve"> 350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0,70</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0,15</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0,45</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0,20</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0,66</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1,54</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0,38</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0,29</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2,07</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350,01 </w:t>
            </w:r>
            <w:r w:rsidRPr="00AE6EDB">
              <w:rPr>
                <w:color w:val="000000" w:themeColor="text1"/>
              </w:rPr>
              <w:t>–</w:t>
            </w:r>
            <w:r w:rsidRPr="00AE6EDB">
              <w:rPr>
                <w:color w:val="333300"/>
                <w:szCs w:val="22"/>
              </w:rPr>
              <w:t xml:space="preserve"> 400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3,34</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0,30</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0,77</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0,55</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1,72</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5,35</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2,33</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3,12</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2,01</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12,38</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400,01 </w:t>
            </w:r>
            <w:r w:rsidRPr="00AE6EDB">
              <w:rPr>
                <w:color w:val="000000" w:themeColor="text1"/>
              </w:rPr>
              <w:t>–</w:t>
            </w:r>
            <w:r w:rsidRPr="00AE6EDB">
              <w:rPr>
                <w:color w:val="333300"/>
                <w:szCs w:val="22"/>
              </w:rPr>
              <w:t xml:space="preserve"> 450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4,25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0,43</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0,76</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0,84</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2,48</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8,74</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4,91</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2,80</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3,73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14,88</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450,01 </w:t>
            </w:r>
            <w:r w:rsidRPr="00AE6EDB">
              <w:rPr>
                <w:color w:val="000000" w:themeColor="text1"/>
              </w:rPr>
              <w:t>–</w:t>
            </w:r>
            <w:r w:rsidRPr="00AE6EDB">
              <w:rPr>
                <w:color w:val="333300"/>
                <w:szCs w:val="22"/>
              </w:rPr>
              <w:t xml:space="preserve"> 500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5,64</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0,95</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1,03</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1,76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5,05</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12,73</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8,34</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3,96</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6,95</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12,61</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500,01 </w:t>
            </w:r>
            <w:r w:rsidRPr="00AE6EDB">
              <w:rPr>
                <w:color w:val="000000" w:themeColor="text1"/>
              </w:rPr>
              <w:t>–</w:t>
            </w:r>
            <w:r w:rsidRPr="00AE6EDB">
              <w:rPr>
                <w:color w:val="333300"/>
                <w:szCs w:val="22"/>
              </w:rPr>
              <w:t xml:space="preserve"> 550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5,71</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1,21</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1,30</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2,18</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7,23</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12,78</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9,32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4,57</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7,47</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9,82</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550,01 </w:t>
            </w:r>
            <w:r w:rsidRPr="00AE6EDB">
              <w:rPr>
                <w:color w:val="000000" w:themeColor="text1"/>
              </w:rPr>
              <w:t>–</w:t>
            </w:r>
            <w:r w:rsidRPr="00AE6EDB">
              <w:rPr>
                <w:color w:val="333300"/>
                <w:szCs w:val="22"/>
              </w:rPr>
              <w:t xml:space="preserve"> 600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5,80</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1,02</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1,59</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2,91</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8,68</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11,31</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10,18</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5,24</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7,55</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8,34</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600,01 </w:t>
            </w:r>
            <w:r w:rsidRPr="00AE6EDB">
              <w:rPr>
                <w:color w:val="000000" w:themeColor="text1"/>
              </w:rPr>
              <w:t>–</w:t>
            </w:r>
            <w:r w:rsidRPr="00AE6EDB">
              <w:rPr>
                <w:color w:val="333300"/>
                <w:szCs w:val="22"/>
              </w:rPr>
              <w:t xml:space="preserve"> 650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5,94</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1,53</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2,48</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4,06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8,32</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9,35</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10,41</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6,03</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7,76</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7,50</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650,01 </w:t>
            </w:r>
            <w:r w:rsidRPr="00AE6EDB">
              <w:rPr>
                <w:color w:val="000000" w:themeColor="text1"/>
              </w:rPr>
              <w:t>–</w:t>
            </w:r>
            <w:r w:rsidRPr="00AE6EDB">
              <w:rPr>
                <w:color w:val="333300"/>
                <w:szCs w:val="22"/>
              </w:rPr>
              <w:t xml:space="preserve"> 700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5,85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2,21</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3,20</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4,50</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7,89</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7,00</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9,90</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6,77</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7,70</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6,34</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700,01 </w:t>
            </w:r>
            <w:r w:rsidRPr="00AE6EDB">
              <w:rPr>
                <w:color w:val="000000" w:themeColor="text1"/>
              </w:rPr>
              <w:t>–</w:t>
            </w:r>
            <w:r w:rsidRPr="00AE6EDB">
              <w:rPr>
                <w:color w:val="333300"/>
                <w:szCs w:val="22"/>
              </w:rPr>
              <w:t xml:space="preserve"> 750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5,79</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2,41</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4,14</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5,34</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7,44</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5,36</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8,58</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6,98</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7,91</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5,05</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750,01 </w:t>
            </w:r>
            <w:r w:rsidRPr="00AE6EDB">
              <w:rPr>
                <w:color w:val="000000" w:themeColor="text1"/>
              </w:rPr>
              <w:t>–</w:t>
            </w:r>
            <w:r w:rsidRPr="00AE6EDB">
              <w:rPr>
                <w:color w:val="333300"/>
                <w:szCs w:val="22"/>
              </w:rPr>
              <w:t xml:space="preserve"> 800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5,53</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2,47</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4,27</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6,06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6,68</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4,21</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7,27</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6,64</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7,57</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4,09</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800,01 </w:t>
            </w:r>
            <w:r w:rsidRPr="00AE6EDB">
              <w:rPr>
                <w:color w:val="000000" w:themeColor="text1"/>
              </w:rPr>
              <w:t>–</w:t>
            </w:r>
            <w:r w:rsidRPr="00AE6EDB">
              <w:rPr>
                <w:color w:val="333300"/>
                <w:szCs w:val="22"/>
              </w:rPr>
              <w:t xml:space="preserve"> 850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5,02</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2,12</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4,45</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6,10</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6,05</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3,45</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5,39</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6,22</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6,45</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3,10</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850,01 </w:t>
            </w:r>
            <w:r w:rsidRPr="00AE6EDB">
              <w:rPr>
                <w:color w:val="000000" w:themeColor="text1"/>
              </w:rPr>
              <w:t>–</w:t>
            </w:r>
            <w:r w:rsidRPr="00AE6EDB">
              <w:rPr>
                <w:color w:val="333300"/>
                <w:szCs w:val="22"/>
              </w:rPr>
              <w:t xml:space="preserve"> 900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4,44</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1,82</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4,52</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6,11</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4,94</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2,63</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4,65</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5,43</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5,26</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2,30</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900,01 </w:t>
            </w:r>
            <w:r w:rsidRPr="00AE6EDB">
              <w:rPr>
                <w:color w:val="000000" w:themeColor="text1"/>
              </w:rPr>
              <w:t>–</w:t>
            </w:r>
            <w:r w:rsidRPr="00AE6EDB">
              <w:rPr>
                <w:color w:val="333300"/>
                <w:szCs w:val="22"/>
              </w:rPr>
              <w:t xml:space="preserve"> 950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4,01</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1,83</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4,47</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6,08</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4,39</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1,92</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4,07</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4,90</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4,38</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1,67</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0A7585" w:rsidP="00DE0EEC">
            <w:pPr>
              <w:ind w:right="8"/>
              <w:jc w:val="left"/>
              <w:rPr>
                <w:color w:val="333300"/>
              </w:rPr>
            </w:pPr>
            <w:r w:rsidRPr="00AE6EDB">
              <w:rPr>
                <w:color w:val="333300"/>
                <w:szCs w:val="22"/>
              </w:rPr>
              <w:t xml:space="preserve">950,01 – </w:t>
            </w:r>
            <w:r w:rsidR="0054295F">
              <w:rPr>
                <w:color w:val="333300"/>
                <w:szCs w:val="22"/>
              </w:rPr>
              <w:t>1 0</w:t>
            </w:r>
            <w:r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3,65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2,10</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4,76</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5,66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3,73</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1,49</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2,72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4,40</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3,63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1,27</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1 0</w:t>
            </w:r>
            <w:r w:rsidR="000A7585" w:rsidRPr="00AE6EDB">
              <w:rPr>
                <w:color w:val="333300"/>
                <w:szCs w:val="22"/>
              </w:rPr>
              <w:t xml:space="preserve">00,01 – </w:t>
            </w:r>
            <w:r>
              <w:rPr>
                <w:color w:val="333300"/>
                <w:szCs w:val="22"/>
              </w:rPr>
              <w:t>1 1</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6,15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4,01</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9,23</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9,52</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5,94</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2,26</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4,76</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7,35</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5,58</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1,55</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1 1</w:t>
            </w:r>
            <w:r w:rsidR="000A7585" w:rsidRPr="00AE6EDB">
              <w:rPr>
                <w:color w:val="333300"/>
                <w:szCs w:val="22"/>
              </w:rPr>
              <w:t xml:space="preserve">00,01 – </w:t>
            </w:r>
            <w:r>
              <w:rPr>
                <w:color w:val="333300"/>
                <w:szCs w:val="22"/>
              </w:rPr>
              <w:t>1 2</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4,80</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3,99</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7,82</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7,39</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4,32</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1,55</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2,56</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5,81</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3,98</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0,91</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1 2</w:t>
            </w:r>
            <w:r w:rsidR="000A7585" w:rsidRPr="00AE6EDB">
              <w:rPr>
                <w:color w:val="333300"/>
                <w:szCs w:val="22"/>
              </w:rPr>
              <w:t xml:space="preserve">00,01 – </w:t>
            </w:r>
            <w:r>
              <w:rPr>
                <w:color w:val="333300"/>
                <w:szCs w:val="22"/>
              </w:rPr>
              <w:t>1 3</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3,72</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3,99</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6,00</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5,72</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3,15</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1,16</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1,32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4,75</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3,08</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0,56</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1 3</w:t>
            </w:r>
            <w:r w:rsidR="000A7585" w:rsidRPr="00AE6EDB">
              <w:rPr>
                <w:color w:val="333300"/>
                <w:szCs w:val="22"/>
              </w:rPr>
              <w:t xml:space="preserve">00,01 – </w:t>
            </w:r>
            <w:r>
              <w:rPr>
                <w:color w:val="333300"/>
                <w:szCs w:val="22"/>
              </w:rPr>
              <w:t>1 4</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2,95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3,97</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4,84</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4,66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2,32</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0,74</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0,67</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3,83</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2,23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0,31</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1 4</w:t>
            </w:r>
            <w:r w:rsidR="000A7585" w:rsidRPr="00AE6EDB">
              <w:rPr>
                <w:color w:val="333300"/>
                <w:szCs w:val="22"/>
              </w:rPr>
              <w:t xml:space="preserve">00,01 – </w:t>
            </w:r>
            <w:r>
              <w:rPr>
                <w:color w:val="333300"/>
                <w:szCs w:val="22"/>
              </w:rPr>
              <w:t>1 5</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2,33</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3,93</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3,98</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3,72</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1,67</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0,46</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0,30</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3,00</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1,63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0,21</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1 5</w:t>
            </w:r>
            <w:r w:rsidR="000A7585" w:rsidRPr="00AE6EDB">
              <w:rPr>
                <w:color w:val="333300"/>
                <w:szCs w:val="22"/>
              </w:rPr>
              <w:t xml:space="preserve">00,01 – </w:t>
            </w:r>
            <w:r>
              <w:rPr>
                <w:color w:val="333300"/>
                <w:szCs w:val="22"/>
              </w:rPr>
              <w:t>1 6</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1,89</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4,00</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3,40</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2,96</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1,29</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0,38</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0,14</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2,15</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1,30</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0,15</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1 6</w:t>
            </w:r>
            <w:r w:rsidR="000A7585" w:rsidRPr="00AE6EDB">
              <w:rPr>
                <w:color w:val="333300"/>
                <w:szCs w:val="22"/>
              </w:rPr>
              <w:t xml:space="preserve">00,01 – </w:t>
            </w:r>
            <w:r>
              <w:rPr>
                <w:color w:val="333300"/>
                <w:szCs w:val="22"/>
              </w:rPr>
              <w:t>1 7</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1,51</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3,58</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2,82</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2,33</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1,03</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0,29</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1,52</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0,97</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0,14</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1 7</w:t>
            </w:r>
            <w:r w:rsidR="000A7585" w:rsidRPr="00AE6EDB">
              <w:rPr>
                <w:color w:val="333300"/>
                <w:szCs w:val="22"/>
              </w:rPr>
              <w:t xml:space="preserve">00,01 – </w:t>
            </w:r>
            <w:r>
              <w:rPr>
                <w:color w:val="333300"/>
                <w:szCs w:val="22"/>
              </w:rPr>
              <w:t>1 8</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1,19</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3,08</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2,43</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1,90</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0,66</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0,19</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1,09</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0,09</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1 8</w:t>
            </w:r>
            <w:r w:rsidR="000A7585" w:rsidRPr="00AE6EDB">
              <w:rPr>
                <w:color w:val="333300"/>
                <w:szCs w:val="22"/>
              </w:rPr>
              <w:t xml:space="preserve">00,01 – </w:t>
            </w:r>
            <w:r>
              <w:rPr>
                <w:color w:val="333300"/>
                <w:szCs w:val="22"/>
              </w:rPr>
              <w:t>1 9</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1,02</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2,87</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2,25</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1,60</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0,49</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0,18</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0,04</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0,83</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0,43</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0,07</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1 9</w:t>
            </w:r>
            <w:r w:rsidR="000A7585" w:rsidRPr="00AE6EDB">
              <w:rPr>
                <w:color w:val="333300"/>
                <w:szCs w:val="22"/>
              </w:rPr>
              <w:t xml:space="preserve">00,01 – </w:t>
            </w:r>
            <w:r>
              <w:rPr>
                <w:color w:val="333300"/>
                <w:szCs w:val="22"/>
              </w:rPr>
              <w:t>2 0</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0,85</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2,72</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1,98</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1,31</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0,43</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0,11</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0,02</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0,54</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0,32</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0,03</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2 0</w:t>
            </w:r>
            <w:r w:rsidR="000A7585" w:rsidRPr="00AE6EDB">
              <w:rPr>
                <w:color w:val="333300"/>
                <w:szCs w:val="22"/>
              </w:rPr>
              <w:t xml:space="preserve">00,01 – </w:t>
            </w:r>
            <w:r>
              <w:rPr>
                <w:color w:val="333300"/>
                <w:szCs w:val="22"/>
              </w:rPr>
              <w:t>2 1</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0,69</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2,69</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1,66</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1,02</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0,28</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0,09</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0,38</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0,21</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0,02</w:t>
            </w:r>
          </w:p>
        </w:tc>
      </w:tr>
      <w:tr w:rsidR="000A7585" w:rsidRPr="00AE6EDB" w:rsidTr="00DE0EE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2 1</w:t>
            </w:r>
            <w:r w:rsidR="000A7585" w:rsidRPr="00AE6EDB">
              <w:rPr>
                <w:color w:val="333300"/>
                <w:szCs w:val="22"/>
              </w:rPr>
              <w:t xml:space="preserve">00,01 – </w:t>
            </w:r>
            <w:r>
              <w:rPr>
                <w:color w:val="333300"/>
                <w:szCs w:val="22"/>
              </w:rPr>
              <w:t>2 2</w:t>
            </w:r>
            <w:r w:rsidR="000A7585" w:rsidRPr="00AE6EDB">
              <w:rPr>
                <w:color w:val="333300"/>
                <w:szCs w:val="22"/>
              </w:rPr>
              <w:t>00</w:t>
            </w:r>
          </w:p>
        </w:tc>
        <w:tc>
          <w:tcPr>
            <w:tcW w:w="441" w:type="pct"/>
            <w:tcBorders>
              <w:top w:val="nil"/>
              <w:left w:val="single" w:sz="8" w:space="0" w:color="auto"/>
              <w:bottom w:val="nil"/>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0,56</w:t>
            </w:r>
          </w:p>
        </w:tc>
        <w:tc>
          <w:tcPr>
            <w:tcW w:w="352" w:type="pct"/>
            <w:tcBorders>
              <w:top w:val="nil"/>
              <w:left w:val="single" w:sz="4" w:space="0" w:color="auto"/>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2,37</w:t>
            </w:r>
          </w:p>
        </w:tc>
        <w:tc>
          <w:tcPr>
            <w:tcW w:w="366"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1,41</w:t>
            </w:r>
          </w:p>
        </w:tc>
        <w:tc>
          <w:tcPr>
            <w:tcW w:w="30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0,77</w:t>
            </w:r>
          </w:p>
        </w:tc>
        <w:tc>
          <w:tcPr>
            <w:tcW w:w="318"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0,23</w:t>
            </w:r>
          </w:p>
        </w:tc>
        <w:tc>
          <w:tcPr>
            <w:tcW w:w="39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0,06</w:t>
            </w:r>
          </w:p>
        </w:tc>
        <w:tc>
          <w:tcPr>
            <w:tcW w:w="385"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w:t>
            </w:r>
          </w:p>
        </w:tc>
        <w:tc>
          <w:tcPr>
            <w:tcW w:w="369"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0,27</w:t>
            </w:r>
          </w:p>
        </w:tc>
        <w:tc>
          <w:tcPr>
            <w:tcW w:w="350" w:type="pct"/>
            <w:tcBorders>
              <w:top w:val="nil"/>
              <w:left w:val="nil"/>
              <w:bottom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0,17</w:t>
            </w:r>
          </w:p>
        </w:tc>
        <w:tc>
          <w:tcPr>
            <w:tcW w:w="443" w:type="pct"/>
            <w:tcBorders>
              <w:top w:val="nil"/>
              <w:left w:val="nil"/>
              <w:bottom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0,01</w:t>
            </w:r>
          </w:p>
        </w:tc>
      </w:tr>
      <w:tr w:rsidR="000A7585" w:rsidRPr="00AE6EDB" w:rsidTr="00DE0EEC">
        <w:trPr>
          <w:trHeight w:val="204"/>
          <w:jc w:val="center"/>
        </w:trPr>
        <w:tc>
          <w:tcPr>
            <w:tcW w:w="1268" w:type="pct"/>
            <w:tcBorders>
              <w:top w:val="nil"/>
              <w:left w:val="single" w:sz="6" w:space="0" w:color="auto"/>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2 2</w:t>
            </w:r>
            <w:r w:rsidR="000A7585" w:rsidRPr="00AE6EDB">
              <w:rPr>
                <w:color w:val="333300"/>
                <w:szCs w:val="22"/>
              </w:rPr>
              <w:t xml:space="preserve">00,01 – </w:t>
            </w:r>
            <w:r>
              <w:rPr>
                <w:color w:val="333300"/>
                <w:szCs w:val="22"/>
              </w:rPr>
              <w:t>2 3</w:t>
            </w:r>
            <w:r w:rsidR="000A7585" w:rsidRPr="00AE6EDB">
              <w:rPr>
                <w:color w:val="333300"/>
                <w:szCs w:val="22"/>
              </w:rPr>
              <w:t>00</w:t>
            </w:r>
          </w:p>
        </w:tc>
        <w:tc>
          <w:tcPr>
            <w:tcW w:w="441" w:type="pct"/>
            <w:tcBorders>
              <w:top w:val="nil"/>
              <w:left w:val="single" w:sz="8" w:space="0" w:color="auto"/>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0,49</w:t>
            </w:r>
          </w:p>
        </w:tc>
        <w:tc>
          <w:tcPr>
            <w:tcW w:w="352" w:type="pct"/>
            <w:tcBorders>
              <w:top w:val="nil"/>
              <w:left w:val="single" w:sz="4"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2,23</w:t>
            </w:r>
          </w:p>
        </w:tc>
        <w:tc>
          <w:tcPr>
            <w:tcW w:w="366"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1,30</w:t>
            </w:r>
          </w:p>
        </w:tc>
        <w:tc>
          <w:tcPr>
            <w:tcW w:w="309"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0,62</w:t>
            </w:r>
          </w:p>
        </w:tc>
        <w:tc>
          <w:tcPr>
            <w:tcW w:w="318"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0,17</w:t>
            </w:r>
          </w:p>
        </w:tc>
        <w:tc>
          <w:tcPr>
            <w:tcW w:w="399"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0,04</w:t>
            </w:r>
          </w:p>
        </w:tc>
        <w:tc>
          <w:tcPr>
            <w:tcW w:w="385"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0,02</w:t>
            </w:r>
          </w:p>
        </w:tc>
        <w:tc>
          <w:tcPr>
            <w:tcW w:w="369"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0,18</w:t>
            </w:r>
          </w:p>
        </w:tc>
        <w:tc>
          <w:tcPr>
            <w:tcW w:w="350" w:type="pct"/>
            <w:tcBorders>
              <w:top w:val="nil"/>
              <w:left w:val="nil"/>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0,11</w:t>
            </w:r>
          </w:p>
        </w:tc>
        <w:tc>
          <w:tcPr>
            <w:tcW w:w="443" w:type="pct"/>
            <w:tcBorders>
              <w:top w:val="nil"/>
              <w:left w:val="nil"/>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0,01</w:t>
            </w:r>
          </w:p>
        </w:tc>
      </w:tr>
      <w:tr w:rsidR="000A7585" w:rsidRPr="00AE6EDB" w:rsidTr="00DE0EEC">
        <w:trPr>
          <w:trHeight w:val="213"/>
          <w:jc w:val="center"/>
        </w:trPr>
        <w:tc>
          <w:tcPr>
            <w:tcW w:w="1268" w:type="pct"/>
            <w:tcBorders>
              <w:top w:val="nil"/>
              <w:left w:val="single" w:sz="6" w:space="0" w:color="auto"/>
              <w:bottom w:val="single" w:sz="6" w:space="0" w:color="auto"/>
              <w:right w:val="single" w:sz="4" w:space="0" w:color="auto"/>
            </w:tcBorders>
            <w:shd w:val="clear" w:color="auto" w:fill="FFFFFF"/>
            <w:noWrap/>
            <w:vAlign w:val="center"/>
          </w:tcPr>
          <w:p w:rsidR="000A7585" w:rsidRPr="00AE6EDB" w:rsidRDefault="0054295F" w:rsidP="00DE0EEC">
            <w:pPr>
              <w:ind w:right="8"/>
              <w:jc w:val="left"/>
              <w:rPr>
                <w:color w:val="333300"/>
              </w:rPr>
            </w:pPr>
            <w:r>
              <w:rPr>
                <w:color w:val="333300"/>
                <w:szCs w:val="22"/>
              </w:rPr>
              <w:t>2 3</w:t>
            </w:r>
            <w:r w:rsidR="000A7585" w:rsidRPr="00AE6EDB">
              <w:rPr>
                <w:color w:val="333300"/>
                <w:szCs w:val="22"/>
              </w:rPr>
              <w:t>00,01 a viac</w:t>
            </w:r>
          </w:p>
        </w:tc>
        <w:tc>
          <w:tcPr>
            <w:tcW w:w="441" w:type="pct"/>
            <w:tcBorders>
              <w:top w:val="nil"/>
              <w:left w:val="single" w:sz="8" w:space="0" w:color="auto"/>
              <w:bottom w:val="single" w:sz="6" w:space="0" w:color="auto"/>
              <w:right w:val="nil"/>
            </w:tcBorders>
            <w:shd w:val="clear" w:color="auto" w:fill="FFFFFF"/>
            <w:noWrap/>
            <w:vAlign w:val="center"/>
          </w:tcPr>
          <w:p w:rsidR="000A7585" w:rsidRPr="00AE6EDB" w:rsidRDefault="000A7585" w:rsidP="00DE0EEC">
            <w:pPr>
              <w:jc w:val="right"/>
              <w:rPr>
                <w:sz w:val="18"/>
                <w:szCs w:val="18"/>
              </w:rPr>
            </w:pPr>
            <w:r w:rsidRPr="00AE6EDB">
              <w:rPr>
                <w:sz w:val="18"/>
                <w:szCs w:val="18"/>
              </w:rPr>
              <w:t>4,31</w:t>
            </w:r>
          </w:p>
        </w:tc>
        <w:tc>
          <w:tcPr>
            <w:tcW w:w="352" w:type="pct"/>
            <w:tcBorders>
              <w:top w:val="nil"/>
              <w:left w:val="single" w:sz="4" w:space="0" w:color="auto"/>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35,69</w:t>
            </w:r>
          </w:p>
        </w:tc>
        <w:tc>
          <w:tcPr>
            <w:tcW w:w="366"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10,67</w:t>
            </w:r>
          </w:p>
        </w:tc>
        <w:tc>
          <w:tcPr>
            <w:tcW w:w="309"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3,44</w:t>
            </w:r>
          </w:p>
        </w:tc>
        <w:tc>
          <w:tcPr>
            <w:tcW w:w="318"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0,73</w:t>
            </w:r>
          </w:p>
        </w:tc>
        <w:tc>
          <w:tcPr>
            <w:tcW w:w="399"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0,34</w:t>
            </w:r>
          </w:p>
        </w:tc>
        <w:tc>
          <w:tcPr>
            <w:tcW w:w="385"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0,02</w:t>
            </w:r>
          </w:p>
        </w:tc>
        <w:tc>
          <w:tcPr>
            <w:tcW w:w="369"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0,52</w:t>
            </w:r>
          </w:p>
        </w:tc>
        <w:tc>
          <w:tcPr>
            <w:tcW w:w="350" w:type="pct"/>
            <w:tcBorders>
              <w:top w:val="nil"/>
              <w:left w:val="nil"/>
              <w:bottom w:val="single" w:sz="6" w:space="0" w:color="auto"/>
              <w:right w:val="single" w:sz="4"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0,28</w:t>
            </w:r>
          </w:p>
        </w:tc>
        <w:tc>
          <w:tcPr>
            <w:tcW w:w="443" w:type="pct"/>
            <w:tcBorders>
              <w:top w:val="nil"/>
              <w:left w:val="nil"/>
              <w:bottom w:val="single" w:sz="6" w:space="0" w:color="auto"/>
              <w:right w:val="single" w:sz="6" w:space="0" w:color="auto"/>
            </w:tcBorders>
            <w:shd w:val="clear" w:color="auto" w:fill="FFFFFF"/>
            <w:noWrap/>
            <w:vAlign w:val="center"/>
          </w:tcPr>
          <w:p w:rsidR="000A7585" w:rsidRPr="00AE6EDB" w:rsidRDefault="000A7585" w:rsidP="00DE0EEC">
            <w:pPr>
              <w:jc w:val="right"/>
              <w:rPr>
                <w:sz w:val="18"/>
                <w:szCs w:val="18"/>
              </w:rPr>
            </w:pPr>
            <w:r w:rsidRPr="00AE6EDB">
              <w:rPr>
                <w:sz w:val="18"/>
                <w:szCs w:val="18"/>
              </w:rPr>
              <w:t>0,01</w:t>
            </w:r>
          </w:p>
        </w:tc>
      </w:tr>
    </w:tbl>
    <w:p w:rsidR="000A7585" w:rsidRPr="00AE6EDB" w:rsidRDefault="000A7585" w:rsidP="000A7585">
      <w:pPr>
        <w:pStyle w:val="zdroj"/>
        <w:spacing w:after="0"/>
        <w:ind w:firstLine="0"/>
      </w:pPr>
    </w:p>
    <w:p w:rsidR="000A7585" w:rsidRPr="00AE6EDB" w:rsidRDefault="000A7585" w:rsidP="000A7585">
      <w:pPr>
        <w:pStyle w:val="zdroj"/>
        <w:spacing w:after="0"/>
        <w:ind w:firstLine="0"/>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pStyle w:val="zdroj"/>
        <w:spacing w:before="0" w:after="0"/>
        <w:ind w:firstLine="0"/>
      </w:pPr>
      <w:r w:rsidRPr="00AE6EDB">
        <w:rPr>
          <w:iCs/>
        </w:rPr>
        <w:t>Poznámka: údaje za všetkých zamestnancov bez rozdielu na aký pracovný úväzok pracujú</w:t>
      </w:r>
    </w:p>
    <w:p w:rsidR="000A7585" w:rsidRPr="00AE6EDB" w:rsidRDefault="000A7585" w:rsidP="000A7585">
      <w:pPr>
        <w:pStyle w:val="zdroj"/>
        <w:spacing w:before="0" w:after="0"/>
        <w:ind w:firstLine="0"/>
      </w:pPr>
    </w:p>
    <w:p w:rsidR="000A7585" w:rsidRPr="00AE6EDB" w:rsidRDefault="000A7585" w:rsidP="000A7585">
      <w:pPr>
        <w:pStyle w:val="zdroj"/>
        <w:spacing w:before="0" w:after="0"/>
        <w:ind w:firstLine="0"/>
      </w:pPr>
      <w:r w:rsidRPr="00AE6EDB">
        <w:t>Vysvetlivky:</w:t>
      </w:r>
    </w:p>
    <w:p w:rsidR="000A7585" w:rsidRPr="00AE6EDB" w:rsidRDefault="000A7585" w:rsidP="000A7585">
      <w:pPr>
        <w:pStyle w:val="zdroj"/>
        <w:spacing w:before="0" w:after="0"/>
        <w:ind w:firstLine="0"/>
      </w:pPr>
      <w:r w:rsidRPr="00AE6EDB">
        <w:t>Hlavné triedy zamestnaní SK ISCO-08:</w:t>
      </w:r>
    </w:p>
    <w:p w:rsidR="000A7585" w:rsidRPr="00AE6EDB" w:rsidRDefault="000A7585" w:rsidP="000A7585">
      <w:pPr>
        <w:pStyle w:val="zdroj"/>
        <w:spacing w:before="0"/>
        <w:ind w:firstLine="0"/>
      </w:pPr>
      <w:r w:rsidRPr="00AE6EDB">
        <w:t xml:space="preserve">1 – Zákonodarcovia, vedúci a riadiaci zamestnanci, 2 – Vedeckí a odborní duševní zamestnanci, </w:t>
      </w:r>
      <w:r w:rsidRPr="00AE6EDB">
        <w:br/>
        <w:t>3 – Technickí, zdravotnícki, pedagogickí zamestnanci, 4 – Nižší administratívni zamestnanci,</w:t>
      </w:r>
      <w:r w:rsidRPr="00AE6EDB">
        <w:br/>
        <w:t xml:space="preserve">5 – Prevádzkoví zamestnanci v službách a obchode, 6 – Kvalifikovaní robotníci v poľnohospodárstve, lesníctve, 7 – Remeselní a kvalifikovaní robotníci v príbuzných odboroch, 8 – Obsluha strojov a zariadení, 9 – Pomocní nekvalifikovaní zamestnanci </w:t>
      </w:r>
    </w:p>
    <w:p w:rsidR="000A7585" w:rsidRPr="00AE6EDB" w:rsidRDefault="000A7585" w:rsidP="000A7585">
      <w:pPr>
        <w:pStyle w:val="zdroj"/>
        <w:spacing w:before="0"/>
        <w:ind w:firstLine="0"/>
      </w:pPr>
      <w:r w:rsidRPr="00AE6EDB">
        <w:t>- jav sa nevyskytoval</w:t>
      </w:r>
    </w:p>
    <w:p w:rsidR="000A7585" w:rsidRPr="00AE6EDB" w:rsidRDefault="000A7585" w:rsidP="000A7585">
      <w:pPr>
        <w:jc w:val="left"/>
        <w:rPr>
          <w:b/>
          <w:color w:val="000000"/>
          <w:szCs w:val="22"/>
          <w:highlight w:val="cyan"/>
        </w:rPr>
      </w:pPr>
    </w:p>
    <w:p w:rsidR="000A7585" w:rsidRPr="00AE6EDB" w:rsidRDefault="000A7585" w:rsidP="000A7585">
      <w:pPr>
        <w:jc w:val="left"/>
        <w:rPr>
          <w:b/>
          <w:color w:val="000000"/>
          <w:szCs w:val="22"/>
          <w:highlight w:val="cyan"/>
        </w:rPr>
      </w:pPr>
    </w:p>
    <w:p w:rsidR="000A7585" w:rsidRPr="00AE6EDB" w:rsidRDefault="000A7585" w:rsidP="000A7585">
      <w:pPr>
        <w:jc w:val="left"/>
        <w:rPr>
          <w:b/>
          <w:color w:val="000000"/>
          <w:szCs w:val="22"/>
          <w:highlight w:val="cyan"/>
        </w:rPr>
      </w:pPr>
      <w:r w:rsidRPr="00AE6EDB">
        <w:rPr>
          <w:b/>
          <w:i/>
          <w:szCs w:val="22"/>
          <w:highlight w:val="cyan"/>
        </w:rPr>
        <w:br w:type="page"/>
      </w:r>
    </w:p>
    <w:p w:rsidR="000A7585" w:rsidRPr="00AE6EDB" w:rsidRDefault="000A7585" w:rsidP="000A7585">
      <w:pPr>
        <w:pStyle w:val="Nadpis7"/>
      </w:pPr>
      <w:r w:rsidRPr="00AE6EDB">
        <w:t>Tabuľka 1</w:t>
      </w:r>
      <w:r w:rsidR="002A54EF" w:rsidRPr="00AE6EDB">
        <w:t>3</w:t>
      </w:r>
      <w:r w:rsidRPr="00AE6EDB">
        <w:t xml:space="preserve"> Priemerný hodinový zárobok podľa krajov v podnikateľskej sfére – </w:t>
      </w:r>
      <w:r w:rsidRPr="00AE6EDB">
        <w:br/>
        <w:t>4. štvrťrok 2015</w:t>
      </w:r>
    </w:p>
    <w:tbl>
      <w:tblPr>
        <w:tblW w:w="4697" w:type="dxa"/>
        <w:jc w:val="center"/>
        <w:tblCellMar>
          <w:left w:w="70" w:type="dxa"/>
          <w:right w:w="70" w:type="dxa"/>
        </w:tblCellMar>
        <w:tblLook w:val="04A0" w:firstRow="1" w:lastRow="0" w:firstColumn="1" w:lastColumn="0" w:noHBand="0" w:noVBand="1"/>
      </w:tblPr>
      <w:tblGrid>
        <w:gridCol w:w="2453"/>
        <w:gridCol w:w="2244"/>
      </w:tblGrid>
      <w:tr w:rsidR="000A7585" w:rsidRPr="00AE6EDB" w:rsidTr="00DE0EEC">
        <w:trPr>
          <w:trHeight w:val="300"/>
          <w:jc w:val="center"/>
        </w:trPr>
        <w:tc>
          <w:tcPr>
            <w:tcW w:w="2453" w:type="dxa"/>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bCs/>
                <w:color w:val="333300"/>
              </w:rPr>
            </w:pPr>
            <w:r w:rsidRPr="00AE6EDB">
              <w:rPr>
                <w:b/>
                <w:bCs/>
                <w:color w:val="333300"/>
                <w:szCs w:val="22"/>
              </w:rPr>
              <w:t>Kraj</w:t>
            </w:r>
          </w:p>
        </w:tc>
        <w:tc>
          <w:tcPr>
            <w:tcW w:w="2244" w:type="dxa"/>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333300"/>
              </w:rPr>
            </w:pPr>
            <w:r w:rsidRPr="00AE6EDB">
              <w:rPr>
                <w:b/>
                <w:bCs/>
                <w:color w:val="333300"/>
                <w:szCs w:val="22"/>
              </w:rPr>
              <w:t>€/hod</w:t>
            </w:r>
          </w:p>
        </w:tc>
      </w:tr>
      <w:tr w:rsidR="000A7585" w:rsidRPr="00AE6EDB" w:rsidTr="00DE0EEC">
        <w:trPr>
          <w:trHeight w:val="315"/>
          <w:jc w:val="center"/>
        </w:trPr>
        <w:tc>
          <w:tcPr>
            <w:tcW w:w="2453" w:type="dxa"/>
            <w:vMerge/>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0A7585" w:rsidRPr="00AE6EDB" w:rsidRDefault="000A7585" w:rsidP="00DE0EEC">
            <w:pPr>
              <w:rPr>
                <w:b/>
                <w:bCs/>
                <w:color w:val="333300"/>
              </w:rPr>
            </w:pPr>
          </w:p>
        </w:tc>
        <w:tc>
          <w:tcPr>
            <w:tcW w:w="2244" w:type="dxa"/>
            <w:vMerge/>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0A7585" w:rsidRPr="00AE6EDB" w:rsidRDefault="000A7585" w:rsidP="00DE0EEC">
            <w:pPr>
              <w:rPr>
                <w:b/>
                <w:bCs/>
                <w:color w:val="333300"/>
              </w:rPr>
            </w:pPr>
          </w:p>
        </w:tc>
      </w:tr>
      <w:tr w:rsidR="000A7585" w:rsidRPr="00AE6EDB" w:rsidTr="00DE0EEC">
        <w:trPr>
          <w:trHeight w:val="300"/>
          <w:jc w:val="center"/>
        </w:trPr>
        <w:tc>
          <w:tcPr>
            <w:tcW w:w="2453" w:type="dxa"/>
            <w:tcBorders>
              <w:top w:val="single" w:sz="6" w:space="0" w:color="auto"/>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Bratislavský</w:t>
            </w:r>
          </w:p>
        </w:tc>
        <w:tc>
          <w:tcPr>
            <w:tcW w:w="2244" w:type="dxa"/>
            <w:tcBorders>
              <w:top w:val="single" w:sz="6" w:space="0" w:color="auto"/>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7,85</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Trnavský</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5,53</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Trenčiansky</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5,44</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Nitriansky</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5,10</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Žilinský</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5,53</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Banskobystrický</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5,10</w:t>
            </w:r>
          </w:p>
        </w:tc>
      </w:tr>
      <w:tr w:rsidR="000A7585" w:rsidRPr="00AE6EDB" w:rsidTr="00DE0EE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Prešovský</w:t>
            </w:r>
          </w:p>
        </w:tc>
        <w:tc>
          <w:tcPr>
            <w:tcW w:w="2244" w:type="dxa"/>
            <w:tcBorders>
              <w:top w:val="nil"/>
              <w:left w:val="single" w:sz="6" w:space="0" w:color="auto"/>
              <w:bottom w:val="nil"/>
              <w:right w:val="single" w:sz="6" w:space="0" w:color="auto"/>
            </w:tcBorders>
            <w:shd w:val="clear" w:color="000000" w:fill="FFFFFF"/>
            <w:noWrap/>
            <w:vAlign w:val="center"/>
          </w:tcPr>
          <w:p w:rsidR="000A7585" w:rsidRPr="00AE6EDB" w:rsidRDefault="000A7585" w:rsidP="00DE0EEC">
            <w:pPr>
              <w:jc w:val="center"/>
            </w:pPr>
            <w:r w:rsidRPr="00AE6EDB">
              <w:t>4,58</w:t>
            </w:r>
          </w:p>
        </w:tc>
      </w:tr>
      <w:tr w:rsidR="000A7585" w:rsidRPr="00AE6EDB" w:rsidTr="00DE0EEC">
        <w:trPr>
          <w:trHeight w:val="315"/>
          <w:jc w:val="center"/>
        </w:trPr>
        <w:tc>
          <w:tcPr>
            <w:tcW w:w="2453" w:type="dxa"/>
            <w:tcBorders>
              <w:top w:val="nil"/>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rPr>
                <w:color w:val="333300"/>
              </w:rPr>
            </w:pPr>
            <w:r w:rsidRPr="00AE6EDB">
              <w:rPr>
                <w:color w:val="333300"/>
                <w:szCs w:val="22"/>
              </w:rPr>
              <w:t>Košický</w:t>
            </w:r>
          </w:p>
        </w:tc>
        <w:tc>
          <w:tcPr>
            <w:tcW w:w="2244" w:type="dxa"/>
            <w:tcBorders>
              <w:top w:val="nil"/>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pPr>
            <w:r w:rsidRPr="00AE6EDB">
              <w:t>5,72</w:t>
            </w:r>
          </w:p>
        </w:tc>
      </w:tr>
    </w:tbl>
    <w:p w:rsidR="000A7585" w:rsidRPr="00AE6EDB" w:rsidRDefault="000A7585" w:rsidP="000A7585">
      <w:pPr>
        <w:pStyle w:val="zdroj"/>
        <w:ind w:left="709" w:firstLine="709"/>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pStyle w:val="zdroj"/>
        <w:ind w:left="709" w:firstLine="709"/>
        <w:rPr>
          <w:highlight w:val="cyan"/>
        </w:rPr>
      </w:pPr>
    </w:p>
    <w:p w:rsidR="000A7585" w:rsidRPr="00AE6EDB" w:rsidRDefault="000A7585" w:rsidP="000A7585">
      <w:pPr>
        <w:pStyle w:val="Nadpis7"/>
        <w:spacing w:before="210"/>
        <w:rPr>
          <w:b w:val="0"/>
          <w:i/>
          <w:sz w:val="16"/>
          <w:szCs w:val="16"/>
        </w:rPr>
      </w:pPr>
      <w:r w:rsidRPr="00AE6EDB">
        <w:t>Tabuľka 1</w:t>
      </w:r>
      <w:r w:rsidR="002A54EF" w:rsidRPr="00AE6EDB">
        <w:t>4</w:t>
      </w:r>
      <w:r w:rsidRPr="00AE6EDB">
        <w:t xml:space="preserve"> Priemerný hodinový zárobok podľa odvetví v podnikateľskej sfére –</w:t>
      </w:r>
      <w:r w:rsidRPr="00AE6EDB">
        <w:br/>
        <w:t xml:space="preserve"> 4. štvrťrok 2015</w:t>
      </w:r>
    </w:p>
    <w:tbl>
      <w:tblPr>
        <w:tblW w:w="77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6"/>
        <w:gridCol w:w="2030"/>
      </w:tblGrid>
      <w:tr w:rsidR="000A7585" w:rsidRPr="00AE6EDB" w:rsidTr="00DE0EEC">
        <w:trPr>
          <w:trHeight w:val="813"/>
          <w:jc w:val="center"/>
        </w:trPr>
        <w:tc>
          <w:tcPr>
            <w:tcW w:w="5766" w:type="dxa"/>
            <w:shd w:val="clear" w:color="auto" w:fill="FF9999" w:themeFill="accent3" w:themeFillTint="66"/>
            <w:noWrap/>
            <w:vAlign w:val="center"/>
          </w:tcPr>
          <w:p w:rsidR="000A7585" w:rsidRPr="00AE6EDB" w:rsidRDefault="000A7585" w:rsidP="00DE0EEC">
            <w:pPr>
              <w:jc w:val="center"/>
              <w:rPr>
                <w:b/>
                <w:bCs/>
                <w:color w:val="333300"/>
              </w:rPr>
            </w:pPr>
            <w:r w:rsidRPr="00AE6EDB">
              <w:rPr>
                <w:b/>
                <w:bCs/>
                <w:color w:val="333300"/>
                <w:szCs w:val="22"/>
              </w:rPr>
              <w:t>Kategória SK NACE rev. 2</w:t>
            </w:r>
          </w:p>
        </w:tc>
        <w:tc>
          <w:tcPr>
            <w:tcW w:w="2030" w:type="dxa"/>
            <w:shd w:val="clear" w:color="auto" w:fill="FF9999" w:themeFill="accent3" w:themeFillTint="66"/>
            <w:noWrap/>
            <w:vAlign w:val="center"/>
          </w:tcPr>
          <w:p w:rsidR="000A7585" w:rsidRPr="00AE6EDB" w:rsidRDefault="000A7585" w:rsidP="00DE0EEC">
            <w:pPr>
              <w:jc w:val="center"/>
              <w:rPr>
                <w:b/>
                <w:color w:val="333300"/>
              </w:rPr>
            </w:pPr>
            <w:r w:rsidRPr="00AE6EDB">
              <w:rPr>
                <w:b/>
                <w:color w:val="333300"/>
                <w:szCs w:val="22"/>
              </w:rPr>
              <w:t>€/hod</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A Poľnohospodárstvo, lesníctvo a rybolov</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4,65</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B Ťažba a dobývanie</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6,52</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 xml:space="preserve">C Priemyselná výroba </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5,99</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D Dodávka elektriny, plynu, pary a studeného vzduchu</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9,02</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E Dodávka vody; odvod odpad. vôd, odstraňovanie odpadov</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5,56</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F Stavebníctvo</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5,28</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 xml:space="preserve">G Veľkoobchod a maloobchod; oprava motor. vozidiel </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5,58</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H Doprava a skladovanie</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5,35</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I Ubytovacie a stravovacie služby</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3,58</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J Informácie a komunikácie</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10,70</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K Finančné a poisťovacie činnosti</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10,36</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L Činnosti v oblasti nehnuteľností</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5,93</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M Odborné, vedecké a technické činnosti</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7,49</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N Administratívne a podporné služby</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4,31</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O Verejná správa a obrana; povinné sociálne zabezpečenie</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8,42</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P Vzdelávanie</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4,92</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Q Zdravotníctvo a sociálna pomoc</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6,08</w:t>
            </w:r>
          </w:p>
        </w:tc>
      </w:tr>
      <w:tr w:rsidR="000A7585" w:rsidRPr="00AE6EDB" w:rsidTr="00DE0EEC">
        <w:trPr>
          <w:trHeight w:val="300"/>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 xml:space="preserve">R Umenie, zábava a rekreácia </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4,69</w:t>
            </w:r>
          </w:p>
        </w:tc>
      </w:tr>
      <w:tr w:rsidR="000A7585" w:rsidRPr="00AE6EDB" w:rsidTr="00DE0EEC">
        <w:trPr>
          <w:trHeight w:val="315"/>
          <w:jc w:val="center"/>
        </w:trPr>
        <w:tc>
          <w:tcPr>
            <w:tcW w:w="5766" w:type="dxa"/>
            <w:shd w:val="clear" w:color="000000" w:fill="FFFFFF"/>
            <w:noWrap/>
            <w:vAlign w:val="center"/>
          </w:tcPr>
          <w:p w:rsidR="000A7585" w:rsidRPr="00AE6EDB" w:rsidRDefault="000A7585" w:rsidP="00DE0EEC">
            <w:pPr>
              <w:rPr>
                <w:color w:val="333300"/>
              </w:rPr>
            </w:pPr>
            <w:r w:rsidRPr="00AE6EDB">
              <w:rPr>
                <w:color w:val="333300"/>
                <w:szCs w:val="22"/>
              </w:rPr>
              <w:t>S Ostatné činnosti</w:t>
            </w:r>
          </w:p>
        </w:tc>
        <w:tc>
          <w:tcPr>
            <w:tcW w:w="2030" w:type="dxa"/>
            <w:shd w:val="clear" w:color="000000" w:fill="FFFFFF"/>
            <w:noWrap/>
            <w:vAlign w:val="center"/>
          </w:tcPr>
          <w:p w:rsidR="000A7585" w:rsidRPr="00AE6EDB" w:rsidRDefault="000A7585" w:rsidP="00DE0EEC">
            <w:pPr>
              <w:jc w:val="center"/>
              <w:rPr>
                <w:szCs w:val="20"/>
              </w:rPr>
            </w:pPr>
            <w:r w:rsidRPr="00AE6EDB">
              <w:rPr>
                <w:szCs w:val="20"/>
              </w:rPr>
              <w:t>4,93</w:t>
            </w:r>
          </w:p>
        </w:tc>
      </w:tr>
    </w:tbl>
    <w:p w:rsidR="000A7585" w:rsidRPr="00AE6EDB" w:rsidRDefault="000A7585" w:rsidP="000A7585">
      <w:pPr>
        <w:pStyle w:val="zdroj"/>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pStyle w:val="zdroj"/>
        <w:ind w:firstLine="142"/>
        <w:rPr>
          <w:highlight w:val="cyan"/>
        </w:rPr>
      </w:pPr>
    </w:p>
    <w:p w:rsidR="000A7585" w:rsidRPr="00AE6EDB" w:rsidRDefault="000A7585" w:rsidP="000A7585">
      <w:pPr>
        <w:pStyle w:val="zdroj"/>
        <w:ind w:firstLine="142"/>
        <w:rPr>
          <w:highlight w:val="cyan"/>
        </w:rPr>
      </w:pPr>
    </w:p>
    <w:p w:rsidR="000A7585" w:rsidRPr="00AE6EDB" w:rsidRDefault="000A7585" w:rsidP="000A7585">
      <w:pPr>
        <w:pStyle w:val="zdroj"/>
        <w:ind w:firstLine="142"/>
        <w:rPr>
          <w:highlight w:val="cyan"/>
        </w:rPr>
      </w:pPr>
    </w:p>
    <w:p w:rsidR="000A7585" w:rsidRPr="00AE6EDB" w:rsidRDefault="000A7585" w:rsidP="000A7585">
      <w:pPr>
        <w:pStyle w:val="zdroj"/>
        <w:ind w:firstLine="142"/>
        <w:rPr>
          <w:highlight w:val="cyan"/>
        </w:rPr>
      </w:pPr>
    </w:p>
    <w:p w:rsidR="000A7585" w:rsidRPr="00AE6EDB" w:rsidRDefault="000A7585" w:rsidP="000A7585">
      <w:pPr>
        <w:pStyle w:val="Nadpis7"/>
      </w:pPr>
      <w:r w:rsidRPr="00AE6EDB">
        <w:t>Tabuľka 1</w:t>
      </w:r>
      <w:r w:rsidR="002A54EF" w:rsidRPr="00AE6EDB">
        <w:t>5</w:t>
      </w:r>
      <w:r w:rsidRPr="00AE6EDB">
        <w:t xml:space="preserve"> Priemerný hodinový zárobok podľa veľkosti organizácie</w:t>
      </w:r>
      <w:r w:rsidRPr="00AE6EDB">
        <w:br/>
        <w:t xml:space="preserve"> v podnikateľskej sfére – 4. štvrťrok 2015</w:t>
      </w:r>
    </w:p>
    <w:tbl>
      <w:tblPr>
        <w:tblW w:w="7663" w:type="dxa"/>
        <w:tblInd w:w="1063" w:type="dxa"/>
        <w:tblCellMar>
          <w:left w:w="70" w:type="dxa"/>
          <w:right w:w="70" w:type="dxa"/>
        </w:tblCellMar>
        <w:tblLook w:val="04A0" w:firstRow="1" w:lastRow="0" w:firstColumn="1" w:lastColumn="0" w:noHBand="0" w:noVBand="1"/>
      </w:tblPr>
      <w:tblGrid>
        <w:gridCol w:w="7663"/>
      </w:tblGrid>
      <w:tr w:rsidR="000A7585" w:rsidRPr="00AE6EDB" w:rsidTr="00DE0EEC">
        <w:trPr>
          <w:trHeight w:val="300"/>
        </w:trPr>
        <w:tc>
          <w:tcPr>
            <w:tcW w:w="7663" w:type="dxa"/>
            <w:tcBorders>
              <w:top w:val="nil"/>
              <w:left w:val="nil"/>
              <w:bottom w:val="nil"/>
              <w:right w:val="nil"/>
            </w:tcBorders>
            <w:noWrap/>
            <w:vAlign w:val="bottom"/>
          </w:tcPr>
          <w:tbl>
            <w:tblPr>
              <w:tblW w:w="6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83"/>
              <w:gridCol w:w="2941"/>
            </w:tblGrid>
            <w:tr w:rsidR="000A7585" w:rsidRPr="00AE6EDB" w:rsidTr="00DE0EEC">
              <w:trPr>
                <w:trHeight w:val="620"/>
                <w:jc w:val="center"/>
              </w:trPr>
              <w:tc>
                <w:tcPr>
                  <w:tcW w:w="378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bCs/>
                      <w:color w:val="000000"/>
                    </w:rPr>
                  </w:pPr>
                  <w:r w:rsidRPr="00AE6EDB">
                    <w:rPr>
                      <w:b/>
                      <w:bCs/>
                      <w:color w:val="000000"/>
                      <w:szCs w:val="22"/>
                    </w:rPr>
                    <w:t>Veľkostná kategória</w:t>
                  </w:r>
                  <w:r w:rsidRPr="00AE6EDB">
                    <w:rPr>
                      <w:b/>
                      <w:bCs/>
                      <w:color w:val="000000"/>
                      <w:szCs w:val="22"/>
                    </w:rPr>
                    <w:br/>
                    <w:t>(počet zamestnancov)</w:t>
                  </w:r>
                </w:p>
              </w:tc>
              <w:tc>
                <w:tcPr>
                  <w:tcW w:w="2941"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color w:val="000000"/>
                    </w:rPr>
                  </w:pPr>
                  <w:r w:rsidRPr="00AE6EDB">
                    <w:rPr>
                      <w:b/>
                      <w:color w:val="000000"/>
                      <w:szCs w:val="22"/>
                    </w:rPr>
                    <w:t>€/hod</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1 – 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5,45</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10 – 19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5,62</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20 – 49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5,45</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50 – 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5,83</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100 – 249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6,02</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250 – 499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5,90</w:t>
                  </w:r>
                </w:p>
              </w:tc>
            </w:tr>
            <w:tr w:rsidR="000A7585" w:rsidRPr="00AE6EDB" w:rsidTr="00DE0EEC">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color w:val="000000"/>
                    </w:rPr>
                  </w:pPr>
                  <w:r w:rsidRPr="00AE6EDB">
                    <w:rPr>
                      <w:color w:val="000000"/>
                      <w:szCs w:val="22"/>
                    </w:rPr>
                    <w:t>500 – 999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6,24</w:t>
                  </w:r>
                </w:p>
              </w:tc>
            </w:tr>
            <w:tr w:rsidR="000A7585" w:rsidRPr="00AE6EDB" w:rsidTr="00DE0EEC">
              <w:trPr>
                <w:trHeight w:val="315"/>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54295F" w:rsidP="00DE0EEC">
                  <w:pPr>
                    <w:jc w:val="center"/>
                    <w:rPr>
                      <w:color w:val="000000"/>
                    </w:rPr>
                  </w:pPr>
                  <w:r>
                    <w:rPr>
                      <w:color w:val="000000"/>
                      <w:szCs w:val="22"/>
                    </w:rPr>
                    <w:t>1 0</w:t>
                  </w:r>
                  <w:r w:rsidR="000A7585" w:rsidRPr="00AE6EDB">
                    <w:rPr>
                      <w:color w:val="000000"/>
                      <w:szCs w:val="22"/>
                    </w:rPr>
                    <w:t>00 a viac</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A7585" w:rsidRPr="00AE6EDB" w:rsidRDefault="000A7585" w:rsidP="00DE0EEC">
                  <w:pPr>
                    <w:jc w:val="center"/>
                    <w:rPr>
                      <w:sz w:val="20"/>
                      <w:szCs w:val="20"/>
                    </w:rPr>
                  </w:pPr>
                  <w:r w:rsidRPr="00AE6EDB">
                    <w:rPr>
                      <w:sz w:val="20"/>
                      <w:szCs w:val="20"/>
                    </w:rPr>
                    <w:t>6,53</w:t>
                  </w:r>
                </w:p>
              </w:tc>
            </w:tr>
          </w:tbl>
          <w:p w:rsidR="000A7585" w:rsidRPr="00AE6EDB" w:rsidRDefault="000A7585" w:rsidP="00DE0EEC">
            <w:pPr>
              <w:rPr>
                <w:i/>
                <w:iCs/>
                <w:color w:val="000000"/>
              </w:rPr>
            </w:pPr>
          </w:p>
        </w:tc>
      </w:tr>
    </w:tbl>
    <w:p w:rsidR="000A7585" w:rsidRPr="00AE6EDB" w:rsidRDefault="000A7585" w:rsidP="000A7585">
      <w:pPr>
        <w:pStyle w:val="zdroj"/>
        <w:ind w:firstLine="1418"/>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jc w:val="center"/>
        <w:rPr>
          <w:rFonts w:ascii="Switzerland" w:hAnsi="Switzerland"/>
          <w:b/>
          <w:bCs/>
          <w:color w:val="333300"/>
          <w:szCs w:val="22"/>
          <w:highlight w:val="cyan"/>
        </w:rPr>
      </w:pPr>
    </w:p>
    <w:p w:rsidR="000A7585" w:rsidRPr="00AE6EDB" w:rsidRDefault="000A7585" w:rsidP="000A7585">
      <w:pPr>
        <w:jc w:val="center"/>
        <w:rPr>
          <w:rFonts w:ascii="Switzerland" w:hAnsi="Switzerland"/>
          <w:b/>
          <w:bCs/>
          <w:color w:val="333300"/>
          <w:szCs w:val="22"/>
          <w:highlight w:val="cyan"/>
        </w:rPr>
      </w:pPr>
    </w:p>
    <w:p w:rsidR="000A7585" w:rsidRPr="00AE6EDB" w:rsidRDefault="000A7585" w:rsidP="000A7585">
      <w:pPr>
        <w:pStyle w:val="Nadpis7"/>
        <w:rPr>
          <w:b w:val="0"/>
          <w:i/>
        </w:rPr>
      </w:pPr>
      <w:r w:rsidRPr="00AE6EDB">
        <w:t>Tabuľka 1</w:t>
      </w:r>
      <w:r w:rsidR="002A54EF" w:rsidRPr="00AE6EDB">
        <w:t>6</w:t>
      </w:r>
      <w:r w:rsidRPr="00AE6EDB">
        <w:t xml:space="preserve"> Priemerný hodinový zárobok podľa veku v podnikateľskej sfére </w:t>
      </w:r>
      <w:r w:rsidRPr="00AE6EDB">
        <w:rPr>
          <w:color w:val="000000" w:themeColor="text1"/>
        </w:rPr>
        <w:t>–</w:t>
      </w:r>
      <w:r w:rsidRPr="00AE6EDB">
        <w:br/>
        <w:t xml:space="preserve"> 4. štvrťrok 2015</w:t>
      </w:r>
    </w:p>
    <w:tbl>
      <w:tblPr>
        <w:tblW w:w="5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41"/>
        <w:gridCol w:w="2501"/>
      </w:tblGrid>
      <w:tr w:rsidR="000A7585" w:rsidRPr="00AE6EDB" w:rsidTr="00DE0EEC">
        <w:trPr>
          <w:trHeight w:val="304"/>
          <w:jc w:val="center"/>
        </w:trPr>
        <w:tc>
          <w:tcPr>
            <w:tcW w:w="3241" w:type="dxa"/>
            <w:vMerge w:val="restart"/>
            <w:shd w:val="clear" w:color="auto" w:fill="FF9999" w:themeFill="accent3" w:themeFillTint="66"/>
            <w:noWrap/>
            <w:vAlign w:val="center"/>
          </w:tcPr>
          <w:p w:rsidR="000A7585" w:rsidRPr="00AE6EDB" w:rsidRDefault="000A7585" w:rsidP="00DE0EEC">
            <w:pPr>
              <w:jc w:val="center"/>
              <w:rPr>
                <w:b/>
                <w:bCs/>
                <w:color w:val="333300"/>
              </w:rPr>
            </w:pPr>
            <w:r w:rsidRPr="00AE6EDB">
              <w:rPr>
                <w:b/>
                <w:bCs/>
                <w:color w:val="333300"/>
                <w:szCs w:val="22"/>
              </w:rPr>
              <w:t>Veková skupina</w:t>
            </w:r>
          </w:p>
        </w:tc>
        <w:tc>
          <w:tcPr>
            <w:tcW w:w="2501" w:type="dxa"/>
            <w:vMerge w:val="restart"/>
            <w:shd w:val="clear" w:color="auto" w:fill="FF9999" w:themeFill="accent3" w:themeFillTint="66"/>
            <w:noWrap/>
            <w:vAlign w:val="center"/>
          </w:tcPr>
          <w:p w:rsidR="000A7585" w:rsidRPr="00AE6EDB" w:rsidRDefault="000A7585" w:rsidP="00DE0EEC">
            <w:pPr>
              <w:jc w:val="center"/>
              <w:rPr>
                <w:color w:val="333300"/>
              </w:rPr>
            </w:pPr>
            <w:r w:rsidRPr="00AE6EDB">
              <w:rPr>
                <w:b/>
                <w:color w:val="333300"/>
                <w:szCs w:val="22"/>
              </w:rPr>
              <w:t>(€/hod)</w:t>
            </w:r>
          </w:p>
        </w:tc>
      </w:tr>
      <w:tr w:rsidR="000A7585" w:rsidRPr="00AE6EDB" w:rsidTr="00DE0EEC">
        <w:trPr>
          <w:trHeight w:val="319"/>
          <w:jc w:val="center"/>
        </w:trPr>
        <w:tc>
          <w:tcPr>
            <w:tcW w:w="3241" w:type="dxa"/>
            <w:vMerge/>
            <w:shd w:val="clear" w:color="auto" w:fill="FF9999" w:themeFill="accent3" w:themeFillTint="66"/>
            <w:vAlign w:val="center"/>
          </w:tcPr>
          <w:p w:rsidR="000A7585" w:rsidRPr="00AE6EDB" w:rsidRDefault="000A7585" w:rsidP="00DE0EEC">
            <w:pPr>
              <w:jc w:val="center"/>
              <w:rPr>
                <w:b/>
                <w:bCs/>
                <w:color w:val="333300"/>
              </w:rPr>
            </w:pPr>
          </w:p>
        </w:tc>
        <w:tc>
          <w:tcPr>
            <w:tcW w:w="2501" w:type="dxa"/>
            <w:vMerge/>
            <w:shd w:val="clear" w:color="auto" w:fill="FF9999" w:themeFill="accent3" w:themeFillTint="66"/>
            <w:vAlign w:val="center"/>
          </w:tcPr>
          <w:p w:rsidR="000A7585" w:rsidRPr="00AE6EDB" w:rsidRDefault="000A7585" w:rsidP="00DE0EEC">
            <w:pPr>
              <w:jc w:val="center"/>
              <w:rPr>
                <w:color w:val="333300"/>
              </w:rPr>
            </w:pP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do 19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3,62</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20 </w:t>
            </w:r>
            <w:r w:rsidRPr="00AE6EDB">
              <w:rPr>
                <w:color w:val="000000" w:themeColor="text1"/>
              </w:rPr>
              <w:t>–</w:t>
            </w:r>
            <w:r w:rsidRPr="00AE6EDB">
              <w:rPr>
                <w:color w:val="333300"/>
                <w:szCs w:val="22"/>
              </w:rPr>
              <w:t xml:space="preserve"> 24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4,09</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25 </w:t>
            </w:r>
            <w:r w:rsidRPr="00AE6EDB">
              <w:rPr>
                <w:color w:val="000000" w:themeColor="text1"/>
              </w:rPr>
              <w:t>–</w:t>
            </w:r>
            <w:r w:rsidRPr="00AE6EDB">
              <w:rPr>
                <w:color w:val="333300"/>
                <w:szCs w:val="22"/>
              </w:rPr>
              <w:t xml:space="preserve"> 29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5,27</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30 </w:t>
            </w:r>
            <w:r w:rsidRPr="00AE6EDB">
              <w:rPr>
                <w:color w:val="000000" w:themeColor="text1"/>
              </w:rPr>
              <w:t>–</w:t>
            </w:r>
            <w:r w:rsidRPr="00AE6EDB">
              <w:rPr>
                <w:color w:val="333300"/>
                <w:szCs w:val="22"/>
              </w:rPr>
              <w:t xml:space="preserve"> 34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6,33</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35 </w:t>
            </w:r>
            <w:r w:rsidRPr="00AE6EDB">
              <w:rPr>
                <w:color w:val="000000" w:themeColor="text1"/>
              </w:rPr>
              <w:t>–</w:t>
            </w:r>
            <w:r w:rsidRPr="00AE6EDB">
              <w:rPr>
                <w:color w:val="333300"/>
                <w:szCs w:val="22"/>
              </w:rPr>
              <w:t xml:space="preserve"> 39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6,78</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40 </w:t>
            </w:r>
            <w:r w:rsidRPr="00AE6EDB">
              <w:rPr>
                <w:color w:val="000000" w:themeColor="text1"/>
              </w:rPr>
              <w:t>–</w:t>
            </w:r>
            <w:r w:rsidRPr="00AE6EDB">
              <w:rPr>
                <w:color w:val="333300"/>
                <w:szCs w:val="22"/>
              </w:rPr>
              <w:t xml:space="preserve"> 44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6,54</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45 </w:t>
            </w:r>
            <w:r w:rsidRPr="00AE6EDB">
              <w:rPr>
                <w:color w:val="000000" w:themeColor="text1"/>
              </w:rPr>
              <w:t>–</w:t>
            </w:r>
            <w:r w:rsidRPr="00AE6EDB">
              <w:rPr>
                <w:color w:val="333300"/>
                <w:szCs w:val="22"/>
              </w:rPr>
              <w:t xml:space="preserve"> 49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6,08</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50 </w:t>
            </w:r>
            <w:r w:rsidRPr="00AE6EDB">
              <w:rPr>
                <w:color w:val="000000" w:themeColor="text1"/>
              </w:rPr>
              <w:t>–</w:t>
            </w:r>
            <w:r w:rsidRPr="00AE6EDB">
              <w:rPr>
                <w:color w:val="333300"/>
                <w:szCs w:val="22"/>
              </w:rPr>
              <w:t xml:space="preserve"> 54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5,91</w:t>
            </w:r>
          </w:p>
        </w:tc>
      </w:tr>
      <w:tr w:rsidR="000A7585" w:rsidRPr="00AE6EDB" w:rsidTr="00DE0EEC">
        <w:trPr>
          <w:trHeight w:val="304"/>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 xml:space="preserve">55 </w:t>
            </w:r>
            <w:r w:rsidRPr="00AE6EDB">
              <w:rPr>
                <w:color w:val="000000" w:themeColor="text1"/>
              </w:rPr>
              <w:t>–</w:t>
            </w:r>
            <w:r w:rsidRPr="00AE6EDB">
              <w:rPr>
                <w:color w:val="333300"/>
                <w:szCs w:val="22"/>
              </w:rPr>
              <w:t xml:space="preserve"> 59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5,78</w:t>
            </w:r>
          </w:p>
        </w:tc>
      </w:tr>
      <w:tr w:rsidR="000A7585" w:rsidRPr="00AE6EDB" w:rsidTr="00DE0EEC">
        <w:trPr>
          <w:trHeight w:val="319"/>
          <w:jc w:val="center"/>
        </w:trPr>
        <w:tc>
          <w:tcPr>
            <w:tcW w:w="3241" w:type="dxa"/>
            <w:shd w:val="clear" w:color="000000" w:fill="FFFFFF"/>
            <w:noWrap/>
            <w:vAlign w:val="center"/>
          </w:tcPr>
          <w:p w:rsidR="000A7585" w:rsidRPr="00AE6EDB" w:rsidRDefault="000A7585" w:rsidP="00DE0EEC">
            <w:pPr>
              <w:jc w:val="center"/>
              <w:rPr>
                <w:color w:val="333300"/>
              </w:rPr>
            </w:pPr>
            <w:r w:rsidRPr="00AE6EDB">
              <w:rPr>
                <w:color w:val="333300"/>
                <w:szCs w:val="22"/>
              </w:rPr>
              <w:t>60 a viac rokov</w:t>
            </w:r>
          </w:p>
        </w:tc>
        <w:tc>
          <w:tcPr>
            <w:tcW w:w="2501" w:type="dxa"/>
            <w:shd w:val="clear" w:color="000000" w:fill="FFFFFF"/>
            <w:noWrap/>
            <w:vAlign w:val="center"/>
          </w:tcPr>
          <w:p w:rsidR="000A7585" w:rsidRPr="00AE6EDB" w:rsidRDefault="000A7585" w:rsidP="00DE0EEC">
            <w:pPr>
              <w:jc w:val="center"/>
              <w:rPr>
                <w:sz w:val="20"/>
                <w:szCs w:val="20"/>
              </w:rPr>
            </w:pPr>
            <w:r w:rsidRPr="00AE6EDB">
              <w:rPr>
                <w:sz w:val="20"/>
                <w:szCs w:val="20"/>
              </w:rPr>
              <w:t>6,35</w:t>
            </w:r>
          </w:p>
        </w:tc>
      </w:tr>
    </w:tbl>
    <w:p w:rsidR="000A7585" w:rsidRPr="00AE6EDB" w:rsidRDefault="000A7585" w:rsidP="000A7585">
      <w:pPr>
        <w:pStyle w:val="zdroj"/>
        <w:ind w:left="709" w:firstLine="709"/>
      </w:pPr>
      <w:r w:rsidRPr="00AE6EDB">
        <w:t xml:space="preserve"> Zdroj: </w:t>
      </w:r>
      <w:proofErr w:type="spellStart"/>
      <w:r w:rsidRPr="00AE6EDB">
        <w:t>Trexima</w:t>
      </w:r>
      <w:proofErr w:type="spellEnd"/>
      <w:r w:rsidRPr="00AE6EDB">
        <w:t>, Informačný systém o priemerných zárobkoch IV. štvrťrok 2015</w:t>
      </w:r>
    </w:p>
    <w:p w:rsidR="000A7585" w:rsidRPr="00AE6EDB" w:rsidRDefault="000A7585" w:rsidP="000A7585">
      <w:pPr>
        <w:spacing w:before="120"/>
        <w:ind w:firstLine="1560"/>
        <w:rPr>
          <w:i/>
          <w:iCs/>
          <w:color w:val="333300"/>
          <w:sz w:val="16"/>
          <w:szCs w:val="16"/>
          <w:highlight w:val="cyan"/>
        </w:rPr>
      </w:pPr>
    </w:p>
    <w:p w:rsidR="000A7585" w:rsidRPr="00AE6EDB" w:rsidRDefault="000A7585" w:rsidP="000A7585">
      <w:pPr>
        <w:spacing w:before="120"/>
        <w:ind w:firstLine="1560"/>
        <w:rPr>
          <w:i/>
          <w:iCs/>
          <w:color w:val="333300"/>
          <w:sz w:val="16"/>
          <w:szCs w:val="16"/>
          <w:highlight w:val="cyan"/>
        </w:rPr>
      </w:pPr>
    </w:p>
    <w:p w:rsidR="000A7585" w:rsidRPr="00AE6EDB" w:rsidRDefault="000A7585" w:rsidP="000A7585">
      <w:pPr>
        <w:pStyle w:val="Nadpis7"/>
        <w:rPr>
          <w:b w:val="0"/>
          <w:i/>
        </w:rPr>
      </w:pPr>
      <w:r w:rsidRPr="00AE6EDB">
        <w:t>Tabuľka 1</w:t>
      </w:r>
      <w:r w:rsidR="002A54EF" w:rsidRPr="00AE6EDB">
        <w:t>7</w:t>
      </w:r>
      <w:r w:rsidRPr="00AE6EDB">
        <w:t xml:space="preserve"> Priemerný hodinový zárobok podľa rodového členenia v podnikateľskej sfére – </w:t>
      </w:r>
      <w:r w:rsidRPr="00AE6EDB">
        <w:br/>
        <w:t>4. štvrťrok 2015</w:t>
      </w:r>
    </w:p>
    <w:p w:rsidR="000A7585" w:rsidRPr="00AE6EDB" w:rsidRDefault="000A7585" w:rsidP="000A7585"/>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888"/>
        <w:gridCol w:w="1368"/>
        <w:gridCol w:w="1244"/>
        <w:gridCol w:w="1214"/>
        <w:gridCol w:w="1224"/>
      </w:tblGrid>
      <w:tr w:rsidR="000A7585" w:rsidRPr="00AE6EDB" w:rsidTr="00DE0EEC">
        <w:trPr>
          <w:trHeight w:val="354"/>
          <w:jc w:val="center"/>
        </w:trPr>
        <w:tc>
          <w:tcPr>
            <w:tcW w:w="2888" w:type="dxa"/>
            <w:vMerge w:val="restart"/>
            <w:shd w:val="clear" w:color="auto" w:fill="FF9999" w:themeFill="accent3" w:themeFillTint="66"/>
            <w:noWrap/>
            <w:vAlign w:val="center"/>
          </w:tcPr>
          <w:p w:rsidR="000A7585" w:rsidRPr="00AE6EDB" w:rsidRDefault="000A7585" w:rsidP="00DE0EEC">
            <w:pPr>
              <w:jc w:val="center"/>
              <w:rPr>
                <w:b/>
                <w:bCs/>
                <w:color w:val="333300"/>
                <w:sz w:val="20"/>
                <w:szCs w:val="20"/>
              </w:rPr>
            </w:pPr>
            <w:r w:rsidRPr="00AE6EDB">
              <w:rPr>
                <w:b/>
                <w:bCs/>
                <w:color w:val="333300"/>
                <w:sz w:val="20"/>
                <w:szCs w:val="20"/>
              </w:rPr>
              <w:t>Ukazovateľ </w:t>
            </w:r>
          </w:p>
        </w:tc>
        <w:tc>
          <w:tcPr>
            <w:tcW w:w="1368" w:type="dxa"/>
            <w:vMerge w:val="restart"/>
            <w:shd w:val="clear" w:color="auto" w:fill="FF9999" w:themeFill="accent3" w:themeFillTint="66"/>
            <w:noWrap/>
            <w:vAlign w:val="center"/>
          </w:tcPr>
          <w:p w:rsidR="000A7585" w:rsidRPr="00AE6EDB" w:rsidRDefault="000A7585" w:rsidP="00DE0EEC">
            <w:pPr>
              <w:jc w:val="center"/>
              <w:rPr>
                <w:b/>
                <w:color w:val="333300"/>
                <w:sz w:val="20"/>
                <w:szCs w:val="20"/>
              </w:rPr>
            </w:pPr>
            <w:r w:rsidRPr="00AE6EDB">
              <w:rPr>
                <w:b/>
                <w:color w:val="333300"/>
                <w:sz w:val="20"/>
                <w:szCs w:val="20"/>
              </w:rPr>
              <w:t>Spolu</w:t>
            </w:r>
          </w:p>
        </w:tc>
        <w:tc>
          <w:tcPr>
            <w:tcW w:w="2458" w:type="dxa"/>
            <w:gridSpan w:val="2"/>
            <w:shd w:val="clear" w:color="auto" w:fill="FF9999" w:themeFill="accent3" w:themeFillTint="66"/>
            <w:noWrap/>
            <w:vAlign w:val="center"/>
          </w:tcPr>
          <w:p w:rsidR="000A7585" w:rsidRPr="00AE6EDB" w:rsidRDefault="000A7585" w:rsidP="00DE0EEC">
            <w:pPr>
              <w:jc w:val="center"/>
              <w:rPr>
                <w:b/>
                <w:color w:val="333300"/>
                <w:sz w:val="20"/>
                <w:szCs w:val="20"/>
              </w:rPr>
            </w:pPr>
            <w:r w:rsidRPr="00AE6EDB">
              <w:rPr>
                <w:b/>
                <w:color w:val="333300"/>
                <w:sz w:val="20"/>
                <w:szCs w:val="20"/>
              </w:rPr>
              <w:t>Pohlavie</w:t>
            </w:r>
          </w:p>
        </w:tc>
        <w:tc>
          <w:tcPr>
            <w:tcW w:w="1224" w:type="dxa"/>
            <w:shd w:val="clear" w:color="auto" w:fill="FF9999" w:themeFill="accent3" w:themeFillTint="66"/>
            <w:noWrap/>
            <w:vAlign w:val="center"/>
          </w:tcPr>
          <w:p w:rsidR="000A7585" w:rsidRPr="00AE6EDB" w:rsidRDefault="000A7585" w:rsidP="00DE0EEC">
            <w:pPr>
              <w:jc w:val="center"/>
              <w:rPr>
                <w:b/>
                <w:color w:val="333300"/>
                <w:sz w:val="20"/>
                <w:szCs w:val="20"/>
              </w:rPr>
            </w:pPr>
            <w:r w:rsidRPr="00AE6EDB">
              <w:rPr>
                <w:b/>
                <w:color w:val="333300"/>
                <w:sz w:val="20"/>
                <w:szCs w:val="20"/>
              </w:rPr>
              <w:t>Podiel (</w:t>
            </w:r>
            <w:r w:rsidR="005676EF">
              <w:rPr>
                <w:b/>
                <w:color w:val="333300"/>
                <w:sz w:val="20"/>
                <w:szCs w:val="20"/>
              </w:rPr>
              <w:t> %</w:t>
            </w:r>
            <w:r w:rsidRPr="00AE6EDB">
              <w:rPr>
                <w:b/>
                <w:color w:val="333300"/>
                <w:sz w:val="20"/>
                <w:szCs w:val="20"/>
              </w:rPr>
              <w:t>)</w:t>
            </w:r>
          </w:p>
        </w:tc>
      </w:tr>
      <w:tr w:rsidR="000A7585" w:rsidRPr="00AE6EDB" w:rsidTr="00DE0EEC">
        <w:trPr>
          <w:trHeight w:val="559"/>
          <w:jc w:val="center"/>
        </w:trPr>
        <w:tc>
          <w:tcPr>
            <w:tcW w:w="2888" w:type="dxa"/>
            <w:vMerge/>
            <w:shd w:val="clear" w:color="auto" w:fill="FF9999" w:themeFill="accent3" w:themeFillTint="66"/>
            <w:vAlign w:val="center"/>
          </w:tcPr>
          <w:p w:rsidR="000A7585" w:rsidRPr="00AE6EDB" w:rsidRDefault="000A7585" w:rsidP="00DE0EEC">
            <w:pPr>
              <w:rPr>
                <w:b/>
                <w:bCs/>
                <w:color w:val="333300"/>
                <w:sz w:val="20"/>
                <w:szCs w:val="20"/>
              </w:rPr>
            </w:pPr>
          </w:p>
        </w:tc>
        <w:tc>
          <w:tcPr>
            <w:tcW w:w="1368" w:type="dxa"/>
            <w:vMerge/>
            <w:shd w:val="clear" w:color="auto" w:fill="FF9999" w:themeFill="accent3" w:themeFillTint="66"/>
            <w:vAlign w:val="center"/>
          </w:tcPr>
          <w:p w:rsidR="000A7585" w:rsidRPr="00AE6EDB" w:rsidRDefault="000A7585" w:rsidP="00DE0EEC">
            <w:pPr>
              <w:rPr>
                <w:b/>
                <w:color w:val="333300"/>
                <w:sz w:val="20"/>
                <w:szCs w:val="20"/>
              </w:rPr>
            </w:pPr>
          </w:p>
        </w:tc>
        <w:tc>
          <w:tcPr>
            <w:tcW w:w="1244" w:type="dxa"/>
            <w:shd w:val="clear" w:color="auto" w:fill="FF9999" w:themeFill="accent3" w:themeFillTint="66"/>
            <w:noWrap/>
            <w:vAlign w:val="center"/>
          </w:tcPr>
          <w:p w:rsidR="000A7585" w:rsidRPr="00AE6EDB" w:rsidRDefault="000A7585" w:rsidP="00DE0EEC">
            <w:pPr>
              <w:jc w:val="center"/>
              <w:rPr>
                <w:b/>
                <w:color w:val="333300"/>
                <w:sz w:val="20"/>
                <w:szCs w:val="20"/>
              </w:rPr>
            </w:pPr>
            <w:r w:rsidRPr="00AE6EDB">
              <w:rPr>
                <w:b/>
                <w:color w:val="333300"/>
                <w:sz w:val="20"/>
                <w:szCs w:val="20"/>
              </w:rPr>
              <w:t>Muži</w:t>
            </w:r>
          </w:p>
        </w:tc>
        <w:tc>
          <w:tcPr>
            <w:tcW w:w="1214" w:type="dxa"/>
            <w:shd w:val="clear" w:color="auto" w:fill="FF9999" w:themeFill="accent3" w:themeFillTint="66"/>
            <w:noWrap/>
            <w:vAlign w:val="center"/>
          </w:tcPr>
          <w:p w:rsidR="000A7585" w:rsidRPr="00AE6EDB" w:rsidRDefault="000A7585" w:rsidP="00DE0EEC">
            <w:pPr>
              <w:jc w:val="center"/>
              <w:rPr>
                <w:b/>
                <w:color w:val="333300"/>
                <w:sz w:val="20"/>
                <w:szCs w:val="20"/>
              </w:rPr>
            </w:pPr>
            <w:r w:rsidRPr="00AE6EDB">
              <w:rPr>
                <w:b/>
                <w:color w:val="333300"/>
                <w:sz w:val="20"/>
                <w:szCs w:val="20"/>
              </w:rPr>
              <w:t>Ženy</w:t>
            </w:r>
          </w:p>
        </w:tc>
        <w:tc>
          <w:tcPr>
            <w:tcW w:w="1224" w:type="dxa"/>
            <w:shd w:val="clear" w:color="auto" w:fill="FF9999" w:themeFill="accent3" w:themeFillTint="66"/>
            <w:noWrap/>
            <w:vAlign w:val="bottom"/>
          </w:tcPr>
          <w:p w:rsidR="000A7585" w:rsidRPr="00AE6EDB" w:rsidRDefault="000A7585" w:rsidP="00DE0EEC">
            <w:pPr>
              <w:jc w:val="center"/>
              <w:rPr>
                <w:b/>
                <w:color w:val="333300"/>
                <w:sz w:val="20"/>
                <w:szCs w:val="20"/>
              </w:rPr>
            </w:pPr>
            <w:r w:rsidRPr="00AE6EDB">
              <w:rPr>
                <w:b/>
                <w:color w:val="333300"/>
                <w:sz w:val="20"/>
                <w:szCs w:val="20"/>
              </w:rPr>
              <w:t>Ženy/</w:t>
            </w:r>
          </w:p>
          <w:p w:rsidR="000A7585" w:rsidRPr="00AE6EDB" w:rsidRDefault="000A7585" w:rsidP="00DE0EEC">
            <w:pPr>
              <w:jc w:val="center"/>
              <w:rPr>
                <w:b/>
                <w:color w:val="333300"/>
                <w:sz w:val="20"/>
                <w:szCs w:val="20"/>
              </w:rPr>
            </w:pPr>
            <w:r w:rsidRPr="00AE6EDB">
              <w:rPr>
                <w:b/>
                <w:color w:val="333300"/>
                <w:sz w:val="20"/>
                <w:szCs w:val="20"/>
              </w:rPr>
              <w:t>Muži</w:t>
            </w:r>
          </w:p>
        </w:tc>
      </w:tr>
      <w:tr w:rsidR="000A7585" w:rsidRPr="00AE6EDB" w:rsidTr="00DE0EEC">
        <w:trPr>
          <w:trHeight w:val="582"/>
          <w:jc w:val="center"/>
        </w:trPr>
        <w:tc>
          <w:tcPr>
            <w:tcW w:w="2888" w:type="dxa"/>
            <w:noWrap/>
            <w:vAlign w:val="center"/>
          </w:tcPr>
          <w:p w:rsidR="000A7585" w:rsidRPr="00AE6EDB" w:rsidRDefault="000A7585" w:rsidP="00DE0EEC">
            <w:pPr>
              <w:jc w:val="center"/>
              <w:rPr>
                <w:color w:val="333300"/>
                <w:sz w:val="20"/>
                <w:szCs w:val="20"/>
              </w:rPr>
            </w:pPr>
            <w:r w:rsidRPr="00AE6EDB">
              <w:rPr>
                <w:color w:val="333300"/>
                <w:sz w:val="20"/>
                <w:szCs w:val="20"/>
              </w:rPr>
              <w:t>Priemerný hodinový zárobok (€/hod)</w:t>
            </w:r>
          </w:p>
        </w:tc>
        <w:tc>
          <w:tcPr>
            <w:tcW w:w="1368" w:type="dxa"/>
            <w:noWrap/>
            <w:vAlign w:val="center"/>
          </w:tcPr>
          <w:p w:rsidR="000A7585" w:rsidRPr="00AE6EDB" w:rsidRDefault="000A7585" w:rsidP="00DE0EEC">
            <w:pPr>
              <w:jc w:val="center"/>
              <w:rPr>
                <w:color w:val="333300"/>
                <w:sz w:val="20"/>
                <w:szCs w:val="20"/>
              </w:rPr>
            </w:pPr>
            <w:r w:rsidRPr="00AE6EDB">
              <w:rPr>
                <w:color w:val="333300"/>
                <w:sz w:val="20"/>
                <w:szCs w:val="20"/>
              </w:rPr>
              <w:t>5,97</w:t>
            </w:r>
          </w:p>
        </w:tc>
        <w:tc>
          <w:tcPr>
            <w:tcW w:w="1244" w:type="dxa"/>
            <w:noWrap/>
            <w:vAlign w:val="center"/>
          </w:tcPr>
          <w:p w:rsidR="000A7585" w:rsidRPr="00AE6EDB" w:rsidRDefault="000A7585" w:rsidP="00DE0EEC">
            <w:pPr>
              <w:jc w:val="center"/>
              <w:rPr>
                <w:color w:val="333300"/>
                <w:sz w:val="20"/>
                <w:szCs w:val="20"/>
              </w:rPr>
            </w:pPr>
            <w:r w:rsidRPr="00AE6EDB">
              <w:rPr>
                <w:color w:val="333300"/>
                <w:sz w:val="20"/>
                <w:szCs w:val="20"/>
              </w:rPr>
              <w:t>6,50</w:t>
            </w:r>
          </w:p>
        </w:tc>
        <w:tc>
          <w:tcPr>
            <w:tcW w:w="1214" w:type="dxa"/>
            <w:noWrap/>
            <w:vAlign w:val="center"/>
          </w:tcPr>
          <w:p w:rsidR="000A7585" w:rsidRPr="00AE6EDB" w:rsidRDefault="000A7585" w:rsidP="00DE0EEC">
            <w:pPr>
              <w:jc w:val="center"/>
              <w:rPr>
                <w:color w:val="333300"/>
                <w:sz w:val="20"/>
                <w:szCs w:val="20"/>
              </w:rPr>
            </w:pPr>
            <w:r w:rsidRPr="00AE6EDB">
              <w:rPr>
                <w:color w:val="333300"/>
                <w:sz w:val="20"/>
                <w:szCs w:val="20"/>
              </w:rPr>
              <w:t>5,24</w:t>
            </w:r>
          </w:p>
        </w:tc>
        <w:tc>
          <w:tcPr>
            <w:tcW w:w="1224" w:type="dxa"/>
            <w:noWrap/>
            <w:vAlign w:val="center"/>
          </w:tcPr>
          <w:p w:rsidR="000A7585" w:rsidRPr="00AE6EDB" w:rsidRDefault="000A7585" w:rsidP="00DE0EEC">
            <w:pPr>
              <w:jc w:val="center"/>
              <w:rPr>
                <w:color w:val="333300"/>
                <w:sz w:val="20"/>
                <w:szCs w:val="20"/>
              </w:rPr>
            </w:pPr>
            <w:r w:rsidRPr="00AE6EDB">
              <w:rPr>
                <w:color w:val="333300"/>
                <w:sz w:val="20"/>
                <w:szCs w:val="20"/>
              </w:rPr>
              <w:t>80</w:t>
            </w:r>
          </w:p>
        </w:tc>
      </w:tr>
    </w:tbl>
    <w:p w:rsidR="000A7585" w:rsidRPr="00AE6EDB" w:rsidRDefault="000A7585" w:rsidP="000A7585">
      <w:pPr>
        <w:pStyle w:val="zdroj"/>
      </w:pPr>
      <w:r w:rsidRPr="00AE6EDB">
        <w:t xml:space="preserve">Zdroj: </w:t>
      </w:r>
      <w:proofErr w:type="spellStart"/>
      <w:r w:rsidRPr="00AE6EDB">
        <w:t>Trexima</w:t>
      </w:r>
      <w:proofErr w:type="spellEnd"/>
      <w:r w:rsidRPr="00AE6EDB">
        <w:t>, Informačný systém o priemerných zárobkoch IV. štvrťrok 2015</w:t>
      </w:r>
    </w:p>
    <w:p w:rsidR="000A7585" w:rsidRPr="00AE6EDB" w:rsidRDefault="000A7585" w:rsidP="000A7585">
      <w:pPr>
        <w:pStyle w:val="Nadpis7"/>
      </w:pPr>
      <w:r w:rsidRPr="00AE6EDB">
        <w:rPr>
          <w:highlight w:val="cyan"/>
        </w:rPr>
        <w:br/>
      </w:r>
      <w:r w:rsidRPr="00AE6EDB">
        <w:t>Tabuľka 1</w:t>
      </w:r>
      <w:r w:rsidR="002A54EF" w:rsidRPr="00AE6EDB">
        <w:t>8</w:t>
      </w:r>
      <w:r w:rsidRPr="00AE6EDB">
        <w:t xml:space="preserve"> Mesačné náklady práce na zamestnanca v SR za rok 2014 podľa odvetví </w:t>
      </w:r>
    </w:p>
    <w:p w:rsidR="000A7585" w:rsidRPr="00AE6EDB" w:rsidRDefault="000A7585" w:rsidP="000A7585">
      <w:pPr>
        <w:tabs>
          <w:tab w:val="left" w:pos="1530"/>
        </w:tabs>
        <w:ind w:right="-567"/>
        <w:jc w:val="right"/>
        <w:rPr>
          <w:iCs/>
          <w:szCs w:val="22"/>
        </w:rPr>
      </w:pPr>
      <w:r w:rsidRPr="00AE6EDB">
        <w:rPr>
          <w:iCs/>
          <w:sz w:val="20"/>
          <w:szCs w:val="20"/>
        </w:rPr>
        <w:t>v €/</w:t>
      </w:r>
      <w:proofErr w:type="spellStart"/>
      <w:r w:rsidRPr="00AE6EDB">
        <w:rPr>
          <w:iCs/>
          <w:sz w:val="20"/>
          <w:szCs w:val="20"/>
        </w:rPr>
        <w:t>zam</w:t>
      </w:r>
      <w:proofErr w:type="spellEnd"/>
      <w:r w:rsidRPr="00AE6EDB">
        <w:rPr>
          <w:iCs/>
          <w:sz w:val="20"/>
          <w:szCs w:val="20"/>
        </w:rPr>
        <w:t>./mes</w:t>
      </w:r>
      <w:r w:rsidRPr="00AE6EDB">
        <w:rPr>
          <w:iCs/>
          <w:szCs w:val="22"/>
        </w:rPr>
        <w:t>.</w:t>
      </w:r>
    </w:p>
    <w:p w:rsidR="000A7585" w:rsidRPr="00AE6EDB" w:rsidRDefault="000A7585" w:rsidP="000A7585">
      <w:pPr>
        <w:jc w:val="center"/>
        <w:rPr>
          <w:b/>
          <w:i/>
          <w:sz w:val="4"/>
          <w:szCs w:val="4"/>
        </w:rPr>
      </w:pPr>
    </w:p>
    <w:tbl>
      <w:tblPr>
        <w:tblW w:w="545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01"/>
        <w:gridCol w:w="919"/>
        <w:gridCol w:w="939"/>
        <w:gridCol w:w="858"/>
        <w:gridCol w:w="993"/>
        <w:gridCol w:w="991"/>
        <w:gridCol w:w="1275"/>
        <w:gridCol w:w="1275"/>
        <w:gridCol w:w="1001"/>
      </w:tblGrid>
      <w:tr w:rsidR="000A7585" w:rsidRPr="00AE6EDB" w:rsidTr="00DE0EEC">
        <w:trPr>
          <w:trHeight w:val="265"/>
          <w:jc w:val="center"/>
        </w:trPr>
        <w:tc>
          <w:tcPr>
            <w:tcW w:w="896" w:type="pct"/>
            <w:vMerge w:val="restar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Divízie SK NACE Rev.2</w:t>
            </w:r>
          </w:p>
        </w:tc>
        <w:tc>
          <w:tcPr>
            <w:tcW w:w="457" w:type="pct"/>
            <w:vMerge w:val="restar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Celkové náklady práce</w:t>
            </w:r>
          </w:p>
        </w:tc>
        <w:tc>
          <w:tcPr>
            <w:tcW w:w="3647" w:type="pct"/>
            <w:gridSpan w:val="7"/>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v tom</w:t>
            </w:r>
          </w:p>
        </w:tc>
      </w:tr>
      <w:tr w:rsidR="000A7585" w:rsidRPr="00AE6EDB" w:rsidTr="00DE0EEC">
        <w:trPr>
          <w:trHeight w:val="265"/>
          <w:jc w:val="center"/>
        </w:trPr>
        <w:tc>
          <w:tcPr>
            <w:tcW w:w="896" w:type="pct"/>
            <w:vMerge/>
            <w:shd w:val="clear" w:color="auto" w:fill="FF9999" w:themeFill="accent3" w:themeFillTint="66"/>
            <w:noWrap/>
            <w:vAlign w:val="center"/>
          </w:tcPr>
          <w:p w:rsidR="000A7585" w:rsidRPr="00AE6EDB" w:rsidRDefault="000A7585" w:rsidP="00DE0EEC">
            <w:pPr>
              <w:jc w:val="center"/>
              <w:rPr>
                <w:b/>
                <w:sz w:val="18"/>
                <w:szCs w:val="18"/>
              </w:rPr>
            </w:pPr>
          </w:p>
        </w:tc>
        <w:tc>
          <w:tcPr>
            <w:tcW w:w="457" w:type="pct"/>
            <w:vMerge/>
            <w:shd w:val="clear" w:color="auto" w:fill="FF9999" w:themeFill="accent3" w:themeFillTint="66"/>
            <w:noWrap/>
            <w:vAlign w:val="center"/>
          </w:tcPr>
          <w:p w:rsidR="000A7585" w:rsidRPr="00AE6EDB" w:rsidRDefault="000A7585" w:rsidP="00DE0EEC">
            <w:pPr>
              <w:jc w:val="center"/>
              <w:rPr>
                <w:b/>
                <w:sz w:val="18"/>
                <w:szCs w:val="18"/>
              </w:rPr>
            </w:pPr>
          </w:p>
        </w:tc>
        <w:tc>
          <w:tcPr>
            <w:tcW w:w="467" w:type="pct"/>
            <w:vMerge w:val="restar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priame náklady spolu</w:t>
            </w:r>
          </w:p>
        </w:tc>
        <w:tc>
          <w:tcPr>
            <w:tcW w:w="921" w:type="pct"/>
            <w:gridSpan w:val="2"/>
            <w:tcBorders>
              <w:bottom w:val="single" w:sz="2" w:space="0" w:color="auto"/>
            </w:tcBorders>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z toho</w:t>
            </w:r>
          </w:p>
        </w:tc>
        <w:tc>
          <w:tcPr>
            <w:tcW w:w="493" w:type="pct"/>
            <w:vMerge w:val="restart"/>
            <w:tcBorders>
              <w:bottom w:val="single" w:sz="2" w:space="0" w:color="auto"/>
            </w:tcBorders>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nepriame náklady spolu</w:t>
            </w:r>
          </w:p>
        </w:tc>
        <w:tc>
          <w:tcPr>
            <w:tcW w:w="1268" w:type="pct"/>
            <w:gridSpan w:val="2"/>
            <w:tcBorders>
              <w:bottom w:val="single" w:sz="2" w:space="0" w:color="auto"/>
            </w:tcBorders>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z toho</w:t>
            </w:r>
          </w:p>
        </w:tc>
        <w:tc>
          <w:tcPr>
            <w:tcW w:w="498" w:type="pct"/>
            <w:vMerge w:val="restar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subvencie</w:t>
            </w:r>
          </w:p>
        </w:tc>
      </w:tr>
      <w:tr w:rsidR="000A7585" w:rsidRPr="00AE6EDB" w:rsidTr="00DE0EEC">
        <w:trPr>
          <w:trHeight w:val="852"/>
          <w:jc w:val="center"/>
        </w:trPr>
        <w:tc>
          <w:tcPr>
            <w:tcW w:w="896" w:type="pct"/>
            <w:vMerge/>
            <w:shd w:val="clear" w:color="auto" w:fill="B8CCE4"/>
            <w:noWrap/>
            <w:vAlign w:val="center"/>
          </w:tcPr>
          <w:p w:rsidR="000A7585" w:rsidRPr="00AE6EDB" w:rsidRDefault="000A7585" w:rsidP="00DE0EEC">
            <w:pPr>
              <w:jc w:val="center"/>
              <w:rPr>
                <w:b/>
                <w:sz w:val="18"/>
                <w:szCs w:val="18"/>
              </w:rPr>
            </w:pPr>
          </w:p>
        </w:tc>
        <w:tc>
          <w:tcPr>
            <w:tcW w:w="457" w:type="pct"/>
            <w:vMerge/>
            <w:shd w:val="clear" w:color="auto" w:fill="B8CCE4"/>
            <w:noWrap/>
            <w:vAlign w:val="center"/>
          </w:tcPr>
          <w:p w:rsidR="000A7585" w:rsidRPr="00AE6EDB" w:rsidRDefault="000A7585" w:rsidP="00DE0EEC">
            <w:pPr>
              <w:jc w:val="center"/>
              <w:rPr>
                <w:b/>
                <w:sz w:val="18"/>
                <w:szCs w:val="18"/>
              </w:rPr>
            </w:pPr>
          </w:p>
        </w:tc>
        <w:tc>
          <w:tcPr>
            <w:tcW w:w="467" w:type="pct"/>
            <w:vMerge/>
            <w:shd w:val="clear" w:color="auto" w:fill="B8CCE4"/>
            <w:noWrap/>
            <w:vAlign w:val="center"/>
          </w:tcPr>
          <w:p w:rsidR="000A7585" w:rsidRPr="00AE6EDB" w:rsidRDefault="000A7585" w:rsidP="00DE0EEC">
            <w:pPr>
              <w:rPr>
                <w:b/>
                <w:sz w:val="18"/>
                <w:szCs w:val="18"/>
              </w:rPr>
            </w:pPr>
          </w:p>
        </w:tc>
        <w:tc>
          <w:tcPr>
            <w:tcW w:w="427" w:type="pc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mzdy</w:t>
            </w:r>
          </w:p>
        </w:tc>
        <w:tc>
          <w:tcPr>
            <w:tcW w:w="494" w:type="pc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náhrady mzdy</w:t>
            </w:r>
          </w:p>
        </w:tc>
        <w:tc>
          <w:tcPr>
            <w:tcW w:w="493" w:type="pct"/>
            <w:vMerge/>
            <w:shd w:val="clear" w:color="auto" w:fill="FF9999" w:themeFill="accent3" w:themeFillTint="66"/>
            <w:noWrap/>
            <w:vAlign w:val="center"/>
          </w:tcPr>
          <w:p w:rsidR="000A7585" w:rsidRPr="00AE6EDB" w:rsidRDefault="000A7585" w:rsidP="00DE0EEC">
            <w:pPr>
              <w:jc w:val="center"/>
              <w:rPr>
                <w:b/>
                <w:sz w:val="18"/>
                <w:szCs w:val="18"/>
              </w:rPr>
            </w:pPr>
          </w:p>
        </w:tc>
        <w:tc>
          <w:tcPr>
            <w:tcW w:w="634" w:type="pc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povinné príspevky na sociálne poistenie</w:t>
            </w:r>
          </w:p>
        </w:tc>
        <w:tc>
          <w:tcPr>
            <w:tcW w:w="634" w:type="pct"/>
            <w:shd w:val="clear" w:color="auto" w:fill="FF9999" w:themeFill="accent3" w:themeFillTint="66"/>
            <w:noWrap/>
            <w:vAlign w:val="center"/>
          </w:tcPr>
          <w:p w:rsidR="000A7585" w:rsidRPr="00AE6EDB" w:rsidRDefault="000A7585" w:rsidP="00DE0EEC">
            <w:pPr>
              <w:jc w:val="center"/>
              <w:rPr>
                <w:b/>
                <w:sz w:val="18"/>
                <w:szCs w:val="18"/>
              </w:rPr>
            </w:pPr>
            <w:r w:rsidRPr="00AE6EDB">
              <w:rPr>
                <w:b/>
                <w:sz w:val="18"/>
                <w:szCs w:val="18"/>
              </w:rPr>
              <w:t>nepovinné príspevky na sociálne poistenie</w:t>
            </w:r>
          </w:p>
        </w:tc>
        <w:tc>
          <w:tcPr>
            <w:tcW w:w="498" w:type="pct"/>
            <w:vMerge/>
            <w:shd w:val="clear" w:color="auto" w:fill="B8CCE4"/>
            <w:noWrap/>
            <w:vAlign w:val="center"/>
          </w:tcPr>
          <w:p w:rsidR="000A7585" w:rsidRPr="00AE6EDB" w:rsidRDefault="000A7585" w:rsidP="00DE0EEC">
            <w:pPr>
              <w:jc w:val="center"/>
              <w:rPr>
                <w:b/>
                <w:sz w:val="18"/>
                <w:szCs w:val="18"/>
              </w:rPr>
            </w:pPr>
          </w:p>
        </w:tc>
      </w:tr>
      <w:tr w:rsidR="000A7585" w:rsidRPr="00AE6EDB" w:rsidTr="00DE0EEC">
        <w:trPr>
          <w:trHeight w:val="286"/>
          <w:jc w:val="center"/>
        </w:trPr>
        <w:tc>
          <w:tcPr>
            <w:tcW w:w="896" w:type="pct"/>
            <w:noWrap/>
            <w:vAlign w:val="center"/>
          </w:tcPr>
          <w:p w:rsidR="000A7585" w:rsidRPr="00AE6EDB" w:rsidRDefault="000A7585" w:rsidP="00DE0EEC">
            <w:pPr>
              <w:rPr>
                <w:b/>
                <w:bCs/>
                <w:iCs/>
                <w:sz w:val="18"/>
                <w:szCs w:val="18"/>
              </w:rPr>
            </w:pPr>
            <w:r w:rsidRPr="00AE6EDB">
              <w:rPr>
                <w:b/>
                <w:bCs/>
                <w:iCs/>
                <w:sz w:val="18"/>
                <w:szCs w:val="18"/>
              </w:rPr>
              <w:t>Priemer za SR</w:t>
            </w:r>
          </w:p>
        </w:tc>
        <w:tc>
          <w:tcPr>
            <w:tcW w:w="457" w:type="pct"/>
            <w:noWrap/>
            <w:vAlign w:val="center"/>
          </w:tcPr>
          <w:p w:rsidR="000A7585" w:rsidRPr="00AE6EDB" w:rsidRDefault="0054295F" w:rsidP="00DE0EEC">
            <w:pPr>
              <w:ind w:right="90"/>
              <w:jc w:val="right"/>
              <w:rPr>
                <w:b/>
                <w:sz w:val="18"/>
                <w:szCs w:val="18"/>
              </w:rPr>
            </w:pPr>
            <w:r>
              <w:rPr>
                <w:b/>
                <w:sz w:val="18"/>
                <w:szCs w:val="18"/>
              </w:rPr>
              <w:t>1 3</w:t>
            </w:r>
            <w:r w:rsidR="000A7585" w:rsidRPr="00AE6EDB">
              <w:rPr>
                <w:b/>
                <w:sz w:val="18"/>
                <w:szCs w:val="18"/>
              </w:rPr>
              <w:t>10</w:t>
            </w:r>
          </w:p>
        </w:tc>
        <w:tc>
          <w:tcPr>
            <w:tcW w:w="467" w:type="pct"/>
            <w:noWrap/>
            <w:vAlign w:val="center"/>
          </w:tcPr>
          <w:p w:rsidR="000A7585" w:rsidRPr="00AE6EDB" w:rsidRDefault="000A7585" w:rsidP="00DE0EEC">
            <w:pPr>
              <w:ind w:right="90"/>
              <w:jc w:val="right"/>
              <w:rPr>
                <w:b/>
                <w:sz w:val="18"/>
                <w:szCs w:val="18"/>
              </w:rPr>
            </w:pPr>
            <w:r w:rsidRPr="00AE6EDB">
              <w:rPr>
                <w:b/>
                <w:sz w:val="18"/>
                <w:szCs w:val="18"/>
              </w:rPr>
              <w:t>953</w:t>
            </w:r>
          </w:p>
        </w:tc>
        <w:tc>
          <w:tcPr>
            <w:tcW w:w="427" w:type="pct"/>
            <w:noWrap/>
            <w:vAlign w:val="center"/>
          </w:tcPr>
          <w:p w:rsidR="000A7585" w:rsidRPr="00AE6EDB" w:rsidRDefault="000A7585" w:rsidP="00DE0EEC">
            <w:pPr>
              <w:ind w:right="90"/>
              <w:jc w:val="right"/>
              <w:rPr>
                <w:b/>
                <w:sz w:val="18"/>
                <w:szCs w:val="18"/>
              </w:rPr>
            </w:pPr>
            <w:r w:rsidRPr="00AE6EDB">
              <w:rPr>
                <w:b/>
                <w:sz w:val="18"/>
                <w:szCs w:val="18"/>
              </w:rPr>
              <w:t>833</w:t>
            </w:r>
          </w:p>
        </w:tc>
        <w:tc>
          <w:tcPr>
            <w:tcW w:w="494" w:type="pct"/>
            <w:noWrap/>
            <w:vAlign w:val="center"/>
          </w:tcPr>
          <w:p w:rsidR="000A7585" w:rsidRPr="00AE6EDB" w:rsidRDefault="000A7585" w:rsidP="00DE0EEC">
            <w:pPr>
              <w:ind w:right="90"/>
              <w:jc w:val="right"/>
              <w:rPr>
                <w:b/>
                <w:sz w:val="18"/>
                <w:szCs w:val="18"/>
              </w:rPr>
            </w:pPr>
            <w:r w:rsidRPr="00AE6EDB">
              <w:rPr>
                <w:b/>
                <w:sz w:val="18"/>
                <w:szCs w:val="18"/>
              </w:rPr>
              <w:t>111</w:t>
            </w:r>
          </w:p>
        </w:tc>
        <w:tc>
          <w:tcPr>
            <w:tcW w:w="493" w:type="pct"/>
            <w:noWrap/>
            <w:vAlign w:val="center"/>
          </w:tcPr>
          <w:p w:rsidR="000A7585" w:rsidRPr="00AE6EDB" w:rsidRDefault="000A7585" w:rsidP="00DE0EEC">
            <w:pPr>
              <w:ind w:right="90"/>
              <w:jc w:val="right"/>
              <w:rPr>
                <w:b/>
                <w:sz w:val="18"/>
                <w:szCs w:val="18"/>
              </w:rPr>
            </w:pPr>
            <w:r w:rsidRPr="00AE6EDB">
              <w:rPr>
                <w:b/>
                <w:sz w:val="18"/>
                <w:szCs w:val="18"/>
              </w:rPr>
              <w:t>359</w:t>
            </w:r>
          </w:p>
        </w:tc>
        <w:tc>
          <w:tcPr>
            <w:tcW w:w="634" w:type="pct"/>
            <w:noWrap/>
            <w:vAlign w:val="center"/>
          </w:tcPr>
          <w:p w:rsidR="000A7585" w:rsidRPr="00AE6EDB" w:rsidRDefault="000A7585" w:rsidP="00DE0EEC">
            <w:pPr>
              <w:ind w:right="90"/>
              <w:jc w:val="right"/>
              <w:rPr>
                <w:b/>
                <w:sz w:val="18"/>
                <w:szCs w:val="18"/>
              </w:rPr>
            </w:pPr>
            <w:r w:rsidRPr="00AE6EDB">
              <w:rPr>
                <w:b/>
                <w:sz w:val="18"/>
                <w:szCs w:val="18"/>
              </w:rPr>
              <w:t>321</w:t>
            </w:r>
          </w:p>
        </w:tc>
        <w:tc>
          <w:tcPr>
            <w:tcW w:w="634" w:type="pct"/>
            <w:noWrap/>
            <w:vAlign w:val="center"/>
          </w:tcPr>
          <w:p w:rsidR="000A7585" w:rsidRPr="00AE6EDB" w:rsidRDefault="000A7585" w:rsidP="00DE0EEC">
            <w:pPr>
              <w:ind w:right="90"/>
              <w:jc w:val="right"/>
              <w:rPr>
                <w:b/>
                <w:sz w:val="18"/>
                <w:szCs w:val="18"/>
              </w:rPr>
            </w:pPr>
            <w:r w:rsidRPr="00AE6EDB">
              <w:rPr>
                <w:b/>
                <w:sz w:val="18"/>
                <w:szCs w:val="18"/>
              </w:rPr>
              <w:t>7</w:t>
            </w:r>
          </w:p>
        </w:tc>
        <w:tc>
          <w:tcPr>
            <w:tcW w:w="498" w:type="pct"/>
            <w:noWrap/>
            <w:vAlign w:val="center"/>
          </w:tcPr>
          <w:p w:rsidR="000A7585" w:rsidRPr="00AE6EDB" w:rsidRDefault="000A7585" w:rsidP="00DE0EEC">
            <w:pPr>
              <w:ind w:right="90"/>
              <w:jc w:val="right"/>
              <w:rPr>
                <w:b/>
                <w:bCs/>
                <w:iCs/>
                <w:sz w:val="18"/>
                <w:szCs w:val="18"/>
              </w:rPr>
            </w:pPr>
            <w:r w:rsidRPr="00AE6EDB">
              <w:rPr>
                <w:b/>
                <w:bCs/>
                <w:iCs/>
                <w:sz w:val="18"/>
                <w:szCs w:val="18"/>
              </w:rPr>
              <w:t>-2</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A Poľnohospodárstvo, lesníctvo, rybolov</w:t>
            </w:r>
          </w:p>
        </w:tc>
        <w:tc>
          <w:tcPr>
            <w:tcW w:w="457" w:type="pct"/>
            <w:noWrap/>
            <w:vAlign w:val="center"/>
          </w:tcPr>
          <w:p w:rsidR="000A7585" w:rsidRPr="00AE6EDB" w:rsidRDefault="0054295F" w:rsidP="00DE0EEC">
            <w:pPr>
              <w:ind w:right="90"/>
              <w:jc w:val="right"/>
              <w:rPr>
                <w:sz w:val="18"/>
                <w:szCs w:val="18"/>
              </w:rPr>
            </w:pPr>
            <w:r>
              <w:rPr>
                <w:sz w:val="18"/>
                <w:szCs w:val="18"/>
              </w:rPr>
              <w:t>1 0</w:t>
            </w:r>
            <w:r w:rsidR="000A7585" w:rsidRPr="00AE6EDB">
              <w:rPr>
                <w:sz w:val="18"/>
                <w:szCs w:val="18"/>
              </w:rPr>
              <w:t>88</w:t>
            </w:r>
          </w:p>
        </w:tc>
        <w:tc>
          <w:tcPr>
            <w:tcW w:w="467" w:type="pct"/>
            <w:noWrap/>
            <w:vAlign w:val="center"/>
          </w:tcPr>
          <w:p w:rsidR="000A7585" w:rsidRPr="00AE6EDB" w:rsidRDefault="000A7585" w:rsidP="00DE0EEC">
            <w:pPr>
              <w:ind w:right="90"/>
              <w:jc w:val="right"/>
              <w:rPr>
                <w:sz w:val="18"/>
                <w:szCs w:val="18"/>
              </w:rPr>
            </w:pPr>
            <w:r w:rsidRPr="00AE6EDB">
              <w:rPr>
                <w:sz w:val="18"/>
                <w:szCs w:val="18"/>
              </w:rPr>
              <w:t>786</w:t>
            </w:r>
          </w:p>
        </w:tc>
        <w:tc>
          <w:tcPr>
            <w:tcW w:w="427" w:type="pct"/>
            <w:noWrap/>
            <w:vAlign w:val="center"/>
          </w:tcPr>
          <w:p w:rsidR="000A7585" w:rsidRPr="00AE6EDB" w:rsidRDefault="000A7585" w:rsidP="00DE0EEC">
            <w:pPr>
              <w:ind w:right="90"/>
              <w:jc w:val="right"/>
              <w:rPr>
                <w:sz w:val="18"/>
                <w:szCs w:val="18"/>
              </w:rPr>
            </w:pPr>
            <w:r w:rsidRPr="00AE6EDB">
              <w:rPr>
                <w:sz w:val="18"/>
                <w:szCs w:val="18"/>
              </w:rPr>
              <w:t>686</w:t>
            </w:r>
          </w:p>
        </w:tc>
        <w:tc>
          <w:tcPr>
            <w:tcW w:w="494" w:type="pct"/>
            <w:noWrap/>
            <w:vAlign w:val="center"/>
          </w:tcPr>
          <w:p w:rsidR="000A7585" w:rsidRPr="00AE6EDB" w:rsidRDefault="000A7585" w:rsidP="00DE0EEC">
            <w:pPr>
              <w:ind w:right="90"/>
              <w:jc w:val="right"/>
              <w:rPr>
                <w:sz w:val="18"/>
                <w:szCs w:val="18"/>
              </w:rPr>
            </w:pPr>
            <w:r w:rsidRPr="00AE6EDB">
              <w:rPr>
                <w:sz w:val="18"/>
                <w:szCs w:val="18"/>
              </w:rPr>
              <w:t>93</w:t>
            </w:r>
          </w:p>
        </w:tc>
        <w:tc>
          <w:tcPr>
            <w:tcW w:w="493" w:type="pct"/>
            <w:noWrap/>
            <w:vAlign w:val="center"/>
          </w:tcPr>
          <w:p w:rsidR="000A7585" w:rsidRPr="00AE6EDB" w:rsidRDefault="000A7585" w:rsidP="00DE0EEC">
            <w:pPr>
              <w:ind w:right="90"/>
              <w:jc w:val="right"/>
              <w:rPr>
                <w:sz w:val="18"/>
                <w:szCs w:val="18"/>
              </w:rPr>
            </w:pPr>
            <w:r w:rsidRPr="00AE6EDB">
              <w:rPr>
                <w:sz w:val="18"/>
                <w:szCs w:val="18"/>
              </w:rPr>
              <w:t>302</w:t>
            </w:r>
          </w:p>
        </w:tc>
        <w:tc>
          <w:tcPr>
            <w:tcW w:w="634" w:type="pct"/>
            <w:noWrap/>
            <w:vAlign w:val="center"/>
          </w:tcPr>
          <w:p w:rsidR="000A7585" w:rsidRPr="00AE6EDB" w:rsidRDefault="000A7585" w:rsidP="00DE0EEC">
            <w:pPr>
              <w:ind w:right="90"/>
              <w:jc w:val="right"/>
              <w:rPr>
                <w:sz w:val="18"/>
                <w:szCs w:val="18"/>
              </w:rPr>
            </w:pPr>
            <w:r w:rsidRPr="00AE6EDB">
              <w:rPr>
                <w:sz w:val="18"/>
                <w:szCs w:val="18"/>
              </w:rPr>
              <w:t>372</w:t>
            </w:r>
          </w:p>
        </w:tc>
        <w:tc>
          <w:tcPr>
            <w:tcW w:w="634" w:type="pct"/>
            <w:noWrap/>
            <w:vAlign w:val="center"/>
          </w:tcPr>
          <w:p w:rsidR="000A7585" w:rsidRPr="00AE6EDB" w:rsidRDefault="000A7585" w:rsidP="00DE0EEC">
            <w:pPr>
              <w:ind w:right="90"/>
              <w:jc w:val="right"/>
              <w:rPr>
                <w:sz w:val="18"/>
                <w:szCs w:val="18"/>
              </w:rPr>
            </w:pPr>
            <w:r w:rsidRPr="00AE6EDB">
              <w:rPr>
                <w:sz w:val="18"/>
                <w:szCs w:val="18"/>
              </w:rPr>
              <w:t>5</w:t>
            </w:r>
          </w:p>
        </w:tc>
        <w:tc>
          <w:tcPr>
            <w:tcW w:w="498" w:type="pct"/>
            <w:noWrap/>
            <w:vAlign w:val="center"/>
          </w:tcPr>
          <w:p w:rsidR="000A7585" w:rsidRPr="00AE6EDB" w:rsidRDefault="000A7585" w:rsidP="00DE0EEC">
            <w:pPr>
              <w:ind w:right="90"/>
              <w:jc w:val="right"/>
              <w:rPr>
                <w:sz w:val="18"/>
                <w:szCs w:val="18"/>
              </w:rPr>
            </w:pPr>
            <w:r w:rsidRPr="00AE6EDB">
              <w:rPr>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B Ťažba a dobývanie</w:t>
            </w:r>
          </w:p>
        </w:tc>
        <w:tc>
          <w:tcPr>
            <w:tcW w:w="457" w:type="pct"/>
            <w:noWrap/>
            <w:vAlign w:val="center"/>
          </w:tcPr>
          <w:p w:rsidR="000A7585" w:rsidRPr="00AE6EDB" w:rsidRDefault="0054295F" w:rsidP="00DE0EEC">
            <w:pPr>
              <w:ind w:right="90"/>
              <w:jc w:val="right"/>
              <w:rPr>
                <w:sz w:val="18"/>
                <w:szCs w:val="18"/>
              </w:rPr>
            </w:pPr>
            <w:r>
              <w:rPr>
                <w:sz w:val="18"/>
                <w:szCs w:val="18"/>
              </w:rPr>
              <w:t>1 4</w:t>
            </w:r>
            <w:r w:rsidR="000A7585" w:rsidRPr="00AE6EDB">
              <w:rPr>
                <w:sz w:val="18"/>
                <w:szCs w:val="18"/>
              </w:rPr>
              <w:t>76</w:t>
            </w:r>
          </w:p>
        </w:tc>
        <w:tc>
          <w:tcPr>
            <w:tcW w:w="467" w:type="pct"/>
            <w:noWrap/>
            <w:vAlign w:val="center"/>
          </w:tcPr>
          <w:p w:rsidR="000A7585" w:rsidRPr="00AE6EDB" w:rsidRDefault="0054295F" w:rsidP="00DE0EEC">
            <w:pPr>
              <w:ind w:right="90"/>
              <w:jc w:val="right"/>
              <w:rPr>
                <w:sz w:val="18"/>
                <w:szCs w:val="18"/>
              </w:rPr>
            </w:pPr>
            <w:r>
              <w:rPr>
                <w:sz w:val="18"/>
                <w:szCs w:val="18"/>
              </w:rPr>
              <w:t>1 0</w:t>
            </w:r>
            <w:r w:rsidR="000A7585" w:rsidRPr="00AE6EDB">
              <w:rPr>
                <w:sz w:val="18"/>
                <w:szCs w:val="18"/>
              </w:rPr>
              <w:t>54</w:t>
            </w:r>
          </w:p>
        </w:tc>
        <w:tc>
          <w:tcPr>
            <w:tcW w:w="427" w:type="pct"/>
            <w:noWrap/>
            <w:vAlign w:val="center"/>
          </w:tcPr>
          <w:p w:rsidR="000A7585" w:rsidRPr="00AE6EDB" w:rsidRDefault="000A7585" w:rsidP="00DE0EEC">
            <w:pPr>
              <w:ind w:right="90"/>
              <w:jc w:val="right"/>
              <w:rPr>
                <w:sz w:val="18"/>
                <w:szCs w:val="18"/>
              </w:rPr>
            </w:pPr>
            <w:r w:rsidRPr="00AE6EDB">
              <w:rPr>
                <w:sz w:val="18"/>
                <w:szCs w:val="18"/>
              </w:rPr>
              <w:t>908</w:t>
            </w:r>
          </w:p>
        </w:tc>
        <w:tc>
          <w:tcPr>
            <w:tcW w:w="494" w:type="pct"/>
            <w:noWrap/>
            <w:vAlign w:val="center"/>
          </w:tcPr>
          <w:p w:rsidR="000A7585" w:rsidRPr="00AE6EDB" w:rsidRDefault="000A7585" w:rsidP="00DE0EEC">
            <w:pPr>
              <w:ind w:right="90"/>
              <w:jc w:val="right"/>
              <w:rPr>
                <w:sz w:val="18"/>
                <w:szCs w:val="18"/>
              </w:rPr>
            </w:pPr>
            <w:r w:rsidRPr="00AE6EDB">
              <w:rPr>
                <w:sz w:val="18"/>
                <w:szCs w:val="18"/>
              </w:rPr>
              <w:t>138</w:t>
            </w:r>
          </w:p>
        </w:tc>
        <w:tc>
          <w:tcPr>
            <w:tcW w:w="493" w:type="pct"/>
            <w:noWrap/>
            <w:vAlign w:val="center"/>
          </w:tcPr>
          <w:p w:rsidR="000A7585" w:rsidRPr="00AE6EDB" w:rsidRDefault="000A7585" w:rsidP="00DE0EEC">
            <w:pPr>
              <w:ind w:right="90"/>
              <w:jc w:val="right"/>
              <w:rPr>
                <w:sz w:val="18"/>
                <w:szCs w:val="18"/>
              </w:rPr>
            </w:pPr>
            <w:r w:rsidRPr="00AE6EDB">
              <w:rPr>
                <w:sz w:val="18"/>
                <w:szCs w:val="18"/>
              </w:rPr>
              <w:t>422</w:t>
            </w:r>
          </w:p>
        </w:tc>
        <w:tc>
          <w:tcPr>
            <w:tcW w:w="634" w:type="pct"/>
            <w:noWrap/>
            <w:vAlign w:val="center"/>
          </w:tcPr>
          <w:p w:rsidR="000A7585" w:rsidRPr="00AE6EDB" w:rsidRDefault="000A7585" w:rsidP="00DE0EEC">
            <w:pPr>
              <w:ind w:right="90"/>
              <w:jc w:val="right"/>
              <w:rPr>
                <w:sz w:val="18"/>
                <w:szCs w:val="18"/>
              </w:rPr>
            </w:pPr>
            <w:r w:rsidRPr="00AE6EDB">
              <w:rPr>
                <w:sz w:val="18"/>
                <w:szCs w:val="18"/>
              </w:rPr>
              <w:t>362</w:t>
            </w:r>
          </w:p>
        </w:tc>
        <w:tc>
          <w:tcPr>
            <w:tcW w:w="634" w:type="pct"/>
            <w:noWrap/>
            <w:vAlign w:val="center"/>
          </w:tcPr>
          <w:p w:rsidR="000A7585" w:rsidRPr="00AE6EDB" w:rsidRDefault="000A7585" w:rsidP="00DE0EEC">
            <w:pPr>
              <w:ind w:right="90"/>
              <w:jc w:val="right"/>
              <w:rPr>
                <w:sz w:val="18"/>
                <w:szCs w:val="18"/>
              </w:rPr>
            </w:pPr>
            <w:r w:rsidRPr="00AE6EDB">
              <w:rPr>
                <w:sz w:val="18"/>
                <w:szCs w:val="18"/>
              </w:rPr>
              <w:t>18</w:t>
            </w:r>
          </w:p>
        </w:tc>
        <w:tc>
          <w:tcPr>
            <w:tcW w:w="498" w:type="pct"/>
            <w:noWrap/>
            <w:vAlign w:val="center"/>
          </w:tcPr>
          <w:p w:rsidR="000A7585" w:rsidRPr="00AE6EDB" w:rsidRDefault="000A7585" w:rsidP="00DE0EEC">
            <w:pPr>
              <w:ind w:right="90"/>
              <w:jc w:val="right"/>
              <w:rPr>
                <w:sz w:val="18"/>
                <w:szCs w:val="18"/>
              </w:rPr>
            </w:pPr>
            <w:r w:rsidRPr="00AE6EDB">
              <w:rPr>
                <w:sz w:val="18"/>
                <w:szCs w:val="18"/>
              </w:rPr>
              <w:t>-</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C Priemyselná výroba</w:t>
            </w:r>
          </w:p>
        </w:tc>
        <w:tc>
          <w:tcPr>
            <w:tcW w:w="457" w:type="pct"/>
            <w:noWrap/>
            <w:vAlign w:val="center"/>
          </w:tcPr>
          <w:p w:rsidR="000A7585" w:rsidRPr="00AE6EDB" w:rsidRDefault="0054295F" w:rsidP="00DE0EEC">
            <w:pPr>
              <w:ind w:right="90"/>
              <w:jc w:val="right"/>
              <w:rPr>
                <w:sz w:val="18"/>
                <w:szCs w:val="18"/>
              </w:rPr>
            </w:pPr>
            <w:r>
              <w:rPr>
                <w:sz w:val="18"/>
                <w:szCs w:val="18"/>
              </w:rPr>
              <w:t>1 3</w:t>
            </w:r>
            <w:r w:rsidR="000A7585" w:rsidRPr="00AE6EDB">
              <w:rPr>
                <w:sz w:val="18"/>
                <w:szCs w:val="18"/>
              </w:rPr>
              <w:t>34</w:t>
            </w:r>
          </w:p>
        </w:tc>
        <w:tc>
          <w:tcPr>
            <w:tcW w:w="467" w:type="pct"/>
            <w:noWrap/>
            <w:vAlign w:val="center"/>
          </w:tcPr>
          <w:p w:rsidR="000A7585" w:rsidRPr="00AE6EDB" w:rsidRDefault="000A7585" w:rsidP="00DE0EEC">
            <w:pPr>
              <w:ind w:right="90"/>
              <w:jc w:val="right"/>
              <w:rPr>
                <w:sz w:val="18"/>
                <w:szCs w:val="18"/>
              </w:rPr>
            </w:pPr>
            <w:r w:rsidRPr="00AE6EDB">
              <w:rPr>
                <w:sz w:val="18"/>
                <w:szCs w:val="18"/>
              </w:rPr>
              <w:t>962</w:t>
            </w:r>
          </w:p>
        </w:tc>
        <w:tc>
          <w:tcPr>
            <w:tcW w:w="427" w:type="pct"/>
            <w:noWrap/>
            <w:vAlign w:val="center"/>
          </w:tcPr>
          <w:p w:rsidR="000A7585" w:rsidRPr="00AE6EDB" w:rsidRDefault="000A7585" w:rsidP="00DE0EEC">
            <w:pPr>
              <w:ind w:right="90"/>
              <w:jc w:val="right"/>
              <w:rPr>
                <w:sz w:val="18"/>
                <w:szCs w:val="18"/>
              </w:rPr>
            </w:pPr>
            <w:r w:rsidRPr="00AE6EDB">
              <w:rPr>
                <w:sz w:val="18"/>
                <w:szCs w:val="18"/>
              </w:rPr>
              <w:t>836</w:t>
            </w:r>
          </w:p>
        </w:tc>
        <w:tc>
          <w:tcPr>
            <w:tcW w:w="494" w:type="pct"/>
            <w:noWrap/>
            <w:vAlign w:val="center"/>
          </w:tcPr>
          <w:p w:rsidR="000A7585" w:rsidRPr="00AE6EDB" w:rsidRDefault="000A7585" w:rsidP="00DE0EEC">
            <w:pPr>
              <w:ind w:right="90"/>
              <w:jc w:val="right"/>
              <w:rPr>
                <w:sz w:val="18"/>
                <w:szCs w:val="18"/>
              </w:rPr>
            </w:pPr>
            <w:r w:rsidRPr="00AE6EDB">
              <w:rPr>
                <w:sz w:val="18"/>
                <w:szCs w:val="18"/>
              </w:rPr>
              <w:t>120</w:t>
            </w:r>
          </w:p>
        </w:tc>
        <w:tc>
          <w:tcPr>
            <w:tcW w:w="493" w:type="pct"/>
            <w:noWrap/>
            <w:vAlign w:val="center"/>
          </w:tcPr>
          <w:p w:rsidR="000A7585" w:rsidRPr="00AE6EDB" w:rsidRDefault="000A7585" w:rsidP="00DE0EEC">
            <w:pPr>
              <w:ind w:right="90"/>
              <w:jc w:val="right"/>
              <w:rPr>
                <w:sz w:val="18"/>
                <w:szCs w:val="18"/>
              </w:rPr>
            </w:pPr>
            <w:r w:rsidRPr="00AE6EDB">
              <w:rPr>
                <w:sz w:val="18"/>
                <w:szCs w:val="18"/>
              </w:rPr>
              <w:t>373</w:t>
            </w:r>
          </w:p>
        </w:tc>
        <w:tc>
          <w:tcPr>
            <w:tcW w:w="634" w:type="pct"/>
            <w:noWrap/>
            <w:vAlign w:val="center"/>
          </w:tcPr>
          <w:p w:rsidR="000A7585" w:rsidRPr="00AE6EDB" w:rsidRDefault="000A7585" w:rsidP="00DE0EEC">
            <w:pPr>
              <w:ind w:right="90"/>
              <w:jc w:val="right"/>
              <w:rPr>
                <w:sz w:val="18"/>
                <w:szCs w:val="18"/>
              </w:rPr>
            </w:pPr>
            <w:r w:rsidRPr="00AE6EDB">
              <w:rPr>
                <w:sz w:val="18"/>
                <w:szCs w:val="18"/>
              </w:rPr>
              <w:t>329</w:t>
            </w:r>
          </w:p>
        </w:tc>
        <w:tc>
          <w:tcPr>
            <w:tcW w:w="634" w:type="pct"/>
            <w:noWrap/>
            <w:vAlign w:val="center"/>
          </w:tcPr>
          <w:p w:rsidR="000A7585" w:rsidRPr="00AE6EDB" w:rsidRDefault="000A7585" w:rsidP="00DE0EEC">
            <w:pPr>
              <w:ind w:right="90"/>
              <w:jc w:val="right"/>
              <w:rPr>
                <w:sz w:val="18"/>
                <w:szCs w:val="18"/>
              </w:rPr>
            </w:pPr>
            <w:r w:rsidRPr="00AE6EDB">
              <w:rPr>
                <w:sz w:val="18"/>
                <w:szCs w:val="18"/>
              </w:rPr>
              <w:t>8</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 xml:space="preserve">D Dodávka </w:t>
            </w:r>
            <w:proofErr w:type="spellStart"/>
            <w:r w:rsidRPr="00AE6EDB">
              <w:rPr>
                <w:sz w:val="18"/>
                <w:szCs w:val="18"/>
              </w:rPr>
              <w:t>elekt</w:t>
            </w:r>
            <w:proofErr w:type="spellEnd"/>
            <w:r w:rsidRPr="00AE6EDB">
              <w:rPr>
                <w:sz w:val="18"/>
                <w:szCs w:val="18"/>
              </w:rPr>
              <w:t>., plynu, pary a stud. vzduchu</w:t>
            </w:r>
          </w:p>
        </w:tc>
        <w:tc>
          <w:tcPr>
            <w:tcW w:w="457" w:type="pct"/>
            <w:noWrap/>
            <w:vAlign w:val="center"/>
          </w:tcPr>
          <w:p w:rsidR="000A7585" w:rsidRPr="00AE6EDB" w:rsidRDefault="0054295F" w:rsidP="00DE0EEC">
            <w:pPr>
              <w:ind w:right="90"/>
              <w:jc w:val="right"/>
              <w:rPr>
                <w:sz w:val="18"/>
                <w:szCs w:val="18"/>
              </w:rPr>
            </w:pPr>
            <w:r>
              <w:rPr>
                <w:sz w:val="18"/>
                <w:szCs w:val="18"/>
              </w:rPr>
              <w:t>2 2</w:t>
            </w:r>
            <w:r w:rsidR="000A7585" w:rsidRPr="00AE6EDB">
              <w:rPr>
                <w:sz w:val="18"/>
                <w:szCs w:val="18"/>
              </w:rPr>
              <w:t>60</w:t>
            </w:r>
          </w:p>
        </w:tc>
        <w:tc>
          <w:tcPr>
            <w:tcW w:w="467" w:type="pct"/>
            <w:noWrap/>
            <w:vAlign w:val="center"/>
          </w:tcPr>
          <w:p w:rsidR="000A7585" w:rsidRPr="00AE6EDB" w:rsidRDefault="0054295F" w:rsidP="00DE0EEC">
            <w:pPr>
              <w:ind w:right="90"/>
              <w:jc w:val="right"/>
              <w:rPr>
                <w:sz w:val="18"/>
                <w:szCs w:val="18"/>
              </w:rPr>
            </w:pPr>
            <w:r>
              <w:rPr>
                <w:sz w:val="18"/>
                <w:szCs w:val="18"/>
              </w:rPr>
              <w:t>1 5</w:t>
            </w:r>
            <w:r w:rsidR="000A7585" w:rsidRPr="00AE6EDB">
              <w:rPr>
                <w:sz w:val="18"/>
                <w:szCs w:val="18"/>
              </w:rPr>
              <w:t>55</w:t>
            </w:r>
          </w:p>
        </w:tc>
        <w:tc>
          <w:tcPr>
            <w:tcW w:w="42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84</w:t>
            </w:r>
          </w:p>
        </w:tc>
        <w:tc>
          <w:tcPr>
            <w:tcW w:w="494" w:type="pct"/>
            <w:noWrap/>
            <w:vAlign w:val="center"/>
          </w:tcPr>
          <w:p w:rsidR="000A7585" w:rsidRPr="00AE6EDB" w:rsidRDefault="000A7585" w:rsidP="00DE0EEC">
            <w:pPr>
              <w:ind w:right="90"/>
              <w:jc w:val="right"/>
              <w:rPr>
                <w:sz w:val="18"/>
                <w:szCs w:val="18"/>
              </w:rPr>
            </w:pPr>
            <w:r w:rsidRPr="00AE6EDB">
              <w:rPr>
                <w:sz w:val="18"/>
                <w:szCs w:val="18"/>
              </w:rPr>
              <w:t>206</w:t>
            </w:r>
          </w:p>
        </w:tc>
        <w:tc>
          <w:tcPr>
            <w:tcW w:w="493" w:type="pct"/>
            <w:noWrap/>
            <w:vAlign w:val="center"/>
          </w:tcPr>
          <w:p w:rsidR="000A7585" w:rsidRPr="00AE6EDB" w:rsidRDefault="000A7585" w:rsidP="00DE0EEC">
            <w:pPr>
              <w:ind w:right="90"/>
              <w:jc w:val="right"/>
              <w:rPr>
                <w:sz w:val="18"/>
                <w:szCs w:val="18"/>
              </w:rPr>
            </w:pPr>
            <w:r w:rsidRPr="00AE6EDB">
              <w:rPr>
                <w:sz w:val="18"/>
                <w:szCs w:val="18"/>
              </w:rPr>
              <w:t>705</w:t>
            </w:r>
          </w:p>
        </w:tc>
        <w:tc>
          <w:tcPr>
            <w:tcW w:w="634" w:type="pct"/>
            <w:noWrap/>
            <w:vAlign w:val="center"/>
          </w:tcPr>
          <w:p w:rsidR="000A7585" w:rsidRPr="00AE6EDB" w:rsidRDefault="000A7585" w:rsidP="00DE0EEC">
            <w:pPr>
              <w:ind w:right="90"/>
              <w:jc w:val="right"/>
              <w:rPr>
                <w:sz w:val="18"/>
                <w:szCs w:val="18"/>
              </w:rPr>
            </w:pPr>
            <w:r w:rsidRPr="00AE6EDB">
              <w:rPr>
                <w:sz w:val="18"/>
                <w:szCs w:val="18"/>
              </w:rPr>
              <w:t>520</w:t>
            </w:r>
          </w:p>
        </w:tc>
        <w:tc>
          <w:tcPr>
            <w:tcW w:w="634" w:type="pct"/>
            <w:noWrap/>
            <w:vAlign w:val="center"/>
          </w:tcPr>
          <w:p w:rsidR="000A7585" w:rsidRPr="00AE6EDB" w:rsidRDefault="000A7585" w:rsidP="00DE0EEC">
            <w:pPr>
              <w:ind w:right="90"/>
              <w:jc w:val="right"/>
              <w:rPr>
                <w:sz w:val="18"/>
                <w:szCs w:val="18"/>
              </w:rPr>
            </w:pPr>
            <w:r w:rsidRPr="00AE6EDB">
              <w:rPr>
                <w:sz w:val="18"/>
                <w:szCs w:val="18"/>
              </w:rPr>
              <w:t>40</w:t>
            </w:r>
          </w:p>
        </w:tc>
        <w:tc>
          <w:tcPr>
            <w:tcW w:w="498" w:type="pct"/>
            <w:noWrap/>
            <w:vAlign w:val="center"/>
          </w:tcPr>
          <w:p w:rsidR="000A7585" w:rsidRPr="00AE6EDB" w:rsidRDefault="000A7585" w:rsidP="00DE0EEC">
            <w:pPr>
              <w:ind w:right="90"/>
              <w:jc w:val="right"/>
              <w:rPr>
                <w:sz w:val="18"/>
                <w:szCs w:val="18"/>
              </w:rPr>
            </w:pPr>
            <w:r w:rsidRPr="00AE6EDB">
              <w:rPr>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E Dodávka vody</w:t>
            </w:r>
          </w:p>
        </w:tc>
        <w:tc>
          <w:tcPr>
            <w:tcW w:w="45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03</w:t>
            </w:r>
          </w:p>
        </w:tc>
        <w:tc>
          <w:tcPr>
            <w:tcW w:w="467" w:type="pct"/>
            <w:noWrap/>
            <w:vAlign w:val="center"/>
          </w:tcPr>
          <w:p w:rsidR="000A7585" w:rsidRPr="00AE6EDB" w:rsidRDefault="000A7585" w:rsidP="00DE0EEC">
            <w:pPr>
              <w:ind w:right="90"/>
              <w:jc w:val="right"/>
              <w:rPr>
                <w:sz w:val="18"/>
                <w:szCs w:val="18"/>
              </w:rPr>
            </w:pPr>
            <w:r w:rsidRPr="00AE6EDB">
              <w:rPr>
                <w:sz w:val="18"/>
                <w:szCs w:val="18"/>
              </w:rPr>
              <w:t>879</w:t>
            </w:r>
          </w:p>
        </w:tc>
        <w:tc>
          <w:tcPr>
            <w:tcW w:w="427" w:type="pct"/>
            <w:noWrap/>
            <w:vAlign w:val="center"/>
          </w:tcPr>
          <w:p w:rsidR="000A7585" w:rsidRPr="00AE6EDB" w:rsidRDefault="000A7585" w:rsidP="00DE0EEC">
            <w:pPr>
              <w:ind w:right="90"/>
              <w:jc w:val="right"/>
              <w:rPr>
                <w:sz w:val="18"/>
                <w:szCs w:val="18"/>
              </w:rPr>
            </w:pPr>
            <w:r w:rsidRPr="00AE6EDB">
              <w:rPr>
                <w:sz w:val="18"/>
                <w:szCs w:val="18"/>
              </w:rPr>
              <w:t>742</w:t>
            </w:r>
          </w:p>
        </w:tc>
        <w:tc>
          <w:tcPr>
            <w:tcW w:w="494" w:type="pct"/>
            <w:noWrap/>
            <w:vAlign w:val="center"/>
          </w:tcPr>
          <w:p w:rsidR="000A7585" w:rsidRPr="00AE6EDB" w:rsidRDefault="000A7585" w:rsidP="00DE0EEC">
            <w:pPr>
              <w:ind w:right="90"/>
              <w:jc w:val="right"/>
              <w:rPr>
                <w:sz w:val="18"/>
                <w:szCs w:val="18"/>
              </w:rPr>
            </w:pPr>
            <w:r w:rsidRPr="00AE6EDB">
              <w:rPr>
                <w:sz w:val="18"/>
                <w:szCs w:val="18"/>
              </w:rPr>
              <w:t>125</w:t>
            </w:r>
          </w:p>
        </w:tc>
        <w:tc>
          <w:tcPr>
            <w:tcW w:w="493" w:type="pct"/>
            <w:noWrap/>
            <w:vAlign w:val="center"/>
          </w:tcPr>
          <w:p w:rsidR="000A7585" w:rsidRPr="00AE6EDB" w:rsidRDefault="000A7585" w:rsidP="00DE0EEC">
            <w:pPr>
              <w:ind w:right="90"/>
              <w:jc w:val="right"/>
              <w:rPr>
                <w:sz w:val="18"/>
                <w:szCs w:val="18"/>
              </w:rPr>
            </w:pPr>
            <w:r w:rsidRPr="00AE6EDB">
              <w:rPr>
                <w:sz w:val="18"/>
                <w:szCs w:val="18"/>
              </w:rPr>
              <w:t>353</w:t>
            </w:r>
          </w:p>
        </w:tc>
        <w:tc>
          <w:tcPr>
            <w:tcW w:w="634" w:type="pct"/>
            <w:noWrap/>
            <w:vAlign w:val="center"/>
          </w:tcPr>
          <w:p w:rsidR="000A7585" w:rsidRPr="00AE6EDB" w:rsidRDefault="000A7585" w:rsidP="00DE0EEC">
            <w:pPr>
              <w:ind w:right="90"/>
              <w:jc w:val="right"/>
              <w:rPr>
                <w:sz w:val="18"/>
                <w:szCs w:val="18"/>
              </w:rPr>
            </w:pPr>
            <w:r w:rsidRPr="00AE6EDB">
              <w:rPr>
                <w:sz w:val="18"/>
                <w:szCs w:val="18"/>
              </w:rPr>
              <w:t>305</w:t>
            </w:r>
          </w:p>
        </w:tc>
        <w:tc>
          <w:tcPr>
            <w:tcW w:w="634" w:type="pct"/>
            <w:noWrap/>
            <w:vAlign w:val="center"/>
          </w:tcPr>
          <w:p w:rsidR="000A7585" w:rsidRPr="00AE6EDB" w:rsidRDefault="000A7585" w:rsidP="00DE0EEC">
            <w:pPr>
              <w:ind w:right="90"/>
              <w:jc w:val="right"/>
              <w:rPr>
                <w:sz w:val="18"/>
                <w:szCs w:val="18"/>
              </w:rPr>
            </w:pPr>
            <w:r w:rsidRPr="00AE6EDB">
              <w:rPr>
                <w:sz w:val="18"/>
                <w:szCs w:val="18"/>
              </w:rPr>
              <w:t>18</w:t>
            </w:r>
          </w:p>
        </w:tc>
        <w:tc>
          <w:tcPr>
            <w:tcW w:w="498" w:type="pct"/>
            <w:noWrap/>
            <w:vAlign w:val="center"/>
          </w:tcPr>
          <w:p w:rsidR="000A7585" w:rsidRPr="00AE6EDB" w:rsidRDefault="000A7585" w:rsidP="00DE0EEC">
            <w:pPr>
              <w:ind w:right="90"/>
              <w:jc w:val="right"/>
              <w:rPr>
                <w:sz w:val="18"/>
                <w:szCs w:val="18"/>
              </w:rPr>
            </w:pPr>
            <w:r w:rsidRPr="00AE6EDB">
              <w:rPr>
                <w:sz w:val="18"/>
                <w:szCs w:val="18"/>
              </w:rPr>
              <w:t>-29</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F Stavebníctvo</w:t>
            </w:r>
          </w:p>
        </w:tc>
        <w:tc>
          <w:tcPr>
            <w:tcW w:w="457" w:type="pct"/>
            <w:noWrap/>
            <w:vAlign w:val="center"/>
          </w:tcPr>
          <w:p w:rsidR="000A7585" w:rsidRPr="00AE6EDB" w:rsidRDefault="0054295F" w:rsidP="00DE0EEC">
            <w:pPr>
              <w:ind w:right="90"/>
              <w:jc w:val="right"/>
              <w:rPr>
                <w:sz w:val="18"/>
                <w:szCs w:val="18"/>
              </w:rPr>
            </w:pPr>
            <w:r>
              <w:rPr>
                <w:sz w:val="18"/>
                <w:szCs w:val="18"/>
              </w:rPr>
              <w:t>1 1</w:t>
            </w:r>
            <w:r w:rsidR="000A7585" w:rsidRPr="00AE6EDB">
              <w:rPr>
                <w:sz w:val="18"/>
                <w:szCs w:val="18"/>
              </w:rPr>
              <w:t>00</w:t>
            </w:r>
          </w:p>
        </w:tc>
        <w:tc>
          <w:tcPr>
            <w:tcW w:w="467" w:type="pct"/>
            <w:noWrap/>
            <w:vAlign w:val="center"/>
          </w:tcPr>
          <w:p w:rsidR="000A7585" w:rsidRPr="00AE6EDB" w:rsidRDefault="000A7585" w:rsidP="00DE0EEC">
            <w:pPr>
              <w:ind w:right="90"/>
              <w:jc w:val="right"/>
              <w:rPr>
                <w:sz w:val="18"/>
                <w:szCs w:val="18"/>
              </w:rPr>
            </w:pPr>
            <w:r w:rsidRPr="00AE6EDB">
              <w:rPr>
                <w:sz w:val="18"/>
                <w:szCs w:val="18"/>
              </w:rPr>
              <w:t>805</w:t>
            </w:r>
          </w:p>
        </w:tc>
        <w:tc>
          <w:tcPr>
            <w:tcW w:w="427" w:type="pct"/>
            <w:noWrap/>
            <w:vAlign w:val="center"/>
          </w:tcPr>
          <w:p w:rsidR="000A7585" w:rsidRPr="00AE6EDB" w:rsidRDefault="000A7585" w:rsidP="00DE0EEC">
            <w:pPr>
              <w:ind w:right="90"/>
              <w:jc w:val="right"/>
              <w:rPr>
                <w:sz w:val="18"/>
                <w:szCs w:val="18"/>
              </w:rPr>
            </w:pPr>
            <w:r w:rsidRPr="00AE6EDB">
              <w:rPr>
                <w:sz w:val="18"/>
                <w:szCs w:val="18"/>
              </w:rPr>
              <w:t>696</w:t>
            </w:r>
          </w:p>
        </w:tc>
        <w:tc>
          <w:tcPr>
            <w:tcW w:w="494" w:type="pct"/>
            <w:noWrap/>
            <w:vAlign w:val="center"/>
          </w:tcPr>
          <w:p w:rsidR="000A7585" w:rsidRPr="00AE6EDB" w:rsidRDefault="000A7585" w:rsidP="00DE0EEC">
            <w:pPr>
              <w:ind w:right="90"/>
              <w:jc w:val="right"/>
              <w:rPr>
                <w:sz w:val="18"/>
                <w:szCs w:val="18"/>
              </w:rPr>
            </w:pPr>
            <w:r w:rsidRPr="00AE6EDB">
              <w:rPr>
                <w:sz w:val="18"/>
                <w:szCs w:val="18"/>
              </w:rPr>
              <w:t>100</w:t>
            </w:r>
          </w:p>
        </w:tc>
        <w:tc>
          <w:tcPr>
            <w:tcW w:w="493" w:type="pct"/>
            <w:noWrap/>
            <w:vAlign w:val="center"/>
          </w:tcPr>
          <w:p w:rsidR="000A7585" w:rsidRPr="00AE6EDB" w:rsidRDefault="000A7585" w:rsidP="00DE0EEC">
            <w:pPr>
              <w:ind w:right="90"/>
              <w:jc w:val="right"/>
              <w:rPr>
                <w:sz w:val="18"/>
                <w:szCs w:val="18"/>
              </w:rPr>
            </w:pPr>
            <w:r w:rsidRPr="00AE6EDB">
              <w:rPr>
                <w:sz w:val="18"/>
                <w:szCs w:val="18"/>
              </w:rPr>
              <w:t>295</w:t>
            </w:r>
          </w:p>
        </w:tc>
        <w:tc>
          <w:tcPr>
            <w:tcW w:w="634" w:type="pct"/>
            <w:noWrap/>
            <w:vAlign w:val="center"/>
          </w:tcPr>
          <w:p w:rsidR="000A7585" w:rsidRPr="00AE6EDB" w:rsidRDefault="000A7585" w:rsidP="00DE0EEC">
            <w:pPr>
              <w:ind w:right="90"/>
              <w:jc w:val="right"/>
              <w:rPr>
                <w:sz w:val="18"/>
                <w:szCs w:val="18"/>
              </w:rPr>
            </w:pPr>
            <w:r w:rsidRPr="00AE6EDB">
              <w:rPr>
                <w:sz w:val="18"/>
                <w:szCs w:val="18"/>
              </w:rPr>
              <w:t>270</w:t>
            </w:r>
          </w:p>
        </w:tc>
        <w:tc>
          <w:tcPr>
            <w:tcW w:w="634" w:type="pct"/>
            <w:noWrap/>
            <w:vAlign w:val="center"/>
          </w:tcPr>
          <w:p w:rsidR="000A7585" w:rsidRPr="00AE6EDB" w:rsidRDefault="000A7585" w:rsidP="00DE0EEC">
            <w:pPr>
              <w:ind w:right="90"/>
              <w:jc w:val="right"/>
              <w:rPr>
                <w:sz w:val="18"/>
                <w:szCs w:val="18"/>
              </w:rPr>
            </w:pPr>
            <w:r w:rsidRPr="00AE6EDB">
              <w:rPr>
                <w:sz w:val="18"/>
                <w:szCs w:val="18"/>
              </w:rPr>
              <w:t>3</w:t>
            </w:r>
          </w:p>
        </w:tc>
        <w:tc>
          <w:tcPr>
            <w:tcW w:w="498" w:type="pct"/>
            <w:noWrap/>
            <w:vAlign w:val="center"/>
          </w:tcPr>
          <w:p w:rsidR="000A7585" w:rsidRPr="00AE6EDB" w:rsidRDefault="000A7585" w:rsidP="00DE0EEC">
            <w:pPr>
              <w:ind w:right="90"/>
              <w:jc w:val="right"/>
              <w:rPr>
                <w:sz w:val="18"/>
                <w:szCs w:val="18"/>
              </w:rPr>
            </w:pPr>
            <w:r w:rsidRPr="00AE6EDB">
              <w:rPr>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G Veľkoobchod a maloobchod</w:t>
            </w:r>
          </w:p>
        </w:tc>
        <w:tc>
          <w:tcPr>
            <w:tcW w:w="45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31</w:t>
            </w:r>
          </w:p>
        </w:tc>
        <w:tc>
          <w:tcPr>
            <w:tcW w:w="467" w:type="pct"/>
            <w:noWrap/>
            <w:vAlign w:val="center"/>
          </w:tcPr>
          <w:p w:rsidR="000A7585" w:rsidRPr="00AE6EDB" w:rsidRDefault="000A7585" w:rsidP="00DE0EEC">
            <w:pPr>
              <w:ind w:right="90"/>
              <w:jc w:val="right"/>
              <w:rPr>
                <w:sz w:val="18"/>
                <w:szCs w:val="18"/>
              </w:rPr>
            </w:pPr>
            <w:r w:rsidRPr="00AE6EDB">
              <w:rPr>
                <w:sz w:val="18"/>
                <w:szCs w:val="18"/>
              </w:rPr>
              <w:t>905</w:t>
            </w:r>
          </w:p>
        </w:tc>
        <w:tc>
          <w:tcPr>
            <w:tcW w:w="427" w:type="pct"/>
            <w:noWrap/>
            <w:vAlign w:val="center"/>
          </w:tcPr>
          <w:p w:rsidR="000A7585" w:rsidRPr="00AE6EDB" w:rsidRDefault="000A7585" w:rsidP="00DE0EEC">
            <w:pPr>
              <w:ind w:right="90"/>
              <w:jc w:val="right"/>
              <w:rPr>
                <w:sz w:val="18"/>
                <w:szCs w:val="18"/>
              </w:rPr>
            </w:pPr>
            <w:r w:rsidRPr="00AE6EDB">
              <w:rPr>
                <w:sz w:val="18"/>
                <w:szCs w:val="18"/>
              </w:rPr>
              <w:t>803</w:t>
            </w:r>
          </w:p>
        </w:tc>
        <w:tc>
          <w:tcPr>
            <w:tcW w:w="494" w:type="pct"/>
            <w:noWrap/>
            <w:vAlign w:val="center"/>
          </w:tcPr>
          <w:p w:rsidR="000A7585" w:rsidRPr="00AE6EDB" w:rsidRDefault="000A7585" w:rsidP="00DE0EEC">
            <w:pPr>
              <w:ind w:right="90"/>
              <w:jc w:val="right"/>
              <w:rPr>
                <w:sz w:val="18"/>
                <w:szCs w:val="18"/>
              </w:rPr>
            </w:pPr>
            <w:r w:rsidRPr="00AE6EDB">
              <w:rPr>
                <w:sz w:val="18"/>
                <w:szCs w:val="18"/>
              </w:rPr>
              <w:t>94</w:t>
            </w:r>
          </w:p>
        </w:tc>
        <w:tc>
          <w:tcPr>
            <w:tcW w:w="493" w:type="pct"/>
            <w:noWrap/>
            <w:vAlign w:val="center"/>
          </w:tcPr>
          <w:p w:rsidR="000A7585" w:rsidRPr="00AE6EDB" w:rsidRDefault="000A7585" w:rsidP="00DE0EEC">
            <w:pPr>
              <w:ind w:right="90"/>
              <w:jc w:val="right"/>
              <w:rPr>
                <w:sz w:val="18"/>
                <w:szCs w:val="18"/>
              </w:rPr>
            </w:pPr>
            <w:r w:rsidRPr="00AE6EDB">
              <w:rPr>
                <w:sz w:val="18"/>
                <w:szCs w:val="18"/>
              </w:rPr>
              <w:t>327</w:t>
            </w:r>
          </w:p>
        </w:tc>
        <w:tc>
          <w:tcPr>
            <w:tcW w:w="634" w:type="pct"/>
            <w:noWrap/>
            <w:vAlign w:val="center"/>
          </w:tcPr>
          <w:p w:rsidR="000A7585" w:rsidRPr="00AE6EDB" w:rsidRDefault="000A7585" w:rsidP="00DE0EEC">
            <w:pPr>
              <w:ind w:right="90"/>
              <w:jc w:val="right"/>
              <w:rPr>
                <w:sz w:val="18"/>
                <w:szCs w:val="18"/>
              </w:rPr>
            </w:pPr>
            <w:r w:rsidRPr="00AE6EDB">
              <w:rPr>
                <w:sz w:val="18"/>
                <w:szCs w:val="18"/>
              </w:rPr>
              <w:t>297</w:t>
            </w:r>
          </w:p>
        </w:tc>
        <w:tc>
          <w:tcPr>
            <w:tcW w:w="634" w:type="pct"/>
            <w:noWrap/>
            <w:vAlign w:val="center"/>
          </w:tcPr>
          <w:p w:rsidR="000A7585" w:rsidRPr="00AE6EDB" w:rsidRDefault="000A7585" w:rsidP="00DE0EEC">
            <w:pPr>
              <w:ind w:right="90"/>
              <w:jc w:val="right"/>
              <w:rPr>
                <w:sz w:val="18"/>
                <w:szCs w:val="18"/>
              </w:rPr>
            </w:pPr>
            <w:r w:rsidRPr="00AE6EDB">
              <w:rPr>
                <w:sz w:val="18"/>
                <w:szCs w:val="18"/>
              </w:rPr>
              <w:t>3</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H Doprava a skladovanie</w:t>
            </w:r>
          </w:p>
        </w:tc>
        <w:tc>
          <w:tcPr>
            <w:tcW w:w="457" w:type="pct"/>
            <w:noWrap/>
            <w:vAlign w:val="center"/>
          </w:tcPr>
          <w:p w:rsidR="000A7585" w:rsidRPr="00AE6EDB" w:rsidRDefault="0054295F" w:rsidP="00DE0EEC">
            <w:pPr>
              <w:ind w:right="90"/>
              <w:jc w:val="right"/>
              <w:rPr>
                <w:sz w:val="18"/>
                <w:szCs w:val="18"/>
              </w:rPr>
            </w:pPr>
            <w:r>
              <w:rPr>
                <w:sz w:val="18"/>
                <w:szCs w:val="18"/>
              </w:rPr>
              <w:t>1 1</w:t>
            </w:r>
            <w:r w:rsidR="000A7585" w:rsidRPr="00AE6EDB">
              <w:rPr>
                <w:sz w:val="18"/>
                <w:szCs w:val="18"/>
              </w:rPr>
              <w:t>67</w:t>
            </w:r>
          </w:p>
        </w:tc>
        <w:tc>
          <w:tcPr>
            <w:tcW w:w="467" w:type="pct"/>
            <w:noWrap/>
            <w:vAlign w:val="center"/>
          </w:tcPr>
          <w:p w:rsidR="000A7585" w:rsidRPr="00AE6EDB" w:rsidRDefault="000A7585" w:rsidP="00DE0EEC">
            <w:pPr>
              <w:ind w:right="90"/>
              <w:jc w:val="right"/>
              <w:rPr>
                <w:sz w:val="18"/>
                <w:szCs w:val="18"/>
              </w:rPr>
            </w:pPr>
            <w:r w:rsidRPr="00AE6EDB">
              <w:rPr>
                <w:sz w:val="18"/>
                <w:szCs w:val="18"/>
              </w:rPr>
              <w:t>845</w:t>
            </w:r>
          </w:p>
        </w:tc>
        <w:tc>
          <w:tcPr>
            <w:tcW w:w="427" w:type="pct"/>
            <w:noWrap/>
            <w:vAlign w:val="center"/>
          </w:tcPr>
          <w:p w:rsidR="000A7585" w:rsidRPr="00AE6EDB" w:rsidRDefault="000A7585" w:rsidP="00DE0EEC">
            <w:pPr>
              <w:ind w:right="90"/>
              <w:jc w:val="right"/>
              <w:rPr>
                <w:sz w:val="18"/>
                <w:szCs w:val="18"/>
              </w:rPr>
            </w:pPr>
            <w:r w:rsidRPr="00AE6EDB">
              <w:rPr>
                <w:sz w:val="18"/>
                <w:szCs w:val="18"/>
              </w:rPr>
              <w:t>735</w:t>
            </w:r>
          </w:p>
        </w:tc>
        <w:tc>
          <w:tcPr>
            <w:tcW w:w="494" w:type="pct"/>
            <w:noWrap/>
            <w:vAlign w:val="center"/>
          </w:tcPr>
          <w:p w:rsidR="000A7585" w:rsidRPr="00AE6EDB" w:rsidRDefault="000A7585" w:rsidP="00DE0EEC">
            <w:pPr>
              <w:ind w:right="90"/>
              <w:jc w:val="right"/>
              <w:rPr>
                <w:sz w:val="18"/>
                <w:szCs w:val="18"/>
              </w:rPr>
            </w:pPr>
            <w:r w:rsidRPr="00AE6EDB">
              <w:rPr>
                <w:sz w:val="18"/>
                <w:szCs w:val="18"/>
              </w:rPr>
              <w:t>106</w:t>
            </w:r>
          </w:p>
        </w:tc>
        <w:tc>
          <w:tcPr>
            <w:tcW w:w="493" w:type="pct"/>
            <w:noWrap/>
            <w:vAlign w:val="center"/>
          </w:tcPr>
          <w:p w:rsidR="000A7585" w:rsidRPr="00AE6EDB" w:rsidRDefault="000A7585" w:rsidP="00DE0EEC">
            <w:pPr>
              <w:ind w:right="90"/>
              <w:jc w:val="right"/>
              <w:rPr>
                <w:sz w:val="18"/>
                <w:szCs w:val="18"/>
              </w:rPr>
            </w:pPr>
            <w:r w:rsidRPr="00AE6EDB">
              <w:rPr>
                <w:sz w:val="18"/>
                <w:szCs w:val="18"/>
              </w:rPr>
              <w:t>334</w:t>
            </w:r>
          </w:p>
        </w:tc>
        <w:tc>
          <w:tcPr>
            <w:tcW w:w="634" w:type="pct"/>
            <w:noWrap/>
            <w:vAlign w:val="center"/>
          </w:tcPr>
          <w:p w:rsidR="000A7585" w:rsidRPr="00AE6EDB" w:rsidRDefault="000A7585" w:rsidP="00DE0EEC">
            <w:pPr>
              <w:ind w:right="90"/>
              <w:jc w:val="right"/>
              <w:rPr>
                <w:sz w:val="18"/>
                <w:szCs w:val="18"/>
              </w:rPr>
            </w:pPr>
            <w:r w:rsidRPr="00AE6EDB">
              <w:rPr>
                <w:sz w:val="18"/>
                <w:szCs w:val="18"/>
              </w:rPr>
              <w:t>292</w:t>
            </w:r>
          </w:p>
        </w:tc>
        <w:tc>
          <w:tcPr>
            <w:tcW w:w="634" w:type="pct"/>
            <w:noWrap/>
            <w:vAlign w:val="center"/>
          </w:tcPr>
          <w:p w:rsidR="000A7585" w:rsidRPr="00AE6EDB" w:rsidRDefault="000A7585" w:rsidP="00DE0EEC">
            <w:pPr>
              <w:ind w:right="90"/>
              <w:jc w:val="right"/>
              <w:rPr>
                <w:sz w:val="18"/>
                <w:szCs w:val="18"/>
              </w:rPr>
            </w:pPr>
            <w:r w:rsidRPr="00AE6EDB">
              <w:rPr>
                <w:sz w:val="18"/>
                <w:szCs w:val="18"/>
              </w:rPr>
              <w:t>10</w:t>
            </w:r>
          </w:p>
        </w:tc>
        <w:tc>
          <w:tcPr>
            <w:tcW w:w="498" w:type="pct"/>
            <w:noWrap/>
            <w:vAlign w:val="center"/>
          </w:tcPr>
          <w:p w:rsidR="000A7585" w:rsidRPr="00AE6EDB" w:rsidRDefault="000A7585" w:rsidP="00DE0EEC">
            <w:pPr>
              <w:ind w:right="90"/>
              <w:jc w:val="right"/>
              <w:rPr>
                <w:sz w:val="18"/>
                <w:szCs w:val="18"/>
              </w:rPr>
            </w:pPr>
            <w:r w:rsidRPr="00AE6EDB">
              <w:rPr>
                <w:sz w:val="18"/>
                <w:szCs w:val="18"/>
              </w:rPr>
              <w:t>-12</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I Ubytovacie a stravovacie služby</w:t>
            </w:r>
          </w:p>
        </w:tc>
        <w:tc>
          <w:tcPr>
            <w:tcW w:w="457" w:type="pct"/>
            <w:noWrap/>
            <w:vAlign w:val="center"/>
          </w:tcPr>
          <w:p w:rsidR="000A7585" w:rsidRPr="00AE6EDB" w:rsidRDefault="000A7585" w:rsidP="00DE0EEC">
            <w:pPr>
              <w:ind w:right="90"/>
              <w:jc w:val="right"/>
              <w:rPr>
                <w:sz w:val="18"/>
                <w:szCs w:val="18"/>
              </w:rPr>
            </w:pPr>
            <w:r w:rsidRPr="00AE6EDB">
              <w:rPr>
                <w:sz w:val="18"/>
                <w:szCs w:val="18"/>
              </w:rPr>
              <w:t>758</w:t>
            </w:r>
          </w:p>
        </w:tc>
        <w:tc>
          <w:tcPr>
            <w:tcW w:w="467" w:type="pct"/>
            <w:noWrap/>
            <w:vAlign w:val="center"/>
          </w:tcPr>
          <w:p w:rsidR="000A7585" w:rsidRPr="00AE6EDB" w:rsidRDefault="000A7585" w:rsidP="00DE0EEC">
            <w:pPr>
              <w:ind w:right="90"/>
              <w:jc w:val="right"/>
              <w:rPr>
                <w:sz w:val="18"/>
                <w:szCs w:val="18"/>
              </w:rPr>
            </w:pPr>
            <w:r w:rsidRPr="00AE6EDB">
              <w:rPr>
                <w:sz w:val="18"/>
                <w:szCs w:val="18"/>
              </w:rPr>
              <w:t>555</w:t>
            </w:r>
          </w:p>
        </w:tc>
        <w:tc>
          <w:tcPr>
            <w:tcW w:w="427" w:type="pct"/>
            <w:noWrap/>
            <w:vAlign w:val="center"/>
          </w:tcPr>
          <w:p w:rsidR="000A7585" w:rsidRPr="00AE6EDB" w:rsidRDefault="000A7585" w:rsidP="00DE0EEC">
            <w:pPr>
              <w:ind w:right="90"/>
              <w:jc w:val="right"/>
              <w:rPr>
                <w:sz w:val="18"/>
                <w:szCs w:val="18"/>
              </w:rPr>
            </w:pPr>
            <w:r w:rsidRPr="00AE6EDB">
              <w:rPr>
                <w:sz w:val="18"/>
                <w:szCs w:val="18"/>
              </w:rPr>
              <w:t>495</w:t>
            </w:r>
          </w:p>
        </w:tc>
        <w:tc>
          <w:tcPr>
            <w:tcW w:w="494" w:type="pct"/>
            <w:noWrap/>
            <w:vAlign w:val="center"/>
          </w:tcPr>
          <w:p w:rsidR="000A7585" w:rsidRPr="00AE6EDB" w:rsidRDefault="000A7585" w:rsidP="00DE0EEC">
            <w:pPr>
              <w:ind w:right="90"/>
              <w:jc w:val="right"/>
              <w:rPr>
                <w:sz w:val="18"/>
                <w:szCs w:val="18"/>
              </w:rPr>
            </w:pPr>
            <w:r w:rsidRPr="00AE6EDB">
              <w:rPr>
                <w:sz w:val="18"/>
                <w:szCs w:val="18"/>
              </w:rPr>
              <w:t>59</w:t>
            </w:r>
          </w:p>
        </w:tc>
        <w:tc>
          <w:tcPr>
            <w:tcW w:w="493" w:type="pct"/>
            <w:noWrap/>
            <w:vAlign w:val="center"/>
          </w:tcPr>
          <w:p w:rsidR="000A7585" w:rsidRPr="00AE6EDB" w:rsidRDefault="000A7585" w:rsidP="00DE0EEC">
            <w:pPr>
              <w:ind w:right="90"/>
              <w:jc w:val="right"/>
              <w:rPr>
                <w:sz w:val="18"/>
                <w:szCs w:val="18"/>
              </w:rPr>
            </w:pPr>
            <w:r w:rsidRPr="00AE6EDB">
              <w:rPr>
                <w:sz w:val="18"/>
                <w:szCs w:val="18"/>
              </w:rPr>
              <w:t>204</w:t>
            </w:r>
          </w:p>
        </w:tc>
        <w:tc>
          <w:tcPr>
            <w:tcW w:w="634" w:type="pct"/>
            <w:noWrap/>
            <w:vAlign w:val="center"/>
          </w:tcPr>
          <w:p w:rsidR="000A7585" w:rsidRPr="00AE6EDB" w:rsidRDefault="000A7585" w:rsidP="00DE0EEC">
            <w:pPr>
              <w:ind w:right="90"/>
              <w:jc w:val="right"/>
              <w:rPr>
                <w:sz w:val="18"/>
                <w:szCs w:val="18"/>
              </w:rPr>
            </w:pPr>
            <w:r w:rsidRPr="00AE6EDB">
              <w:rPr>
                <w:sz w:val="18"/>
                <w:szCs w:val="18"/>
              </w:rPr>
              <w:t>192</w:t>
            </w:r>
          </w:p>
        </w:tc>
        <w:tc>
          <w:tcPr>
            <w:tcW w:w="634" w:type="pct"/>
            <w:noWrap/>
            <w:vAlign w:val="center"/>
          </w:tcPr>
          <w:p w:rsidR="000A7585" w:rsidRPr="00AE6EDB" w:rsidRDefault="000A7585" w:rsidP="00DE0EEC">
            <w:pPr>
              <w:ind w:right="90"/>
              <w:jc w:val="right"/>
              <w:rPr>
                <w:sz w:val="18"/>
                <w:szCs w:val="18"/>
              </w:rPr>
            </w:pPr>
            <w:r w:rsidRPr="00AE6EDB">
              <w:rPr>
                <w:sz w:val="18"/>
                <w:szCs w:val="18"/>
              </w:rPr>
              <w:t>0</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42"/>
          <w:jc w:val="center"/>
        </w:trPr>
        <w:tc>
          <w:tcPr>
            <w:tcW w:w="896" w:type="pct"/>
            <w:noWrap/>
            <w:vAlign w:val="center"/>
          </w:tcPr>
          <w:p w:rsidR="000A7585" w:rsidRPr="00AE6EDB" w:rsidRDefault="000A7585" w:rsidP="00DE0EEC">
            <w:pPr>
              <w:jc w:val="left"/>
              <w:rPr>
                <w:sz w:val="18"/>
                <w:szCs w:val="18"/>
              </w:rPr>
            </w:pPr>
            <w:r w:rsidRPr="00AE6EDB">
              <w:rPr>
                <w:sz w:val="18"/>
                <w:szCs w:val="18"/>
              </w:rPr>
              <w:t xml:space="preserve">J Informácie a komunikácia </w:t>
            </w:r>
          </w:p>
        </w:tc>
        <w:tc>
          <w:tcPr>
            <w:tcW w:w="457" w:type="pct"/>
            <w:noWrap/>
            <w:vAlign w:val="center"/>
          </w:tcPr>
          <w:p w:rsidR="000A7585" w:rsidRPr="00AE6EDB" w:rsidRDefault="0054295F" w:rsidP="00DE0EEC">
            <w:pPr>
              <w:ind w:right="90"/>
              <w:jc w:val="right"/>
              <w:rPr>
                <w:sz w:val="18"/>
                <w:szCs w:val="18"/>
              </w:rPr>
            </w:pPr>
            <w:r>
              <w:rPr>
                <w:sz w:val="18"/>
                <w:szCs w:val="18"/>
              </w:rPr>
              <w:t>2 3</w:t>
            </w:r>
            <w:r w:rsidR="000A7585" w:rsidRPr="00AE6EDB">
              <w:rPr>
                <w:sz w:val="18"/>
                <w:szCs w:val="18"/>
              </w:rPr>
              <w:t>68</w:t>
            </w:r>
          </w:p>
        </w:tc>
        <w:tc>
          <w:tcPr>
            <w:tcW w:w="467" w:type="pct"/>
            <w:noWrap/>
            <w:vAlign w:val="center"/>
          </w:tcPr>
          <w:p w:rsidR="000A7585" w:rsidRPr="00AE6EDB" w:rsidRDefault="0054295F" w:rsidP="00DE0EEC">
            <w:pPr>
              <w:ind w:right="90"/>
              <w:jc w:val="right"/>
              <w:rPr>
                <w:sz w:val="18"/>
                <w:szCs w:val="18"/>
              </w:rPr>
            </w:pPr>
            <w:r>
              <w:rPr>
                <w:sz w:val="18"/>
                <w:szCs w:val="18"/>
              </w:rPr>
              <w:t>1 7</w:t>
            </w:r>
            <w:r w:rsidR="000A7585" w:rsidRPr="00AE6EDB">
              <w:rPr>
                <w:sz w:val="18"/>
                <w:szCs w:val="18"/>
              </w:rPr>
              <w:t>59</w:t>
            </w:r>
          </w:p>
        </w:tc>
        <w:tc>
          <w:tcPr>
            <w:tcW w:w="427" w:type="pct"/>
            <w:noWrap/>
            <w:vAlign w:val="center"/>
          </w:tcPr>
          <w:p w:rsidR="000A7585" w:rsidRPr="00AE6EDB" w:rsidRDefault="0054295F" w:rsidP="00DE0EEC">
            <w:pPr>
              <w:ind w:right="90"/>
              <w:jc w:val="right"/>
              <w:rPr>
                <w:sz w:val="18"/>
                <w:szCs w:val="18"/>
              </w:rPr>
            </w:pPr>
            <w:r>
              <w:rPr>
                <w:sz w:val="18"/>
                <w:szCs w:val="18"/>
              </w:rPr>
              <w:t>1 5</w:t>
            </w:r>
            <w:r w:rsidR="000A7585" w:rsidRPr="00AE6EDB">
              <w:rPr>
                <w:sz w:val="18"/>
                <w:szCs w:val="18"/>
              </w:rPr>
              <w:t>33</w:t>
            </w:r>
          </w:p>
        </w:tc>
        <w:tc>
          <w:tcPr>
            <w:tcW w:w="494" w:type="pct"/>
            <w:noWrap/>
            <w:vAlign w:val="center"/>
          </w:tcPr>
          <w:p w:rsidR="000A7585" w:rsidRPr="00AE6EDB" w:rsidRDefault="000A7585" w:rsidP="00DE0EEC">
            <w:pPr>
              <w:ind w:right="90"/>
              <w:jc w:val="right"/>
              <w:rPr>
                <w:sz w:val="18"/>
                <w:szCs w:val="18"/>
              </w:rPr>
            </w:pPr>
            <w:r w:rsidRPr="00AE6EDB">
              <w:rPr>
                <w:sz w:val="18"/>
                <w:szCs w:val="18"/>
              </w:rPr>
              <w:t>177</w:t>
            </w:r>
          </w:p>
        </w:tc>
        <w:tc>
          <w:tcPr>
            <w:tcW w:w="493" w:type="pct"/>
            <w:noWrap/>
            <w:vAlign w:val="center"/>
          </w:tcPr>
          <w:p w:rsidR="000A7585" w:rsidRPr="00AE6EDB" w:rsidRDefault="000A7585" w:rsidP="00DE0EEC">
            <w:pPr>
              <w:ind w:right="90"/>
              <w:jc w:val="right"/>
              <w:rPr>
                <w:sz w:val="18"/>
                <w:szCs w:val="18"/>
              </w:rPr>
            </w:pPr>
            <w:r w:rsidRPr="00AE6EDB">
              <w:rPr>
                <w:sz w:val="18"/>
                <w:szCs w:val="18"/>
              </w:rPr>
              <w:t>610</w:t>
            </w:r>
          </w:p>
        </w:tc>
        <w:tc>
          <w:tcPr>
            <w:tcW w:w="634" w:type="pct"/>
            <w:noWrap/>
            <w:vAlign w:val="center"/>
          </w:tcPr>
          <w:p w:rsidR="000A7585" w:rsidRPr="00AE6EDB" w:rsidRDefault="000A7585" w:rsidP="00DE0EEC">
            <w:pPr>
              <w:ind w:right="90"/>
              <w:jc w:val="right"/>
              <w:rPr>
                <w:sz w:val="18"/>
                <w:szCs w:val="18"/>
              </w:rPr>
            </w:pPr>
            <w:r w:rsidRPr="00AE6EDB">
              <w:rPr>
                <w:sz w:val="18"/>
                <w:szCs w:val="18"/>
              </w:rPr>
              <w:t>554</w:t>
            </w:r>
          </w:p>
        </w:tc>
        <w:tc>
          <w:tcPr>
            <w:tcW w:w="634" w:type="pct"/>
            <w:noWrap/>
            <w:vAlign w:val="center"/>
          </w:tcPr>
          <w:p w:rsidR="000A7585" w:rsidRPr="00AE6EDB" w:rsidRDefault="000A7585" w:rsidP="00DE0EEC">
            <w:pPr>
              <w:ind w:right="90"/>
              <w:jc w:val="right"/>
              <w:rPr>
                <w:sz w:val="18"/>
                <w:szCs w:val="18"/>
              </w:rPr>
            </w:pPr>
            <w:r w:rsidRPr="00AE6EDB">
              <w:rPr>
                <w:sz w:val="18"/>
                <w:szCs w:val="18"/>
              </w:rPr>
              <w:t>8</w:t>
            </w:r>
          </w:p>
        </w:tc>
        <w:tc>
          <w:tcPr>
            <w:tcW w:w="498" w:type="pct"/>
            <w:noWrap/>
            <w:vAlign w:val="center"/>
          </w:tcPr>
          <w:p w:rsidR="000A7585" w:rsidRPr="00AE6EDB" w:rsidRDefault="000A7585" w:rsidP="00DE0EEC">
            <w:pPr>
              <w:ind w:right="90"/>
              <w:jc w:val="right"/>
              <w:rPr>
                <w:sz w:val="18"/>
                <w:szCs w:val="18"/>
              </w:rPr>
            </w:pPr>
            <w:r w:rsidRPr="00AE6EDB">
              <w:rPr>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K Finančné a poisťovacie činnosti</w:t>
            </w:r>
          </w:p>
        </w:tc>
        <w:tc>
          <w:tcPr>
            <w:tcW w:w="457" w:type="pct"/>
            <w:noWrap/>
            <w:vAlign w:val="center"/>
          </w:tcPr>
          <w:p w:rsidR="000A7585" w:rsidRPr="00AE6EDB" w:rsidRDefault="0054295F" w:rsidP="00DE0EEC">
            <w:pPr>
              <w:ind w:right="90"/>
              <w:jc w:val="right"/>
              <w:rPr>
                <w:sz w:val="18"/>
                <w:szCs w:val="18"/>
              </w:rPr>
            </w:pPr>
            <w:r>
              <w:rPr>
                <w:sz w:val="18"/>
                <w:szCs w:val="18"/>
              </w:rPr>
              <w:t>2 4</w:t>
            </w:r>
            <w:r w:rsidR="000A7585" w:rsidRPr="00AE6EDB">
              <w:rPr>
                <w:sz w:val="18"/>
                <w:szCs w:val="18"/>
              </w:rPr>
              <w:t>14</w:t>
            </w:r>
          </w:p>
        </w:tc>
        <w:tc>
          <w:tcPr>
            <w:tcW w:w="467" w:type="pct"/>
            <w:noWrap/>
            <w:vAlign w:val="center"/>
          </w:tcPr>
          <w:p w:rsidR="000A7585" w:rsidRPr="00AE6EDB" w:rsidRDefault="0054295F" w:rsidP="00DE0EEC">
            <w:pPr>
              <w:ind w:right="90"/>
              <w:jc w:val="right"/>
              <w:rPr>
                <w:sz w:val="18"/>
                <w:szCs w:val="18"/>
              </w:rPr>
            </w:pPr>
            <w:r>
              <w:rPr>
                <w:sz w:val="18"/>
                <w:szCs w:val="18"/>
              </w:rPr>
              <w:t>1 7</w:t>
            </w:r>
            <w:r w:rsidR="000A7585" w:rsidRPr="00AE6EDB">
              <w:rPr>
                <w:sz w:val="18"/>
                <w:szCs w:val="18"/>
              </w:rPr>
              <w:t>48</w:t>
            </w:r>
          </w:p>
        </w:tc>
        <w:tc>
          <w:tcPr>
            <w:tcW w:w="427" w:type="pct"/>
            <w:noWrap/>
            <w:vAlign w:val="center"/>
          </w:tcPr>
          <w:p w:rsidR="000A7585" w:rsidRPr="00AE6EDB" w:rsidRDefault="0054295F" w:rsidP="00DE0EEC">
            <w:pPr>
              <w:ind w:right="90"/>
              <w:jc w:val="right"/>
              <w:rPr>
                <w:sz w:val="18"/>
                <w:szCs w:val="18"/>
              </w:rPr>
            </w:pPr>
            <w:r>
              <w:rPr>
                <w:sz w:val="18"/>
                <w:szCs w:val="18"/>
              </w:rPr>
              <w:t>1 5</w:t>
            </w:r>
            <w:r w:rsidR="000A7585" w:rsidRPr="00AE6EDB">
              <w:rPr>
                <w:sz w:val="18"/>
                <w:szCs w:val="18"/>
              </w:rPr>
              <w:t>20</w:t>
            </w:r>
          </w:p>
        </w:tc>
        <w:tc>
          <w:tcPr>
            <w:tcW w:w="494" w:type="pct"/>
            <w:noWrap/>
            <w:vAlign w:val="center"/>
          </w:tcPr>
          <w:p w:rsidR="000A7585" w:rsidRPr="00AE6EDB" w:rsidRDefault="000A7585" w:rsidP="00DE0EEC">
            <w:pPr>
              <w:ind w:right="90"/>
              <w:jc w:val="right"/>
              <w:rPr>
                <w:sz w:val="18"/>
                <w:szCs w:val="18"/>
              </w:rPr>
            </w:pPr>
            <w:r w:rsidRPr="00AE6EDB">
              <w:rPr>
                <w:sz w:val="18"/>
                <w:szCs w:val="18"/>
              </w:rPr>
              <w:t>208</w:t>
            </w:r>
          </w:p>
        </w:tc>
        <w:tc>
          <w:tcPr>
            <w:tcW w:w="493" w:type="pct"/>
            <w:noWrap/>
            <w:vAlign w:val="center"/>
          </w:tcPr>
          <w:p w:rsidR="000A7585" w:rsidRPr="00AE6EDB" w:rsidRDefault="000A7585" w:rsidP="00DE0EEC">
            <w:pPr>
              <w:ind w:right="90"/>
              <w:jc w:val="right"/>
              <w:rPr>
                <w:sz w:val="18"/>
                <w:szCs w:val="18"/>
              </w:rPr>
            </w:pPr>
            <w:r w:rsidRPr="00AE6EDB">
              <w:rPr>
                <w:sz w:val="18"/>
                <w:szCs w:val="18"/>
              </w:rPr>
              <w:t>666</w:t>
            </w:r>
          </w:p>
        </w:tc>
        <w:tc>
          <w:tcPr>
            <w:tcW w:w="634" w:type="pct"/>
            <w:noWrap/>
            <w:vAlign w:val="center"/>
          </w:tcPr>
          <w:p w:rsidR="000A7585" w:rsidRPr="00AE6EDB" w:rsidRDefault="000A7585" w:rsidP="00DE0EEC">
            <w:pPr>
              <w:ind w:right="90"/>
              <w:jc w:val="right"/>
              <w:rPr>
                <w:sz w:val="18"/>
                <w:szCs w:val="18"/>
              </w:rPr>
            </w:pPr>
            <w:r w:rsidRPr="00AE6EDB">
              <w:rPr>
                <w:sz w:val="18"/>
                <w:szCs w:val="18"/>
              </w:rPr>
              <w:t>556</w:t>
            </w:r>
          </w:p>
        </w:tc>
        <w:tc>
          <w:tcPr>
            <w:tcW w:w="634" w:type="pct"/>
            <w:noWrap/>
            <w:vAlign w:val="center"/>
          </w:tcPr>
          <w:p w:rsidR="000A7585" w:rsidRPr="00AE6EDB" w:rsidRDefault="000A7585" w:rsidP="00DE0EEC">
            <w:pPr>
              <w:ind w:right="90"/>
              <w:jc w:val="right"/>
              <w:rPr>
                <w:sz w:val="18"/>
                <w:szCs w:val="18"/>
              </w:rPr>
            </w:pPr>
            <w:r w:rsidRPr="00AE6EDB">
              <w:rPr>
                <w:sz w:val="18"/>
                <w:szCs w:val="18"/>
              </w:rPr>
              <w:t>20</w:t>
            </w:r>
          </w:p>
        </w:tc>
        <w:tc>
          <w:tcPr>
            <w:tcW w:w="498" w:type="pct"/>
            <w:noWrap/>
            <w:vAlign w:val="center"/>
          </w:tcPr>
          <w:p w:rsidR="000A7585" w:rsidRPr="00AE6EDB" w:rsidRDefault="000A7585" w:rsidP="00DE0EEC">
            <w:pPr>
              <w:ind w:right="90"/>
              <w:jc w:val="right"/>
              <w:rPr>
                <w:sz w:val="18"/>
                <w:szCs w:val="18"/>
              </w:rPr>
            </w:pPr>
            <w:r w:rsidRPr="00AE6EDB">
              <w:rPr>
                <w:sz w:val="18"/>
                <w:szCs w:val="18"/>
              </w:rPr>
              <w:t>-</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L činnosti v oblasti nehnuteľností</w:t>
            </w:r>
          </w:p>
        </w:tc>
        <w:tc>
          <w:tcPr>
            <w:tcW w:w="45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48</w:t>
            </w:r>
          </w:p>
        </w:tc>
        <w:tc>
          <w:tcPr>
            <w:tcW w:w="467" w:type="pct"/>
            <w:noWrap/>
            <w:vAlign w:val="center"/>
          </w:tcPr>
          <w:p w:rsidR="000A7585" w:rsidRPr="00AE6EDB" w:rsidRDefault="000A7585" w:rsidP="00DE0EEC">
            <w:pPr>
              <w:ind w:right="90"/>
              <w:jc w:val="right"/>
              <w:rPr>
                <w:sz w:val="18"/>
                <w:szCs w:val="18"/>
              </w:rPr>
            </w:pPr>
            <w:r w:rsidRPr="00AE6EDB">
              <w:rPr>
                <w:sz w:val="18"/>
                <w:szCs w:val="18"/>
              </w:rPr>
              <w:t>907</w:t>
            </w:r>
          </w:p>
        </w:tc>
        <w:tc>
          <w:tcPr>
            <w:tcW w:w="427" w:type="pct"/>
            <w:noWrap/>
            <w:vAlign w:val="center"/>
          </w:tcPr>
          <w:p w:rsidR="000A7585" w:rsidRPr="00AE6EDB" w:rsidRDefault="000A7585" w:rsidP="00DE0EEC">
            <w:pPr>
              <w:ind w:right="90"/>
              <w:jc w:val="right"/>
              <w:rPr>
                <w:sz w:val="18"/>
                <w:szCs w:val="18"/>
              </w:rPr>
            </w:pPr>
            <w:r w:rsidRPr="00AE6EDB">
              <w:rPr>
                <w:sz w:val="18"/>
                <w:szCs w:val="18"/>
              </w:rPr>
              <w:t>801</w:t>
            </w:r>
          </w:p>
        </w:tc>
        <w:tc>
          <w:tcPr>
            <w:tcW w:w="494" w:type="pct"/>
            <w:noWrap/>
            <w:vAlign w:val="center"/>
          </w:tcPr>
          <w:p w:rsidR="000A7585" w:rsidRPr="00AE6EDB" w:rsidRDefault="000A7585" w:rsidP="00DE0EEC">
            <w:pPr>
              <w:ind w:right="90"/>
              <w:jc w:val="right"/>
              <w:rPr>
                <w:sz w:val="18"/>
                <w:szCs w:val="18"/>
              </w:rPr>
            </w:pPr>
            <w:r w:rsidRPr="00AE6EDB">
              <w:rPr>
                <w:sz w:val="18"/>
                <w:szCs w:val="18"/>
              </w:rPr>
              <w:t>95</w:t>
            </w:r>
          </w:p>
        </w:tc>
        <w:tc>
          <w:tcPr>
            <w:tcW w:w="493" w:type="pct"/>
            <w:noWrap/>
            <w:vAlign w:val="center"/>
          </w:tcPr>
          <w:p w:rsidR="000A7585" w:rsidRPr="00AE6EDB" w:rsidRDefault="000A7585" w:rsidP="00DE0EEC">
            <w:pPr>
              <w:ind w:right="90"/>
              <w:jc w:val="right"/>
              <w:rPr>
                <w:sz w:val="18"/>
                <w:szCs w:val="18"/>
              </w:rPr>
            </w:pPr>
            <w:r w:rsidRPr="00AE6EDB">
              <w:rPr>
                <w:sz w:val="18"/>
                <w:szCs w:val="18"/>
              </w:rPr>
              <w:t>341</w:t>
            </w:r>
          </w:p>
        </w:tc>
        <w:tc>
          <w:tcPr>
            <w:tcW w:w="634" w:type="pct"/>
            <w:noWrap/>
            <w:vAlign w:val="center"/>
          </w:tcPr>
          <w:p w:rsidR="000A7585" w:rsidRPr="00AE6EDB" w:rsidRDefault="000A7585" w:rsidP="00DE0EEC">
            <w:pPr>
              <w:ind w:right="90"/>
              <w:jc w:val="right"/>
              <w:rPr>
                <w:sz w:val="18"/>
                <w:szCs w:val="18"/>
              </w:rPr>
            </w:pPr>
            <w:r w:rsidRPr="00AE6EDB">
              <w:rPr>
                <w:sz w:val="18"/>
                <w:szCs w:val="18"/>
              </w:rPr>
              <w:t>309</w:t>
            </w:r>
          </w:p>
        </w:tc>
        <w:tc>
          <w:tcPr>
            <w:tcW w:w="634" w:type="pct"/>
            <w:noWrap/>
            <w:vAlign w:val="center"/>
          </w:tcPr>
          <w:p w:rsidR="000A7585" w:rsidRPr="00AE6EDB" w:rsidRDefault="000A7585" w:rsidP="00DE0EEC">
            <w:pPr>
              <w:ind w:right="90"/>
              <w:jc w:val="right"/>
              <w:rPr>
                <w:sz w:val="18"/>
                <w:szCs w:val="18"/>
              </w:rPr>
            </w:pPr>
            <w:r w:rsidRPr="00AE6EDB">
              <w:rPr>
                <w:sz w:val="18"/>
                <w:szCs w:val="18"/>
              </w:rPr>
              <w:t>5</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M Odborné vedecké a technické činnosti</w:t>
            </w:r>
          </w:p>
        </w:tc>
        <w:tc>
          <w:tcPr>
            <w:tcW w:w="457" w:type="pct"/>
            <w:noWrap/>
            <w:vAlign w:val="center"/>
          </w:tcPr>
          <w:p w:rsidR="000A7585" w:rsidRPr="00AE6EDB" w:rsidRDefault="0054295F" w:rsidP="00DE0EEC">
            <w:pPr>
              <w:ind w:right="90"/>
              <w:jc w:val="right"/>
              <w:rPr>
                <w:sz w:val="18"/>
                <w:szCs w:val="18"/>
              </w:rPr>
            </w:pPr>
            <w:r>
              <w:rPr>
                <w:sz w:val="18"/>
                <w:szCs w:val="18"/>
              </w:rPr>
              <w:t>1 6</w:t>
            </w:r>
            <w:r w:rsidR="000A7585" w:rsidRPr="00AE6EDB">
              <w:rPr>
                <w:sz w:val="18"/>
                <w:szCs w:val="18"/>
              </w:rPr>
              <w:t>82</w:t>
            </w:r>
          </w:p>
        </w:tc>
        <w:tc>
          <w:tcPr>
            <w:tcW w:w="46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46</w:t>
            </w:r>
          </w:p>
        </w:tc>
        <w:tc>
          <w:tcPr>
            <w:tcW w:w="427" w:type="pct"/>
            <w:noWrap/>
            <w:vAlign w:val="center"/>
          </w:tcPr>
          <w:p w:rsidR="000A7585" w:rsidRPr="00AE6EDB" w:rsidRDefault="0054295F" w:rsidP="00DE0EEC">
            <w:pPr>
              <w:ind w:right="90"/>
              <w:jc w:val="right"/>
              <w:rPr>
                <w:sz w:val="18"/>
                <w:szCs w:val="18"/>
              </w:rPr>
            </w:pPr>
            <w:r>
              <w:rPr>
                <w:sz w:val="18"/>
                <w:szCs w:val="18"/>
              </w:rPr>
              <w:t>1 1</w:t>
            </w:r>
            <w:r w:rsidR="000A7585" w:rsidRPr="00AE6EDB">
              <w:rPr>
                <w:sz w:val="18"/>
                <w:szCs w:val="18"/>
              </w:rPr>
              <w:t>07</w:t>
            </w:r>
          </w:p>
        </w:tc>
        <w:tc>
          <w:tcPr>
            <w:tcW w:w="494" w:type="pct"/>
            <w:noWrap/>
            <w:vAlign w:val="center"/>
          </w:tcPr>
          <w:p w:rsidR="000A7585" w:rsidRPr="00AE6EDB" w:rsidRDefault="000A7585" w:rsidP="00DE0EEC">
            <w:pPr>
              <w:ind w:right="90"/>
              <w:jc w:val="right"/>
              <w:rPr>
                <w:sz w:val="18"/>
                <w:szCs w:val="18"/>
              </w:rPr>
            </w:pPr>
            <w:r w:rsidRPr="00AE6EDB">
              <w:rPr>
                <w:sz w:val="18"/>
                <w:szCs w:val="18"/>
              </w:rPr>
              <w:t>124</w:t>
            </w:r>
          </w:p>
        </w:tc>
        <w:tc>
          <w:tcPr>
            <w:tcW w:w="493" w:type="pct"/>
            <w:noWrap/>
            <w:vAlign w:val="center"/>
          </w:tcPr>
          <w:p w:rsidR="000A7585" w:rsidRPr="00AE6EDB" w:rsidRDefault="000A7585" w:rsidP="00DE0EEC">
            <w:pPr>
              <w:ind w:right="90"/>
              <w:jc w:val="right"/>
              <w:rPr>
                <w:sz w:val="18"/>
                <w:szCs w:val="18"/>
              </w:rPr>
            </w:pPr>
            <w:r w:rsidRPr="00AE6EDB">
              <w:rPr>
                <w:sz w:val="18"/>
                <w:szCs w:val="18"/>
              </w:rPr>
              <w:t>436</w:t>
            </w:r>
          </w:p>
        </w:tc>
        <w:tc>
          <w:tcPr>
            <w:tcW w:w="634" w:type="pct"/>
            <w:noWrap/>
            <w:vAlign w:val="center"/>
          </w:tcPr>
          <w:p w:rsidR="000A7585" w:rsidRPr="00AE6EDB" w:rsidRDefault="000A7585" w:rsidP="00DE0EEC">
            <w:pPr>
              <w:ind w:right="90"/>
              <w:jc w:val="right"/>
              <w:rPr>
                <w:sz w:val="18"/>
                <w:szCs w:val="18"/>
              </w:rPr>
            </w:pPr>
            <w:r w:rsidRPr="00AE6EDB">
              <w:rPr>
                <w:sz w:val="18"/>
                <w:szCs w:val="18"/>
              </w:rPr>
              <w:t>399</w:t>
            </w:r>
          </w:p>
        </w:tc>
        <w:tc>
          <w:tcPr>
            <w:tcW w:w="634" w:type="pct"/>
            <w:noWrap/>
            <w:vAlign w:val="center"/>
          </w:tcPr>
          <w:p w:rsidR="000A7585" w:rsidRPr="00AE6EDB" w:rsidRDefault="000A7585" w:rsidP="00DE0EEC">
            <w:pPr>
              <w:ind w:right="90"/>
              <w:jc w:val="right"/>
              <w:rPr>
                <w:sz w:val="18"/>
                <w:szCs w:val="18"/>
              </w:rPr>
            </w:pPr>
            <w:r w:rsidRPr="00AE6EDB">
              <w:rPr>
                <w:sz w:val="18"/>
                <w:szCs w:val="18"/>
              </w:rPr>
              <w:t>5</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N Administratívne a podporné služby</w:t>
            </w:r>
          </w:p>
        </w:tc>
        <w:tc>
          <w:tcPr>
            <w:tcW w:w="457" w:type="pct"/>
            <w:noWrap/>
            <w:vAlign w:val="center"/>
          </w:tcPr>
          <w:p w:rsidR="000A7585" w:rsidRPr="00AE6EDB" w:rsidRDefault="000A7585" w:rsidP="00DE0EEC">
            <w:pPr>
              <w:ind w:right="90"/>
              <w:jc w:val="right"/>
              <w:rPr>
                <w:sz w:val="18"/>
                <w:szCs w:val="18"/>
              </w:rPr>
            </w:pPr>
            <w:r w:rsidRPr="00AE6EDB">
              <w:rPr>
                <w:sz w:val="18"/>
                <w:szCs w:val="18"/>
              </w:rPr>
              <w:t>982</w:t>
            </w:r>
          </w:p>
        </w:tc>
        <w:tc>
          <w:tcPr>
            <w:tcW w:w="467" w:type="pct"/>
            <w:noWrap/>
            <w:vAlign w:val="center"/>
          </w:tcPr>
          <w:p w:rsidR="000A7585" w:rsidRPr="00AE6EDB" w:rsidRDefault="000A7585" w:rsidP="00DE0EEC">
            <w:pPr>
              <w:ind w:right="90"/>
              <w:jc w:val="right"/>
              <w:rPr>
                <w:sz w:val="18"/>
                <w:szCs w:val="18"/>
              </w:rPr>
            </w:pPr>
            <w:r w:rsidRPr="00AE6EDB">
              <w:rPr>
                <w:sz w:val="18"/>
                <w:szCs w:val="18"/>
              </w:rPr>
              <w:t>721</w:t>
            </w:r>
          </w:p>
        </w:tc>
        <w:tc>
          <w:tcPr>
            <w:tcW w:w="427" w:type="pct"/>
            <w:noWrap/>
            <w:vAlign w:val="center"/>
          </w:tcPr>
          <w:p w:rsidR="000A7585" w:rsidRPr="00AE6EDB" w:rsidRDefault="000A7585" w:rsidP="00DE0EEC">
            <w:pPr>
              <w:ind w:right="90"/>
              <w:jc w:val="right"/>
              <w:rPr>
                <w:sz w:val="18"/>
                <w:szCs w:val="18"/>
              </w:rPr>
            </w:pPr>
            <w:r w:rsidRPr="00AE6EDB">
              <w:rPr>
                <w:sz w:val="18"/>
                <w:szCs w:val="18"/>
              </w:rPr>
              <w:t>642</w:t>
            </w:r>
          </w:p>
        </w:tc>
        <w:tc>
          <w:tcPr>
            <w:tcW w:w="494" w:type="pct"/>
            <w:noWrap/>
            <w:vAlign w:val="center"/>
          </w:tcPr>
          <w:p w:rsidR="000A7585" w:rsidRPr="00AE6EDB" w:rsidRDefault="000A7585" w:rsidP="00DE0EEC">
            <w:pPr>
              <w:ind w:right="90"/>
              <w:jc w:val="right"/>
              <w:rPr>
                <w:sz w:val="18"/>
                <w:szCs w:val="18"/>
              </w:rPr>
            </w:pPr>
            <w:r w:rsidRPr="00AE6EDB">
              <w:rPr>
                <w:sz w:val="18"/>
                <w:szCs w:val="18"/>
              </w:rPr>
              <w:t>74</w:t>
            </w:r>
          </w:p>
        </w:tc>
        <w:tc>
          <w:tcPr>
            <w:tcW w:w="493" w:type="pct"/>
            <w:noWrap/>
            <w:vAlign w:val="center"/>
          </w:tcPr>
          <w:p w:rsidR="000A7585" w:rsidRPr="00AE6EDB" w:rsidRDefault="000A7585" w:rsidP="00DE0EEC">
            <w:pPr>
              <w:ind w:right="90"/>
              <w:jc w:val="right"/>
              <w:rPr>
                <w:sz w:val="18"/>
                <w:szCs w:val="18"/>
              </w:rPr>
            </w:pPr>
            <w:r w:rsidRPr="00AE6EDB">
              <w:rPr>
                <w:sz w:val="18"/>
                <w:szCs w:val="18"/>
              </w:rPr>
              <w:t>262</w:t>
            </w:r>
          </w:p>
        </w:tc>
        <w:tc>
          <w:tcPr>
            <w:tcW w:w="634" w:type="pct"/>
            <w:noWrap/>
            <w:vAlign w:val="center"/>
          </w:tcPr>
          <w:p w:rsidR="000A7585" w:rsidRPr="00AE6EDB" w:rsidRDefault="000A7585" w:rsidP="00DE0EEC">
            <w:pPr>
              <w:ind w:right="90"/>
              <w:jc w:val="right"/>
              <w:rPr>
                <w:sz w:val="18"/>
                <w:szCs w:val="18"/>
              </w:rPr>
            </w:pPr>
            <w:r w:rsidRPr="00AE6EDB">
              <w:rPr>
                <w:sz w:val="18"/>
                <w:szCs w:val="18"/>
              </w:rPr>
              <w:t>236</w:t>
            </w:r>
          </w:p>
        </w:tc>
        <w:tc>
          <w:tcPr>
            <w:tcW w:w="634" w:type="pct"/>
            <w:noWrap/>
            <w:vAlign w:val="center"/>
          </w:tcPr>
          <w:p w:rsidR="000A7585" w:rsidRPr="00AE6EDB" w:rsidRDefault="000A7585" w:rsidP="00DE0EEC">
            <w:pPr>
              <w:ind w:right="90"/>
              <w:jc w:val="right"/>
              <w:rPr>
                <w:sz w:val="18"/>
                <w:szCs w:val="18"/>
              </w:rPr>
            </w:pPr>
            <w:r w:rsidRPr="00AE6EDB">
              <w:rPr>
                <w:sz w:val="18"/>
                <w:szCs w:val="18"/>
              </w:rPr>
              <w:t>2</w:t>
            </w:r>
          </w:p>
        </w:tc>
        <w:tc>
          <w:tcPr>
            <w:tcW w:w="498" w:type="pct"/>
            <w:noWrap/>
            <w:vAlign w:val="center"/>
          </w:tcPr>
          <w:p w:rsidR="000A7585" w:rsidRPr="00AE6EDB" w:rsidRDefault="000A7585" w:rsidP="00DE0EEC">
            <w:pPr>
              <w:ind w:right="90"/>
              <w:jc w:val="right"/>
              <w:rPr>
                <w:sz w:val="18"/>
                <w:szCs w:val="18"/>
              </w:rPr>
            </w:pPr>
            <w:r w:rsidRPr="00AE6EDB">
              <w:rPr>
                <w:sz w:val="18"/>
                <w:szCs w:val="18"/>
              </w:rPr>
              <w:t>-1</w:t>
            </w:r>
          </w:p>
        </w:tc>
      </w:tr>
      <w:tr w:rsidR="000A7585" w:rsidRPr="00AE6EDB" w:rsidTr="00DE0EEC">
        <w:trPr>
          <w:trHeight w:val="271"/>
          <w:jc w:val="center"/>
        </w:trPr>
        <w:tc>
          <w:tcPr>
            <w:tcW w:w="896" w:type="pct"/>
            <w:noWrap/>
            <w:vAlign w:val="center"/>
          </w:tcPr>
          <w:p w:rsidR="000A7585" w:rsidRPr="00AE6EDB" w:rsidRDefault="000A7585" w:rsidP="00DE0EEC">
            <w:pPr>
              <w:jc w:val="left"/>
              <w:rPr>
                <w:sz w:val="18"/>
                <w:szCs w:val="18"/>
              </w:rPr>
            </w:pPr>
            <w:r w:rsidRPr="00AE6EDB">
              <w:rPr>
                <w:sz w:val="18"/>
                <w:szCs w:val="18"/>
              </w:rPr>
              <w:t>O Verejná správa a obrana</w:t>
            </w:r>
          </w:p>
        </w:tc>
        <w:tc>
          <w:tcPr>
            <w:tcW w:w="457" w:type="pct"/>
            <w:noWrap/>
            <w:vAlign w:val="center"/>
          </w:tcPr>
          <w:p w:rsidR="000A7585" w:rsidRPr="00AE6EDB" w:rsidRDefault="0054295F" w:rsidP="00DE0EEC">
            <w:pPr>
              <w:ind w:right="90"/>
              <w:jc w:val="right"/>
              <w:rPr>
                <w:sz w:val="18"/>
                <w:szCs w:val="18"/>
              </w:rPr>
            </w:pPr>
            <w:r>
              <w:rPr>
                <w:sz w:val="18"/>
                <w:szCs w:val="18"/>
              </w:rPr>
              <w:t>1 2</w:t>
            </w:r>
            <w:r w:rsidR="000A7585" w:rsidRPr="00AE6EDB">
              <w:rPr>
                <w:sz w:val="18"/>
                <w:szCs w:val="18"/>
              </w:rPr>
              <w:t>81</w:t>
            </w:r>
          </w:p>
        </w:tc>
        <w:tc>
          <w:tcPr>
            <w:tcW w:w="467" w:type="pct"/>
            <w:noWrap/>
            <w:vAlign w:val="center"/>
          </w:tcPr>
          <w:p w:rsidR="000A7585" w:rsidRPr="00AE6EDB" w:rsidRDefault="000A7585" w:rsidP="00DE0EEC">
            <w:pPr>
              <w:ind w:right="90"/>
              <w:jc w:val="right"/>
              <w:rPr>
                <w:sz w:val="18"/>
                <w:szCs w:val="18"/>
              </w:rPr>
            </w:pPr>
            <w:r w:rsidRPr="00AE6EDB">
              <w:rPr>
                <w:sz w:val="18"/>
                <w:szCs w:val="18"/>
              </w:rPr>
              <w:t>924</w:t>
            </w:r>
          </w:p>
        </w:tc>
        <w:tc>
          <w:tcPr>
            <w:tcW w:w="427" w:type="pct"/>
            <w:noWrap/>
            <w:vAlign w:val="center"/>
          </w:tcPr>
          <w:p w:rsidR="000A7585" w:rsidRPr="00AE6EDB" w:rsidRDefault="000A7585" w:rsidP="00DE0EEC">
            <w:pPr>
              <w:ind w:right="90"/>
              <w:jc w:val="right"/>
              <w:rPr>
                <w:sz w:val="18"/>
                <w:szCs w:val="18"/>
              </w:rPr>
            </w:pPr>
            <w:r w:rsidRPr="00AE6EDB">
              <w:rPr>
                <w:sz w:val="18"/>
                <w:szCs w:val="18"/>
              </w:rPr>
              <w:t>833</w:t>
            </w:r>
          </w:p>
        </w:tc>
        <w:tc>
          <w:tcPr>
            <w:tcW w:w="494" w:type="pct"/>
            <w:noWrap/>
            <w:vAlign w:val="center"/>
          </w:tcPr>
          <w:p w:rsidR="000A7585" w:rsidRPr="00AE6EDB" w:rsidRDefault="000A7585" w:rsidP="00DE0EEC">
            <w:pPr>
              <w:ind w:right="90"/>
              <w:jc w:val="right"/>
              <w:rPr>
                <w:sz w:val="18"/>
                <w:szCs w:val="18"/>
              </w:rPr>
            </w:pPr>
            <w:r w:rsidRPr="00AE6EDB">
              <w:rPr>
                <w:sz w:val="18"/>
                <w:szCs w:val="18"/>
              </w:rPr>
              <w:t>86</w:t>
            </w:r>
          </w:p>
        </w:tc>
        <w:tc>
          <w:tcPr>
            <w:tcW w:w="493" w:type="pct"/>
            <w:noWrap/>
            <w:vAlign w:val="center"/>
          </w:tcPr>
          <w:p w:rsidR="000A7585" w:rsidRPr="00AE6EDB" w:rsidRDefault="000A7585" w:rsidP="00DE0EEC">
            <w:pPr>
              <w:ind w:right="90"/>
              <w:jc w:val="right"/>
              <w:rPr>
                <w:sz w:val="18"/>
                <w:szCs w:val="18"/>
              </w:rPr>
            </w:pPr>
            <w:r w:rsidRPr="00AE6EDB">
              <w:rPr>
                <w:sz w:val="18"/>
                <w:szCs w:val="18"/>
              </w:rPr>
              <w:t>357</w:t>
            </w:r>
          </w:p>
        </w:tc>
        <w:tc>
          <w:tcPr>
            <w:tcW w:w="634" w:type="pct"/>
            <w:noWrap/>
            <w:vAlign w:val="center"/>
          </w:tcPr>
          <w:p w:rsidR="000A7585" w:rsidRPr="00AE6EDB" w:rsidRDefault="000A7585" w:rsidP="00DE0EEC">
            <w:pPr>
              <w:ind w:right="90"/>
              <w:jc w:val="right"/>
              <w:rPr>
                <w:sz w:val="18"/>
                <w:szCs w:val="18"/>
              </w:rPr>
            </w:pPr>
            <w:r w:rsidRPr="00AE6EDB">
              <w:rPr>
                <w:sz w:val="18"/>
                <w:szCs w:val="18"/>
              </w:rPr>
              <w:t>320</w:t>
            </w:r>
          </w:p>
        </w:tc>
        <w:tc>
          <w:tcPr>
            <w:tcW w:w="634" w:type="pct"/>
            <w:noWrap/>
            <w:vAlign w:val="center"/>
          </w:tcPr>
          <w:p w:rsidR="000A7585" w:rsidRPr="00AE6EDB" w:rsidRDefault="000A7585" w:rsidP="00DE0EEC">
            <w:pPr>
              <w:ind w:right="90"/>
              <w:jc w:val="right"/>
              <w:rPr>
                <w:sz w:val="18"/>
                <w:szCs w:val="18"/>
              </w:rPr>
            </w:pPr>
            <w:r w:rsidRPr="00AE6EDB">
              <w:rPr>
                <w:sz w:val="18"/>
                <w:szCs w:val="18"/>
              </w:rPr>
              <w:t>9</w:t>
            </w:r>
          </w:p>
        </w:tc>
        <w:tc>
          <w:tcPr>
            <w:tcW w:w="498" w:type="pct"/>
            <w:noWrap/>
            <w:vAlign w:val="center"/>
          </w:tcPr>
          <w:p w:rsidR="000A7585" w:rsidRPr="00AE6EDB" w:rsidRDefault="000A7585" w:rsidP="00DE0EEC">
            <w:pPr>
              <w:ind w:right="90"/>
              <w:jc w:val="right"/>
              <w:rPr>
                <w:sz w:val="18"/>
                <w:szCs w:val="18"/>
              </w:rPr>
            </w:pPr>
            <w:r w:rsidRPr="00AE6EDB">
              <w:rPr>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color w:val="333300"/>
                <w:sz w:val="18"/>
                <w:szCs w:val="18"/>
              </w:rPr>
            </w:pPr>
            <w:r w:rsidRPr="00AE6EDB">
              <w:rPr>
                <w:color w:val="333300"/>
                <w:sz w:val="18"/>
                <w:szCs w:val="18"/>
              </w:rPr>
              <w:t>P Vzdelávanie</w:t>
            </w:r>
          </w:p>
        </w:tc>
        <w:tc>
          <w:tcPr>
            <w:tcW w:w="457" w:type="pct"/>
            <w:noWrap/>
            <w:vAlign w:val="center"/>
          </w:tcPr>
          <w:p w:rsidR="000A7585" w:rsidRPr="00AE6EDB" w:rsidRDefault="0054295F" w:rsidP="00DE0EEC">
            <w:pPr>
              <w:ind w:right="90"/>
              <w:jc w:val="right"/>
              <w:rPr>
                <w:color w:val="333300"/>
                <w:sz w:val="18"/>
                <w:szCs w:val="18"/>
              </w:rPr>
            </w:pPr>
            <w:r>
              <w:rPr>
                <w:color w:val="333300"/>
                <w:sz w:val="18"/>
                <w:szCs w:val="18"/>
              </w:rPr>
              <w:t>1 1</w:t>
            </w:r>
            <w:r w:rsidR="000A7585" w:rsidRPr="00AE6EDB">
              <w:rPr>
                <w:color w:val="333300"/>
                <w:sz w:val="18"/>
                <w:szCs w:val="18"/>
              </w:rPr>
              <w:t>76</w:t>
            </w:r>
          </w:p>
        </w:tc>
        <w:tc>
          <w:tcPr>
            <w:tcW w:w="46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855</w:t>
            </w:r>
          </w:p>
        </w:tc>
        <w:tc>
          <w:tcPr>
            <w:tcW w:w="42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723</w:t>
            </w:r>
          </w:p>
        </w:tc>
        <w:tc>
          <w:tcPr>
            <w:tcW w:w="49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131</w:t>
            </w:r>
          </w:p>
        </w:tc>
        <w:tc>
          <w:tcPr>
            <w:tcW w:w="493" w:type="pct"/>
            <w:noWrap/>
            <w:vAlign w:val="center"/>
          </w:tcPr>
          <w:p w:rsidR="000A7585" w:rsidRPr="00AE6EDB" w:rsidRDefault="000A7585" w:rsidP="00DE0EEC">
            <w:pPr>
              <w:ind w:right="90"/>
              <w:jc w:val="right"/>
              <w:rPr>
                <w:color w:val="333300"/>
                <w:sz w:val="18"/>
                <w:szCs w:val="18"/>
              </w:rPr>
            </w:pPr>
            <w:r w:rsidRPr="00AE6EDB">
              <w:rPr>
                <w:color w:val="333300"/>
                <w:sz w:val="18"/>
                <w:szCs w:val="18"/>
              </w:rPr>
              <w:t>321</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299</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5</w:t>
            </w:r>
          </w:p>
        </w:tc>
        <w:tc>
          <w:tcPr>
            <w:tcW w:w="498" w:type="pct"/>
            <w:noWrap/>
            <w:vAlign w:val="center"/>
          </w:tcPr>
          <w:p w:rsidR="000A7585" w:rsidRPr="00AE6EDB" w:rsidRDefault="000A7585" w:rsidP="00DE0EEC">
            <w:pPr>
              <w:ind w:right="90"/>
              <w:jc w:val="right"/>
              <w:rPr>
                <w:color w:val="333300"/>
                <w:sz w:val="18"/>
                <w:szCs w:val="18"/>
              </w:rPr>
            </w:pPr>
            <w:r w:rsidRPr="00AE6EDB">
              <w:rPr>
                <w:color w:val="333300"/>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color w:val="333300"/>
                <w:sz w:val="18"/>
                <w:szCs w:val="18"/>
              </w:rPr>
            </w:pPr>
            <w:r w:rsidRPr="00AE6EDB">
              <w:rPr>
                <w:color w:val="333300"/>
                <w:sz w:val="18"/>
                <w:szCs w:val="18"/>
              </w:rPr>
              <w:t>Q Zdravotníctvo a sociálna pomoc</w:t>
            </w:r>
          </w:p>
        </w:tc>
        <w:tc>
          <w:tcPr>
            <w:tcW w:w="457" w:type="pct"/>
            <w:noWrap/>
            <w:vAlign w:val="center"/>
          </w:tcPr>
          <w:p w:rsidR="000A7585" w:rsidRPr="00AE6EDB" w:rsidRDefault="0054295F" w:rsidP="00DE0EEC">
            <w:pPr>
              <w:ind w:right="90"/>
              <w:jc w:val="right"/>
              <w:rPr>
                <w:color w:val="333300"/>
                <w:sz w:val="18"/>
                <w:szCs w:val="18"/>
              </w:rPr>
            </w:pPr>
            <w:r>
              <w:rPr>
                <w:color w:val="333300"/>
                <w:sz w:val="18"/>
                <w:szCs w:val="18"/>
              </w:rPr>
              <w:t>1 2</w:t>
            </w:r>
            <w:r w:rsidR="000A7585" w:rsidRPr="00AE6EDB">
              <w:rPr>
                <w:color w:val="333300"/>
                <w:sz w:val="18"/>
                <w:szCs w:val="18"/>
              </w:rPr>
              <w:t>82</w:t>
            </w:r>
          </w:p>
        </w:tc>
        <w:tc>
          <w:tcPr>
            <w:tcW w:w="46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937</w:t>
            </w:r>
          </w:p>
        </w:tc>
        <w:tc>
          <w:tcPr>
            <w:tcW w:w="42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818</w:t>
            </w:r>
          </w:p>
        </w:tc>
        <w:tc>
          <w:tcPr>
            <w:tcW w:w="49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104</w:t>
            </w:r>
          </w:p>
        </w:tc>
        <w:tc>
          <w:tcPr>
            <w:tcW w:w="493" w:type="pct"/>
            <w:noWrap/>
            <w:vAlign w:val="center"/>
          </w:tcPr>
          <w:p w:rsidR="000A7585" w:rsidRPr="00AE6EDB" w:rsidRDefault="000A7585" w:rsidP="00DE0EEC">
            <w:pPr>
              <w:ind w:right="90"/>
              <w:jc w:val="right"/>
              <w:rPr>
                <w:color w:val="333300"/>
                <w:sz w:val="18"/>
                <w:szCs w:val="18"/>
              </w:rPr>
            </w:pPr>
            <w:r w:rsidRPr="00AE6EDB">
              <w:rPr>
                <w:color w:val="333300"/>
                <w:sz w:val="18"/>
                <w:szCs w:val="18"/>
              </w:rPr>
              <w:t>346</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322</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4</w:t>
            </w:r>
          </w:p>
        </w:tc>
        <w:tc>
          <w:tcPr>
            <w:tcW w:w="498" w:type="pct"/>
            <w:noWrap/>
            <w:vAlign w:val="center"/>
          </w:tcPr>
          <w:p w:rsidR="000A7585" w:rsidRPr="00AE6EDB" w:rsidRDefault="000A7585" w:rsidP="00DE0EEC">
            <w:pPr>
              <w:ind w:right="90"/>
              <w:jc w:val="right"/>
              <w:rPr>
                <w:color w:val="333300"/>
                <w:sz w:val="18"/>
                <w:szCs w:val="18"/>
              </w:rPr>
            </w:pPr>
            <w:r w:rsidRPr="00AE6EDB">
              <w:rPr>
                <w:color w:val="333300"/>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color w:val="333300"/>
                <w:sz w:val="18"/>
                <w:szCs w:val="18"/>
              </w:rPr>
            </w:pPr>
            <w:r w:rsidRPr="00AE6EDB">
              <w:rPr>
                <w:color w:val="333300"/>
                <w:sz w:val="18"/>
                <w:szCs w:val="18"/>
              </w:rPr>
              <w:t>R Umenie, zábava a rekreácia</w:t>
            </w:r>
          </w:p>
        </w:tc>
        <w:tc>
          <w:tcPr>
            <w:tcW w:w="45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988</w:t>
            </w:r>
          </w:p>
        </w:tc>
        <w:tc>
          <w:tcPr>
            <w:tcW w:w="46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720</w:t>
            </w:r>
          </w:p>
        </w:tc>
        <w:tc>
          <w:tcPr>
            <w:tcW w:w="42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641</w:t>
            </w:r>
          </w:p>
        </w:tc>
        <w:tc>
          <w:tcPr>
            <w:tcW w:w="49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76</w:t>
            </w:r>
          </w:p>
        </w:tc>
        <w:tc>
          <w:tcPr>
            <w:tcW w:w="493" w:type="pct"/>
            <w:noWrap/>
            <w:vAlign w:val="center"/>
          </w:tcPr>
          <w:p w:rsidR="000A7585" w:rsidRPr="00AE6EDB" w:rsidRDefault="000A7585" w:rsidP="00DE0EEC">
            <w:pPr>
              <w:ind w:right="90"/>
              <w:jc w:val="right"/>
              <w:rPr>
                <w:color w:val="333300"/>
                <w:sz w:val="18"/>
                <w:szCs w:val="18"/>
              </w:rPr>
            </w:pPr>
            <w:r w:rsidRPr="00AE6EDB">
              <w:rPr>
                <w:color w:val="333300"/>
                <w:sz w:val="18"/>
                <w:szCs w:val="18"/>
              </w:rPr>
              <w:t>268</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248</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3</w:t>
            </w:r>
          </w:p>
        </w:tc>
        <w:tc>
          <w:tcPr>
            <w:tcW w:w="498" w:type="pct"/>
            <w:noWrap/>
            <w:vAlign w:val="center"/>
          </w:tcPr>
          <w:p w:rsidR="000A7585" w:rsidRPr="00AE6EDB" w:rsidRDefault="000A7585" w:rsidP="00DE0EEC">
            <w:pPr>
              <w:ind w:right="90"/>
              <w:jc w:val="right"/>
              <w:rPr>
                <w:color w:val="333300"/>
                <w:sz w:val="18"/>
                <w:szCs w:val="18"/>
              </w:rPr>
            </w:pPr>
            <w:r w:rsidRPr="00AE6EDB">
              <w:rPr>
                <w:color w:val="333300"/>
                <w:sz w:val="18"/>
                <w:szCs w:val="18"/>
              </w:rPr>
              <w:t>-0</w:t>
            </w:r>
          </w:p>
        </w:tc>
      </w:tr>
      <w:tr w:rsidR="000A7585" w:rsidRPr="00AE6EDB" w:rsidTr="00DE0EEC">
        <w:trPr>
          <w:trHeight w:val="271"/>
          <w:jc w:val="center"/>
        </w:trPr>
        <w:tc>
          <w:tcPr>
            <w:tcW w:w="896" w:type="pct"/>
            <w:noWrap/>
            <w:vAlign w:val="center"/>
          </w:tcPr>
          <w:p w:rsidR="000A7585" w:rsidRPr="00AE6EDB" w:rsidRDefault="000A7585" w:rsidP="00DE0EEC">
            <w:pPr>
              <w:jc w:val="left"/>
              <w:rPr>
                <w:color w:val="333300"/>
                <w:sz w:val="18"/>
                <w:szCs w:val="18"/>
              </w:rPr>
            </w:pPr>
            <w:r w:rsidRPr="00AE6EDB">
              <w:rPr>
                <w:color w:val="333300"/>
                <w:sz w:val="18"/>
                <w:szCs w:val="18"/>
              </w:rPr>
              <w:t>S Ostatné činnosti</w:t>
            </w:r>
          </w:p>
        </w:tc>
        <w:tc>
          <w:tcPr>
            <w:tcW w:w="45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919</w:t>
            </w:r>
          </w:p>
        </w:tc>
        <w:tc>
          <w:tcPr>
            <w:tcW w:w="46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671</w:t>
            </w:r>
          </w:p>
        </w:tc>
        <w:tc>
          <w:tcPr>
            <w:tcW w:w="427" w:type="pct"/>
            <w:noWrap/>
            <w:vAlign w:val="center"/>
          </w:tcPr>
          <w:p w:rsidR="000A7585" w:rsidRPr="00AE6EDB" w:rsidRDefault="000A7585" w:rsidP="00DE0EEC">
            <w:pPr>
              <w:ind w:right="90"/>
              <w:jc w:val="right"/>
              <w:rPr>
                <w:color w:val="333300"/>
                <w:sz w:val="18"/>
                <w:szCs w:val="18"/>
              </w:rPr>
            </w:pPr>
            <w:r w:rsidRPr="00AE6EDB">
              <w:rPr>
                <w:color w:val="333300"/>
                <w:sz w:val="18"/>
                <w:szCs w:val="18"/>
              </w:rPr>
              <w:t>600</w:t>
            </w:r>
          </w:p>
        </w:tc>
        <w:tc>
          <w:tcPr>
            <w:tcW w:w="49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71</w:t>
            </w:r>
          </w:p>
        </w:tc>
        <w:tc>
          <w:tcPr>
            <w:tcW w:w="493" w:type="pct"/>
            <w:noWrap/>
            <w:vAlign w:val="center"/>
          </w:tcPr>
          <w:p w:rsidR="000A7585" w:rsidRPr="00AE6EDB" w:rsidRDefault="000A7585" w:rsidP="00DE0EEC">
            <w:pPr>
              <w:ind w:right="90"/>
              <w:jc w:val="right"/>
              <w:rPr>
                <w:color w:val="333300"/>
                <w:sz w:val="18"/>
                <w:szCs w:val="18"/>
              </w:rPr>
            </w:pPr>
            <w:r w:rsidRPr="00AE6EDB">
              <w:rPr>
                <w:color w:val="333300"/>
                <w:sz w:val="18"/>
                <w:szCs w:val="18"/>
              </w:rPr>
              <w:t>247</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229</w:t>
            </w:r>
          </w:p>
        </w:tc>
        <w:tc>
          <w:tcPr>
            <w:tcW w:w="634" w:type="pct"/>
            <w:noWrap/>
            <w:vAlign w:val="center"/>
          </w:tcPr>
          <w:p w:rsidR="000A7585" w:rsidRPr="00AE6EDB" w:rsidRDefault="000A7585" w:rsidP="00DE0EEC">
            <w:pPr>
              <w:ind w:right="90"/>
              <w:jc w:val="right"/>
              <w:rPr>
                <w:color w:val="333300"/>
                <w:sz w:val="18"/>
                <w:szCs w:val="18"/>
              </w:rPr>
            </w:pPr>
            <w:r w:rsidRPr="00AE6EDB">
              <w:rPr>
                <w:color w:val="333300"/>
                <w:sz w:val="18"/>
                <w:szCs w:val="18"/>
              </w:rPr>
              <w:t>1</w:t>
            </w:r>
          </w:p>
        </w:tc>
        <w:tc>
          <w:tcPr>
            <w:tcW w:w="498" w:type="pct"/>
            <w:noWrap/>
            <w:vAlign w:val="center"/>
          </w:tcPr>
          <w:p w:rsidR="000A7585" w:rsidRPr="00AE6EDB" w:rsidRDefault="000A7585" w:rsidP="00DE0EEC">
            <w:pPr>
              <w:ind w:right="90"/>
              <w:jc w:val="right"/>
              <w:rPr>
                <w:color w:val="333300"/>
                <w:sz w:val="18"/>
                <w:szCs w:val="18"/>
              </w:rPr>
            </w:pPr>
            <w:r w:rsidRPr="00AE6EDB">
              <w:rPr>
                <w:color w:val="333300"/>
                <w:sz w:val="18"/>
                <w:szCs w:val="18"/>
              </w:rPr>
              <w:t>-</w:t>
            </w:r>
          </w:p>
        </w:tc>
      </w:tr>
    </w:tbl>
    <w:p w:rsidR="000A7585" w:rsidRPr="00AE6EDB" w:rsidRDefault="000A7585" w:rsidP="000A7585">
      <w:pPr>
        <w:pStyle w:val="zdroj"/>
        <w:spacing w:after="0"/>
        <w:ind w:firstLine="0"/>
      </w:pPr>
      <w:r w:rsidRPr="00AE6EDB">
        <w:t>Zdroj: ŠÚ SR, štatistické zisťovanie o úplných nákladoch práce</w:t>
      </w:r>
    </w:p>
    <w:p w:rsidR="000A7585" w:rsidRPr="00AE6EDB" w:rsidRDefault="000A7585" w:rsidP="000A7585">
      <w:pPr>
        <w:pStyle w:val="zdroj"/>
        <w:spacing w:before="0"/>
        <w:ind w:left="-567"/>
        <w:rPr>
          <w:rFonts w:ascii="Times New Roman Bold" w:hAnsi="Times New Roman Bold"/>
          <w:b/>
          <w:color w:val="4F81BD"/>
          <w:sz w:val="24"/>
          <w:lang w:eastAsia="cs-CZ"/>
        </w:rPr>
      </w:pPr>
      <w:r w:rsidRPr="00AE6EDB">
        <w:t>Vysvetlivka:(-) –jav sa nevyskytoval</w:t>
      </w:r>
    </w:p>
    <w:p w:rsidR="00352824" w:rsidRDefault="00352824" w:rsidP="000A7585">
      <w:pPr>
        <w:pStyle w:val="zdroj"/>
        <w:spacing w:before="0"/>
        <w:rPr>
          <w:color w:val="000000" w:themeColor="text1"/>
          <w:highlight w:val="cyan"/>
        </w:rPr>
        <w:sectPr w:rsidR="00352824" w:rsidSect="004F3C97">
          <w:headerReference w:type="even" r:id="rId106"/>
          <w:headerReference w:type="default" r:id="rId107"/>
          <w:footerReference w:type="default" r:id="rId108"/>
          <w:pgSz w:w="11906" w:h="16838"/>
          <w:pgMar w:top="1417" w:right="1417" w:bottom="1417" w:left="1417" w:header="708" w:footer="708" w:gutter="0"/>
          <w:cols w:space="708"/>
          <w:docGrid w:linePitch="360"/>
        </w:sectPr>
      </w:pPr>
    </w:p>
    <w:p w:rsidR="000A7585" w:rsidRPr="00AE6EDB" w:rsidRDefault="000A7585" w:rsidP="000A7585">
      <w:pPr>
        <w:pStyle w:val="zdroj"/>
        <w:spacing w:before="0"/>
        <w:rPr>
          <w:color w:val="000000" w:themeColor="text1"/>
          <w:highlight w:val="cyan"/>
        </w:rPr>
        <w:sectPr w:rsidR="000A7585" w:rsidRPr="00AE6EDB" w:rsidSect="00352824">
          <w:headerReference w:type="even" r:id="rId109"/>
          <w:type w:val="evenPage"/>
          <w:pgSz w:w="11906" w:h="16838"/>
          <w:pgMar w:top="1417" w:right="1417" w:bottom="1417" w:left="1417" w:header="708" w:footer="708" w:gutter="0"/>
          <w:cols w:space="708"/>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jc w:val="center"/>
      </w:pPr>
      <w:bookmarkStart w:id="858" w:name="_Toc387413125"/>
      <w:bookmarkStart w:id="859" w:name="_Toc387659191"/>
      <w:bookmarkStart w:id="860" w:name="_Toc388534246"/>
      <w:bookmarkStart w:id="861" w:name="_Toc389646868"/>
      <w:bookmarkStart w:id="862" w:name="_Toc394062246"/>
      <w:bookmarkStart w:id="863" w:name="_Toc418672288"/>
      <w:bookmarkStart w:id="864" w:name="_Toc419355273"/>
      <w:bookmarkStart w:id="865" w:name="_Toc419795396"/>
      <w:bookmarkStart w:id="866" w:name="_Toc422151016"/>
      <w:bookmarkStart w:id="867" w:name="_Toc422233456"/>
      <w:bookmarkStart w:id="868" w:name="_Toc452469915"/>
      <w:bookmarkEnd w:id="856"/>
      <w:r w:rsidRPr="00AE6EDB">
        <w:t>Príloha ku kapitole 3</w:t>
      </w:r>
      <w:bookmarkEnd w:id="858"/>
      <w:bookmarkEnd w:id="859"/>
      <w:bookmarkEnd w:id="860"/>
      <w:bookmarkEnd w:id="861"/>
      <w:bookmarkEnd w:id="862"/>
      <w:bookmarkEnd w:id="863"/>
      <w:bookmarkEnd w:id="864"/>
      <w:bookmarkEnd w:id="865"/>
      <w:bookmarkEnd w:id="866"/>
      <w:bookmarkEnd w:id="867"/>
      <w:bookmarkEnd w:id="868"/>
    </w:p>
    <w:p w:rsidR="00352824" w:rsidRDefault="00352824" w:rsidP="000A7585">
      <w:pPr>
        <w:rPr>
          <w:highlight w:val="cyan"/>
        </w:rPr>
        <w:sectPr w:rsidR="00352824" w:rsidSect="004F3C97">
          <w:headerReference w:type="even" r:id="rId110"/>
          <w:footerReference w:type="default" r:id="rId111"/>
          <w:headerReference w:type="first" r:id="rId112"/>
          <w:type w:val="oddPage"/>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type w:val="evenPage"/>
          <w:pgSz w:w="11906" w:h="16838"/>
          <w:pgMar w:top="1417" w:right="1417" w:bottom="1417" w:left="1417" w:header="708" w:footer="708" w:gutter="0"/>
          <w:cols w:space="708"/>
          <w:titlePg/>
          <w:docGrid w:linePitch="360"/>
        </w:sectPr>
      </w:pPr>
    </w:p>
    <w:p w:rsidR="000A7585" w:rsidRPr="00AE6EDB" w:rsidRDefault="000A7585" w:rsidP="000A7585">
      <w:pPr>
        <w:pStyle w:val="Nadpis7"/>
      </w:pPr>
      <w:r w:rsidRPr="00AE6EDB">
        <w:t xml:space="preserve">Tabuľka 1 Výdavky základného fondu nemocenského poistenia (ZFNP) a nemocenské dávky </w:t>
      </w:r>
      <w:r w:rsidRPr="00AE6EDB">
        <w:br/>
        <w:t>v roku 2015</w:t>
      </w:r>
    </w:p>
    <w:tbl>
      <w:tblPr>
        <w:tblW w:w="10050" w:type="dxa"/>
        <w:jc w:val="center"/>
        <w:tblLayout w:type="fixed"/>
        <w:tblCellMar>
          <w:left w:w="70" w:type="dxa"/>
          <w:right w:w="70" w:type="dxa"/>
        </w:tblCellMar>
        <w:tblLook w:val="00A0" w:firstRow="1" w:lastRow="0" w:firstColumn="1" w:lastColumn="0" w:noHBand="0" w:noVBand="0"/>
      </w:tblPr>
      <w:tblGrid>
        <w:gridCol w:w="2065"/>
        <w:gridCol w:w="1134"/>
        <w:gridCol w:w="1134"/>
        <w:gridCol w:w="1134"/>
        <w:gridCol w:w="1070"/>
        <w:gridCol w:w="1086"/>
        <w:gridCol w:w="1105"/>
        <w:gridCol w:w="1322"/>
      </w:tblGrid>
      <w:tr w:rsidR="000A7585" w:rsidRPr="00AE6EDB" w:rsidTr="00DE0EEC">
        <w:trPr>
          <w:trHeight w:val="265"/>
          <w:jc w:val="center"/>
        </w:trPr>
        <w:tc>
          <w:tcPr>
            <w:tcW w:w="206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Vyplatené dávky (v tis. €)</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Január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Február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Marec</w:t>
            </w:r>
          </w:p>
        </w:tc>
        <w:tc>
          <w:tcPr>
            <w:tcW w:w="107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Apríl</w:t>
            </w:r>
          </w:p>
        </w:tc>
        <w:tc>
          <w:tcPr>
            <w:tcW w:w="1086"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Máj</w:t>
            </w:r>
          </w:p>
        </w:tc>
        <w:tc>
          <w:tcPr>
            <w:tcW w:w="110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Jún</w:t>
            </w:r>
          </w:p>
        </w:tc>
        <w:tc>
          <w:tcPr>
            <w:tcW w:w="132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I. polrok 2015</w:t>
            </w:r>
          </w:p>
        </w:tc>
      </w:tr>
      <w:tr w:rsidR="000A7585" w:rsidRPr="00AE6EDB" w:rsidTr="00DE0EEC">
        <w:trPr>
          <w:trHeight w:val="265"/>
          <w:jc w:val="center"/>
        </w:trPr>
        <w:tc>
          <w:tcPr>
            <w:tcW w:w="2065" w:type="dxa"/>
            <w:tcBorders>
              <w:top w:val="single" w:sz="2" w:space="0" w:color="auto"/>
              <w:left w:val="single" w:sz="2" w:space="0" w:color="auto"/>
              <w:right w:val="single" w:sz="2" w:space="0" w:color="auto"/>
            </w:tcBorders>
            <w:noWrap/>
            <w:vAlign w:val="center"/>
          </w:tcPr>
          <w:p w:rsidR="000A7585" w:rsidRPr="00AE6EDB" w:rsidRDefault="000A7585" w:rsidP="00DE0EEC">
            <w:pPr>
              <w:jc w:val="left"/>
            </w:pPr>
            <w:r w:rsidRPr="00AE6EDB">
              <w:rPr>
                <w:szCs w:val="22"/>
              </w:rPr>
              <w:t>Nemocenské</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3 2</w:t>
            </w:r>
            <w:r w:rsidRPr="00AE6EDB">
              <w:rPr>
                <w:szCs w:val="22"/>
              </w:rPr>
              <w:t>65,9</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4 1</w:t>
            </w:r>
            <w:r w:rsidRPr="00AE6EDB">
              <w:rPr>
                <w:szCs w:val="22"/>
              </w:rPr>
              <w:t>00,0</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5 1</w:t>
            </w:r>
            <w:r w:rsidRPr="00AE6EDB">
              <w:rPr>
                <w:szCs w:val="22"/>
              </w:rPr>
              <w:t>38,3</w:t>
            </w:r>
          </w:p>
        </w:tc>
        <w:tc>
          <w:tcPr>
            <w:tcW w:w="107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6 8</w:t>
            </w:r>
            <w:r w:rsidRPr="00AE6EDB">
              <w:rPr>
                <w:szCs w:val="22"/>
              </w:rPr>
              <w:t>83,2</w:t>
            </w:r>
          </w:p>
        </w:tc>
        <w:tc>
          <w:tcPr>
            <w:tcW w:w="1086"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3 2</w:t>
            </w:r>
            <w:r w:rsidRPr="00AE6EDB">
              <w:rPr>
                <w:szCs w:val="22"/>
              </w:rPr>
              <w:t>15,7</w:t>
            </w:r>
          </w:p>
        </w:tc>
        <w:tc>
          <w:tcPr>
            <w:tcW w:w="1105"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3 0</w:t>
            </w:r>
            <w:r w:rsidRPr="00AE6EDB">
              <w:rPr>
                <w:szCs w:val="22"/>
              </w:rPr>
              <w:t>37,9</w:t>
            </w:r>
          </w:p>
        </w:tc>
        <w:tc>
          <w:tcPr>
            <w:tcW w:w="1322"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14</w:t>
            </w:r>
            <w:r w:rsidR="00AC44CB">
              <w:rPr>
                <w:szCs w:val="22"/>
              </w:rPr>
              <w:t>5 6</w:t>
            </w:r>
            <w:r w:rsidRPr="00AE6EDB">
              <w:rPr>
                <w:szCs w:val="22"/>
              </w:rPr>
              <w:t>41,0</w:t>
            </w:r>
          </w:p>
        </w:tc>
      </w:tr>
      <w:tr w:rsidR="000A7585" w:rsidRPr="00AE6EDB" w:rsidTr="00DE0EEC">
        <w:trPr>
          <w:trHeight w:val="265"/>
          <w:jc w:val="center"/>
        </w:trPr>
        <w:tc>
          <w:tcPr>
            <w:tcW w:w="2065"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Ošetrovné</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899,9</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781,2</w:t>
            </w:r>
          </w:p>
        </w:tc>
        <w:tc>
          <w:tcPr>
            <w:tcW w:w="1134" w:type="dxa"/>
            <w:tcBorders>
              <w:left w:val="single" w:sz="2" w:space="0" w:color="auto"/>
              <w:right w:val="single" w:sz="2" w:space="0" w:color="auto"/>
            </w:tcBorders>
            <w:noWrap/>
            <w:vAlign w:val="bottom"/>
          </w:tcPr>
          <w:p w:rsidR="000A7585" w:rsidRPr="00AE6EDB" w:rsidRDefault="0054295F" w:rsidP="00DE0EEC">
            <w:pPr>
              <w:jc w:val="right"/>
              <w:rPr>
                <w:szCs w:val="22"/>
              </w:rPr>
            </w:pPr>
            <w:r>
              <w:rPr>
                <w:szCs w:val="22"/>
              </w:rPr>
              <w:t>1 4</w:t>
            </w:r>
            <w:r w:rsidR="000A7585" w:rsidRPr="00AE6EDB">
              <w:rPr>
                <w:szCs w:val="22"/>
              </w:rPr>
              <w:t>05,5</w:t>
            </w:r>
          </w:p>
        </w:tc>
        <w:tc>
          <w:tcPr>
            <w:tcW w:w="1070" w:type="dxa"/>
            <w:tcBorders>
              <w:left w:val="single" w:sz="2" w:space="0" w:color="auto"/>
              <w:right w:val="single" w:sz="2" w:space="0" w:color="auto"/>
            </w:tcBorders>
            <w:noWrap/>
            <w:vAlign w:val="bottom"/>
          </w:tcPr>
          <w:p w:rsidR="000A7585" w:rsidRPr="00AE6EDB" w:rsidRDefault="0054295F" w:rsidP="00DE0EEC">
            <w:pPr>
              <w:jc w:val="right"/>
              <w:rPr>
                <w:szCs w:val="22"/>
              </w:rPr>
            </w:pPr>
            <w:r>
              <w:rPr>
                <w:szCs w:val="22"/>
              </w:rPr>
              <w:t>1 0</w:t>
            </w:r>
            <w:r w:rsidR="000A7585" w:rsidRPr="00AE6EDB">
              <w:rPr>
                <w:szCs w:val="22"/>
              </w:rPr>
              <w:t>07,5</w:t>
            </w:r>
          </w:p>
        </w:tc>
        <w:tc>
          <w:tcPr>
            <w:tcW w:w="1086"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777,8</w:t>
            </w:r>
          </w:p>
        </w:tc>
        <w:tc>
          <w:tcPr>
            <w:tcW w:w="110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786,9</w:t>
            </w:r>
          </w:p>
        </w:tc>
        <w:tc>
          <w:tcPr>
            <w:tcW w:w="1322"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5 6</w:t>
            </w:r>
            <w:r w:rsidR="000A7585" w:rsidRPr="00AE6EDB">
              <w:rPr>
                <w:szCs w:val="22"/>
              </w:rPr>
              <w:t>58,8</w:t>
            </w:r>
          </w:p>
        </w:tc>
      </w:tr>
      <w:tr w:rsidR="000A7585" w:rsidRPr="00AE6EDB" w:rsidTr="00DE0EEC">
        <w:trPr>
          <w:trHeight w:val="265"/>
          <w:jc w:val="center"/>
        </w:trPr>
        <w:tc>
          <w:tcPr>
            <w:tcW w:w="2065"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Vyrovnávacia dávka</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4,5</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3,8</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5,0</w:t>
            </w:r>
          </w:p>
        </w:tc>
        <w:tc>
          <w:tcPr>
            <w:tcW w:w="107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5,1</w:t>
            </w:r>
          </w:p>
        </w:tc>
        <w:tc>
          <w:tcPr>
            <w:tcW w:w="1086"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4,9</w:t>
            </w:r>
          </w:p>
        </w:tc>
        <w:tc>
          <w:tcPr>
            <w:tcW w:w="110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4,6</w:t>
            </w:r>
          </w:p>
        </w:tc>
        <w:tc>
          <w:tcPr>
            <w:tcW w:w="1322"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28,0</w:t>
            </w:r>
          </w:p>
        </w:tc>
      </w:tr>
      <w:tr w:rsidR="000A7585" w:rsidRPr="00AE6EDB" w:rsidTr="00DE0EEC">
        <w:trPr>
          <w:trHeight w:val="265"/>
          <w:jc w:val="center"/>
        </w:trPr>
        <w:tc>
          <w:tcPr>
            <w:tcW w:w="2065"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Materské</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0 4</w:t>
            </w:r>
            <w:r w:rsidRPr="00AE6EDB">
              <w:rPr>
                <w:szCs w:val="22"/>
              </w:rPr>
              <w:t>92,6</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0 3</w:t>
            </w:r>
            <w:r w:rsidRPr="00AE6EDB">
              <w:rPr>
                <w:szCs w:val="22"/>
              </w:rPr>
              <w:t>87,3</w:t>
            </w:r>
          </w:p>
        </w:tc>
        <w:tc>
          <w:tcPr>
            <w:tcW w:w="1134"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9 2</w:t>
            </w:r>
            <w:r w:rsidR="000A7585" w:rsidRPr="00AE6EDB">
              <w:rPr>
                <w:szCs w:val="22"/>
              </w:rPr>
              <w:t>12,1</w:t>
            </w:r>
          </w:p>
        </w:tc>
        <w:tc>
          <w:tcPr>
            <w:tcW w:w="107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0 2</w:t>
            </w:r>
            <w:r w:rsidRPr="00AE6EDB">
              <w:rPr>
                <w:szCs w:val="22"/>
              </w:rPr>
              <w:t>72,5</w:t>
            </w:r>
          </w:p>
        </w:tc>
        <w:tc>
          <w:tcPr>
            <w:tcW w:w="1086"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9 8</w:t>
            </w:r>
            <w:r w:rsidR="000A7585" w:rsidRPr="00AE6EDB">
              <w:rPr>
                <w:szCs w:val="22"/>
              </w:rPr>
              <w:t>23,5</w:t>
            </w:r>
          </w:p>
        </w:tc>
        <w:tc>
          <w:tcPr>
            <w:tcW w:w="110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0 3</w:t>
            </w:r>
            <w:r w:rsidRPr="00AE6EDB">
              <w:rPr>
                <w:szCs w:val="22"/>
              </w:rPr>
              <w:t>27,9</w:t>
            </w:r>
          </w:p>
        </w:tc>
        <w:tc>
          <w:tcPr>
            <w:tcW w:w="1322"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w:t>
            </w:r>
            <w:r w:rsidR="0054295F">
              <w:rPr>
                <w:szCs w:val="22"/>
              </w:rPr>
              <w:t>0 5</w:t>
            </w:r>
            <w:r w:rsidRPr="00AE6EDB">
              <w:rPr>
                <w:szCs w:val="22"/>
              </w:rPr>
              <w:t>15,8</w:t>
            </w:r>
          </w:p>
        </w:tc>
      </w:tr>
      <w:tr w:rsidR="000A7585" w:rsidRPr="00AE6EDB" w:rsidTr="00DE0EEC">
        <w:trPr>
          <w:trHeight w:val="265"/>
          <w:jc w:val="center"/>
        </w:trPr>
        <w:tc>
          <w:tcPr>
            <w:tcW w:w="2065" w:type="dxa"/>
            <w:tcBorders>
              <w:left w:val="single" w:sz="2" w:space="0" w:color="auto"/>
              <w:right w:val="single" w:sz="2" w:space="0" w:color="auto"/>
            </w:tcBorders>
            <w:noWrap/>
            <w:vAlign w:val="center"/>
          </w:tcPr>
          <w:p w:rsidR="000A7585" w:rsidRPr="00AE6EDB" w:rsidRDefault="000A7585" w:rsidP="00DE0EEC">
            <w:pPr>
              <w:jc w:val="left"/>
              <w:rPr>
                <w:b/>
                <w:bCs/>
              </w:rPr>
            </w:pPr>
            <w:r w:rsidRPr="00AE6EDB">
              <w:rPr>
                <w:b/>
                <w:bCs/>
                <w:szCs w:val="22"/>
              </w:rPr>
              <w:t>Spolu</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4 6</w:t>
            </w:r>
            <w:r w:rsidRPr="00AE6EDB">
              <w:rPr>
                <w:szCs w:val="22"/>
              </w:rPr>
              <w:t>62,9</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5 2</w:t>
            </w:r>
            <w:r w:rsidRPr="00AE6EDB">
              <w:rPr>
                <w:szCs w:val="22"/>
              </w:rPr>
              <w:t>72,3</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5 7</w:t>
            </w:r>
            <w:r w:rsidRPr="00AE6EDB">
              <w:rPr>
                <w:szCs w:val="22"/>
              </w:rPr>
              <w:t>60,9</w:t>
            </w:r>
          </w:p>
        </w:tc>
        <w:tc>
          <w:tcPr>
            <w:tcW w:w="107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8 1</w:t>
            </w:r>
            <w:r w:rsidRPr="00AE6EDB">
              <w:rPr>
                <w:szCs w:val="22"/>
              </w:rPr>
              <w:t>68,4</w:t>
            </w:r>
          </w:p>
        </w:tc>
        <w:tc>
          <w:tcPr>
            <w:tcW w:w="1086"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3 8</w:t>
            </w:r>
            <w:r w:rsidRPr="00AE6EDB">
              <w:rPr>
                <w:szCs w:val="22"/>
              </w:rPr>
              <w:t>21,9</w:t>
            </w:r>
          </w:p>
        </w:tc>
        <w:tc>
          <w:tcPr>
            <w:tcW w:w="110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4 1</w:t>
            </w:r>
            <w:r w:rsidRPr="00AE6EDB">
              <w:rPr>
                <w:szCs w:val="22"/>
              </w:rPr>
              <w:t>57,3</w:t>
            </w:r>
          </w:p>
        </w:tc>
        <w:tc>
          <w:tcPr>
            <w:tcW w:w="1322"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21</w:t>
            </w:r>
            <w:r w:rsidR="0054295F">
              <w:rPr>
                <w:szCs w:val="22"/>
              </w:rPr>
              <w:t>1 8</w:t>
            </w:r>
            <w:r w:rsidRPr="00AE6EDB">
              <w:rPr>
                <w:szCs w:val="22"/>
              </w:rPr>
              <w:t>43,7</w:t>
            </w:r>
          </w:p>
        </w:tc>
      </w:tr>
      <w:tr w:rsidR="000A7585" w:rsidRPr="00AE6EDB" w:rsidTr="00DE0EEC">
        <w:trPr>
          <w:trHeight w:val="265"/>
          <w:jc w:val="center"/>
        </w:trPr>
        <w:tc>
          <w:tcPr>
            <w:tcW w:w="2065" w:type="dxa"/>
            <w:tcBorders>
              <w:left w:val="single" w:sz="2" w:space="0" w:color="auto"/>
              <w:right w:val="single" w:sz="2" w:space="0" w:color="auto"/>
            </w:tcBorders>
            <w:noWrap/>
            <w:vAlign w:val="center"/>
          </w:tcPr>
          <w:p w:rsidR="000A7585" w:rsidRPr="00AE6EDB" w:rsidRDefault="000A7585" w:rsidP="00DE0EEC">
            <w:pPr>
              <w:jc w:val="left"/>
              <w:rPr>
                <w:bCs/>
                <w:szCs w:val="22"/>
              </w:rPr>
            </w:pPr>
            <w:r w:rsidRPr="00AE6EDB">
              <w:rPr>
                <w:bCs/>
                <w:szCs w:val="22"/>
              </w:rPr>
              <w:t>Cudzie platby</w:t>
            </w:r>
            <w:r w:rsidR="00156DD4" w:rsidRPr="00AE6EDB">
              <w:rPr>
                <w:rStyle w:val="Odkaznapoznmkupodiarou"/>
                <w:bCs/>
                <w:szCs w:val="22"/>
              </w:rPr>
              <w:footnoteReference w:id="81"/>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-0,4</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-0,2</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-0,2</w:t>
            </w:r>
          </w:p>
        </w:tc>
        <w:tc>
          <w:tcPr>
            <w:tcW w:w="107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-0,1</w:t>
            </w:r>
          </w:p>
        </w:tc>
        <w:tc>
          <w:tcPr>
            <w:tcW w:w="1086"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-0,1</w:t>
            </w:r>
          </w:p>
        </w:tc>
        <w:tc>
          <w:tcPr>
            <w:tcW w:w="110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-0,1</w:t>
            </w:r>
          </w:p>
        </w:tc>
        <w:tc>
          <w:tcPr>
            <w:tcW w:w="1322"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-1,1</w:t>
            </w:r>
          </w:p>
        </w:tc>
      </w:tr>
      <w:tr w:rsidR="000A7585" w:rsidRPr="00AE6EDB" w:rsidTr="00DE0EEC">
        <w:trPr>
          <w:trHeight w:val="265"/>
          <w:jc w:val="center"/>
        </w:trPr>
        <w:tc>
          <w:tcPr>
            <w:tcW w:w="2065" w:type="dxa"/>
            <w:tcBorders>
              <w:left w:val="single" w:sz="2" w:space="0" w:color="auto"/>
              <w:bottom w:val="single" w:sz="2" w:space="0" w:color="auto"/>
              <w:right w:val="single" w:sz="2" w:space="0" w:color="auto"/>
            </w:tcBorders>
            <w:noWrap/>
            <w:vAlign w:val="center"/>
          </w:tcPr>
          <w:p w:rsidR="000A7585" w:rsidRPr="00AE6EDB" w:rsidRDefault="000A7585" w:rsidP="00DE0EEC">
            <w:pPr>
              <w:jc w:val="left"/>
            </w:pPr>
            <w:r w:rsidRPr="00AE6EDB">
              <w:rPr>
                <w:szCs w:val="22"/>
              </w:rPr>
              <w:t>Zúčtovanie dávok §112, ods.98</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070"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-0,5</w:t>
            </w:r>
          </w:p>
        </w:tc>
        <w:tc>
          <w:tcPr>
            <w:tcW w:w="1086"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-0,3</w:t>
            </w:r>
          </w:p>
        </w:tc>
        <w:tc>
          <w:tcPr>
            <w:tcW w:w="1105"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322"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-0,8</w:t>
            </w:r>
          </w:p>
        </w:tc>
      </w:tr>
      <w:tr w:rsidR="000A7585" w:rsidRPr="00AE6EDB" w:rsidTr="00DE0EEC">
        <w:trPr>
          <w:trHeight w:val="265"/>
          <w:jc w:val="center"/>
        </w:trPr>
        <w:tc>
          <w:tcPr>
            <w:tcW w:w="2065"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jc w:val="left"/>
              <w:rPr>
                <w:b/>
                <w:bCs/>
              </w:rPr>
            </w:pPr>
            <w:r w:rsidRPr="00AE6EDB">
              <w:rPr>
                <w:b/>
                <w:bCs/>
                <w:szCs w:val="22"/>
              </w:rPr>
              <w:t>Celkom výdavky ZFNP</w:t>
            </w:r>
          </w:p>
        </w:tc>
        <w:tc>
          <w:tcPr>
            <w:tcW w:w="11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4 6</w:t>
            </w:r>
            <w:r w:rsidRPr="00AE6EDB">
              <w:rPr>
                <w:szCs w:val="22"/>
              </w:rPr>
              <w:t>62,5</w:t>
            </w:r>
          </w:p>
        </w:tc>
        <w:tc>
          <w:tcPr>
            <w:tcW w:w="11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5 2</w:t>
            </w:r>
            <w:r w:rsidRPr="00AE6EDB">
              <w:rPr>
                <w:szCs w:val="22"/>
              </w:rPr>
              <w:t>72,1</w:t>
            </w:r>
          </w:p>
        </w:tc>
        <w:tc>
          <w:tcPr>
            <w:tcW w:w="11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5 7</w:t>
            </w:r>
            <w:r w:rsidRPr="00AE6EDB">
              <w:rPr>
                <w:szCs w:val="22"/>
              </w:rPr>
              <w:t>60,7</w:t>
            </w:r>
          </w:p>
        </w:tc>
        <w:tc>
          <w:tcPr>
            <w:tcW w:w="107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8 1</w:t>
            </w:r>
            <w:r w:rsidRPr="00AE6EDB">
              <w:rPr>
                <w:szCs w:val="22"/>
              </w:rPr>
              <w:t>67,8</w:t>
            </w:r>
          </w:p>
        </w:tc>
        <w:tc>
          <w:tcPr>
            <w:tcW w:w="1086"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3 8</w:t>
            </w:r>
            <w:r w:rsidRPr="00AE6EDB">
              <w:rPr>
                <w:szCs w:val="22"/>
              </w:rPr>
              <w:t>21,5</w:t>
            </w:r>
          </w:p>
        </w:tc>
        <w:tc>
          <w:tcPr>
            <w:tcW w:w="1105"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4 1</w:t>
            </w:r>
            <w:r w:rsidRPr="00AE6EDB">
              <w:rPr>
                <w:szCs w:val="22"/>
              </w:rPr>
              <w:t>57,2</w:t>
            </w:r>
          </w:p>
        </w:tc>
        <w:tc>
          <w:tcPr>
            <w:tcW w:w="1322"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b/>
                <w:szCs w:val="22"/>
              </w:rPr>
            </w:pPr>
            <w:r w:rsidRPr="00AE6EDB">
              <w:rPr>
                <w:b/>
                <w:szCs w:val="22"/>
              </w:rPr>
              <w:t>21</w:t>
            </w:r>
            <w:r w:rsidR="0054295F">
              <w:rPr>
                <w:b/>
                <w:szCs w:val="22"/>
              </w:rPr>
              <w:t>1 8</w:t>
            </w:r>
            <w:r w:rsidRPr="00AE6EDB">
              <w:rPr>
                <w:b/>
                <w:szCs w:val="22"/>
              </w:rPr>
              <w:t>41,8</w:t>
            </w:r>
          </w:p>
        </w:tc>
      </w:tr>
    </w:tbl>
    <w:p w:rsidR="000A7585" w:rsidRPr="00AE6EDB" w:rsidRDefault="000A7585" w:rsidP="000A7585">
      <w:pPr>
        <w:pStyle w:val="zdroj"/>
        <w:spacing w:before="0" w:after="0"/>
        <w:rPr>
          <w:color w:val="auto"/>
          <w:lang w:eastAsia="cs-CZ"/>
        </w:rPr>
      </w:pPr>
    </w:p>
    <w:tbl>
      <w:tblPr>
        <w:tblW w:w="10006" w:type="dxa"/>
        <w:jc w:val="center"/>
        <w:tblLayout w:type="fixed"/>
        <w:tblCellMar>
          <w:left w:w="70" w:type="dxa"/>
          <w:right w:w="70" w:type="dxa"/>
        </w:tblCellMar>
        <w:tblLook w:val="00A0" w:firstRow="1" w:lastRow="0" w:firstColumn="1" w:lastColumn="0" w:noHBand="0" w:noVBand="0"/>
      </w:tblPr>
      <w:tblGrid>
        <w:gridCol w:w="2068"/>
        <w:gridCol w:w="1093"/>
        <w:gridCol w:w="1034"/>
        <w:gridCol w:w="1234"/>
        <w:gridCol w:w="1034"/>
        <w:gridCol w:w="1134"/>
        <w:gridCol w:w="1134"/>
        <w:gridCol w:w="1275"/>
      </w:tblGrid>
      <w:tr w:rsidR="000A7585" w:rsidRPr="00AE6EDB" w:rsidTr="00DE0EEC">
        <w:trPr>
          <w:trHeight w:val="278"/>
          <w:jc w:val="center"/>
        </w:trPr>
        <w:tc>
          <w:tcPr>
            <w:tcW w:w="206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Vyplatené dávky (v tis. €)</w:t>
            </w:r>
          </w:p>
        </w:tc>
        <w:tc>
          <w:tcPr>
            <w:tcW w:w="10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Júl</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August</w:t>
            </w:r>
          </w:p>
        </w:tc>
        <w:tc>
          <w:tcPr>
            <w:tcW w:w="12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September</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Október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December</w:t>
            </w:r>
          </w:p>
        </w:tc>
        <w:tc>
          <w:tcPr>
            <w:tcW w:w="127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Rok 2015</w:t>
            </w:r>
          </w:p>
        </w:tc>
      </w:tr>
      <w:tr w:rsidR="000A7585" w:rsidRPr="00AE6EDB" w:rsidTr="00DE0EEC">
        <w:trPr>
          <w:trHeight w:val="278"/>
          <w:jc w:val="center"/>
        </w:trPr>
        <w:tc>
          <w:tcPr>
            <w:tcW w:w="2068" w:type="dxa"/>
            <w:tcBorders>
              <w:top w:val="single" w:sz="2" w:space="0" w:color="auto"/>
              <w:left w:val="single" w:sz="2" w:space="0" w:color="auto"/>
              <w:right w:val="single" w:sz="2" w:space="0" w:color="auto"/>
            </w:tcBorders>
            <w:noWrap/>
            <w:vAlign w:val="center"/>
          </w:tcPr>
          <w:p w:rsidR="000A7585" w:rsidRPr="00AE6EDB" w:rsidRDefault="000A7585" w:rsidP="00DE0EEC">
            <w:r w:rsidRPr="00AE6EDB">
              <w:rPr>
                <w:szCs w:val="22"/>
              </w:rPr>
              <w:t>Nemocenské</w:t>
            </w:r>
          </w:p>
        </w:tc>
        <w:tc>
          <w:tcPr>
            <w:tcW w:w="1093"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1 7</w:t>
            </w:r>
            <w:r w:rsidRPr="00AE6EDB">
              <w:rPr>
                <w:szCs w:val="22"/>
              </w:rPr>
              <w:t>23,3</w:t>
            </w:r>
          </w:p>
        </w:tc>
        <w:tc>
          <w:tcPr>
            <w:tcW w:w="10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1 5</w:t>
            </w:r>
            <w:r w:rsidRPr="00AE6EDB">
              <w:rPr>
                <w:szCs w:val="22"/>
              </w:rPr>
              <w:t>74,0</w:t>
            </w:r>
          </w:p>
        </w:tc>
        <w:tc>
          <w:tcPr>
            <w:tcW w:w="12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1 1</w:t>
            </w:r>
            <w:r w:rsidRPr="00AE6EDB">
              <w:rPr>
                <w:szCs w:val="22"/>
              </w:rPr>
              <w:t>65,6</w:t>
            </w:r>
          </w:p>
        </w:tc>
        <w:tc>
          <w:tcPr>
            <w:tcW w:w="10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1 0</w:t>
            </w:r>
            <w:r w:rsidRPr="00AE6EDB">
              <w:rPr>
                <w:szCs w:val="22"/>
              </w:rPr>
              <w:t>08,5</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3 6</w:t>
            </w:r>
            <w:r w:rsidRPr="00AE6EDB">
              <w:rPr>
                <w:szCs w:val="22"/>
              </w:rPr>
              <w:t>95,3</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3 9</w:t>
            </w:r>
            <w:r w:rsidRPr="00AE6EDB">
              <w:rPr>
                <w:szCs w:val="22"/>
              </w:rPr>
              <w:t>84,4</w:t>
            </w:r>
          </w:p>
        </w:tc>
        <w:tc>
          <w:tcPr>
            <w:tcW w:w="1275"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27</w:t>
            </w:r>
            <w:r w:rsidR="00AC44CB">
              <w:rPr>
                <w:szCs w:val="22"/>
              </w:rPr>
              <w:t>8 7</w:t>
            </w:r>
            <w:r w:rsidRPr="00AE6EDB">
              <w:rPr>
                <w:szCs w:val="22"/>
              </w:rPr>
              <w:t>92,2</w:t>
            </w:r>
          </w:p>
        </w:tc>
      </w:tr>
      <w:tr w:rsidR="000A7585" w:rsidRPr="00AE6EDB" w:rsidTr="00DE0EEC">
        <w:trPr>
          <w:trHeight w:val="278"/>
          <w:jc w:val="center"/>
        </w:trPr>
        <w:tc>
          <w:tcPr>
            <w:tcW w:w="2068" w:type="dxa"/>
            <w:tcBorders>
              <w:left w:val="single" w:sz="2" w:space="0" w:color="auto"/>
              <w:right w:val="single" w:sz="2" w:space="0" w:color="auto"/>
            </w:tcBorders>
            <w:noWrap/>
            <w:vAlign w:val="center"/>
          </w:tcPr>
          <w:p w:rsidR="000A7585" w:rsidRPr="00AE6EDB" w:rsidRDefault="000A7585" w:rsidP="00DE0EEC">
            <w:r w:rsidRPr="00AE6EDB">
              <w:rPr>
                <w:szCs w:val="22"/>
              </w:rPr>
              <w:t>Ošetrovné</w:t>
            </w:r>
          </w:p>
        </w:tc>
        <w:tc>
          <w:tcPr>
            <w:tcW w:w="10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824,0</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744,3</w:t>
            </w:r>
          </w:p>
        </w:tc>
        <w:tc>
          <w:tcPr>
            <w:tcW w:w="12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689,0</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668,7</w:t>
            </w:r>
          </w:p>
        </w:tc>
        <w:tc>
          <w:tcPr>
            <w:tcW w:w="1134" w:type="dxa"/>
            <w:tcBorders>
              <w:left w:val="single" w:sz="2" w:space="0" w:color="auto"/>
              <w:right w:val="single" w:sz="2" w:space="0" w:color="auto"/>
            </w:tcBorders>
            <w:noWrap/>
            <w:vAlign w:val="bottom"/>
          </w:tcPr>
          <w:p w:rsidR="000A7585" w:rsidRPr="00AE6EDB" w:rsidRDefault="0054295F" w:rsidP="00DE0EEC">
            <w:pPr>
              <w:jc w:val="right"/>
              <w:rPr>
                <w:szCs w:val="22"/>
              </w:rPr>
            </w:pPr>
            <w:r>
              <w:rPr>
                <w:szCs w:val="22"/>
              </w:rPr>
              <w:t>1 0</w:t>
            </w:r>
            <w:r w:rsidR="000A7585" w:rsidRPr="00AE6EDB">
              <w:rPr>
                <w:szCs w:val="22"/>
              </w:rPr>
              <w:t>10,4</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921,0</w:t>
            </w:r>
          </w:p>
        </w:tc>
        <w:tc>
          <w:tcPr>
            <w:tcW w:w="127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0 5</w:t>
            </w:r>
            <w:r w:rsidRPr="00AE6EDB">
              <w:rPr>
                <w:szCs w:val="22"/>
              </w:rPr>
              <w:t>16,3</w:t>
            </w:r>
          </w:p>
        </w:tc>
      </w:tr>
      <w:tr w:rsidR="000A7585" w:rsidRPr="00AE6EDB" w:rsidTr="00DE0EEC">
        <w:trPr>
          <w:trHeight w:val="278"/>
          <w:jc w:val="center"/>
        </w:trPr>
        <w:tc>
          <w:tcPr>
            <w:tcW w:w="2068" w:type="dxa"/>
            <w:tcBorders>
              <w:left w:val="single" w:sz="2" w:space="0" w:color="auto"/>
              <w:right w:val="single" w:sz="2" w:space="0" w:color="auto"/>
            </w:tcBorders>
            <w:noWrap/>
            <w:vAlign w:val="center"/>
          </w:tcPr>
          <w:p w:rsidR="000A7585" w:rsidRPr="00AE6EDB" w:rsidRDefault="000A7585" w:rsidP="00DE0EEC">
            <w:r w:rsidRPr="00AE6EDB">
              <w:rPr>
                <w:szCs w:val="22"/>
              </w:rPr>
              <w:t>Vyrovnávacia dávka</w:t>
            </w:r>
          </w:p>
        </w:tc>
        <w:tc>
          <w:tcPr>
            <w:tcW w:w="10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3,7</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3,7</w:t>
            </w:r>
          </w:p>
        </w:tc>
        <w:tc>
          <w:tcPr>
            <w:tcW w:w="12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4,0</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3,6</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3,4</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3,0</w:t>
            </w:r>
          </w:p>
        </w:tc>
        <w:tc>
          <w:tcPr>
            <w:tcW w:w="127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49,4</w:t>
            </w:r>
          </w:p>
        </w:tc>
      </w:tr>
      <w:tr w:rsidR="000A7585" w:rsidRPr="00AE6EDB" w:rsidTr="00DE0EEC">
        <w:trPr>
          <w:trHeight w:val="278"/>
          <w:jc w:val="center"/>
        </w:trPr>
        <w:tc>
          <w:tcPr>
            <w:tcW w:w="2068" w:type="dxa"/>
            <w:tcBorders>
              <w:left w:val="single" w:sz="2" w:space="0" w:color="auto"/>
              <w:right w:val="single" w:sz="2" w:space="0" w:color="auto"/>
            </w:tcBorders>
            <w:noWrap/>
            <w:vAlign w:val="center"/>
          </w:tcPr>
          <w:p w:rsidR="000A7585" w:rsidRPr="00AE6EDB" w:rsidRDefault="000A7585" w:rsidP="00DE0EEC">
            <w:r w:rsidRPr="00AE6EDB">
              <w:rPr>
                <w:szCs w:val="22"/>
              </w:rPr>
              <w:t>Materské</w:t>
            </w:r>
          </w:p>
        </w:tc>
        <w:tc>
          <w:tcPr>
            <w:tcW w:w="10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0 2</w:t>
            </w:r>
            <w:r w:rsidRPr="00AE6EDB">
              <w:rPr>
                <w:szCs w:val="22"/>
              </w:rPr>
              <w:t>05,3</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0 8</w:t>
            </w:r>
            <w:r w:rsidRPr="00AE6EDB">
              <w:rPr>
                <w:szCs w:val="22"/>
              </w:rPr>
              <w:t>91,7</w:t>
            </w:r>
          </w:p>
        </w:tc>
        <w:tc>
          <w:tcPr>
            <w:tcW w:w="12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1 0</w:t>
            </w:r>
            <w:r w:rsidRPr="00AE6EDB">
              <w:rPr>
                <w:szCs w:val="22"/>
              </w:rPr>
              <w:t>86,2</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0 9</w:t>
            </w:r>
            <w:r w:rsidRPr="00AE6EDB">
              <w:rPr>
                <w:szCs w:val="22"/>
              </w:rPr>
              <w:t>18,3</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1 2</w:t>
            </w:r>
            <w:r w:rsidRPr="00AE6EDB">
              <w:rPr>
                <w:szCs w:val="22"/>
              </w:rPr>
              <w:t>54,1</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0 8</w:t>
            </w:r>
            <w:r w:rsidRPr="00AE6EDB">
              <w:rPr>
                <w:szCs w:val="22"/>
              </w:rPr>
              <w:t>60,9</w:t>
            </w:r>
          </w:p>
        </w:tc>
        <w:tc>
          <w:tcPr>
            <w:tcW w:w="127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AC44CB">
              <w:rPr>
                <w:szCs w:val="22"/>
              </w:rPr>
              <w:t>5 7</w:t>
            </w:r>
            <w:r w:rsidRPr="00AE6EDB">
              <w:rPr>
                <w:szCs w:val="22"/>
              </w:rPr>
              <w:t>32,3</w:t>
            </w:r>
          </w:p>
        </w:tc>
      </w:tr>
      <w:tr w:rsidR="000A7585" w:rsidRPr="00AE6EDB" w:rsidTr="00DE0EEC">
        <w:trPr>
          <w:trHeight w:val="278"/>
          <w:jc w:val="center"/>
        </w:trPr>
        <w:tc>
          <w:tcPr>
            <w:tcW w:w="2068" w:type="dxa"/>
            <w:tcBorders>
              <w:left w:val="single" w:sz="2" w:space="0" w:color="auto"/>
              <w:right w:val="single" w:sz="2" w:space="0" w:color="auto"/>
            </w:tcBorders>
            <w:noWrap/>
            <w:vAlign w:val="center"/>
          </w:tcPr>
          <w:p w:rsidR="000A7585" w:rsidRPr="00AE6EDB" w:rsidRDefault="000A7585" w:rsidP="00DE0EEC">
            <w:pPr>
              <w:rPr>
                <w:b/>
                <w:bCs/>
              </w:rPr>
            </w:pPr>
            <w:r w:rsidRPr="00AE6EDB">
              <w:rPr>
                <w:b/>
                <w:bCs/>
                <w:szCs w:val="22"/>
              </w:rPr>
              <w:t>Spolu</w:t>
            </w:r>
          </w:p>
        </w:tc>
        <w:tc>
          <w:tcPr>
            <w:tcW w:w="10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2 7</w:t>
            </w:r>
            <w:r w:rsidRPr="00AE6EDB">
              <w:rPr>
                <w:szCs w:val="22"/>
              </w:rPr>
              <w:t>56,3</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3 2</w:t>
            </w:r>
            <w:r w:rsidRPr="00AE6EDB">
              <w:rPr>
                <w:szCs w:val="22"/>
              </w:rPr>
              <w:t>13,7</w:t>
            </w:r>
          </w:p>
        </w:tc>
        <w:tc>
          <w:tcPr>
            <w:tcW w:w="12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2 9</w:t>
            </w:r>
            <w:r w:rsidRPr="00AE6EDB">
              <w:rPr>
                <w:szCs w:val="22"/>
              </w:rPr>
              <w:t>44,9</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2 5</w:t>
            </w:r>
            <w:r w:rsidRPr="00AE6EDB">
              <w:rPr>
                <w:szCs w:val="22"/>
              </w:rPr>
              <w:t>99,1</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5 9</w:t>
            </w:r>
            <w:r w:rsidRPr="00AE6EDB">
              <w:rPr>
                <w:szCs w:val="22"/>
              </w:rPr>
              <w:t>63,2</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5 7</w:t>
            </w:r>
            <w:r w:rsidRPr="00AE6EDB">
              <w:rPr>
                <w:szCs w:val="22"/>
              </w:rPr>
              <w:t>69,3</w:t>
            </w:r>
          </w:p>
        </w:tc>
        <w:tc>
          <w:tcPr>
            <w:tcW w:w="127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41</w:t>
            </w:r>
            <w:r w:rsidR="00AC44CB">
              <w:rPr>
                <w:szCs w:val="22"/>
              </w:rPr>
              <w:t>5 0</w:t>
            </w:r>
            <w:r w:rsidRPr="00AE6EDB">
              <w:rPr>
                <w:szCs w:val="22"/>
              </w:rPr>
              <w:t>90,2</w:t>
            </w:r>
          </w:p>
        </w:tc>
      </w:tr>
      <w:tr w:rsidR="000A7585" w:rsidRPr="00AE6EDB" w:rsidTr="00DE0EEC">
        <w:trPr>
          <w:trHeight w:val="278"/>
          <w:jc w:val="center"/>
        </w:trPr>
        <w:tc>
          <w:tcPr>
            <w:tcW w:w="2068" w:type="dxa"/>
            <w:tcBorders>
              <w:left w:val="single" w:sz="2" w:space="0" w:color="auto"/>
              <w:right w:val="single" w:sz="2" w:space="0" w:color="auto"/>
            </w:tcBorders>
            <w:noWrap/>
            <w:vAlign w:val="center"/>
          </w:tcPr>
          <w:p w:rsidR="000A7585" w:rsidRPr="00AE6EDB" w:rsidRDefault="000A7585" w:rsidP="00DE0EEC">
            <w:pPr>
              <w:rPr>
                <w:bCs/>
                <w:szCs w:val="22"/>
              </w:rPr>
            </w:pPr>
            <w:r w:rsidRPr="00AE6EDB">
              <w:rPr>
                <w:bCs/>
                <w:szCs w:val="22"/>
              </w:rPr>
              <w:t>Cudzie platby</w:t>
            </w:r>
          </w:p>
        </w:tc>
        <w:tc>
          <w:tcPr>
            <w:tcW w:w="10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-0,2</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2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-0,1</w:t>
            </w:r>
          </w:p>
        </w:tc>
        <w:tc>
          <w:tcPr>
            <w:tcW w:w="10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-0,8</w:t>
            </w:r>
          </w:p>
        </w:tc>
        <w:tc>
          <w:tcPr>
            <w:tcW w:w="1275"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-2,1</w:t>
            </w:r>
          </w:p>
        </w:tc>
      </w:tr>
      <w:tr w:rsidR="000A7585" w:rsidRPr="00AE6EDB" w:rsidTr="00DE0EEC">
        <w:trPr>
          <w:trHeight w:val="278"/>
          <w:jc w:val="center"/>
        </w:trPr>
        <w:tc>
          <w:tcPr>
            <w:tcW w:w="2068" w:type="dxa"/>
            <w:tcBorders>
              <w:left w:val="single" w:sz="2" w:space="0" w:color="auto"/>
              <w:bottom w:val="single" w:sz="2" w:space="0" w:color="auto"/>
              <w:right w:val="single" w:sz="2" w:space="0" w:color="auto"/>
            </w:tcBorders>
            <w:noWrap/>
            <w:vAlign w:val="center"/>
          </w:tcPr>
          <w:p w:rsidR="000A7585" w:rsidRPr="00AE6EDB" w:rsidRDefault="000A7585" w:rsidP="00DE0EEC">
            <w:r w:rsidRPr="00AE6EDB">
              <w:rPr>
                <w:szCs w:val="22"/>
              </w:rPr>
              <w:t>Zúčtovanie dávok §112, ods.98</w:t>
            </w:r>
          </w:p>
        </w:tc>
        <w:tc>
          <w:tcPr>
            <w:tcW w:w="1093"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0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-0,8</w:t>
            </w:r>
          </w:p>
        </w:tc>
        <w:tc>
          <w:tcPr>
            <w:tcW w:w="12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0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0,0</w:t>
            </w:r>
          </w:p>
        </w:tc>
        <w:tc>
          <w:tcPr>
            <w:tcW w:w="1275"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-1,6</w:t>
            </w:r>
          </w:p>
        </w:tc>
      </w:tr>
      <w:tr w:rsidR="000A7585" w:rsidRPr="00AE6EDB" w:rsidTr="00DE0EEC">
        <w:trPr>
          <w:trHeight w:val="278"/>
          <w:jc w:val="center"/>
        </w:trPr>
        <w:tc>
          <w:tcPr>
            <w:tcW w:w="2068"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rPr>
                <w:b/>
                <w:bCs/>
              </w:rPr>
            </w:pPr>
            <w:r w:rsidRPr="00AE6EDB">
              <w:rPr>
                <w:b/>
                <w:bCs/>
                <w:szCs w:val="22"/>
              </w:rPr>
              <w:t>Celkom výdavky ZFNP</w:t>
            </w:r>
          </w:p>
        </w:tc>
        <w:tc>
          <w:tcPr>
            <w:tcW w:w="1093"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2 7</w:t>
            </w:r>
            <w:r w:rsidRPr="00AE6EDB">
              <w:rPr>
                <w:szCs w:val="22"/>
              </w:rPr>
              <w:t>56,2</w:t>
            </w:r>
          </w:p>
        </w:tc>
        <w:tc>
          <w:tcPr>
            <w:tcW w:w="10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3 2</w:t>
            </w:r>
            <w:r w:rsidRPr="00AE6EDB">
              <w:rPr>
                <w:szCs w:val="22"/>
              </w:rPr>
              <w:t>12,8</w:t>
            </w:r>
          </w:p>
        </w:tc>
        <w:tc>
          <w:tcPr>
            <w:tcW w:w="12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2 9</w:t>
            </w:r>
            <w:r w:rsidRPr="00AE6EDB">
              <w:rPr>
                <w:szCs w:val="22"/>
              </w:rPr>
              <w:t>44,9</w:t>
            </w:r>
          </w:p>
        </w:tc>
        <w:tc>
          <w:tcPr>
            <w:tcW w:w="10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54295F">
              <w:rPr>
                <w:szCs w:val="22"/>
              </w:rPr>
              <w:t>2 5</w:t>
            </w:r>
            <w:r w:rsidRPr="00AE6EDB">
              <w:rPr>
                <w:szCs w:val="22"/>
              </w:rPr>
              <w:t>99,1</w:t>
            </w:r>
          </w:p>
        </w:tc>
        <w:tc>
          <w:tcPr>
            <w:tcW w:w="11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5 9</w:t>
            </w:r>
            <w:r w:rsidRPr="00AE6EDB">
              <w:rPr>
                <w:szCs w:val="22"/>
              </w:rPr>
              <w:t>63,2</w:t>
            </w:r>
          </w:p>
        </w:tc>
        <w:tc>
          <w:tcPr>
            <w:tcW w:w="1134"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3</w:t>
            </w:r>
            <w:r w:rsidR="00AC44CB">
              <w:rPr>
                <w:szCs w:val="22"/>
              </w:rPr>
              <w:t>5 7</w:t>
            </w:r>
            <w:r w:rsidRPr="00AE6EDB">
              <w:rPr>
                <w:szCs w:val="22"/>
              </w:rPr>
              <w:t>68,5</w:t>
            </w:r>
          </w:p>
        </w:tc>
        <w:tc>
          <w:tcPr>
            <w:tcW w:w="1275"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41</w:t>
            </w:r>
            <w:r w:rsidR="00AC44CB">
              <w:rPr>
                <w:szCs w:val="22"/>
              </w:rPr>
              <w:t>5 0</w:t>
            </w:r>
            <w:r w:rsidRPr="00AE6EDB">
              <w:rPr>
                <w:szCs w:val="22"/>
              </w:rPr>
              <w:t>86,4</w:t>
            </w:r>
          </w:p>
        </w:tc>
      </w:tr>
    </w:tbl>
    <w:p w:rsidR="000A7585" w:rsidRPr="00AE6EDB" w:rsidRDefault="000A7585" w:rsidP="000A7585">
      <w:pPr>
        <w:pStyle w:val="zdroj"/>
        <w:rPr>
          <w:lang w:eastAsia="cs-CZ"/>
        </w:rPr>
      </w:pPr>
      <w:r w:rsidRPr="00AE6EDB">
        <w:rPr>
          <w:lang w:eastAsia="cs-CZ"/>
        </w:rPr>
        <w:t xml:space="preserve">Zdroj: </w:t>
      </w:r>
      <w:r w:rsidRPr="00AE6EDB">
        <w:t>Sociálna</w:t>
      </w:r>
      <w:r w:rsidRPr="00AE6EDB">
        <w:rPr>
          <w:lang w:eastAsia="cs-CZ"/>
        </w:rPr>
        <w:t xml:space="preserve"> poisťovňa</w:t>
      </w:r>
    </w:p>
    <w:p w:rsidR="000A7585" w:rsidRPr="00AE6EDB" w:rsidRDefault="000A7585" w:rsidP="000A7585">
      <w:pPr>
        <w:pStyle w:val="zdroj"/>
        <w:rPr>
          <w:color w:val="auto"/>
          <w:lang w:eastAsia="cs-CZ"/>
        </w:rPr>
      </w:pPr>
    </w:p>
    <w:tbl>
      <w:tblPr>
        <w:tblW w:w="10036" w:type="dxa"/>
        <w:jc w:val="center"/>
        <w:tblLayout w:type="fixed"/>
        <w:tblCellMar>
          <w:left w:w="70" w:type="dxa"/>
          <w:right w:w="70" w:type="dxa"/>
        </w:tblCellMar>
        <w:tblLook w:val="00A0" w:firstRow="1" w:lastRow="0" w:firstColumn="1" w:lastColumn="0" w:noHBand="0" w:noVBand="0"/>
      </w:tblPr>
      <w:tblGrid>
        <w:gridCol w:w="2023"/>
        <w:gridCol w:w="1120"/>
        <w:gridCol w:w="1082"/>
        <w:gridCol w:w="1158"/>
        <w:gridCol w:w="1121"/>
        <w:gridCol w:w="1120"/>
        <w:gridCol w:w="1120"/>
        <w:gridCol w:w="1292"/>
      </w:tblGrid>
      <w:tr w:rsidR="000A7585" w:rsidRPr="00AE6EDB"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Január</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Február</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Marec</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Apríl</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Máj</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Jún</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I. polrok 2015</w:t>
            </w:r>
          </w:p>
        </w:tc>
      </w:tr>
      <w:tr w:rsidR="000A7585" w:rsidRPr="00AE6EDB" w:rsidTr="00DE0EEC">
        <w:trPr>
          <w:trHeight w:val="278"/>
          <w:jc w:val="center"/>
        </w:trPr>
        <w:tc>
          <w:tcPr>
            <w:tcW w:w="2023" w:type="dxa"/>
            <w:tcBorders>
              <w:top w:val="single" w:sz="2" w:space="0" w:color="auto"/>
              <w:left w:val="single" w:sz="2" w:space="0" w:color="auto"/>
              <w:right w:val="single" w:sz="2" w:space="0" w:color="auto"/>
            </w:tcBorders>
            <w:noWrap/>
            <w:vAlign w:val="center"/>
          </w:tcPr>
          <w:p w:rsidR="000A7585" w:rsidRPr="00AE6EDB" w:rsidRDefault="000A7585" w:rsidP="00DE0EEC">
            <w:r w:rsidRPr="00AE6EDB">
              <w:rPr>
                <w:szCs w:val="22"/>
              </w:rPr>
              <w:t>Nemocenské</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10</w:t>
            </w:r>
            <w:r w:rsidR="0054295F">
              <w:rPr>
                <w:szCs w:val="22"/>
              </w:rPr>
              <w:t>4 0</w:t>
            </w:r>
            <w:r w:rsidRPr="00AE6EDB">
              <w:rPr>
                <w:szCs w:val="22"/>
              </w:rPr>
              <w:t>37</w:t>
            </w:r>
          </w:p>
        </w:tc>
        <w:tc>
          <w:tcPr>
            <w:tcW w:w="1082"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11</w:t>
            </w:r>
            <w:r w:rsidR="0054295F">
              <w:rPr>
                <w:szCs w:val="22"/>
              </w:rPr>
              <w:t>4 0</w:t>
            </w:r>
            <w:r w:rsidRPr="00AE6EDB">
              <w:rPr>
                <w:szCs w:val="22"/>
              </w:rPr>
              <w:t>97</w:t>
            </w:r>
          </w:p>
        </w:tc>
        <w:tc>
          <w:tcPr>
            <w:tcW w:w="1158"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13</w:t>
            </w:r>
            <w:r w:rsidR="00AC44CB">
              <w:rPr>
                <w:szCs w:val="22"/>
              </w:rPr>
              <w:t>5 2</w:t>
            </w:r>
            <w:r w:rsidRPr="00AE6EDB">
              <w:rPr>
                <w:szCs w:val="22"/>
              </w:rPr>
              <w:t>22</w:t>
            </w:r>
          </w:p>
        </w:tc>
        <w:tc>
          <w:tcPr>
            <w:tcW w:w="1121"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AC44CB">
              <w:rPr>
                <w:szCs w:val="22"/>
              </w:rPr>
              <w:t>6 6</w:t>
            </w:r>
            <w:r w:rsidRPr="00AE6EDB">
              <w:rPr>
                <w:szCs w:val="22"/>
              </w:rPr>
              <w:t>39</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10</w:t>
            </w:r>
            <w:r w:rsidR="00AC44CB">
              <w:rPr>
                <w:szCs w:val="22"/>
              </w:rPr>
              <w:t>5 3</w:t>
            </w:r>
            <w:r w:rsidRPr="00AE6EDB">
              <w:rPr>
                <w:szCs w:val="22"/>
              </w:rPr>
              <w:t>48</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9</w:t>
            </w:r>
            <w:r w:rsidR="00AC44CB">
              <w:rPr>
                <w:szCs w:val="22"/>
              </w:rPr>
              <w:t>9 7</w:t>
            </w:r>
            <w:r w:rsidRPr="00AE6EDB">
              <w:rPr>
                <w:szCs w:val="22"/>
              </w:rPr>
              <w:t>90</w:t>
            </w:r>
          </w:p>
        </w:tc>
        <w:tc>
          <w:tcPr>
            <w:tcW w:w="1292"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68</w:t>
            </w:r>
            <w:r w:rsidR="00AC44CB">
              <w:rPr>
                <w:b/>
                <w:bCs/>
                <w:szCs w:val="22"/>
              </w:rPr>
              <w:t>5 1</w:t>
            </w:r>
            <w:r w:rsidRPr="00AE6EDB">
              <w:rPr>
                <w:b/>
                <w:bCs/>
                <w:szCs w:val="22"/>
              </w:rPr>
              <w:t>33</w:t>
            </w:r>
          </w:p>
        </w:tc>
      </w:tr>
      <w:tr w:rsidR="000A7585" w:rsidRPr="00AE6EDB" w:rsidTr="00DE0EEC">
        <w:trPr>
          <w:trHeight w:val="278"/>
          <w:jc w:val="center"/>
        </w:trPr>
        <w:tc>
          <w:tcPr>
            <w:tcW w:w="2023" w:type="dxa"/>
            <w:tcBorders>
              <w:top w:val="nil"/>
              <w:left w:val="single" w:sz="2" w:space="0" w:color="auto"/>
              <w:right w:val="single" w:sz="2" w:space="0" w:color="auto"/>
            </w:tcBorders>
            <w:noWrap/>
            <w:vAlign w:val="center"/>
          </w:tcPr>
          <w:p w:rsidR="000A7585" w:rsidRPr="00AE6EDB" w:rsidRDefault="000A7585" w:rsidP="00DE0EEC">
            <w:r w:rsidRPr="00AE6EDB">
              <w:rPr>
                <w:szCs w:val="22"/>
              </w:rPr>
              <w:t>Ošetrovné</w:t>
            </w:r>
          </w:p>
        </w:tc>
        <w:tc>
          <w:tcPr>
            <w:tcW w:w="1120"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1 2</w:t>
            </w:r>
            <w:r w:rsidRPr="00AE6EDB">
              <w:rPr>
                <w:szCs w:val="22"/>
              </w:rPr>
              <w:t>41</w:t>
            </w:r>
          </w:p>
        </w:tc>
        <w:tc>
          <w:tcPr>
            <w:tcW w:w="1082" w:type="dxa"/>
            <w:tcBorders>
              <w:top w:val="nil"/>
              <w:left w:val="single" w:sz="2" w:space="0" w:color="auto"/>
              <w:right w:val="single" w:sz="2" w:space="0" w:color="auto"/>
            </w:tcBorders>
            <w:noWrap/>
            <w:vAlign w:val="bottom"/>
          </w:tcPr>
          <w:p w:rsidR="000A7585" w:rsidRPr="00AE6EDB" w:rsidRDefault="00AC44CB" w:rsidP="00DE0EEC">
            <w:pPr>
              <w:jc w:val="right"/>
              <w:rPr>
                <w:szCs w:val="22"/>
              </w:rPr>
            </w:pPr>
            <w:r>
              <w:rPr>
                <w:szCs w:val="22"/>
              </w:rPr>
              <w:t>9 3</w:t>
            </w:r>
            <w:r w:rsidR="000A7585" w:rsidRPr="00AE6EDB">
              <w:rPr>
                <w:szCs w:val="22"/>
              </w:rPr>
              <w:t>56</w:t>
            </w:r>
          </w:p>
        </w:tc>
        <w:tc>
          <w:tcPr>
            <w:tcW w:w="1158"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AC44CB">
              <w:rPr>
                <w:szCs w:val="22"/>
              </w:rPr>
              <w:t>7 3</w:t>
            </w:r>
            <w:r w:rsidRPr="00AE6EDB">
              <w:rPr>
                <w:szCs w:val="22"/>
              </w:rPr>
              <w:t>10</w:t>
            </w:r>
          </w:p>
        </w:tc>
        <w:tc>
          <w:tcPr>
            <w:tcW w:w="1121"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2 4</w:t>
            </w:r>
            <w:r w:rsidRPr="00AE6EDB">
              <w:rPr>
                <w:szCs w:val="22"/>
              </w:rPr>
              <w:t>64</w:t>
            </w:r>
          </w:p>
        </w:tc>
        <w:tc>
          <w:tcPr>
            <w:tcW w:w="1120"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0 2</w:t>
            </w:r>
            <w:r w:rsidRPr="00AE6EDB">
              <w:rPr>
                <w:szCs w:val="22"/>
              </w:rPr>
              <w:t>05</w:t>
            </w:r>
          </w:p>
        </w:tc>
        <w:tc>
          <w:tcPr>
            <w:tcW w:w="1120" w:type="dxa"/>
            <w:tcBorders>
              <w:top w:val="nil"/>
              <w:left w:val="single" w:sz="2" w:space="0" w:color="auto"/>
              <w:right w:val="single" w:sz="2" w:space="0" w:color="auto"/>
            </w:tcBorders>
            <w:noWrap/>
            <w:vAlign w:val="bottom"/>
          </w:tcPr>
          <w:p w:rsidR="000A7585" w:rsidRPr="00AE6EDB" w:rsidRDefault="00AC44CB" w:rsidP="00DE0EEC">
            <w:pPr>
              <w:jc w:val="right"/>
              <w:rPr>
                <w:szCs w:val="22"/>
              </w:rPr>
            </w:pPr>
            <w:r>
              <w:rPr>
                <w:szCs w:val="22"/>
              </w:rPr>
              <w:t>9 4</w:t>
            </w:r>
            <w:r w:rsidR="000A7585" w:rsidRPr="00AE6EDB">
              <w:rPr>
                <w:szCs w:val="22"/>
              </w:rPr>
              <w:t>62</w:t>
            </w:r>
          </w:p>
        </w:tc>
        <w:tc>
          <w:tcPr>
            <w:tcW w:w="1292" w:type="dxa"/>
            <w:tcBorders>
              <w:top w:val="nil"/>
              <w:left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7</w:t>
            </w:r>
            <w:r w:rsidR="0054295F">
              <w:rPr>
                <w:b/>
                <w:bCs/>
                <w:szCs w:val="22"/>
              </w:rPr>
              <w:t>0 0</w:t>
            </w:r>
            <w:r w:rsidRPr="00AE6EDB">
              <w:rPr>
                <w:b/>
                <w:bCs/>
                <w:szCs w:val="22"/>
              </w:rPr>
              <w:t>38</w:t>
            </w:r>
          </w:p>
        </w:tc>
      </w:tr>
      <w:tr w:rsidR="000A7585" w:rsidRPr="00AE6EDB" w:rsidTr="00DE0EEC">
        <w:trPr>
          <w:trHeight w:val="278"/>
          <w:jc w:val="center"/>
        </w:trPr>
        <w:tc>
          <w:tcPr>
            <w:tcW w:w="2023" w:type="dxa"/>
            <w:tcBorders>
              <w:top w:val="nil"/>
              <w:left w:val="single" w:sz="2" w:space="0" w:color="auto"/>
              <w:right w:val="single" w:sz="2" w:space="0" w:color="auto"/>
            </w:tcBorders>
            <w:noWrap/>
            <w:vAlign w:val="center"/>
          </w:tcPr>
          <w:p w:rsidR="000A7585" w:rsidRPr="00AE6EDB" w:rsidRDefault="000A7585" w:rsidP="00DE0EEC">
            <w:r w:rsidRPr="00AE6EDB">
              <w:rPr>
                <w:szCs w:val="22"/>
              </w:rPr>
              <w:t>Vyrovnávacia dávka</w:t>
            </w:r>
          </w:p>
        </w:tc>
        <w:tc>
          <w:tcPr>
            <w:tcW w:w="1120"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81</w:t>
            </w:r>
          </w:p>
        </w:tc>
        <w:tc>
          <w:tcPr>
            <w:tcW w:w="1082"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76</w:t>
            </w:r>
          </w:p>
        </w:tc>
        <w:tc>
          <w:tcPr>
            <w:tcW w:w="1158"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83</w:t>
            </w:r>
          </w:p>
        </w:tc>
        <w:tc>
          <w:tcPr>
            <w:tcW w:w="1121"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84</w:t>
            </w:r>
          </w:p>
        </w:tc>
        <w:tc>
          <w:tcPr>
            <w:tcW w:w="1120"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81</w:t>
            </w:r>
          </w:p>
        </w:tc>
        <w:tc>
          <w:tcPr>
            <w:tcW w:w="1120" w:type="dxa"/>
            <w:tcBorders>
              <w:top w:val="nil"/>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89</w:t>
            </w:r>
          </w:p>
        </w:tc>
        <w:tc>
          <w:tcPr>
            <w:tcW w:w="1292" w:type="dxa"/>
            <w:tcBorders>
              <w:top w:val="nil"/>
              <w:left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494</w:t>
            </w:r>
          </w:p>
        </w:tc>
      </w:tr>
      <w:tr w:rsidR="000A7585" w:rsidRPr="00AE6EDB" w:rsidTr="00DE0EEC">
        <w:trPr>
          <w:trHeight w:val="278"/>
          <w:jc w:val="center"/>
        </w:trPr>
        <w:tc>
          <w:tcPr>
            <w:tcW w:w="2023" w:type="dxa"/>
            <w:tcBorders>
              <w:top w:val="nil"/>
              <w:left w:val="single" w:sz="2" w:space="0" w:color="auto"/>
              <w:bottom w:val="single" w:sz="2" w:space="0" w:color="auto"/>
              <w:right w:val="single" w:sz="2" w:space="0" w:color="auto"/>
            </w:tcBorders>
            <w:noWrap/>
            <w:vAlign w:val="center"/>
          </w:tcPr>
          <w:p w:rsidR="000A7585" w:rsidRPr="00AE6EDB" w:rsidRDefault="000A7585" w:rsidP="00DE0EEC">
            <w:r w:rsidRPr="00AE6EDB">
              <w:rPr>
                <w:szCs w:val="22"/>
              </w:rPr>
              <w:t>Materské</w:t>
            </w:r>
          </w:p>
        </w:tc>
        <w:tc>
          <w:tcPr>
            <w:tcW w:w="1120"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4 2</w:t>
            </w:r>
            <w:r w:rsidRPr="00AE6EDB">
              <w:rPr>
                <w:szCs w:val="22"/>
              </w:rPr>
              <w:t>29</w:t>
            </w:r>
          </w:p>
        </w:tc>
        <w:tc>
          <w:tcPr>
            <w:tcW w:w="1082"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4 1</w:t>
            </w:r>
            <w:r w:rsidRPr="00AE6EDB">
              <w:rPr>
                <w:szCs w:val="22"/>
              </w:rPr>
              <w:t>24</w:t>
            </w:r>
          </w:p>
        </w:tc>
        <w:tc>
          <w:tcPr>
            <w:tcW w:w="1158"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3 6</w:t>
            </w:r>
            <w:r w:rsidRPr="00AE6EDB">
              <w:rPr>
                <w:szCs w:val="22"/>
              </w:rPr>
              <w:t>13</w:t>
            </w:r>
          </w:p>
        </w:tc>
        <w:tc>
          <w:tcPr>
            <w:tcW w:w="1121"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3 7</w:t>
            </w:r>
            <w:r w:rsidRPr="00AE6EDB">
              <w:rPr>
                <w:szCs w:val="22"/>
              </w:rPr>
              <w:t>07</w:t>
            </w:r>
          </w:p>
        </w:tc>
        <w:tc>
          <w:tcPr>
            <w:tcW w:w="1120"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3 6</w:t>
            </w:r>
            <w:r w:rsidRPr="00AE6EDB">
              <w:rPr>
                <w:szCs w:val="22"/>
              </w:rPr>
              <w:t>10</w:t>
            </w:r>
          </w:p>
        </w:tc>
        <w:tc>
          <w:tcPr>
            <w:tcW w:w="1120"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3 7</w:t>
            </w:r>
            <w:r w:rsidRPr="00AE6EDB">
              <w:rPr>
                <w:szCs w:val="22"/>
              </w:rPr>
              <w:t>76</w:t>
            </w:r>
          </w:p>
        </w:tc>
        <w:tc>
          <w:tcPr>
            <w:tcW w:w="1292" w:type="dxa"/>
            <w:tcBorders>
              <w:top w:val="nil"/>
              <w:left w:val="single" w:sz="2" w:space="0" w:color="auto"/>
              <w:bottom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14</w:t>
            </w:r>
            <w:r w:rsidR="0054295F">
              <w:rPr>
                <w:b/>
                <w:bCs/>
                <w:szCs w:val="22"/>
              </w:rPr>
              <w:t>3 0</w:t>
            </w:r>
            <w:r w:rsidRPr="00AE6EDB">
              <w:rPr>
                <w:b/>
                <w:bCs/>
                <w:szCs w:val="22"/>
              </w:rPr>
              <w:t>59</w:t>
            </w:r>
          </w:p>
        </w:tc>
      </w:tr>
      <w:tr w:rsidR="000A7585" w:rsidRPr="00AE6EDB"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rPr>
                <w:b/>
                <w:bCs/>
              </w:rPr>
            </w:pPr>
            <w:r w:rsidRPr="00AE6EDB">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13</w:t>
            </w:r>
            <w:r w:rsidR="00AC44CB">
              <w:rPr>
                <w:szCs w:val="22"/>
              </w:rPr>
              <w:t>9 5</w:t>
            </w:r>
            <w:r w:rsidRPr="00AE6EDB">
              <w:rPr>
                <w:szCs w:val="22"/>
              </w:rPr>
              <w:t>88</w:t>
            </w:r>
          </w:p>
        </w:tc>
        <w:tc>
          <w:tcPr>
            <w:tcW w:w="1082"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14</w:t>
            </w:r>
            <w:r w:rsidR="00AC44CB">
              <w:rPr>
                <w:szCs w:val="22"/>
              </w:rPr>
              <w:t>7 6</w:t>
            </w:r>
            <w:r w:rsidRPr="00AE6EDB">
              <w:rPr>
                <w:szCs w:val="22"/>
              </w:rPr>
              <w:t>53</w:t>
            </w:r>
          </w:p>
        </w:tc>
        <w:tc>
          <w:tcPr>
            <w:tcW w:w="1158"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17</w:t>
            </w:r>
            <w:r w:rsidR="00AC44CB">
              <w:rPr>
                <w:szCs w:val="22"/>
              </w:rPr>
              <w:t>6 2</w:t>
            </w:r>
            <w:r w:rsidRPr="00AE6EDB">
              <w:rPr>
                <w:szCs w:val="22"/>
              </w:rPr>
              <w:t>28</w:t>
            </w:r>
          </w:p>
        </w:tc>
        <w:tc>
          <w:tcPr>
            <w:tcW w:w="1121"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16</w:t>
            </w:r>
            <w:r w:rsidR="0054295F">
              <w:rPr>
                <w:szCs w:val="22"/>
              </w:rPr>
              <w:t>2 8</w:t>
            </w:r>
            <w:r w:rsidRPr="00AE6EDB">
              <w:rPr>
                <w:szCs w:val="22"/>
              </w:rPr>
              <w:t>94</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13</w:t>
            </w:r>
            <w:r w:rsidR="00AC44CB">
              <w:rPr>
                <w:szCs w:val="22"/>
              </w:rPr>
              <w:t>9 2</w:t>
            </w:r>
            <w:r w:rsidRPr="00AE6EDB">
              <w:rPr>
                <w:szCs w:val="22"/>
              </w:rPr>
              <w:t>44</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13</w:t>
            </w:r>
            <w:r w:rsidR="0054295F">
              <w:rPr>
                <w:szCs w:val="22"/>
              </w:rPr>
              <w:t>3 1</w:t>
            </w:r>
            <w:r w:rsidRPr="00AE6EDB">
              <w:rPr>
                <w:szCs w:val="22"/>
              </w:rPr>
              <w:t>17</w:t>
            </w:r>
          </w:p>
        </w:tc>
        <w:tc>
          <w:tcPr>
            <w:tcW w:w="1292"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89</w:t>
            </w:r>
            <w:r w:rsidR="00AC44CB">
              <w:rPr>
                <w:b/>
                <w:bCs/>
                <w:szCs w:val="22"/>
              </w:rPr>
              <w:t>8 7</w:t>
            </w:r>
            <w:r w:rsidRPr="00AE6EDB">
              <w:rPr>
                <w:b/>
                <w:bCs/>
                <w:szCs w:val="22"/>
              </w:rPr>
              <w:t>24</w:t>
            </w:r>
          </w:p>
        </w:tc>
      </w:tr>
      <w:tr w:rsidR="000A7585" w:rsidRPr="00AE6EDB" w:rsidTr="00DE0EEC">
        <w:trPr>
          <w:trHeight w:val="278"/>
          <w:jc w:val="center"/>
        </w:trPr>
        <w:tc>
          <w:tcPr>
            <w:tcW w:w="2023" w:type="dxa"/>
            <w:tcBorders>
              <w:top w:val="single" w:sz="2" w:space="0" w:color="auto"/>
              <w:left w:val="nil"/>
              <w:bottom w:val="single" w:sz="2" w:space="0" w:color="auto"/>
              <w:right w:val="nil"/>
            </w:tcBorders>
            <w:noWrap/>
            <w:vAlign w:val="center"/>
          </w:tcPr>
          <w:p w:rsidR="000A7585" w:rsidRPr="00AE6EDB" w:rsidRDefault="000A7585" w:rsidP="00DE0EEC"/>
        </w:tc>
        <w:tc>
          <w:tcPr>
            <w:tcW w:w="1120" w:type="dxa"/>
            <w:tcBorders>
              <w:top w:val="single" w:sz="2" w:space="0" w:color="auto"/>
              <w:left w:val="nil"/>
              <w:bottom w:val="single" w:sz="2" w:space="0" w:color="auto"/>
              <w:right w:val="nil"/>
            </w:tcBorders>
            <w:noWrap/>
            <w:vAlign w:val="center"/>
          </w:tcPr>
          <w:p w:rsidR="000A7585" w:rsidRPr="00AE6EDB" w:rsidRDefault="000A7585" w:rsidP="00DE0EEC"/>
        </w:tc>
        <w:tc>
          <w:tcPr>
            <w:tcW w:w="1082" w:type="dxa"/>
            <w:tcBorders>
              <w:top w:val="single" w:sz="2" w:space="0" w:color="auto"/>
              <w:left w:val="nil"/>
              <w:bottom w:val="single" w:sz="2" w:space="0" w:color="auto"/>
              <w:right w:val="nil"/>
            </w:tcBorders>
            <w:noWrap/>
            <w:vAlign w:val="center"/>
          </w:tcPr>
          <w:p w:rsidR="000A7585" w:rsidRPr="00AE6EDB" w:rsidRDefault="000A7585" w:rsidP="00DE0EEC"/>
        </w:tc>
        <w:tc>
          <w:tcPr>
            <w:tcW w:w="1158" w:type="dxa"/>
            <w:tcBorders>
              <w:top w:val="single" w:sz="2" w:space="0" w:color="auto"/>
              <w:left w:val="nil"/>
              <w:bottom w:val="single" w:sz="2" w:space="0" w:color="auto"/>
              <w:right w:val="nil"/>
            </w:tcBorders>
            <w:noWrap/>
            <w:vAlign w:val="center"/>
          </w:tcPr>
          <w:p w:rsidR="000A7585" w:rsidRPr="00AE6EDB" w:rsidRDefault="000A7585" w:rsidP="00DE0EEC"/>
        </w:tc>
        <w:tc>
          <w:tcPr>
            <w:tcW w:w="1121" w:type="dxa"/>
            <w:tcBorders>
              <w:top w:val="single" w:sz="2" w:space="0" w:color="auto"/>
              <w:left w:val="nil"/>
              <w:bottom w:val="single" w:sz="2" w:space="0" w:color="auto"/>
              <w:right w:val="nil"/>
            </w:tcBorders>
            <w:noWrap/>
            <w:vAlign w:val="center"/>
          </w:tcPr>
          <w:p w:rsidR="000A7585" w:rsidRPr="00AE6EDB" w:rsidRDefault="000A7585" w:rsidP="00DE0EEC"/>
        </w:tc>
        <w:tc>
          <w:tcPr>
            <w:tcW w:w="1120" w:type="dxa"/>
            <w:tcBorders>
              <w:top w:val="single" w:sz="2" w:space="0" w:color="auto"/>
              <w:left w:val="nil"/>
              <w:bottom w:val="single" w:sz="2" w:space="0" w:color="auto"/>
              <w:right w:val="nil"/>
            </w:tcBorders>
            <w:noWrap/>
            <w:vAlign w:val="center"/>
          </w:tcPr>
          <w:p w:rsidR="000A7585" w:rsidRPr="00AE6EDB" w:rsidRDefault="000A7585" w:rsidP="00DE0EEC"/>
        </w:tc>
        <w:tc>
          <w:tcPr>
            <w:tcW w:w="1120" w:type="dxa"/>
            <w:tcBorders>
              <w:top w:val="single" w:sz="2" w:space="0" w:color="auto"/>
              <w:left w:val="nil"/>
              <w:bottom w:val="single" w:sz="2" w:space="0" w:color="auto"/>
              <w:right w:val="nil"/>
            </w:tcBorders>
            <w:noWrap/>
            <w:vAlign w:val="center"/>
          </w:tcPr>
          <w:p w:rsidR="000A7585" w:rsidRPr="00AE6EDB" w:rsidRDefault="000A7585" w:rsidP="00DE0EEC"/>
        </w:tc>
        <w:tc>
          <w:tcPr>
            <w:tcW w:w="1292" w:type="dxa"/>
            <w:tcBorders>
              <w:top w:val="single" w:sz="2" w:space="0" w:color="auto"/>
              <w:left w:val="nil"/>
              <w:bottom w:val="single" w:sz="2" w:space="0" w:color="auto"/>
              <w:right w:val="nil"/>
            </w:tcBorders>
            <w:noWrap/>
            <w:vAlign w:val="center"/>
          </w:tcPr>
          <w:p w:rsidR="000A7585" w:rsidRPr="00AE6EDB" w:rsidRDefault="000A7585" w:rsidP="00DE0EEC"/>
        </w:tc>
      </w:tr>
      <w:tr w:rsidR="000A7585" w:rsidRPr="00AE6EDB"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Júl</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August</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September</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Október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November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rPr>
            </w:pPr>
            <w:r w:rsidRPr="00AE6EDB">
              <w:rPr>
                <w:b/>
                <w:szCs w:val="22"/>
              </w:rPr>
              <w:t>December</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Rok 2015</w:t>
            </w:r>
          </w:p>
        </w:tc>
      </w:tr>
      <w:tr w:rsidR="000A7585" w:rsidRPr="00AE6EDB" w:rsidTr="00DE0EEC">
        <w:trPr>
          <w:trHeight w:val="278"/>
          <w:jc w:val="center"/>
        </w:trPr>
        <w:tc>
          <w:tcPr>
            <w:tcW w:w="2023" w:type="dxa"/>
            <w:tcBorders>
              <w:top w:val="single" w:sz="2" w:space="0" w:color="auto"/>
              <w:left w:val="single" w:sz="2" w:space="0" w:color="auto"/>
              <w:right w:val="single" w:sz="2" w:space="0" w:color="auto"/>
            </w:tcBorders>
            <w:noWrap/>
            <w:vAlign w:val="center"/>
          </w:tcPr>
          <w:p w:rsidR="000A7585" w:rsidRPr="00AE6EDB" w:rsidRDefault="000A7585" w:rsidP="00DE0EEC">
            <w:r w:rsidRPr="00AE6EDB">
              <w:rPr>
                <w:szCs w:val="22"/>
              </w:rPr>
              <w:t>Nemocenské</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9</w:t>
            </w:r>
            <w:r w:rsidR="0054295F">
              <w:rPr>
                <w:szCs w:val="22"/>
              </w:rPr>
              <w:t>4 3</w:t>
            </w:r>
            <w:r w:rsidRPr="00AE6EDB">
              <w:rPr>
                <w:szCs w:val="22"/>
              </w:rPr>
              <w:t>85</w:t>
            </w:r>
          </w:p>
        </w:tc>
        <w:tc>
          <w:tcPr>
            <w:tcW w:w="1082"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9</w:t>
            </w:r>
            <w:r w:rsidR="0054295F">
              <w:rPr>
                <w:szCs w:val="22"/>
              </w:rPr>
              <w:t>0 6</w:t>
            </w:r>
            <w:r w:rsidRPr="00AE6EDB">
              <w:rPr>
                <w:szCs w:val="22"/>
              </w:rPr>
              <w:t>42</w:t>
            </w:r>
          </w:p>
        </w:tc>
        <w:tc>
          <w:tcPr>
            <w:tcW w:w="1158"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w:t>
            </w:r>
            <w:r w:rsidR="00AC44CB">
              <w:rPr>
                <w:szCs w:val="22"/>
              </w:rPr>
              <w:t>8 8</w:t>
            </w:r>
            <w:r w:rsidRPr="00AE6EDB">
              <w:rPr>
                <w:szCs w:val="22"/>
              </w:rPr>
              <w:t>21</w:t>
            </w:r>
          </w:p>
        </w:tc>
        <w:tc>
          <w:tcPr>
            <w:tcW w:w="1121"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9</w:t>
            </w:r>
            <w:r w:rsidR="0054295F">
              <w:rPr>
                <w:szCs w:val="22"/>
              </w:rPr>
              <w:t>1 4</w:t>
            </w:r>
            <w:r w:rsidRPr="00AE6EDB">
              <w:rPr>
                <w:szCs w:val="22"/>
              </w:rPr>
              <w:t>13</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10</w:t>
            </w:r>
            <w:r w:rsidR="00AC44CB">
              <w:rPr>
                <w:szCs w:val="22"/>
              </w:rPr>
              <w:t>7 3</w:t>
            </w:r>
            <w:r w:rsidRPr="00AE6EDB">
              <w:rPr>
                <w:szCs w:val="22"/>
              </w:rPr>
              <w:t>57</w:t>
            </w:r>
          </w:p>
        </w:tc>
        <w:tc>
          <w:tcPr>
            <w:tcW w:w="1120"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10</w:t>
            </w:r>
            <w:r w:rsidR="00AC44CB">
              <w:rPr>
                <w:szCs w:val="22"/>
              </w:rPr>
              <w:t>8 6</w:t>
            </w:r>
            <w:r w:rsidRPr="00AE6EDB">
              <w:rPr>
                <w:szCs w:val="22"/>
              </w:rPr>
              <w:t>52</w:t>
            </w:r>
          </w:p>
        </w:tc>
        <w:tc>
          <w:tcPr>
            <w:tcW w:w="1292" w:type="dxa"/>
            <w:tcBorders>
              <w:top w:val="single" w:sz="2" w:space="0" w:color="auto"/>
              <w:left w:val="single" w:sz="2" w:space="0" w:color="auto"/>
              <w:right w:val="single" w:sz="2" w:space="0" w:color="auto"/>
            </w:tcBorders>
            <w:noWrap/>
            <w:vAlign w:val="bottom"/>
          </w:tcPr>
          <w:p w:rsidR="000A7585" w:rsidRPr="00AE6EDB" w:rsidRDefault="0054295F" w:rsidP="00DE0EEC">
            <w:pPr>
              <w:jc w:val="right"/>
              <w:rPr>
                <w:b/>
                <w:bCs/>
                <w:szCs w:val="22"/>
              </w:rPr>
            </w:pPr>
            <w:r>
              <w:rPr>
                <w:b/>
                <w:bCs/>
                <w:szCs w:val="22"/>
              </w:rPr>
              <w:t>1 2</w:t>
            </w:r>
            <w:r w:rsidR="000A7585" w:rsidRPr="00AE6EDB">
              <w:rPr>
                <w:b/>
                <w:bCs/>
                <w:szCs w:val="22"/>
              </w:rPr>
              <w:t>6</w:t>
            </w:r>
            <w:r w:rsidR="00AC44CB">
              <w:rPr>
                <w:b/>
                <w:bCs/>
                <w:szCs w:val="22"/>
              </w:rPr>
              <w:t>6 4</w:t>
            </w:r>
            <w:r w:rsidR="000A7585" w:rsidRPr="00AE6EDB">
              <w:rPr>
                <w:b/>
                <w:bCs/>
                <w:szCs w:val="22"/>
              </w:rPr>
              <w:t>03</w:t>
            </w:r>
          </w:p>
        </w:tc>
      </w:tr>
      <w:tr w:rsidR="000A7585" w:rsidRPr="00AE6EDB" w:rsidTr="00DE0EEC">
        <w:trPr>
          <w:trHeight w:val="278"/>
          <w:jc w:val="center"/>
        </w:trPr>
        <w:tc>
          <w:tcPr>
            <w:tcW w:w="2023" w:type="dxa"/>
            <w:tcBorders>
              <w:left w:val="single" w:sz="2" w:space="0" w:color="auto"/>
              <w:right w:val="single" w:sz="2" w:space="0" w:color="auto"/>
            </w:tcBorders>
            <w:noWrap/>
            <w:vAlign w:val="center"/>
          </w:tcPr>
          <w:p w:rsidR="000A7585" w:rsidRPr="00AE6EDB" w:rsidRDefault="000A7585" w:rsidP="00DE0EEC">
            <w:r w:rsidRPr="00AE6EDB">
              <w:rPr>
                <w:szCs w:val="22"/>
              </w:rPr>
              <w:t>Ošetrovné</w:t>
            </w:r>
          </w:p>
        </w:tc>
        <w:tc>
          <w:tcPr>
            <w:tcW w:w="1120"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9 8</w:t>
            </w:r>
            <w:r w:rsidR="000A7585" w:rsidRPr="00AE6EDB">
              <w:rPr>
                <w:szCs w:val="22"/>
              </w:rPr>
              <w:t>89</w:t>
            </w:r>
          </w:p>
        </w:tc>
        <w:tc>
          <w:tcPr>
            <w:tcW w:w="1082"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8 6</w:t>
            </w:r>
            <w:r w:rsidR="000A7585" w:rsidRPr="00AE6EDB">
              <w:rPr>
                <w:szCs w:val="22"/>
              </w:rPr>
              <w:t>53</w:t>
            </w:r>
          </w:p>
        </w:tc>
        <w:tc>
          <w:tcPr>
            <w:tcW w:w="1158"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7 4</w:t>
            </w:r>
            <w:r w:rsidR="000A7585" w:rsidRPr="00AE6EDB">
              <w:rPr>
                <w:szCs w:val="22"/>
              </w:rPr>
              <w:t>87</w:t>
            </w:r>
          </w:p>
        </w:tc>
        <w:tc>
          <w:tcPr>
            <w:tcW w:w="1121" w:type="dxa"/>
            <w:tcBorders>
              <w:left w:val="single" w:sz="2" w:space="0" w:color="auto"/>
              <w:right w:val="single" w:sz="2" w:space="0" w:color="auto"/>
            </w:tcBorders>
            <w:noWrap/>
            <w:vAlign w:val="bottom"/>
          </w:tcPr>
          <w:p w:rsidR="000A7585" w:rsidRPr="00AE6EDB" w:rsidRDefault="00AC44CB" w:rsidP="00DE0EEC">
            <w:pPr>
              <w:jc w:val="right"/>
              <w:rPr>
                <w:szCs w:val="22"/>
              </w:rPr>
            </w:pPr>
            <w:r>
              <w:rPr>
                <w:szCs w:val="22"/>
              </w:rPr>
              <w:t>8 3</w:t>
            </w:r>
            <w:r w:rsidR="000A7585" w:rsidRPr="00AE6EDB">
              <w:rPr>
                <w:szCs w:val="22"/>
              </w:rPr>
              <w:t>69</w:t>
            </w:r>
          </w:p>
        </w:tc>
        <w:tc>
          <w:tcPr>
            <w:tcW w:w="112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2 4</w:t>
            </w:r>
            <w:r w:rsidRPr="00AE6EDB">
              <w:rPr>
                <w:szCs w:val="22"/>
              </w:rPr>
              <w:t>34</w:t>
            </w:r>
          </w:p>
        </w:tc>
        <w:tc>
          <w:tcPr>
            <w:tcW w:w="112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w:t>
            </w:r>
            <w:r w:rsidR="0054295F">
              <w:rPr>
                <w:szCs w:val="22"/>
              </w:rPr>
              <w:t>1 5</w:t>
            </w:r>
            <w:r w:rsidRPr="00AE6EDB">
              <w:rPr>
                <w:szCs w:val="22"/>
              </w:rPr>
              <w:t>56</w:t>
            </w:r>
          </w:p>
        </w:tc>
        <w:tc>
          <w:tcPr>
            <w:tcW w:w="1292" w:type="dxa"/>
            <w:tcBorders>
              <w:left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12</w:t>
            </w:r>
            <w:r w:rsidR="00AC44CB">
              <w:rPr>
                <w:b/>
                <w:bCs/>
                <w:szCs w:val="22"/>
              </w:rPr>
              <w:t>8 4</w:t>
            </w:r>
            <w:r w:rsidRPr="00AE6EDB">
              <w:rPr>
                <w:b/>
                <w:bCs/>
                <w:szCs w:val="22"/>
              </w:rPr>
              <w:t>26</w:t>
            </w:r>
          </w:p>
        </w:tc>
      </w:tr>
      <w:tr w:rsidR="000A7585" w:rsidRPr="00AE6EDB" w:rsidTr="00DE0EEC">
        <w:trPr>
          <w:trHeight w:val="278"/>
          <w:jc w:val="center"/>
        </w:trPr>
        <w:tc>
          <w:tcPr>
            <w:tcW w:w="2023" w:type="dxa"/>
            <w:tcBorders>
              <w:left w:val="single" w:sz="2" w:space="0" w:color="auto"/>
              <w:right w:val="single" w:sz="2" w:space="0" w:color="auto"/>
            </w:tcBorders>
            <w:noWrap/>
            <w:vAlign w:val="center"/>
          </w:tcPr>
          <w:p w:rsidR="000A7585" w:rsidRPr="00AE6EDB" w:rsidRDefault="000A7585" w:rsidP="00DE0EEC">
            <w:r w:rsidRPr="00AE6EDB">
              <w:rPr>
                <w:szCs w:val="22"/>
              </w:rPr>
              <w:t>Vyrovnávacia dávka</w:t>
            </w:r>
          </w:p>
        </w:tc>
        <w:tc>
          <w:tcPr>
            <w:tcW w:w="112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62</w:t>
            </w:r>
          </w:p>
        </w:tc>
        <w:tc>
          <w:tcPr>
            <w:tcW w:w="1082"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73</w:t>
            </w:r>
          </w:p>
        </w:tc>
        <w:tc>
          <w:tcPr>
            <w:tcW w:w="1158"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79</w:t>
            </w:r>
          </w:p>
        </w:tc>
        <w:tc>
          <w:tcPr>
            <w:tcW w:w="1121"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84</w:t>
            </w:r>
          </w:p>
        </w:tc>
        <w:tc>
          <w:tcPr>
            <w:tcW w:w="112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74</w:t>
            </w:r>
          </w:p>
        </w:tc>
        <w:tc>
          <w:tcPr>
            <w:tcW w:w="1120"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66</w:t>
            </w:r>
          </w:p>
        </w:tc>
        <w:tc>
          <w:tcPr>
            <w:tcW w:w="1292" w:type="dxa"/>
            <w:tcBorders>
              <w:left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932</w:t>
            </w:r>
          </w:p>
        </w:tc>
      </w:tr>
      <w:tr w:rsidR="000A7585" w:rsidRPr="00AE6EDB" w:rsidTr="00DE0EEC">
        <w:trPr>
          <w:trHeight w:val="112"/>
          <w:jc w:val="center"/>
        </w:trPr>
        <w:tc>
          <w:tcPr>
            <w:tcW w:w="2023" w:type="dxa"/>
            <w:tcBorders>
              <w:left w:val="single" w:sz="2" w:space="0" w:color="auto"/>
              <w:bottom w:val="single" w:sz="2" w:space="0" w:color="auto"/>
              <w:right w:val="single" w:sz="2" w:space="0" w:color="auto"/>
            </w:tcBorders>
            <w:noWrap/>
            <w:vAlign w:val="center"/>
          </w:tcPr>
          <w:p w:rsidR="000A7585" w:rsidRPr="00AE6EDB" w:rsidRDefault="000A7585" w:rsidP="00DE0EEC">
            <w:r w:rsidRPr="00AE6EDB">
              <w:rPr>
                <w:szCs w:val="22"/>
              </w:rPr>
              <w:t>Materské</w:t>
            </w:r>
          </w:p>
        </w:tc>
        <w:tc>
          <w:tcPr>
            <w:tcW w:w="1120"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3 9</w:t>
            </w:r>
            <w:r w:rsidRPr="00AE6EDB">
              <w:rPr>
                <w:szCs w:val="22"/>
              </w:rPr>
              <w:t>05</w:t>
            </w:r>
          </w:p>
        </w:tc>
        <w:tc>
          <w:tcPr>
            <w:tcW w:w="1082"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54295F">
              <w:rPr>
                <w:szCs w:val="22"/>
              </w:rPr>
              <w:t>4 6</w:t>
            </w:r>
            <w:r w:rsidRPr="00AE6EDB">
              <w:rPr>
                <w:szCs w:val="22"/>
              </w:rPr>
              <w:t>08</w:t>
            </w:r>
          </w:p>
        </w:tc>
        <w:tc>
          <w:tcPr>
            <w:tcW w:w="1158"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5 1</w:t>
            </w:r>
            <w:r w:rsidRPr="00AE6EDB">
              <w:rPr>
                <w:szCs w:val="22"/>
              </w:rPr>
              <w:t>65</w:t>
            </w:r>
          </w:p>
        </w:tc>
        <w:tc>
          <w:tcPr>
            <w:tcW w:w="1121"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5 4</w:t>
            </w:r>
            <w:r w:rsidRPr="00AE6EDB">
              <w:rPr>
                <w:szCs w:val="22"/>
              </w:rPr>
              <w:t>94</w:t>
            </w:r>
          </w:p>
        </w:tc>
        <w:tc>
          <w:tcPr>
            <w:tcW w:w="1120"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5 2</w:t>
            </w:r>
            <w:r w:rsidRPr="00AE6EDB">
              <w:rPr>
                <w:szCs w:val="22"/>
              </w:rPr>
              <w:t>64</w:t>
            </w:r>
          </w:p>
        </w:tc>
        <w:tc>
          <w:tcPr>
            <w:tcW w:w="1120"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w:t>
            </w:r>
            <w:r w:rsidR="00AC44CB">
              <w:rPr>
                <w:szCs w:val="22"/>
              </w:rPr>
              <w:t>5 2</w:t>
            </w:r>
            <w:r w:rsidRPr="00AE6EDB">
              <w:rPr>
                <w:szCs w:val="22"/>
              </w:rPr>
              <w:t>42</w:t>
            </w:r>
          </w:p>
        </w:tc>
        <w:tc>
          <w:tcPr>
            <w:tcW w:w="1292"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b/>
                <w:bCs/>
                <w:szCs w:val="22"/>
              </w:rPr>
            </w:pPr>
            <w:r w:rsidRPr="00AE6EDB">
              <w:rPr>
                <w:b/>
                <w:bCs/>
                <w:szCs w:val="22"/>
              </w:rPr>
              <w:t>29</w:t>
            </w:r>
            <w:r w:rsidR="0054295F">
              <w:rPr>
                <w:b/>
                <w:bCs/>
                <w:szCs w:val="22"/>
              </w:rPr>
              <w:t>2 7</w:t>
            </w:r>
            <w:r w:rsidRPr="00AE6EDB">
              <w:rPr>
                <w:b/>
                <w:bCs/>
                <w:szCs w:val="22"/>
              </w:rPr>
              <w:t>37</w:t>
            </w:r>
          </w:p>
        </w:tc>
      </w:tr>
      <w:tr w:rsidR="000A7585" w:rsidRPr="00AE6EDB"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rPr>
                <w:b/>
                <w:bCs/>
              </w:rPr>
            </w:pPr>
            <w:r w:rsidRPr="00AE6EDB">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AC44CB">
              <w:rPr>
                <w:szCs w:val="22"/>
              </w:rPr>
              <w:t>8 2</w:t>
            </w:r>
            <w:r w:rsidRPr="00AE6EDB">
              <w:rPr>
                <w:szCs w:val="22"/>
              </w:rPr>
              <w:t>41</w:t>
            </w:r>
          </w:p>
        </w:tc>
        <w:tc>
          <w:tcPr>
            <w:tcW w:w="1082"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54295F">
              <w:rPr>
                <w:szCs w:val="22"/>
              </w:rPr>
              <w:t>3 9</w:t>
            </w:r>
            <w:r w:rsidRPr="00AE6EDB">
              <w:rPr>
                <w:szCs w:val="22"/>
              </w:rPr>
              <w:t>76</w:t>
            </w:r>
          </w:p>
        </w:tc>
        <w:tc>
          <w:tcPr>
            <w:tcW w:w="1158"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54295F">
              <w:rPr>
                <w:szCs w:val="22"/>
              </w:rPr>
              <w:t>1 5</w:t>
            </w:r>
            <w:r w:rsidRPr="00AE6EDB">
              <w:rPr>
                <w:szCs w:val="22"/>
              </w:rPr>
              <w:t>52</w:t>
            </w:r>
          </w:p>
        </w:tc>
        <w:tc>
          <w:tcPr>
            <w:tcW w:w="1121"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12</w:t>
            </w:r>
            <w:r w:rsidR="00AC44CB">
              <w:rPr>
                <w:szCs w:val="22"/>
              </w:rPr>
              <w:t>5 3</w:t>
            </w:r>
            <w:r w:rsidRPr="00AE6EDB">
              <w:rPr>
                <w:szCs w:val="22"/>
              </w:rPr>
              <w:t>60</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14</w:t>
            </w:r>
            <w:r w:rsidR="00AC44CB">
              <w:rPr>
                <w:szCs w:val="22"/>
              </w:rPr>
              <w:t>5 1</w:t>
            </w:r>
            <w:r w:rsidRPr="00AE6EDB">
              <w:rPr>
                <w:szCs w:val="22"/>
              </w:rPr>
              <w:t>29</w:t>
            </w:r>
          </w:p>
        </w:tc>
        <w:tc>
          <w:tcPr>
            <w:tcW w:w="11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14</w:t>
            </w:r>
            <w:r w:rsidR="00AC44CB">
              <w:rPr>
                <w:szCs w:val="22"/>
              </w:rPr>
              <w:t>5 5</w:t>
            </w:r>
            <w:r w:rsidRPr="00AE6EDB">
              <w:rPr>
                <w:szCs w:val="22"/>
              </w:rPr>
              <w:t>16</w:t>
            </w:r>
          </w:p>
        </w:tc>
        <w:tc>
          <w:tcPr>
            <w:tcW w:w="1292"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54295F" w:rsidP="00DE0EEC">
            <w:pPr>
              <w:jc w:val="right"/>
              <w:rPr>
                <w:b/>
                <w:bCs/>
                <w:szCs w:val="22"/>
              </w:rPr>
            </w:pPr>
            <w:r>
              <w:rPr>
                <w:b/>
                <w:bCs/>
                <w:szCs w:val="22"/>
              </w:rPr>
              <w:t>1 6</w:t>
            </w:r>
            <w:r w:rsidR="000A7585" w:rsidRPr="00AE6EDB">
              <w:rPr>
                <w:b/>
                <w:bCs/>
                <w:szCs w:val="22"/>
              </w:rPr>
              <w:t>8</w:t>
            </w:r>
            <w:r w:rsidR="00AC44CB">
              <w:rPr>
                <w:b/>
                <w:bCs/>
                <w:szCs w:val="22"/>
              </w:rPr>
              <w:t>8 4</w:t>
            </w:r>
            <w:r w:rsidR="000A7585" w:rsidRPr="00AE6EDB">
              <w:rPr>
                <w:b/>
                <w:bCs/>
                <w:szCs w:val="22"/>
              </w:rPr>
              <w:t>98</w:t>
            </w:r>
          </w:p>
        </w:tc>
      </w:tr>
    </w:tbl>
    <w:p w:rsidR="000A7585" w:rsidRPr="00AE6EDB" w:rsidRDefault="000A7585" w:rsidP="000A7585">
      <w:pPr>
        <w:pStyle w:val="zdroj"/>
        <w:rPr>
          <w:lang w:eastAsia="cs-CZ"/>
        </w:rPr>
      </w:pPr>
      <w:r w:rsidRPr="00AE6EDB">
        <w:rPr>
          <w:lang w:eastAsia="cs-CZ"/>
        </w:rPr>
        <w:t>Zdroj: Sociálna poisťovňa</w:t>
      </w:r>
    </w:p>
    <w:p w:rsidR="000A7585" w:rsidRPr="00AE6EDB" w:rsidRDefault="000A7585" w:rsidP="000A7585">
      <w:pPr>
        <w:jc w:val="left"/>
      </w:pPr>
      <w:r w:rsidRPr="00AE6EDB">
        <w:br w:type="page"/>
      </w:r>
    </w:p>
    <w:tbl>
      <w:tblPr>
        <w:tblW w:w="9712" w:type="dxa"/>
        <w:jc w:val="center"/>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A0" w:firstRow="1" w:lastRow="0" w:firstColumn="1" w:lastColumn="0" w:noHBand="0" w:noVBand="0"/>
      </w:tblPr>
      <w:tblGrid>
        <w:gridCol w:w="2047"/>
        <w:gridCol w:w="993"/>
        <w:gridCol w:w="992"/>
        <w:gridCol w:w="160"/>
        <w:gridCol w:w="1126"/>
        <w:gridCol w:w="982"/>
        <w:gridCol w:w="170"/>
        <w:gridCol w:w="974"/>
        <w:gridCol w:w="1134"/>
        <w:gridCol w:w="1134"/>
      </w:tblGrid>
      <w:tr w:rsidR="000A7585" w:rsidRPr="00AE6EDB" w:rsidTr="00DE0EEC">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spacing w:line="408" w:lineRule="auto"/>
              <w:jc w:val="center"/>
              <w:rPr>
                <w:b/>
              </w:rPr>
            </w:pPr>
            <w:r w:rsidRPr="00AE6EDB">
              <w:rPr>
                <w:b/>
                <w:szCs w:val="22"/>
              </w:rPr>
              <w:t>Január</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spacing w:line="408" w:lineRule="auto"/>
              <w:jc w:val="center"/>
              <w:rPr>
                <w:b/>
              </w:rPr>
            </w:pPr>
            <w:r w:rsidRPr="00AE6EDB">
              <w:rPr>
                <w:b/>
                <w:szCs w:val="22"/>
              </w:rPr>
              <w:t>Február</w:t>
            </w:r>
          </w:p>
        </w:tc>
        <w:tc>
          <w:tcPr>
            <w:tcW w:w="1126"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spacing w:line="408" w:lineRule="auto"/>
              <w:jc w:val="center"/>
              <w:rPr>
                <w:b/>
              </w:rPr>
            </w:pPr>
            <w:r w:rsidRPr="00AE6EDB">
              <w:rPr>
                <w:b/>
                <w:szCs w:val="22"/>
              </w:rPr>
              <w:t>Marec</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spacing w:line="408" w:lineRule="auto"/>
              <w:jc w:val="center"/>
              <w:rPr>
                <w:b/>
              </w:rPr>
            </w:pPr>
            <w:r w:rsidRPr="00AE6EDB">
              <w:rPr>
                <w:b/>
                <w:szCs w:val="22"/>
              </w:rPr>
              <w:t>Apríl</w:t>
            </w:r>
          </w:p>
        </w:tc>
        <w:tc>
          <w:tcPr>
            <w:tcW w:w="974"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spacing w:line="408" w:lineRule="auto"/>
              <w:jc w:val="center"/>
              <w:rPr>
                <w:b/>
              </w:rPr>
            </w:pPr>
            <w:r w:rsidRPr="00AE6EDB">
              <w:rPr>
                <w:b/>
                <w:szCs w:val="22"/>
              </w:rPr>
              <w:t>Máj</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spacing w:line="408" w:lineRule="auto"/>
              <w:jc w:val="center"/>
              <w:rPr>
                <w:b/>
              </w:rPr>
            </w:pPr>
            <w:r w:rsidRPr="00AE6EDB">
              <w:rPr>
                <w:b/>
                <w:szCs w:val="22"/>
              </w:rPr>
              <w:t>Jún</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I. polrok 2015</w:t>
            </w:r>
          </w:p>
        </w:tc>
      </w:tr>
      <w:tr w:rsidR="000A7585" w:rsidRPr="00AE6EDB" w:rsidTr="00DE0EEC">
        <w:trPr>
          <w:trHeight w:val="276"/>
          <w:jc w:val="center"/>
        </w:trPr>
        <w:tc>
          <w:tcPr>
            <w:tcW w:w="2047" w:type="dxa"/>
            <w:tcBorders>
              <w:top w:val="single" w:sz="2" w:space="0" w:color="auto"/>
              <w:right w:val="single" w:sz="2" w:space="0" w:color="auto"/>
            </w:tcBorders>
            <w:noWrap/>
            <w:vAlign w:val="center"/>
          </w:tcPr>
          <w:p w:rsidR="000A7585" w:rsidRPr="00AE6EDB" w:rsidRDefault="000A7585" w:rsidP="00DE0EEC">
            <w:r w:rsidRPr="00AE6EDB">
              <w:rPr>
                <w:szCs w:val="22"/>
              </w:rPr>
              <w:t>Nemocenské</w:t>
            </w:r>
          </w:p>
        </w:tc>
        <w:tc>
          <w:tcPr>
            <w:tcW w:w="993"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225,18</w:t>
            </w:r>
          </w:p>
        </w:tc>
        <w:tc>
          <w:tcPr>
            <w:tcW w:w="1152" w:type="dxa"/>
            <w:gridSpan w:val="2"/>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211,79</w:t>
            </w:r>
          </w:p>
        </w:tc>
        <w:tc>
          <w:tcPr>
            <w:tcW w:w="1126" w:type="dxa"/>
            <w:tcBorders>
              <w:top w:val="single" w:sz="2" w:space="0" w:color="auto"/>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187,98</w:t>
            </w:r>
          </w:p>
        </w:tc>
        <w:tc>
          <w:tcPr>
            <w:tcW w:w="1152" w:type="dxa"/>
            <w:gridSpan w:val="2"/>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211,60</w:t>
            </w:r>
          </w:p>
        </w:tc>
        <w:tc>
          <w:tcPr>
            <w:tcW w:w="974" w:type="dxa"/>
            <w:tcBorders>
              <w:top w:val="single" w:sz="2" w:space="0" w:color="auto"/>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221,75</w:t>
            </w:r>
          </w:p>
        </w:tc>
        <w:tc>
          <w:tcPr>
            <w:tcW w:w="1134" w:type="dxa"/>
            <w:tcBorders>
              <w:top w:val="single" w:sz="2" w:space="0" w:color="auto"/>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231,78</w:t>
            </w:r>
          </w:p>
        </w:tc>
        <w:tc>
          <w:tcPr>
            <w:tcW w:w="1134" w:type="dxa"/>
            <w:tcBorders>
              <w:top w:val="single" w:sz="2" w:space="0" w:color="auto"/>
              <w:left w:val="single" w:sz="2" w:space="0" w:color="auto"/>
            </w:tcBorders>
            <w:noWrap/>
            <w:vAlign w:val="bottom"/>
          </w:tcPr>
          <w:p w:rsidR="000A7585" w:rsidRPr="00AE6EDB" w:rsidRDefault="000A7585" w:rsidP="00DE0EEC">
            <w:pPr>
              <w:jc w:val="right"/>
              <w:rPr>
                <w:szCs w:val="22"/>
              </w:rPr>
            </w:pPr>
            <w:r w:rsidRPr="00AE6EDB">
              <w:rPr>
                <w:szCs w:val="22"/>
              </w:rPr>
              <w:t>212,6</w:t>
            </w:r>
          </w:p>
        </w:tc>
      </w:tr>
      <w:tr w:rsidR="000A7585" w:rsidRPr="00AE6EDB" w:rsidTr="00DE0EEC">
        <w:trPr>
          <w:trHeight w:val="276"/>
          <w:jc w:val="center"/>
        </w:trPr>
        <w:tc>
          <w:tcPr>
            <w:tcW w:w="2047" w:type="dxa"/>
            <w:tcBorders>
              <w:right w:val="single" w:sz="2" w:space="0" w:color="auto"/>
            </w:tcBorders>
            <w:noWrap/>
            <w:vAlign w:val="center"/>
          </w:tcPr>
          <w:p w:rsidR="000A7585" w:rsidRPr="00AE6EDB" w:rsidRDefault="000A7585" w:rsidP="00DE0EEC">
            <w:r w:rsidRPr="00AE6EDB">
              <w:rPr>
                <w:szCs w:val="22"/>
              </w:rPr>
              <w:t>Ošetrovné</w:t>
            </w:r>
          </w:p>
        </w:tc>
        <w:tc>
          <w:tcPr>
            <w:tcW w:w="9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80,42</w:t>
            </w:r>
          </w:p>
        </w:tc>
        <w:tc>
          <w:tcPr>
            <w:tcW w:w="1152" w:type="dxa"/>
            <w:gridSpan w:val="2"/>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83,80</w:t>
            </w:r>
          </w:p>
        </w:tc>
        <w:tc>
          <w:tcPr>
            <w:tcW w:w="1126" w:type="dxa"/>
            <w:tcBorders>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82,50</w:t>
            </w:r>
          </w:p>
        </w:tc>
        <w:tc>
          <w:tcPr>
            <w:tcW w:w="1152" w:type="dxa"/>
            <w:gridSpan w:val="2"/>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79,74</w:t>
            </w:r>
          </w:p>
        </w:tc>
        <w:tc>
          <w:tcPr>
            <w:tcW w:w="974" w:type="dxa"/>
            <w:tcBorders>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76,90</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83,48</w:t>
            </w:r>
          </w:p>
        </w:tc>
        <w:tc>
          <w:tcPr>
            <w:tcW w:w="1134" w:type="dxa"/>
            <w:tcBorders>
              <w:left w:val="single" w:sz="2" w:space="0" w:color="auto"/>
            </w:tcBorders>
            <w:noWrap/>
            <w:vAlign w:val="bottom"/>
          </w:tcPr>
          <w:p w:rsidR="000A7585" w:rsidRPr="00AE6EDB" w:rsidRDefault="000A7585" w:rsidP="00DE0EEC">
            <w:pPr>
              <w:jc w:val="right"/>
              <w:rPr>
                <w:szCs w:val="22"/>
              </w:rPr>
            </w:pPr>
            <w:r w:rsidRPr="00AE6EDB">
              <w:rPr>
                <w:szCs w:val="22"/>
              </w:rPr>
              <w:t>80,8</w:t>
            </w:r>
          </w:p>
        </w:tc>
      </w:tr>
      <w:tr w:rsidR="000A7585" w:rsidRPr="00AE6EDB" w:rsidTr="00DE0EEC">
        <w:trPr>
          <w:trHeight w:val="276"/>
          <w:jc w:val="center"/>
        </w:trPr>
        <w:tc>
          <w:tcPr>
            <w:tcW w:w="2047" w:type="dxa"/>
            <w:tcBorders>
              <w:right w:val="single" w:sz="2" w:space="0" w:color="auto"/>
            </w:tcBorders>
            <w:noWrap/>
            <w:vAlign w:val="center"/>
          </w:tcPr>
          <w:p w:rsidR="000A7585" w:rsidRPr="00AE6EDB" w:rsidRDefault="000A7585" w:rsidP="00DE0EEC">
            <w:r w:rsidRPr="00AE6EDB">
              <w:rPr>
                <w:szCs w:val="22"/>
              </w:rPr>
              <w:t>Vyrovnávacia dávka</w:t>
            </w:r>
          </w:p>
        </w:tc>
        <w:tc>
          <w:tcPr>
            <w:tcW w:w="993"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55,70</w:t>
            </w:r>
          </w:p>
        </w:tc>
        <w:tc>
          <w:tcPr>
            <w:tcW w:w="1152" w:type="dxa"/>
            <w:gridSpan w:val="2"/>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50,03</w:t>
            </w:r>
          </w:p>
        </w:tc>
        <w:tc>
          <w:tcPr>
            <w:tcW w:w="1126" w:type="dxa"/>
            <w:tcBorders>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61,27</w:t>
            </w:r>
          </w:p>
        </w:tc>
        <w:tc>
          <w:tcPr>
            <w:tcW w:w="1152" w:type="dxa"/>
            <w:gridSpan w:val="2"/>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63,74</w:t>
            </w:r>
          </w:p>
        </w:tc>
        <w:tc>
          <w:tcPr>
            <w:tcW w:w="974" w:type="dxa"/>
            <w:tcBorders>
              <w:left w:val="single" w:sz="2" w:space="0" w:color="auto"/>
              <w:right w:val="single" w:sz="2" w:space="0" w:color="auto"/>
            </w:tcBorders>
            <w:vAlign w:val="bottom"/>
          </w:tcPr>
          <w:p w:rsidR="000A7585" w:rsidRPr="00AE6EDB" w:rsidRDefault="000A7585" w:rsidP="00DE0EEC">
            <w:pPr>
              <w:jc w:val="right"/>
              <w:rPr>
                <w:szCs w:val="22"/>
              </w:rPr>
            </w:pPr>
            <w:r w:rsidRPr="00AE6EDB">
              <w:rPr>
                <w:szCs w:val="22"/>
              </w:rPr>
              <w:t>63,20</w:t>
            </w:r>
          </w:p>
        </w:tc>
        <w:tc>
          <w:tcPr>
            <w:tcW w:w="1134" w:type="dxa"/>
            <w:tcBorders>
              <w:left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51,88</w:t>
            </w:r>
          </w:p>
        </w:tc>
        <w:tc>
          <w:tcPr>
            <w:tcW w:w="1134" w:type="dxa"/>
            <w:tcBorders>
              <w:left w:val="single" w:sz="2" w:space="0" w:color="auto"/>
            </w:tcBorders>
            <w:noWrap/>
            <w:vAlign w:val="bottom"/>
          </w:tcPr>
          <w:p w:rsidR="000A7585" w:rsidRPr="00AE6EDB" w:rsidRDefault="000A7585" w:rsidP="00DE0EEC">
            <w:pPr>
              <w:jc w:val="right"/>
              <w:rPr>
                <w:szCs w:val="22"/>
              </w:rPr>
            </w:pPr>
            <w:r w:rsidRPr="00AE6EDB">
              <w:rPr>
                <w:szCs w:val="22"/>
              </w:rPr>
              <w:t>56,7</w:t>
            </w:r>
          </w:p>
        </w:tc>
      </w:tr>
      <w:tr w:rsidR="000A7585" w:rsidRPr="00AE6EDB" w:rsidTr="00DE0EEC">
        <w:trPr>
          <w:trHeight w:val="276"/>
          <w:jc w:val="center"/>
        </w:trPr>
        <w:tc>
          <w:tcPr>
            <w:tcW w:w="2047" w:type="dxa"/>
            <w:tcBorders>
              <w:bottom w:val="single" w:sz="2" w:space="0" w:color="auto"/>
              <w:right w:val="single" w:sz="2" w:space="0" w:color="auto"/>
            </w:tcBorders>
            <w:noWrap/>
            <w:vAlign w:val="center"/>
          </w:tcPr>
          <w:p w:rsidR="000A7585" w:rsidRPr="00AE6EDB" w:rsidRDefault="000A7585" w:rsidP="00DE0EEC">
            <w:r w:rsidRPr="00AE6EDB">
              <w:rPr>
                <w:szCs w:val="22"/>
              </w:rPr>
              <w:t>Materské</w:t>
            </w:r>
          </w:p>
        </w:tc>
        <w:tc>
          <w:tcPr>
            <w:tcW w:w="993"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433,47</w:t>
            </w:r>
          </w:p>
        </w:tc>
        <w:tc>
          <w:tcPr>
            <w:tcW w:w="1152" w:type="dxa"/>
            <w:gridSpan w:val="2"/>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430,52</w:t>
            </w:r>
          </w:p>
        </w:tc>
        <w:tc>
          <w:tcPr>
            <w:tcW w:w="1126" w:type="dxa"/>
            <w:tcBorders>
              <w:left w:val="single" w:sz="2" w:space="0" w:color="auto"/>
              <w:bottom w:val="single" w:sz="2" w:space="0" w:color="auto"/>
              <w:right w:val="single" w:sz="2" w:space="0" w:color="auto"/>
            </w:tcBorders>
            <w:vAlign w:val="bottom"/>
          </w:tcPr>
          <w:p w:rsidR="000A7585" w:rsidRPr="00AE6EDB" w:rsidRDefault="000A7585" w:rsidP="00DE0EEC">
            <w:pPr>
              <w:jc w:val="right"/>
              <w:rPr>
                <w:szCs w:val="22"/>
              </w:rPr>
            </w:pPr>
            <w:r w:rsidRPr="00AE6EDB">
              <w:rPr>
                <w:szCs w:val="22"/>
              </w:rPr>
              <w:t>393,01</w:t>
            </w:r>
          </w:p>
        </w:tc>
        <w:tc>
          <w:tcPr>
            <w:tcW w:w="1152" w:type="dxa"/>
            <w:gridSpan w:val="2"/>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431,02</w:t>
            </w:r>
          </w:p>
        </w:tc>
        <w:tc>
          <w:tcPr>
            <w:tcW w:w="974" w:type="dxa"/>
            <w:tcBorders>
              <w:left w:val="single" w:sz="2" w:space="0" w:color="auto"/>
              <w:bottom w:val="single" w:sz="2" w:space="0" w:color="auto"/>
              <w:right w:val="single" w:sz="2" w:space="0" w:color="auto"/>
            </w:tcBorders>
            <w:vAlign w:val="bottom"/>
          </w:tcPr>
          <w:p w:rsidR="000A7585" w:rsidRPr="00AE6EDB" w:rsidRDefault="000A7585" w:rsidP="00DE0EEC">
            <w:pPr>
              <w:jc w:val="right"/>
              <w:rPr>
                <w:szCs w:val="22"/>
              </w:rPr>
            </w:pPr>
            <w:r w:rsidRPr="00AE6EDB">
              <w:rPr>
                <w:szCs w:val="22"/>
              </w:rPr>
              <w:t>417,01</w:t>
            </w:r>
          </w:p>
        </w:tc>
        <w:tc>
          <w:tcPr>
            <w:tcW w:w="1134" w:type="dxa"/>
            <w:tcBorders>
              <w:left w:val="single" w:sz="2" w:space="0" w:color="auto"/>
              <w:bottom w:val="single" w:sz="2" w:space="0" w:color="auto"/>
              <w:right w:val="single" w:sz="2" w:space="0" w:color="auto"/>
            </w:tcBorders>
            <w:noWrap/>
            <w:vAlign w:val="bottom"/>
          </w:tcPr>
          <w:p w:rsidR="000A7585" w:rsidRPr="00AE6EDB" w:rsidRDefault="000A7585" w:rsidP="00DE0EEC">
            <w:pPr>
              <w:jc w:val="right"/>
              <w:rPr>
                <w:szCs w:val="22"/>
              </w:rPr>
            </w:pPr>
            <w:r w:rsidRPr="00AE6EDB">
              <w:rPr>
                <w:szCs w:val="22"/>
              </w:rPr>
              <w:t>434,70</w:t>
            </w:r>
          </w:p>
        </w:tc>
        <w:tc>
          <w:tcPr>
            <w:tcW w:w="1134" w:type="dxa"/>
            <w:tcBorders>
              <w:left w:val="single" w:sz="2" w:space="0" w:color="auto"/>
              <w:bottom w:val="single" w:sz="2" w:space="0" w:color="auto"/>
            </w:tcBorders>
            <w:noWrap/>
            <w:vAlign w:val="bottom"/>
          </w:tcPr>
          <w:p w:rsidR="000A7585" w:rsidRPr="00AE6EDB" w:rsidRDefault="000A7585" w:rsidP="00DE0EEC">
            <w:pPr>
              <w:jc w:val="right"/>
              <w:rPr>
                <w:szCs w:val="22"/>
              </w:rPr>
            </w:pPr>
            <w:r w:rsidRPr="00AE6EDB">
              <w:rPr>
                <w:szCs w:val="22"/>
              </w:rPr>
              <w:t>423,0</w:t>
            </w:r>
          </w:p>
        </w:tc>
      </w:tr>
      <w:tr w:rsidR="000A7585" w:rsidRPr="00AE6EDB" w:rsidTr="00DE0EEC">
        <w:trPr>
          <w:trHeight w:val="276"/>
          <w:jc w:val="center"/>
        </w:trPr>
        <w:tc>
          <w:tcPr>
            <w:tcW w:w="2047" w:type="dxa"/>
            <w:tcBorders>
              <w:top w:val="single" w:sz="2" w:space="0" w:color="auto"/>
              <w:left w:val="nil"/>
              <w:bottom w:val="single" w:sz="2" w:space="0" w:color="auto"/>
            </w:tcBorders>
            <w:noWrap/>
            <w:vAlign w:val="center"/>
          </w:tcPr>
          <w:p w:rsidR="000A7585" w:rsidRPr="00AE6EDB" w:rsidRDefault="000A7585" w:rsidP="00DE0EEC">
            <w:pPr>
              <w:spacing w:line="408" w:lineRule="auto"/>
            </w:pPr>
          </w:p>
        </w:tc>
        <w:tc>
          <w:tcPr>
            <w:tcW w:w="993" w:type="dxa"/>
            <w:tcBorders>
              <w:top w:val="single" w:sz="2" w:space="0" w:color="auto"/>
              <w:bottom w:val="single" w:sz="2" w:space="0" w:color="auto"/>
            </w:tcBorders>
            <w:noWrap/>
            <w:vAlign w:val="center"/>
          </w:tcPr>
          <w:p w:rsidR="000A7585" w:rsidRPr="00AE6EDB" w:rsidRDefault="000A7585" w:rsidP="00DE0EEC">
            <w:pPr>
              <w:spacing w:line="408" w:lineRule="auto"/>
              <w:jc w:val="center"/>
            </w:pPr>
          </w:p>
        </w:tc>
        <w:tc>
          <w:tcPr>
            <w:tcW w:w="992" w:type="dxa"/>
            <w:tcBorders>
              <w:top w:val="single" w:sz="2" w:space="0" w:color="auto"/>
              <w:bottom w:val="single" w:sz="2" w:space="0" w:color="auto"/>
            </w:tcBorders>
            <w:noWrap/>
            <w:vAlign w:val="center"/>
          </w:tcPr>
          <w:p w:rsidR="000A7585" w:rsidRPr="00AE6EDB" w:rsidRDefault="000A7585" w:rsidP="00DE0EEC">
            <w:pPr>
              <w:spacing w:line="408" w:lineRule="auto"/>
              <w:jc w:val="center"/>
            </w:pPr>
          </w:p>
        </w:tc>
        <w:tc>
          <w:tcPr>
            <w:tcW w:w="1286" w:type="dxa"/>
            <w:gridSpan w:val="2"/>
            <w:tcBorders>
              <w:top w:val="nil"/>
              <w:bottom w:val="single" w:sz="2" w:space="0" w:color="auto"/>
            </w:tcBorders>
            <w:noWrap/>
            <w:vAlign w:val="center"/>
          </w:tcPr>
          <w:p w:rsidR="000A7585" w:rsidRPr="00AE6EDB" w:rsidRDefault="000A7585" w:rsidP="00DE0EEC">
            <w:pPr>
              <w:spacing w:line="408" w:lineRule="auto"/>
              <w:jc w:val="center"/>
            </w:pPr>
          </w:p>
        </w:tc>
        <w:tc>
          <w:tcPr>
            <w:tcW w:w="982" w:type="dxa"/>
            <w:tcBorders>
              <w:top w:val="single" w:sz="2" w:space="0" w:color="auto"/>
              <w:bottom w:val="single" w:sz="2" w:space="0" w:color="auto"/>
            </w:tcBorders>
            <w:noWrap/>
            <w:vAlign w:val="center"/>
          </w:tcPr>
          <w:p w:rsidR="000A7585" w:rsidRPr="00AE6EDB" w:rsidRDefault="000A7585" w:rsidP="00DE0EEC">
            <w:pPr>
              <w:spacing w:line="408" w:lineRule="auto"/>
              <w:jc w:val="center"/>
            </w:pPr>
          </w:p>
        </w:tc>
        <w:tc>
          <w:tcPr>
            <w:tcW w:w="1144" w:type="dxa"/>
            <w:gridSpan w:val="2"/>
            <w:tcBorders>
              <w:top w:val="nil"/>
              <w:bottom w:val="single" w:sz="2" w:space="0" w:color="auto"/>
            </w:tcBorders>
            <w:noWrap/>
            <w:vAlign w:val="center"/>
          </w:tcPr>
          <w:p w:rsidR="000A7585" w:rsidRPr="00AE6EDB" w:rsidRDefault="000A7585" w:rsidP="00DE0EEC">
            <w:pPr>
              <w:spacing w:line="408" w:lineRule="auto"/>
              <w:jc w:val="center"/>
            </w:pPr>
          </w:p>
        </w:tc>
        <w:tc>
          <w:tcPr>
            <w:tcW w:w="1134" w:type="dxa"/>
            <w:tcBorders>
              <w:top w:val="single" w:sz="2" w:space="0" w:color="auto"/>
              <w:bottom w:val="single" w:sz="2" w:space="0" w:color="auto"/>
            </w:tcBorders>
            <w:noWrap/>
            <w:vAlign w:val="center"/>
          </w:tcPr>
          <w:p w:rsidR="000A7585" w:rsidRPr="00AE6EDB" w:rsidRDefault="000A7585" w:rsidP="00DE0EEC">
            <w:pPr>
              <w:spacing w:line="408" w:lineRule="auto"/>
              <w:jc w:val="center"/>
            </w:pPr>
          </w:p>
        </w:tc>
        <w:tc>
          <w:tcPr>
            <w:tcW w:w="1134" w:type="dxa"/>
            <w:tcBorders>
              <w:top w:val="single" w:sz="2" w:space="0" w:color="auto"/>
              <w:bottom w:val="single" w:sz="2" w:space="0" w:color="auto"/>
              <w:right w:val="nil"/>
            </w:tcBorders>
            <w:noWrap/>
            <w:vAlign w:val="center"/>
          </w:tcPr>
          <w:p w:rsidR="000A7585" w:rsidRPr="00AE6EDB" w:rsidRDefault="000A7585" w:rsidP="00DE0EEC">
            <w:pPr>
              <w:spacing w:line="408" w:lineRule="auto"/>
              <w:jc w:val="center"/>
            </w:pPr>
          </w:p>
        </w:tc>
      </w:tr>
      <w:tr w:rsidR="000A7585" w:rsidRPr="00AE6EDB" w:rsidTr="00DE0EEC">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Júl</w:t>
            </w:r>
          </w:p>
        </w:tc>
        <w:tc>
          <w:tcPr>
            <w:tcW w:w="9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August</w:t>
            </w:r>
          </w:p>
        </w:tc>
        <w:tc>
          <w:tcPr>
            <w:tcW w:w="1286"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September</w:t>
            </w:r>
          </w:p>
        </w:tc>
        <w:tc>
          <w:tcPr>
            <w:tcW w:w="9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Október</w:t>
            </w:r>
          </w:p>
        </w:tc>
        <w:tc>
          <w:tcPr>
            <w:tcW w:w="1144"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keepNext/>
              <w:keepLines/>
              <w:jc w:val="center"/>
              <w:rPr>
                <w:b/>
              </w:rPr>
            </w:pPr>
            <w:r w:rsidRPr="00AE6EDB">
              <w:rPr>
                <w:b/>
                <w:szCs w:val="22"/>
              </w:rPr>
              <w:t>December</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Rok 2015</w:t>
            </w:r>
          </w:p>
        </w:tc>
      </w:tr>
      <w:tr w:rsidR="000A7585" w:rsidRPr="00AE6EDB" w:rsidTr="00DE0EEC">
        <w:trPr>
          <w:trHeight w:val="276"/>
          <w:jc w:val="center"/>
        </w:trPr>
        <w:tc>
          <w:tcPr>
            <w:tcW w:w="2047" w:type="dxa"/>
            <w:tcBorders>
              <w:top w:val="single" w:sz="2" w:space="0" w:color="auto"/>
              <w:right w:val="single" w:sz="4" w:space="0" w:color="auto"/>
            </w:tcBorders>
            <w:noWrap/>
            <w:vAlign w:val="center"/>
          </w:tcPr>
          <w:p w:rsidR="000A7585" w:rsidRPr="00AE6EDB" w:rsidRDefault="000A7585" w:rsidP="00DE0EEC">
            <w:r w:rsidRPr="00AE6EDB">
              <w:rPr>
                <w:szCs w:val="22"/>
              </w:rPr>
              <w:t>Nemocenské</w:t>
            </w:r>
          </w:p>
        </w:tc>
        <w:tc>
          <w:tcPr>
            <w:tcW w:w="993" w:type="dxa"/>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217,3</w:t>
            </w:r>
          </w:p>
        </w:tc>
        <w:tc>
          <w:tcPr>
            <w:tcW w:w="992" w:type="dxa"/>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234,1</w:t>
            </w:r>
          </w:p>
        </w:tc>
        <w:tc>
          <w:tcPr>
            <w:tcW w:w="1286" w:type="dxa"/>
            <w:gridSpan w:val="2"/>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230,2</w:t>
            </w:r>
          </w:p>
        </w:tc>
        <w:tc>
          <w:tcPr>
            <w:tcW w:w="982" w:type="dxa"/>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216,6</w:t>
            </w:r>
          </w:p>
        </w:tc>
        <w:tc>
          <w:tcPr>
            <w:tcW w:w="1144" w:type="dxa"/>
            <w:gridSpan w:val="2"/>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212,0</w:t>
            </w:r>
          </w:p>
        </w:tc>
        <w:tc>
          <w:tcPr>
            <w:tcW w:w="1134" w:type="dxa"/>
            <w:tcBorders>
              <w:top w:val="single" w:sz="2" w:space="0" w:color="auto"/>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213,2</w:t>
            </w:r>
          </w:p>
        </w:tc>
        <w:tc>
          <w:tcPr>
            <w:tcW w:w="1134" w:type="dxa"/>
            <w:tcBorders>
              <w:top w:val="single" w:sz="2" w:space="0" w:color="auto"/>
              <w:left w:val="single" w:sz="4" w:space="0" w:color="auto"/>
            </w:tcBorders>
            <w:noWrap/>
            <w:vAlign w:val="bottom"/>
          </w:tcPr>
          <w:p w:rsidR="000A7585" w:rsidRPr="00AE6EDB" w:rsidRDefault="000A7585" w:rsidP="00DE0EEC">
            <w:pPr>
              <w:jc w:val="right"/>
              <w:rPr>
                <w:b/>
              </w:rPr>
            </w:pPr>
            <w:r w:rsidRPr="00AE6EDB">
              <w:rPr>
                <w:b/>
              </w:rPr>
              <w:t>221,1</w:t>
            </w:r>
          </w:p>
        </w:tc>
      </w:tr>
      <w:tr w:rsidR="000A7585" w:rsidRPr="00AE6EDB" w:rsidTr="00DE0EEC">
        <w:trPr>
          <w:trHeight w:val="276"/>
          <w:jc w:val="center"/>
        </w:trPr>
        <w:tc>
          <w:tcPr>
            <w:tcW w:w="2047" w:type="dxa"/>
            <w:tcBorders>
              <w:right w:val="single" w:sz="4" w:space="0" w:color="auto"/>
            </w:tcBorders>
            <w:noWrap/>
            <w:vAlign w:val="center"/>
          </w:tcPr>
          <w:p w:rsidR="000A7585" w:rsidRPr="00AE6EDB" w:rsidRDefault="000A7585" w:rsidP="00DE0EEC">
            <w:r w:rsidRPr="00AE6EDB">
              <w:rPr>
                <w:szCs w:val="22"/>
              </w:rPr>
              <w:t>Ošetrovné</w:t>
            </w:r>
          </w:p>
        </w:tc>
        <w:tc>
          <w:tcPr>
            <w:tcW w:w="993"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79,5</w:t>
            </w:r>
          </w:p>
        </w:tc>
        <w:tc>
          <w:tcPr>
            <w:tcW w:w="992"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84,8</w:t>
            </w:r>
          </w:p>
        </w:tc>
        <w:tc>
          <w:tcPr>
            <w:tcW w:w="1286" w:type="dxa"/>
            <w:gridSpan w:val="2"/>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85,8</w:t>
            </w:r>
          </w:p>
        </w:tc>
        <w:tc>
          <w:tcPr>
            <w:tcW w:w="982"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77,2</w:t>
            </w:r>
          </w:p>
        </w:tc>
        <w:tc>
          <w:tcPr>
            <w:tcW w:w="1144" w:type="dxa"/>
            <w:gridSpan w:val="2"/>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75,4</w:t>
            </w:r>
          </w:p>
        </w:tc>
        <w:tc>
          <w:tcPr>
            <w:tcW w:w="1134"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76,6</w:t>
            </w:r>
          </w:p>
        </w:tc>
        <w:tc>
          <w:tcPr>
            <w:tcW w:w="1134" w:type="dxa"/>
            <w:tcBorders>
              <w:left w:val="single" w:sz="4" w:space="0" w:color="auto"/>
            </w:tcBorders>
            <w:noWrap/>
            <w:vAlign w:val="bottom"/>
          </w:tcPr>
          <w:p w:rsidR="000A7585" w:rsidRPr="00AE6EDB" w:rsidRDefault="000A7585" w:rsidP="00DE0EEC">
            <w:pPr>
              <w:jc w:val="right"/>
              <w:rPr>
                <w:b/>
              </w:rPr>
            </w:pPr>
            <w:r w:rsidRPr="00AE6EDB">
              <w:rPr>
                <w:b/>
              </w:rPr>
              <w:t>82,3</w:t>
            </w:r>
          </w:p>
        </w:tc>
      </w:tr>
      <w:tr w:rsidR="000A7585" w:rsidRPr="00AE6EDB" w:rsidTr="00DE0EEC">
        <w:trPr>
          <w:trHeight w:val="276"/>
          <w:jc w:val="center"/>
        </w:trPr>
        <w:tc>
          <w:tcPr>
            <w:tcW w:w="2047" w:type="dxa"/>
            <w:tcBorders>
              <w:right w:val="single" w:sz="4" w:space="0" w:color="auto"/>
            </w:tcBorders>
            <w:noWrap/>
            <w:vAlign w:val="center"/>
          </w:tcPr>
          <w:p w:rsidR="000A7585" w:rsidRPr="00AE6EDB" w:rsidRDefault="000A7585" w:rsidP="00DE0EEC">
            <w:r w:rsidRPr="00AE6EDB">
              <w:rPr>
                <w:szCs w:val="22"/>
              </w:rPr>
              <w:t>Vyrovnávacia dávka</w:t>
            </w:r>
          </w:p>
        </w:tc>
        <w:tc>
          <w:tcPr>
            <w:tcW w:w="993"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65,0</w:t>
            </w:r>
          </w:p>
        </w:tc>
        <w:tc>
          <w:tcPr>
            <w:tcW w:w="992"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56,8</w:t>
            </w:r>
          </w:p>
        </w:tc>
        <w:tc>
          <w:tcPr>
            <w:tcW w:w="1286" w:type="dxa"/>
            <w:gridSpan w:val="2"/>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57,1</w:t>
            </w:r>
          </w:p>
        </w:tc>
        <w:tc>
          <w:tcPr>
            <w:tcW w:w="982"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54,9</w:t>
            </w:r>
          </w:p>
        </w:tc>
        <w:tc>
          <w:tcPr>
            <w:tcW w:w="1144" w:type="dxa"/>
            <w:gridSpan w:val="2"/>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74,3</w:t>
            </w:r>
          </w:p>
        </w:tc>
        <w:tc>
          <w:tcPr>
            <w:tcW w:w="1134" w:type="dxa"/>
            <w:tcBorders>
              <w:left w:val="single" w:sz="4"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57,6</w:t>
            </w:r>
          </w:p>
        </w:tc>
        <w:tc>
          <w:tcPr>
            <w:tcW w:w="1134" w:type="dxa"/>
            <w:tcBorders>
              <w:left w:val="single" w:sz="4" w:space="0" w:color="auto"/>
            </w:tcBorders>
            <w:noWrap/>
            <w:vAlign w:val="bottom"/>
          </w:tcPr>
          <w:p w:rsidR="000A7585" w:rsidRPr="00AE6EDB" w:rsidRDefault="000A7585" w:rsidP="00DE0EEC">
            <w:pPr>
              <w:jc w:val="right"/>
              <w:rPr>
                <w:b/>
              </w:rPr>
            </w:pPr>
            <w:r w:rsidRPr="00AE6EDB">
              <w:rPr>
                <w:b/>
              </w:rPr>
              <w:t>53,7</w:t>
            </w:r>
          </w:p>
        </w:tc>
      </w:tr>
      <w:tr w:rsidR="000A7585" w:rsidRPr="00AE6EDB" w:rsidTr="00DE0EEC">
        <w:trPr>
          <w:trHeight w:val="276"/>
          <w:jc w:val="center"/>
        </w:trPr>
        <w:tc>
          <w:tcPr>
            <w:tcW w:w="2047" w:type="dxa"/>
            <w:tcBorders>
              <w:bottom w:val="single" w:sz="2" w:space="0" w:color="auto"/>
              <w:right w:val="single" w:sz="4" w:space="0" w:color="auto"/>
            </w:tcBorders>
            <w:noWrap/>
            <w:vAlign w:val="center"/>
          </w:tcPr>
          <w:p w:rsidR="000A7585" w:rsidRPr="00AE6EDB" w:rsidRDefault="000A7585" w:rsidP="00DE0EEC">
            <w:r w:rsidRPr="00AE6EDB">
              <w:rPr>
                <w:szCs w:val="22"/>
              </w:rPr>
              <w:t>Materské</w:t>
            </w:r>
          </w:p>
        </w:tc>
        <w:tc>
          <w:tcPr>
            <w:tcW w:w="993" w:type="dxa"/>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418,7</w:t>
            </w:r>
          </w:p>
        </w:tc>
        <w:tc>
          <w:tcPr>
            <w:tcW w:w="992" w:type="dxa"/>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432,5</w:t>
            </w:r>
          </w:p>
        </w:tc>
        <w:tc>
          <w:tcPr>
            <w:tcW w:w="1286" w:type="dxa"/>
            <w:gridSpan w:val="2"/>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435,2</w:t>
            </w:r>
          </w:p>
        </w:tc>
        <w:tc>
          <w:tcPr>
            <w:tcW w:w="982" w:type="dxa"/>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422,1</w:t>
            </w:r>
          </w:p>
        </w:tc>
        <w:tc>
          <w:tcPr>
            <w:tcW w:w="1144" w:type="dxa"/>
            <w:gridSpan w:val="2"/>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436,4</w:t>
            </w:r>
          </w:p>
        </w:tc>
        <w:tc>
          <w:tcPr>
            <w:tcW w:w="1134" w:type="dxa"/>
            <w:tcBorders>
              <w:left w:val="single" w:sz="4" w:space="0" w:color="auto"/>
              <w:bottom w:val="single" w:sz="2" w:space="0" w:color="auto"/>
              <w:right w:val="single" w:sz="4" w:space="0" w:color="auto"/>
            </w:tcBorders>
            <w:noWrap/>
            <w:vAlign w:val="bottom"/>
          </w:tcPr>
          <w:p w:rsidR="000A7585" w:rsidRPr="00AE6EDB" w:rsidRDefault="000A7585" w:rsidP="00DE0EEC">
            <w:pPr>
              <w:ind w:right="113"/>
              <w:jc w:val="right"/>
              <w:rPr>
                <w:szCs w:val="22"/>
              </w:rPr>
            </w:pPr>
            <w:r w:rsidRPr="00AE6EDB">
              <w:rPr>
                <w:szCs w:val="22"/>
              </w:rPr>
              <w:t>422,0</w:t>
            </w:r>
          </w:p>
        </w:tc>
        <w:tc>
          <w:tcPr>
            <w:tcW w:w="1134" w:type="dxa"/>
            <w:tcBorders>
              <w:left w:val="single" w:sz="4" w:space="0" w:color="auto"/>
              <w:bottom w:val="single" w:sz="2" w:space="0" w:color="auto"/>
            </w:tcBorders>
            <w:noWrap/>
            <w:vAlign w:val="bottom"/>
          </w:tcPr>
          <w:p w:rsidR="000A7585" w:rsidRPr="00AE6EDB" w:rsidRDefault="000A7585" w:rsidP="00DE0EEC">
            <w:pPr>
              <w:jc w:val="right"/>
              <w:rPr>
                <w:b/>
              </w:rPr>
            </w:pPr>
            <w:r w:rsidRPr="00AE6EDB">
              <w:rPr>
                <w:b/>
              </w:rPr>
              <w:t>429,8</w:t>
            </w:r>
          </w:p>
        </w:tc>
      </w:tr>
    </w:tbl>
    <w:p w:rsidR="000A7585" w:rsidRPr="00AE6EDB" w:rsidRDefault="000A7585" w:rsidP="000A7585">
      <w:pPr>
        <w:pStyle w:val="zdroj"/>
      </w:pPr>
      <w:r w:rsidRPr="00AE6EDB">
        <w:t>Zdroj: Sociálna poisťovňa</w:t>
      </w:r>
    </w:p>
    <w:p w:rsidR="000A7585" w:rsidRPr="00AE6EDB" w:rsidRDefault="000A7585" w:rsidP="000A7585">
      <w:pPr>
        <w:pStyle w:val="zdroj"/>
        <w:rPr>
          <w:color w:val="auto"/>
          <w:highlight w:val="cyan"/>
        </w:rPr>
      </w:pPr>
    </w:p>
    <w:p w:rsidR="000A7585" w:rsidRPr="00AE6EDB" w:rsidRDefault="000A7585" w:rsidP="000A7585">
      <w:pPr>
        <w:pStyle w:val="Nadpis7"/>
      </w:pPr>
      <w:bookmarkStart w:id="869" w:name="_Toc313879697"/>
      <w:r w:rsidRPr="00AE6EDB">
        <w:t>Tabuľka 2 Počet poberateľov samostatne vyplácaných dôchodkov a v súbehu s vdovským, resp. vdoveckým dôchodkom k 31.12.201</w:t>
      </w:r>
      <w:bookmarkEnd w:id="869"/>
      <w:r w:rsidRPr="00AE6EDB">
        <w:t>5</w:t>
      </w:r>
    </w:p>
    <w:tbl>
      <w:tblPr>
        <w:tblW w:w="8265" w:type="dxa"/>
        <w:jc w:val="center"/>
        <w:tblCellMar>
          <w:left w:w="70" w:type="dxa"/>
          <w:right w:w="70" w:type="dxa"/>
        </w:tblCellMar>
        <w:tblLook w:val="00A0" w:firstRow="1" w:lastRow="0" w:firstColumn="1" w:lastColumn="0" w:noHBand="0" w:noVBand="0"/>
      </w:tblPr>
      <w:tblGrid>
        <w:gridCol w:w="2605"/>
        <w:gridCol w:w="1985"/>
        <w:gridCol w:w="2237"/>
        <w:gridCol w:w="1438"/>
      </w:tblGrid>
      <w:tr w:rsidR="000A7585" w:rsidRPr="00AE6EDB" w:rsidTr="00DE0EEC">
        <w:trPr>
          <w:trHeight w:val="315"/>
          <w:jc w:val="center"/>
        </w:trPr>
        <w:tc>
          <w:tcPr>
            <w:tcW w:w="260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Druh dôchodku</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jc w:val="center"/>
              <w:rPr>
                <w:b/>
                <w:bCs/>
              </w:rPr>
            </w:pPr>
            <w:r w:rsidRPr="00AE6EDB">
              <w:rPr>
                <w:b/>
                <w:bCs/>
                <w:szCs w:val="22"/>
              </w:rPr>
              <w:t>Počet poberateľov sólo dôchodku (samostatne)</w:t>
            </w:r>
          </w:p>
        </w:tc>
        <w:tc>
          <w:tcPr>
            <w:tcW w:w="2237"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jc w:val="center"/>
              <w:rPr>
                <w:b/>
                <w:bCs/>
              </w:rPr>
            </w:pPr>
            <w:r w:rsidRPr="00AE6EDB">
              <w:rPr>
                <w:b/>
                <w:bCs/>
                <w:szCs w:val="22"/>
              </w:rPr>
              <w:t>Počet poberateľov dôchodkov vyplácaných v súbehu (s vdovským resp. vdoveckým)</w:t>
            </w:r>
          </w:p>
        </w:tc>
        <w:tc>
          <w:tcPr>
            <w:tcW w:w="1438"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AE6EDB" w:rsidRDefault="000A7585" w:rsidP="00DE0EEC">
            <w:pPr>
              <w:jc w:val="center"/>
              <w:rPr>
                <w:b/>
                <w:bCs/>
                <w:szCs w:val="22"/>
              </w:rPr>
            </w:pPr>
            <w:r w:rsidRPr="00AE6EDB">
              <w:rPr>
                <w:b/>
                <w:bCs/>
                <w:szCs w:val="22"/>
              </w:rPr>
              <w:t xml:space="preserve">Spolu </w:t>
            </w:r>
          </w:p>
          <w:p w:rsidR="000A7585" w:rsidRPr="00AE6EDB" w:rsidRDefault="000A7585" w:rsidP="00DE0EEC">
            <w:pPr>
              <w:jc w:val="center"/>
              <w:rPr>
                <w:b/>
                <w:bCs/>
              </w:rPr>
            </w:pPr>
            <w:r w:rsidRPr="00AE6EDB">
              <w:rPr>
                <w:b/>
                <w:bCs/>
                <w:szCs w:val="22"/>
              </w:rPr>
              <w:t>dôchodcov</w:t>
            </w:r>
          </w:p>
        </w:tc>
      </w:tr>
      <w:tr w:rsidR="000A7585" w:rsidRPr="00AE6EDB" w:rsidTr="00DE0EEC">
        <w:trPr>
          <w:trHeight w:val="315"/>
          <w:jc w:val="center"/>
        </w:trPr>
        <w:tc>
          <w:tcPr>
            <w:tcW w:w="260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rPr>
                <w:b/>
                <w:bCs/>
              </w:rPr>
            </w:pPr>
          </w:p>
        </w:tc>
        <w:tc>
          <w:tcPr>
            <w:tcW w:w="198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rPr>
                <w:b/>
                <w:bCs/>
              </w:rPr>
            </w:pPr>
          </w:p>
        </w:tc>
        <w:tc>
          <w:tcPr>
            <w:tcW w:w="2237"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rPr>
                <w:b/>
                <w:bCs/>
              </w:rPr>
            </w:pPr>
          </w:p>
        </w:tc>
        <w:tc>
          <w:tcPr>
            <w:tcW w:w="1438"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AE6EDB" w:rsidRDefault="000A7585" w:rsidP="00DE0EEC">
            <w:pPr>
              <w:rPr>
                <w:b/>
                <w:bCs/>
              </w:rPr>
            </w:pPr>
          </w:p>
        </w:tc>
      </w:tr>
      <w:tr w:rsidR="000A7585" w:rsidRPr="00AE6EDB" w:rsidTr="00DE0EEC">
        <w:trPr>
          <w:trHeight w:val="315"/>
          <w:jc w:val="center"/>
        </w:trPr>
        <w:tc>
          <w:tcPr>
            <w:tcW w:w="2605" w:type="dxa"/>
            <w:tcBorders>
              <w:top w:val="single" w:sz="2" w:space="0" w:color="auto"/>
              <w:left w:val="single" w:sz="2" w:space="0" w:color="auto"/>
              <w:right w:val="single" w:sz="2" w:space="0" w:color="auto"/>
            </w:tcBorders>
            <w:noWrap/>
            <w:vAlign w:val="center"/>
          </w:tcPr>
          <w:p w:rsidR="000A7585" w:rsidRPr="00AE6EDB" w:rsidRDefault="000A7585" w:rsidP="00DE0EEC">
            <w:pPr>
              <w:jc w:val="left"/>
            </w:pPr>
            <w:r w:rsidRPr="00AE6EDB">
              <w:rPr>
                <w:szCs w:val="22"/>
              </w:rPr>
              <w:t>Starobný</w:t>
            </w:r>
          </w:p>
        </w:tc>
        <w:tc>
          <w:tcPr>
            <w:tcW w:w="1985" w:type="dxa"/>
            <w:tcBorders>
              <w:top w:val="single" w:sz="2" w:space="0" w:color="auto"/>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74</w:t>
            </w:r>
            <w:r w:rsidR="0054295F">
              <w:rPr>
                <w:sz w:val="20"/>
                <w:szCs w:val="20"/>
              </w:rPr>
              <w:t>3 3</w:t>
            </w:r>
            <w:r w:rsidRPr="00AE6EDB">
              <w:rPr>
                <w:sz w:val="20"/>
                <w:szCs w:val="20"/>
              </w:rPr>
              <w:t>82</w:t>
            </w:r>
          </w:p>
        </w:tc>
        <w:tc>
          <w:tcPr>
            <w:tcW w:w="2237" w:type="dxa"/>
            <w:tcBorders>
              <w:top w:val="single" w:sz="2" w:space="0" w:color="auto"/>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28</w:t>
            </w:r>
            <w:r w:rsidR="00AC44CB">
              <w:rPr>
                <w:sz w:val="20"/>
                <w:szCs w:val="20"/>
              </w:rPr>
              <w:t>8 8</w:t>
            </w:r>
            <w:r w:rsidRPr="00AE6EDB">
              <w:rPr>
                <w:sz w:val="20"/>
                <w:szCs w:val="20"/>
              </w:rPr>
              <w:t>16</w:t>
            </w:r>
          </w:p>
        </w:tc>
        <w:tc>
          <w:tcPr>
            <w:tcW w:w="1438" w:type="dxa"/>
            <w:tcBorders>
              <w:top w:val="single" w:sz="2" w:space="0" w:color="auto"/>
              <w:left w:val="single" w:sz="2" w:space="0" w:color="auto"/>
              <w:right w:val="single" w:sz="2" w:space="0" w:color="auto"/>
            </w:tcBorders>
            <w:noWrap/>
            <w:vAlign w:val="center"/>
          </w:tcPr>
          <w:p w:rsidR="000A7585" w:rsidRPr="00AE6EDB" w:rsidRDefault="0054295F" w:rsidP="00DE0EEC">
            <w:pPr>
              <w:jc w:val="right"/>
              <w:rPr>
                <w:sz w:val="20"/>
                <w:szCs w:val="20"/>
              </w:rPr>
            </w:pPr>
            <w:r>
              <w:rPr>
                <w:sz w:val="20"/>
                <w:szCs w:val="20"/>
              </w:rPr>
              <w:t>1 0</w:t>
            </w:r>
            <w:r w:rsidR="000A7585" w:rsidRPr="00AE6EDB">
              <w:rPr>
                <w:sz w:val="20"/>
                <w:szCs w:val="20"/>
              </w:rPr>
              <w:t>3</w:t>
            </w:r>
            <w:r>
              <w:rPr>
                <w:sz w:val="20"/>
                <w:szCs w:val="20"/>
              </w:rPr>
              <w:t>2 1</w:t>
            </w:r>
            <w:r w:rsidR="000A7585" w:rsidRPr="00AE6EDB">
              <w:rPr>
                <w:sz w:val="20"/>
                <w:szCs w:val="20"/>
              </w:rPr>
              <w:t>98</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Predčasný starobný</w:t>
            </w:r>
          </w:p>
        </w:tc>
        <w:tc>
          <w:tcPr>
            <w:tcW w:w="1985"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1</w:t>
            </w:r>
            <w:r w:rsidR="00AC44CB">
              <w:rPr>
                <w:sz w:val="20"/>
                <w:szCs w:val="20"/>
              </w:rPr>
              <w:t>7 7</w:t>
            </w:r>
            <w:r w:rsidRPr="00AE6EDB">
              <w:rPr>
                <w:sz w:val="20"/>
                <w:szCs w:val="20"/>
              </w:rPr>
              <w:t>01</w:t>
            </w:r>
          </w:p>
        </w:tc>
        <w:tc>
          <w:tcPr>
            <w:tcW w:w="2237"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650</w:t>
            </w:r>
          </w:p>
        </w:tc>
        <w:tc>
          <w:tcPr>
            <w:tcW w:w="1438"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1</w:t>
            </w:r>
            <w:r w:rsidR="00AC44CB">
              <w:rPr>
                <w:sz w:val="20"/>
                <w:szCs w:val="20"/>
              </w:rPr>
              <w:t>8 3</w:t>
            </w:r>
            <w:r w:rsidRPr="00AE6EDB">
              <w:rPr>
                <w:sz w:val="20"/>
                <w:szCs w:val="20"/>
              </w:rPr>
              <w:t>51</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Invalidný (vrátane 1</w:t>
            </w:r>
            <w:r w:rsidR="0054295F">
              <w:rPr>
                <w:szCs w:val="22"/>
              </w:rPr>
              <w:t>1 6</w:t>
            </w:r>
            <w:r w:rsidRPr="00AE6EDB">
              <w:rPr>
                <w:szCs w:val="22"/>
              </w:rPr>
              <w:t>81 tzv. invalidov z mladosti)</w:t>
            </w:r>
          </w:p>
        </w:tc>
        <w:tc>
          <w:tcPr>
            <w:tcW w:w="1985"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23</w:t>
            </w:r>
            <w:r w:rsidR="00AC44CB">
              <w:rPr>
                <w:sz w:val="20"/>
                <w:szCs w:val="20"/>
              </w:rPr>
              <w:t>8 5</w:t>
            </w:r>
            <w:r w:rsidRPr="00AE6EDB">
              <w:rPr>
                <w:sz w:val="20"/>
                <w:szCs w:val="20"/>
              </w:rPr>
              <w:t>55</w:t>
            </w:r>
          </w:p>
        </w:tc>
        <w:tc>
          <w:tcPr>
            <w:tcW w:w="2237" w:type="dxa"/>
            <w:tcBorders>
              <w:top w:val="nil"/>
              <w:left w:val="single" w:sz="2" w:space="0" w:color="auto"/>
              <w:right w:val="single" w:sz="2" w:space="0" w:color="auto"/>
            </w:tcBorders>
            <w:noWrap/>
            <w:vAlign w:val="center"/>
          </w:tcPr>
          <w:p w:rsidR="000A7585" w:rsidRPr="00AE6EDB" w:rsidRDefault="00AC44CB" w:rsidP="00DE0EEC">
            <w:pPr>
              <w:jc w:val="right"/>
              <w:rPr>
                <w:sz w:val="20"/>
                <w:szCs w:val="20"/>
              </w:rPr>
            </w:pPr>
            <w:r>
              <w:rPr>
                <w:sz w:val="20"/>
                <w:szCs w:val="20"/>
              </w:rPr>
              <w:t>7 5</w:t>
            </w:r>
            <w:r w:rsidR="000A7585" w:rsidRPr="00AE6EDB">
              <w:rPr>
                <w:sz w:val="20"/>
                <w:szCs w:val="20"/>
              </w:rPr>
              <w:t>77</w:t>
            </w:r>
          </w:p>
        </w:tc>
        <w:tc>
          <w:tcPr>
            <w:tcW w:w="1438"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24</w:t>
            </w:r>
            <w:r w:rsidR="00AC44CB">
              <w:rPr>
                <w:sz w:val="20"/>
                <w:szCs w:val="20"/>
              </w:rPr>
              <w:t>6 1</w:t>
            </w:r>
            <w:r w:rsidRPr="00AE6EDB">
              <w:rPr>
                <w:sz w:val="20"/>
                <w:szCs w:val="20"/>
              </w:rPr>
              <w:t>32</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Vdovský – sólo</w:t>
            </w:r>
          </w:p>
        </w:tc>
        <w:tc>
          <w:tcPr>
            <w:tcW w:w="1985"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3</w:t>
            </w:r>
            <w:r w:rsidR="0054295F">
              <w:rPr>
                <w:sz w:val="20"/>
                <w:szCs w:val="20"/>
              </w:rPr>
              <w:t>1 9</w:t>
            </w:r>
            <w:r w:rsidRPr="00AE6EDB">
              <w:rPr>
                <w:sz w:val="20"/>
                <w:szCs w:val="20"/>
              </w:rPr>
              <w:t>64</w:t>
            </w:r>
          </w:p>
        </w:tc>
        <w:tc>
          <w:tcPr>
            <w:tcW w:w="2237"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x</w:t>
            </w:r>
          </w:p>
        </w:tc>
        <w:tc>
          <w:tcPr>
            <w:tcW w:w="1438"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3</w:t>
            </w:r>
            <w:r w:rsidR="0054295F">
              <w:rPr>
                <w:sz w:val="20"/>
                <w:szCs w:val="20"/>
              </w:rPr>
              <w:t>1 9</w:t>
            </w:r>
            <w:r w:rsidRPr="00AE6EDB">
              <w:rPr>
                <w:sz w:val="20"/>
                <w:szCs w:val="20"/>
              </w:rPr>
              <w:t>64</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Vdovecký- sólo</w:t>
            </w:r>
          </w:p>
        </w:tc>
        <w:tc>
          <w:tcPr>
            <w:tcW w:w="1985" w:type="dxa"/>
            <w:tcBorders>
              <w:top w:val="nil"/>
              <w:left w:val="single" w:sz="2" w:space="0" w:color="auto"/>
              <w:right w:val="single" w:sz="2" w:space="0" w:color="auto"/>
            </w:tcBorders>
            <w:noWrap/>
            <w:vAlign w:val="center"/>
          </w:tcPr>
          <w:p w:rsidR="000A7585" w:rsidRPr="00AE6EDB" w:rsidRDefault="00AC44CB" w:rsidP="00DE0EEC">
            <w:pPr>
              <w:jc w:val="right"/>
              <w:rPr>
                <w:sz w:val="20"/>
                <w:szCs w:val="20"/>
              </w:rPr>
            </w:pPr>
            <w:r>
              <w:rPr>
                <w:sz w:val="20"/>
                <w:szCs w:val="20"/>
              </w:rPr>
              <w:t>5 5</w:t>
            </w:r>
            <w:r w:rsidR="000A7585" w:rsidRPr="00AE6EDB">
              <w:rPr>
                <w:sz w:val="20"/>
                <w:szCs w:val="20"/>
              </w:rPr>
              <w:t>40</w:t>
            </w:r>
          </w:p>
        </w:tc>
        <w:tc>
          <w:tcPr>
            <w:tcW w:w="2237"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x</w:t>
            </w:r>
          </w:p>
        </w:tc>
        <w:tc>
          <w:tcPr>
            <w:tcW w:w="1438" w:type="dxa"/>
            <w:tcBorders>
              <w:top w:val="nil"/>
              <w:left w:val="single" w:sz="2" w:space="0" w:color="auto"/>
              <w:right w:val="single" w:sz="2" w:space="0" w:color="auto"/>
            </w:tcBorders>
            <w:noWrap/>
            <w:vAlign w:val="center"/>
          </w:tcPr>
          <w:p w:rsidR="000A7585" w:rsidRPr="00AE6EDB" w:rsidRDefault="00AC44CB" w:rsidP="00DE0EEC">
            <w:pPr>
              <w:jc w:val="right"/>
              <w:rPr>
                <w:sz w:val="20"/>
                <w:szCs w:val="20"/>
              </w:rPr>
            </w:pPr>
            <w:r>
              <w:rPr>
                <w:sz w:val="20"/>
                <w:szCs w:val="20"/>
              </w:rPr>
              <w:t>5 5</w:t>
            </w:r>
            <w:r w:rsidR="000A7585" w:rsidRPr="00AE6EDB">
              <w:rPr>
                <w:sz w:val="20"/>
                <w:szCs w:val="20"/>
              </w:rPr>
              <w:t>40</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Sirotský</w:t>
            </w:r>
          </w:p>
        </w:tc>
        <w:tc>
          <w:tcPr>
            <w:tcW w:w="1985"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2</w:t>
            </w:r>
            <w:r w:rsidR="0054295F">
              <w:rPr>
                <w:sz w:val="20"/>
                <w:szCs w:val="20"/>
              </w:rPr>
              <w:t>3 3</w:t>
            </w:r>
            <w:r w:rsidRPr="00AE6EDB">
              <w:rPr>
                <w:sz w:val="20"/>
                <w:szCs w:val="20"/>
              </w:rPr>
              <w:t>73</w:t>
            </w:r>
          </w:p>
        </w:tc>
        <w:tc>
          <w:tcPr>
            <w:tcW w:w="2237"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x</w:t>
            </w:r>
          </w:p>
        </w:tc>
        <w:tc>
          <w:tcPr>
            <w:tcW w:w="1438"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2</w:t>
            </w:r>
            <w:r w:rsidR="0054295F">
              <w:rPr>
                <w:sz w:val="20"/>
                <w:szCs w:val="20"/>
              </w:rPr>
              <w:t>3 3</w:t>
            </w:r>
            <w:r w:rsidRPr="00AE6EDB">
              <w:rPr>
                <w:sz w:val="20"/>
                <w:szCs w:val="20"/>
              </w:rPr>
              <w:t>73</w:t>
            </w:r>
          </w:p>
        </w:tc>
      </w:tr>
      <w:tr w:rsidR="000A7585" w:rsidRPr="00AE6EDB" w:rsidTr="00DE0EEC">
        <w:trPr>
          <w:trHeight w:val="315"/>
          <w:jc w:val="center"/>
        </w:trPr>
        <w:tc>
          <w:tcPr>
            <w:tcW w:w="2605" w:type="dxa"/>
            <w:tcBorders>
              <w:top w:val="nil"/>
              <w:left w:val="single" w:sz="2" w:space="0" w:color="auto"/>
              <w:right w:val="single" w:sz="2" w:space="0" w:color="auto"/>
            </w:tcBorders>
            <w:noWrap/>
            <w:vAlign w:val="center"/>
          </w:tcPr>
          <w:p w:rsidR="000A7585" w:rsidRPr="00AE6EDB" w:rsidRDefault="000A7585" w:rsidP="00DE0EEC">
            <w:pPr>
              <w:jc w:val="left"/>
            </w:pPr>
            <w:r w:rsidRPr="00AE6EDB">
              <w:rPr>
                <w:szCs w:val="22"/>
              </w:rPr>
              <w:t>Dôchodok manželky</w:t>
            </w:r>
          </w:p>
        </w:tc>
        <w:tc>
          <w:tcPr>
            <w:tcW w:w="1985"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548</w:t>
            </w:r>
          </w:p>
        </w:tc>
        <w:tc>
          <w:tcPr>
            <w:tcW w:w="2237"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x</w:t>
            </w:r>
          </w:p>
        </w:tc>
        <w:tc>
          <w:tcPr>
            <w:tcW w:w="1438" w:type="dxa"/>
            <w:tcBorders>
              <w:top w:val="nil"/>
              <w:left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548</w:t>
            </w:r>
          </w:p>
        </w:tc>
      </w:tr>
      <w:tr w:rsidR="000A7585" w:rsidRPr="00AE6EDB" w:rsidTr="00DE0EEC">
        <w:trPr>
          <w:trHeight w:val="315"/>
          <w:jc w:val="center"/>
        </w:trPr>
        <w:tc>
          <w:tcPr>
            <w:tcW w:w="2605" w:type="dxa"/>
            <w:tcBorders>
              <w:top w:val="nil"/>
              <w:left w:val="single" w:sz="2" w:space="0" w:color="auto"/>
              <w:bottom w:val="single" w:sz="2" w:space="0" w:color="auto"/>
              <w:right w:val="single" w:sz="2" w:space="0" w:color="auto"/>
            </w:tcBorders>
            <w:noWrap/>
            <w:vAlign w:val="center"/>
          </w:tcPr>
          <w:p w:rsidR="000A7585" w:rsidRPr="00AE6EDB" w:rsidRDefault="000A7585" w:rsidP="00DE0EEC">
            <w:pPr>
              <w:jc w:val="left"/>
            </w:pPr>
            <w:r w:rsidRPr="00AE6EDB">
              <w:rPr>
                <w:szCs w:val="22"/>
              </w:rPr>
              <w:t>Sociálny</w:t>
            </w:r>
          </w:p>
        </w:tc>
        <w:tc>
          <w:tcPr>
            <w:tcW w:w="1985" w:type="dxa"/>
            <w:tcBorders>
              <w:top w:val="nil"/>
              <w:left w:val="single" w:sz="2" w:space="0" w:color="auto"/>
              <w:bottom w:val="single" w:sz="2" w:space="0" w:color="auto"/>
              <w:right w:val="single" w:sz="2" w:space="0" w:color="auto"/>
            </w:tcBorders>
            <w:noWrap/>
            <w:vAlign w:val="center"/>
          </w:tcPr>
          <w:p w:rsidR="000A7585" w:rsidRPr="00AE6EDB" w:rsidRDefault="0054295F" w:rsidP="00DE0EEC">
            <w:pPr>
              <w:jc w:val="right"/>
              <w:rPr>
                <w:sz w:val="20"/>
                <w:szCs w:val="20"/>
              </w:rPr>
            </w:pPr>
            <w:r>
              <w:rPr>
                <w:sz w:val="20"/>
                <w:szCs w:val="20"/>
              </w:rPr>
              <w:t>1 8</w:t>
            </w:r>
            <w:r w:rsidR="000A7585" w:rsidRPr="00AE6EDB">
              <w:rPr>
                <w:sz w:val="20"/>
                <w:szCs w:val="20"/>
              </w:rPr>
              <w:t>25</w:t>
            </w:r>
          </w:p>
        </w:tc>
        <w:tc>
          <w:tcPr>
            <w:tcW w:w="2237" w:type="dxa"/>
            <w:tcBorders>
              <w:top w:val="nil"/>
              <w:left w:val="single" w:sz="2" w:space="0" w:color="auto"/>
              <w:bottom w:val="single" w:sz="2" w:space="0" w:color="auto"/>
              <w:right w:val="single" w:sz="2" w:space="0" w:color="auto"/>
            </w:tcBorders>
            <w:noWrap/>
            <w:vAlign w:val="center"/>
          </w:tcPr>
          <w:p w:rsidR="000A7585" w:rsidRPr="00AE6EDB" w:rsidRDefault="000A7585" w:rsidP="00DE0EEC">
            <w:pPr>
              <w:jc w:val="right"/>
              <w:rPr>
                <w:sz w:val="20"/>
                <w:szCs w:val="20"/>
              </w:rPr>
            </w:pPr>
            <w:r w:rsidRPr="00AE6EDB">
              <w:rPr>
                <w:sz w:val="20"/>
                <w:szCs w:val="20"/>
              </w:rPr>
              <w:t>x</w:t>
            </w:r>
          </w:p>
        </w:tc>
        <w:tc>
          <w:tcPr>
            <w:tcW w:w="1438" w:type="dxa"/>
            <w:tcBorders>
              <w:top w:val="nil"/>
              <w:left w:val="single" w:sz="2" w:space="0" w:color="auto"/>
              <w:bottom w:val="single" w:sz="2" w:space="0" w:color="auto"/>
              <w:right w:val="single" w:sz="2" w:space="0" w:color="auto"/>
            </w:tcBorders>
            <w:noWrap/>
            <w:vAlign w:val="center"/>
          </w:tcPr>
          <w:p w:rsidR="000A7585" w:rsidRPr="00AE6EDB" w:rsidRDefault="0054295F" w:rsidP="00DE0EEC">
            <w:pPr>
              <w:jc w:val="right"/>
              <w:rPr>
                <w:sz w:val="20"/>
                <w:szCs w:val="20"/>
              </w:rPr>
            </w:pPr>
            <w:r>
              <w:rPr>
                <w:sz w:val="20"/>
                <w:szCs w:val="20"/>
              </w:rPr>
              <w:t>1 8</w:t>
            </w:r>
            <w:r w:rsidR="000A7585" w:rsidRPr="00AE6EDB">
              <w:rPr>
                <w:sz w:val="20"/>
                <w:szCs w:val="20"/>
              </w:rPr>
              <w:t>25</w:t>
            </w:r>
          </w:p>
        </w:tc>
      </w:tr>
      <w:tr w:rsidR="000A7585" w:rsidRPr="00AE6EDB" w:rsidTr="00DE0EEC">
        <w:trPr>
          <w:trHeight w:val="315"/>
          <w:jc w:val="center"/>
        </w:trPr>
        <w:tc>
          <w:tcPr>
            <w:tcW w:w="2605"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jc w:val="left"/>
              <w:rPr>
                <w:b/>
                <w:bCs/>
              </w:rPr>
            </w:pPr>
            <w:r w:rsidRPr="00AE6EDB">
              <w:rPr>
                <w:b/>
                <w:bCs/>
                <w:szCs w:val="22"/>
              </w:rPr>
              <w:t>ÚHRN</w:t>
            </w:r>
          </w:p>
        </w:tc>
        <w:tc>
          <w:tcPr>
            <w:tcW w:w="1985"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54295F" w:rsidP="00DE0EEC">
            <w:pPr>
              <w:jc w:val="right"/>
              <w:rPr>
                <w:b/>
                <w:bCs/>
                <w:sz w:val="20"/>
                <w:szCs w:val="20"/>
              </w:rPr>
            </w:pPr>
            <w:r>
              <w:rPr>
                <w:b/>
                <w:bCs/>
                <w:sz w:val="20"/>
                <w:szCs w:val="20"/>
              </w:rPr>
              <w:t>1 0</w:t>
            </w:r>
            <w:r w:rsidR="000A7585" w:rsidRPr="00AE6EDB">
              <w:rPr>
                <w:b/>
                <w:bCs/>
                <w:sz w:val="20"/>
                <w:szCs w:val="20"/>
              </w:rPr>
              <w:t>6</w:t>
            </w:r>
            <w:r>
              <w:rPr>
                <w:b/>
                <w:bCs/>
                <w:sz w:val="20"/>
                <w:szCs w:val="20"/>
              </w:rPr>
              <w:t>2 8</w:t>
            </w:r>
            <w:r w:rsidR="000A7585" w:rsidRPr="00AE6EDB">
              <w:rPr>
                <w:b/>
                <w:bCs/>
                <w:sz w:val="20"/>
                <w:szCs w:val="20"/>
              </w:rPr>
              <w:t>88</w:t>
            </w:r>
          </w:p>
        </w:tc>
        <w:tc>
          <w:tcPr>
            <w:tcW w:w="2237"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jc w:val="right"/>
              <w:rPr>
                <w:b/>
                <w:bCs/>
                <w:sz w:val="20"/>
                <w:szCs w:val="20"/>
              </w:rPr>
            </w:pPr>
            <w:r w:rsidRPr="00AE6EDB">
              <w:rPr>
                <w:b/>
                <w:bCs/>
                <w:sz w:val="20"/>
                <w:szCs w:val="20"/>
              </w:rPr>
              <w:t>29</w:t>
            </w:r>
            <w:r w:rsidR="00AC44CB">
              <w:rPr>
                <w:b/>
                <w:bCs/>
                <w:sz w:val="20"/>
                <w:szCs w:val="20"/>
              </w:rPr>
              <w:t>7 0</w:t>
            </w:r>
            <w:r w:rsidRPr="00AE6EDB">
              <w:rPr>
                <w:b/>
                <w:bCs/>
                <w:sz w:val="20"/>
                <w:szCs w:val="20"/>
              </w:rPr>
              <w:t>43</w:t>
            </w:r>
          </w:p>
        </w:tc>
        <w:tc>
          <w:tcPr>
            <w:tcW w:w="1438"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54295F" w:rsidP="00DE0EEC">
            <w:pPr>
              <w:jc w:val="right"/>
              <w:rPr>
                <w:b/>
                <w:bCs/>
                <w:sz w:val="20"/>
                <w:szCs w:val="20"/>
              </w:rPr>
            </w:pPr>
            <w:r>
              <w:rPr>
                <w:b/>
                <w:bCs/>
                <w:sz w:val="20"/>
                <w:szCs w:val="20"/>
              </w:rPr>
              <w:t>1 3</w:t>
            </w:r>
            <w:r w:rsidR="000A7585" w:rsidRPr="00AE6EDB">
              <w:rPr>
                <w:b/>
                <w:bCs/>
                <w:sz w:val="20"/>
                <w:szCs w:val="20"/>
              </w:rPr>
              <w:t>5</w:t>
            </w:r>
            <w:r w:rsidR="00AC44CB">
              <w:rPr>
                <w:b/>
                <w:bCs/>
                <w:sz w:val="20"/>
                <w:szCs w:val="20"/>
              </w:rPr>
              <w:t>9 9</w:t>
            </w:r>
            <w:r w:rsidR="000A7585" w:rsidRPr="00AE6EDB">
              <w:rPr>
                <w:b/>
                <w:bCs/>
                <w:sz w:val="20"/>
                <w:szCs w:val="20"/>
              </w:rPr>
              <w:t>31</w:t>
            </w:r>
          </w:p>
        </w:tc>
      </w:tr>
    </w:tbl>
    <w:p w:rsidR="000A7585" w:rsidRPr="00AE6EDB" w:rsidRDefault="000A7585" w:rsidP="000A7585">
      <w:pPr>
        <w:pStyle w:val="zdroj"/>
      </w:pPr>
      <w:r w:rsidRPr="00AE6EDB">
        <w:t>Zdroj: Sociálna poisťovňa</w:t>
      </w:r>
    </w:p>
    <w:p w:rsidR="000A7585" w:rsidRPr="00AE6EDB" w:rsidRDefault="000A7585" w:rsidP="000A7585">
      <w:pPr>
        <w:jc w:val="left"/>
        <w:rPr>
          <w:i/>
          <w:sz w:val="20"/>
          <w:szCs w:val="20"/>
          <w:highlight w:val="cyan"/>
        </w:rPr>
      </w:pPr>
      <w:r w:rsidRPr="00AE6EDB">
        <w:rPr>
          <w:highlight w:val="cyan"/>
        </w:rPr>
        <w:br w:type="page"/>
      </w:r>
    </w:p>
    <w:p w:rsidR="000A7585" w:rsidRPr="00AE6EDB" w:rsidRDefault="000A7585" w:rsidP="000A7585">
      <w:pPr>
        <w:pStyle w:val="Nadpis7"/>
        <w:rPr>
          <w:i/>
        </w:rPr>
      </w:pPr>
      <w:bookmarkStart w:id="870" w:name="_Toc313879698"/>
      <w:r w:rsidRPr="00AE6EDB">
        <w:t>Tabuľka 3 Počet poberateľov dôchodku a výška sólo dôchodkovej dávky podľa pohlavia</w:t>
      </w:r>
      <w:bookmarkEnd w:id="870"/>
    </w:p>
    <w:tbl>
      <w:tblPr>
        <w:tblW w:w="6374" w:type="dxa"/>
        <w:jc w:val="center"/>
        <w:tblBorders>
          <w:top w:val="single" w:sz="2" w:space="0" w:color="auto"/>
          <w:left w:val="single" w:sz="2" w:space="0" w:color="auto"/>
          <w:bottom w:val="single" w:sz="2" w:space="0" w:color="auto"/>
          <w:right w:val="single" w:sz="2" w:space="0" w:color="auto"/>
          <w:insideV w:val="single" w:sz="2" w:space="0" w:color="auto"/>
        </w:tblBorders>
        <w:tblCellMar>
          <w:left w:w="70" w:type="dxa"/>
          <w:right w:w="70" w:type="dxa"/>
        </w:tblCellMar>
        <w:tblLook w:val="00A0" w:firstRow="1" w:lastRow="0" w:firstColumn="1" w:lastColumn="0" w:noHBand="0" w:noVBand="0"/>
      </w:tblPr>
      <w:tblGrid>
        <w:gridCol w:w="2954"/>
        <w:gridCol w:w="1600"/>
        <w:gridCol w:w="1820"/>
      </w:tblGrid>
      <w:tr w:rsidR="000A7585" w:rsidRPr="00AE6EDB" w:rsidTr="00DE0EEC">
        <w:trPr>
          <w:trHeight w:val="545"/>
          <w:jc w:val="center"/>
        </w:trPr>
        <w:tc>
          <w:tcPr>
            <w:tcW w:w="2954"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rPr>
                <w:b/>
                <w:bCs/>
              </w:rPr>
            </w:pPr>
            <w:r w:rsidRPr="00AE6EDB">
              <w:rPr>
                <w:b/>
                <w:bCs/>
                <w:szCs w:val="22"/>
              </w:rPr>
              <w:t>Typ dôchodku</w:t>
            </w:r>
          </w:p>
        </w:tc>
        <w:tc>
          <w:tcPr>
            <w:tcW w:w="160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Počet poberateľov k </w:t>
            </w:r>
            <w:r w:rsidRPr="00AE6EDB">
              <w:rPr>
                <w:b/>
                <w:szCs w:val="22"/>
              </w:rPr>
              <w:t>31.12.2015</w:t>
            </w:r>
          </w:p>
        </w:tc>
        <w:tc>
          <w:tcPr>
            <w:tcW w:w="182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AE6EDB" w:rsidRDefault="000A7585" w:rsidP="00DE0EEC">
            <w:pPr>
              <w:jc w:val="center"/>
              <w:rPr>
                <w:b/>
                <w:bCs/>
              </w:rPr>
            </w:pPr>
            <w:r w:rsidRPr="00AE6EDB">
              <w:rPr>
                <w:b/>
                <w:bCs/>
                <w:szCs w:val="22"/>
              </w:rPr>
              <w:t>Priemerná výška k </w:t>
            </w:r>
            <w:r w:rsidRPr="00AE6EDB">
              <w:rPr>
                <w:b/>
                <w:szCs w:val="22"/>
              </w:rPr>
              <w:t>31.12.2015</w:t>
            </w:r>
          </w:p>
        </w:tc>
      </w:tr>
      <w:tr w:rsidR="000A7585" w:rsidRPr="00AE6EDB" w:rsidTr="00DE0EEC">
        <w:trPr>
          <w:trHeight w:val="255"/>
          <w:jc w:val="center"/>
        </w:trPr>
        <w:tc>
          <w:tcPr>
            <w:tcW w:w="2954" w:type="dxa"/>
            <w:tcBorders>
              <w:top w:val="single" w:sz="6" w:space="0" w:color="auto"/>
            </w:tcBorders>
            <w:noWrap/>
            <w:vAlign w:val="center"/>
          </w:tcPr>
          <w:p w:rsidR="000A7585" w:rsidRPr="00AE6EDB" w:rsidRDefault="000A7585" w:rsidP="00DE0EEC">
            <w:pPr>
              <w:jc w:val="left"/>
            </w:pPr>
            <w:r w:rsidRPr="00AE6EDB">
              <w:rPr>
                <w:szCs w:val="22"/>
              </w:rPr>
              <w:t xml:space="preserve">Starobný </w:t>
            </w:r>
          </w:p>
        </w:tc>
        <w:tc>
          <w:tcPr>
            <w:tcW w:w="1600" w:type="dxa"/>
            <w:tcBorders>
              <w:top w:val="single" w:sz="6" w:space="0" w:color="auto"/>
            </w:tcBorders>
            <w:noWrap/>
            <w:vAlign w:val="center"/>
          </w:tcPr>
          <w:p w:rsidR="000A7585" w:rsidRPr="00AE6EDB" w:rsidRDefault="0054295F" w:rsidP="00DE0EEC">
            <w:pPr>
              <w:ind w:right="304"/>
              <w:jc w:val="right"/>
              <w:rPr>
                <w:szCs w:val="22"/>
              </w:rPr>
            </w:pPr>
            <w:r>
              <w:rPr>
                <w:szCs w:val="22"/>
              </w:rPr>
              <w:t>1 0</w:t>
            </w:r>
            <w:r w:rsidR="000A7585" w:rsidRPr="00AE6EDB">
              <w:rPr>
                <w:szCs w:val="22"/>
              </w:rPr>
              <w:t>3</w:t>
            </w:r>
            <w:r>
              <w:rPr>
                <w:szCs w:val="22"/>
              </w:rPr>
              <w:t>2 1</w:t>
            </w:r>
            <w:r w:rsidR="000A7585" w:rsidRPr="00AE6EDB">
              <w:rPr>
                <w:szCs w:val="22"/>
              </w:rPr>
              <w:t>97</w:t>
            </w:r>
          </w:p>
        </w:tc>
        <w:tc>
          <w:tcPr>
            <w:tcW w:w="1820" w:type="dxa"/>
            <w:tcBorders>
              <w:top w:val="single" w:sz="6" w:space="0" w:color="auto"/>
            </w:tcBorders>
            <w:noWrap/>
            <w:vAlign w:val="center"/>
          </w:tcPr>
          <w:p w:rsidR="000A7585" w:rsidRPr="00AE6EDB" w:rsidRDefault="000A7585" w:rsidP="00DE0EEC">
            <w:pPr>
              <w:jc w:val="center"/>
              <w:rPr>
                <w:szCs w:val="22"/>
              </w:rPr>
            </w:pPr>
            <w:r w:rsidRPr="00AE6EDB">
              <w:rPr>
                <w:szCs w:val="22"/>
              </w:rPr>
              <w:t>411,1</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muži</w:t>
            </w:r>
          </w:p>
        </w:tc>
        <w:tc>
          <w:tcPr>
            <w:tcW w:w="1600" w:type="dxa"/>
            <w:noWrap/>
            <w:vAlign w:val="center"/>
          </w:tcPr>
          <w:p w:rsidR="000A7585" w:rsidRPr="00AE6EDB" w:rsidRDefault="000A7585" w:rsidP="00DE0EEC">
            <w:pPr>
              <w:ind w:right="304"/>
              <w:jc w:val="right"/>
              <w:rPr>
                <w:szCs w:val="22"/>
              </w:rPr>
            </w:pPr>
            <w:r w:rsidRPr="00AE6EDB">
              <w:rPr>
                <w:szCs w:val="22"/>
              </w:rPr>
              <w:t>39</w:t>
            </w:r>
            <w:r w:rsidR="0054295F">
              <w:rPr>
                <w:szCs w:val="22"/>
              </w:rPr>
              <w:t>2 9</w:t>
            </w:r>
            <w:r w:rsidRPr="00AE6EDB">
              <w:rPr>
                <w:szCs w:val="22"/>
              </w:rPr>
              <w:t>34</w:t>
            </w:r>
          </w:p>
        </w:tc>
        <w:tc>
          <w:tcPr>
            <w:tcW w:w="1820" w:type="dxa"/>
            <w:noWrap/>
            <w:vAlign w:val="center"/>
          </w:tcPr>
          <w:p w:rsidR="000A7585" w:rsidRPr="00AE6EDB" w:rsidRDefault="000A7585" w:rsidP="00DE0EEC">
            <w:pPr>
              <w:jc w:val="center"/>
              <w:rPr>
                <w:szCs w:val="22"/>
              </w:rPr>
            </w:pPr>
            <w:r w:rsidRPr="00AE6EDB">
              <w:rPr>
                <w:szCs w:val="22"/>
              </w:rPr>
              <w:t>458,9</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ženy</w:t>
            </w:r>
          </w:p>
        </w:tc>
        <w:tc>
          <w:tcPr>
            <w:tcW w:w="1600" w:type="dxa"/>
            <w:noWrap/>
            <w:vAlign w:val="center"/>
          </w:tcPr>
          <w:p w:rsidR="000A7585" w:rsidRPr="00AE6EDB" w:rsidRDefault="000A7585" w:rsidP="00DE0EEC">
            <w:pPr>
              <w:ind w:right="304"/>
              <w:jc w:val="right"/>
              <w:rPr>
                <w:szCs w:val="22"/>
              </w:rPr>
            </w:pPr>
            <w:r w:rsidRPr="00AE6EDB">
              <w:rPr>
                <w:szCs w:val="22"/>
              </w:rPr>
              <w:t>63</w:t>
            </w:r>
            <w:r w:rsidR="00AC44CB">
              <w:rPr>
                <w:szCs w:val="22"/>
              </w:rPr>
              <w:t>9 2</w:t>
            </w:r>
            <w:r w:rsidRPr="00AE6EDB">
              <w:rPr>
                <w:szCs w:val="22"/>
              </w:rPr>
              <w:t>63</w:t>
            </w:r>
          </w:p>
        </w:tc>
        <w:tc>
          <w:tcPr>
            <w:tcW w:w="1820" w:type="dxa"/>
            <w:noWrap/>
            <w:vAlign w:val="center"/>
          </w:tcPr>
          <w:p w:rsidR="000A7585" w:rsidRPr="00AE6EDB" w:rsidRDefault="000A7585" w:rsidP="00DE0EEC">
            <w:pPr>
              <w:jc w:val="center"/>
              <w:rPr>
                <w:szCs w:val="22"/>
              </w:rPr>
            </w:pPr>
            <w:r w:rsidRPr="00AE6EDB">
              <w:rPr>
                <w:szCs w:val="22"/>
              </w:rPr>
              <w:t>366,5</w:t>
            </w:r>
          </w:p>
        </w:tc>
      </w:tr>
      <w:tr w:rsidR="000A7585" w:rsidRPr="00AE6EDB" w:rsidTr="00DE0EEC">
        <w:trPr>
          <w:trHeight w:val="255"/>
          <w:jc w:val="center"/>
        </w:trPr>
        <w:tc>
          <w:tcPr>
            <w:tcW w:w="2954" w:type="dxa"/>
            <w:noWrap/>
            <w:vAlign w:val="center"/>
          </w:tcPr>
          <w:p w:rsidR="000A7585" w:rsidRPr="00AE6EDB" w:rsidRDefault="000A7585" w:rsidP="00DE0EEC">
            <w:pPr>
              <w:jc w:val="left"/>
            </w:pPr>
            <w:r w:rsidRPr="00AE6EDB">
              <w:rPr>
                <w:szCs w:val="22"/>
              </w:rPr>
              <w:t>Predčasný starobný</w:t>
            </w:r>
          </w:p>
        </w:tc>
        <w:tc>
          <w:tcPr>
            <w:tcW w:w="1600" w:type="dxa"/>
            <w:noWrap/>
            <w:vAlign w:val="center"/>
          </w:tcPr>
          <w:p w:rsidR="000A7585" w:rsidRPr="00AE6EDB" w:rsidRDefault="000A7585" w:rsidP="00DE0EEC">
            <w:pPr>
              <w:ind w:right="304"/>
              <w:jc w:val="right"/>
              <w:rPr>
                <w:color w:val="000000"/>
                <w:szCs w:val="22"/>
              </w:rPr>
            </w:pPr>
            <w:r w:rsidRPr="00AE6EDB">
              <w:rPr>
                <w:color w:val="000000"/>
                <w:szCs w:val="22"/>
              </w:rPr>
              <w:t>1</w:t>
            </w:r>
            <w:r w:rsidR="00AC44CB">
              <w:rPr>
                <w:color w:val="000000"/>
                <w:szCs w:val="22"/>
              </w:rPr>
              <w:t>8 3</w:t>
            </w:r>
            <w:r w:rsidRPr="00AE6EDB">
              <w:rPr>
                <w:color w:val="000000"/>
                <w:szCs w:val="22"/>
              </w:rPr>
              <w:t>51</w:t>
            </w:r>
          </w:p>
        </w:tc>
        <w:tc>
          <w:tcPr>
            <w:tcW w:w="1820" w:type="dxa"/>
            <w:noWrap/>
            <w:vAlign w:val="center"/>
          </w:tcPr>
          <w:p w:rsidR="000A7585" w:rsidRPr="00AE6EDB" w:rsidRDefault="000A7585" w:rsidP="00DE0EEC">
            <w:pPr>
              <w:jc w:val="center"/>
              <w:rPr>
                <w:szCs w:val="22"/>
              </w:rPr>
            </w:pPr>
            <w:r w:rsidRPr="00AE6EDB">
              <w:rPr>
                <w:szCs w:val="22"/>
              </w:rPr>
              <w:t>392,6</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muži</w:t>
            </w:r>
          </w:p>
        </w:tc>
        <w:tc>
          <w:tcPr>
            <w:tcW w:w="1600" w:type="dxa"/>
            <w:noWrap/>
            <w:vAlign w:val="center"/>
          </w:tcPr>
          <w:p w:rsidR="000A7585" w:rsidRPr="00AE6EDB" w:rsidRDefault="000A7585" w:rsidP="00DE0EEC">
            <w:pPr>
              <w:ind w:right="304"/>
              <w:jc w:val="right"/>
              <w:rPr>
                <w:szCs w:val="22"/>
              </w:rPr>
            </w:pPr>
            <w:r w:rsidRPr="00AE6EDB">
              <w:rPr>
                <w:szCs w:val="22"/>
              </w:rPr>
              <w:t>1</w:t>
            </w:r>
            <w:r w:rsidR="0054295F">
              <w:rPr>
                <w:szCs w:val="22"/>
              </w:rPr>
              <w:t>3 2</w:t>
            </w:r>
            <w:r w:rsidRPr="00AE6EDB">
              <w:rPr>
                <w:szCs w:val="22"/>
              </w:rPr>
              <w:t>29</w:t>
            </w:r>
          </w:p>
        </w:tc>
        <w:tc>
          <w:tcPr>
            <w:tcW w:w="1820" w:type="dxa"/>
            <w:noWrap/>
            <w:vAlign w:val="center"/>
          </w:tcPr>
          <w:p w:rsidR="000A7585" w:rsidRPr="00AE6EDB" w:rsidRDefault="000A7585" w:rsidP="00DE0EEC">
            <w:pPr>
              <w:jc w:val="center"/>
              <w:rPr>
                <w:szCs w:val="22"/>
              </w:rPr>
            </w:pPr>
            <w:r w:rsidRPr="00AE6EDB">
              <w:rPr>
                <w:szCs w:val="22"/>
              </w:rPr>
              <w:t>411,1</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ženy</w:t>
            </w:r>
          </w:p>
        </w:tc>
        <w:tc>
          <w:tcPr>
            <w:tcW w:w="1600" w:type="dxa"/>
            <w:noWrap/>
            <w:vAlign w:val="center"/>
          </w:tcPr>
          <w:p w:rsidR="000A7585" w:rsidRPr="00AE6EDB" w:rsidRDefault="00AC44CB" w:rsidP="00DE0EEC">
            <w:pPr>
              <w:ind w:right="304"/>
              <w:jc w:val="right"/>
              <w:rPr>
                <w:szCs w:val="22"/>
              </w:rPr>
            </w:pPr>
            <w:r>
              <w:rPr>
                <w:szCs w:val="22"/>
              </w:rPr>
              <w:t>5 1</w:t>
            </w:r>
            <w:r w:rsidR="000A7585" w:rsidRPr="00AE6EDB">
              <w:rPr>
                <w:szCs w:val="22"/>
              </w:rPr>
              <w:t>22</w:t>
            </w:r>
          </w:p>
        </w:tc>
        <w:tc>
          <w:tcPr>
            <w:tcW w:w="1820" w:type="dxa"/>
            <w:noWrap/>
            <w:vAlign w:val="center"/>
          </w:tcPr>
          <w:p w:rsidR="000A7585" w:rsidRPr="00AE6EDB" w:rsidRDefault="000A7585" w:rsidP="00DE0EEC">
            <w:pPr>
              <w:jc w:val="center"/>
              <w:rPr>
                <w:szCs w:val="22"/>
              </w:rPr>
            </w:pPr>
            <w:r w:rsidRPr="00AE6EDB">
              <w:rPr>
                <w:szCs w:val="22"/>
              </w:rPr>
              <w:t>343,1</w:t>
            </w:r>
          </w:p>
        </w:tc>
      </w:tr>
      <w:tr w:rsidR="000A7585" w:rsidRPr="00AE6EDB" w:rsidTr="00DE0EEC">
        <w:trPr>
          <w:trHeight w:val="255"/>
          <w:jc w:val="center"/>
        </w:trPr>
        <w:tc>
          <w:tcPr>
            <w:tcW w:w="2954" w:type="dxa"/>
            <w:noWrap/>
            <w:vAlign w:val="center"/>
          </w:tcPr>
          <w:p w:rsidR="000A7585" w:rsidRPr="00AE6EDB" w:rsidRDefault="000A7585" w:rsidP="00DE0EEC">
            <w:pPr>
              <w:jc w:val="left"/>
            </w:pPr>
            <w:r w:rsidRPr="00AE6EDB">
              <w:rPr>
                <w:szCs w:val="22"/>
              </w:rPr>
              <w:t>Invalidný</w:t>
            </w:r>
          </w:p>
        </w:tc>
        <w:tc>
          <w:tcPr>
            <w:tcW w:w="1600" w:type="dxa"/>
            <w:noWrap/>
            <w:vAlign w:val="center"/>
          </w:tcPr>
          <w:p w:rsidR="000A7585" w:rsidRPr="00AE6EDB" w:rsidRDefault="000A7585" w:rsidP="00DE0EEC">
            <w:pPr>
              <w:ind w:right="304"/>
              <w:jc w:val="right"/>
              <w:rPr>
                <w:color w:val="000000"/>
                <w:szCs w:val="22"/>
              </w:rPr>
            </w:pPr>
            <w:r w:rsidRPr="00AE6EDB">
              <w:rPr>
                <w:color w:val="000000"/>
                <w:szCs w:val="22"/>
              </w:rPr>
              <w:t>23</w:t>
            </w:r>
            <w:r w:rsidR="0054295F">
              <w:rPr>
                <w:color w:val="000000"/>
                <w:szCs w:val="22"/>
              </w:rPr>
              <w:t>4 4</w:t>
            </w:r>
            <w:r w:rsidRPr="00AE6EDB">
              <w:rPr>
                <w:color w:val="000000"/>
                <w:szCs w:val="22"/>
              </w:rPr>
              <w:t>51</w:t>
            </w:r>
          </w:p>
        </w:tc>
        <w:tc>
          <w:tcPr>
            <w:tcW w:w="1820" w:type="dxa"/>
            <w:noWrap/>
            <w:vAlign w:val="center"/>
          </w:tcPr>
          <w:p w:rsidR="000A7585" w:rsidRPr="00AE6EDB" w:rsidRDefault="000A7585" w:rsidP="00DE0EEC">
            <w:pPr>
              <w:jc w:val="center"/>
              <w:rPr>
                <w:szCs w:val="22"/>
              </w:rPr>
            </w:pPr>
            <w:r w:rsidRPr="00AE6EDB">
              <w:rPr>
                <w:szCs w:val="22"/>
              </w:rPr>
              <w:t>265,8</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muži</w:t>
            </w:r>
          </w:p>
        </w:tc>
        <w:tc>
          <w:tcPr>
            <w:tcW w:w="1600" w:type="dxa"/>
            <w:noWrap/>
            <w:vAlign w:val="center"/>
          </w:tcPr>
          <w:p w:rsidR="000A7585" w:rsidRPr="00AE6EDB" w:rsidRDefault="000A7585" w:rsidP="00DE0EEC">
            <w:pPr>
              <w:ind w:right="304"/>
              <w:jc w:val="right"/>
              <w:rPr>
                <w:szCs w:val="22"/>
              </w:rPr>
            </w:pPr>
            <w:r w:rsidRPr="00AE6EDB">
              <w:rPr>
                <w:szCs w:val="22"/>
              </w:rPr>
              <w:t>11</w:t>
            </w:r>
            <w:r w:rsidR="00AC44CB">
              <w:rPr>
                <w:szCs w:val="22"/>
              </w:rPr>
              <w:t>8 4</w:t>
            </w:r>
            <w:r w:rsidRPr="00AE6EDB">
              <w:rPr>
                <w:szCs w:val="22"/>
              </w:rPr>
              <w:t>35</w:t>
            </w:r>
          </w:p>
        </w:tc>
        <w:tc>
          <w:tcPr>
            <w:tcW w:w="1820" w:type="dxa"/>
            <w:noWrap/>
            <w:vAlign w:val="center"/>
          </w:tcPr>
          <w:p w:rsidR="000A7585" w:rsidRPr="00AE6EDB" w:rsidRDefault="000A7585" w:rsidP="00DE0EEC">
            <w:pPr>
              <w:jc w:val="center"/>
              <w:rPr>
                <w:szCs w:val="22"/>
              </w:rPr>
            </w:pPr>
            <w:r w:rsidRPr="00AE6EDB">
              <w:rPr>
                <w:szCs w:val="22"/>
              </w:rPr>
              <w:t>289,8</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ženy</w:t>
            </w:r>
          </w:p>
        </w:tc>
        <w:tc>
          <w:tcPr>
            <w:tcW w:w="1600" w:type="dxa"/>
            <w:noWrap/>
            <w:vAlign w:val="center"/>
          </w:tcPr>
          <w:p w:rsidR="000A7585" w:rsidRPr="00AE6EDB" w:rsidRDefault="000A7585" w:rsidP="00DE0EEC">
            <w:pPr>
              <w:ind w:right="304"/>
              <w:jc w:val="right"/>
              <w:rPr>
                <w:szCs w:val="22"/>
              </w:rPr>
            </w:pPr>
            <w:r w:rsidRPr="00AE6EDB">
              <w:rPr>
                <w:szCs w:val="22"/>
              </w:rPr>
              <w:t>11</w:t>
            </w:r>
            <w:r w:rsidR="00AC44CB">
              <w:rPr>
                <w:szCs w:val="22"/>
              </w:rPr>
              <w:t>6 0</w:t>
            </w:r>
            <w:r w:rsidRPr="00AE6EDB">
              <w:rPr>
                <w:szCs w:val="22"/>
              </w:rPr>
              <w:t>16</w:t>
            </w:r>
          </w:p>
        </w:tc>
        <w:tc>
          <w:tcPr>
            <w:tcW w:w="1820" w:type="dxa"/>
            <w:noWrap/>
            <w:vAlign w:val="center"/>
          </w:tcPr>
          <w:p w:rsidR="000A7585" w:rsidRPr="00AE6EDB" w:rsidRDefault="000A7585" w:rsidP="00DE0EEC">
            <w:pPr>
              <w:jc w:val="center"/>
              <w:rPr>
                <w:szCs w:val="22"/>
              </w:rPr>
            </w:pPr>
            <w:r w:rsidRPr="00AE6EDB">
              <w:rPr>
                <w:szCs w:val="22"/>
              </w:rPr>
              <w:t>240,3</w:t>
            </w:r>
          </w:p>
        </w:tc>
      </w:tr>
      <w:tr w:rsidR="000A7585" w:rsidRPr="00AE6EDB" w:rsidTr="00DE0EEC">
        <w:trPr>
          <w:trHeight w:val="255"/>
          <w:jc w:val="center"/>
        </w:trPr>
        <w:tc>
          <w:tcPr>
            <w:tcW w:w="2954" w:type="dxa"/>
            <w:noWrap/>
            <w:vAlign w:val="center"/>
          </w:tcPr>
          <w:p w:rsidR="000A7585" w:rsidRPr="00AE6EDB" w:rsidRDefault="000A7585" w:rsidP="00DE0EEC">
            <w:pPr>
              <w:jc w:val="left"/>
            </w:pPr>
            <w:r w:rsidRPr="00AE6EDB">
              <w:rPr>
                <w:szCs w:val="22"/>
              </w:rPr>
              <w:t>Vdovský (ženy) sólo</w:t>
            </w:r>
          </w:p>
        </w:tc>
        <w:tc>
          <w:tcPr>
            <w:tcW w:w="1600" w:type="dxa"/>
            <w:noWrap/>
            <w:vAlign w:val="center"/>
          </w:tcPr>
          <w:p w:rsidR="000A7585" w:rsidRPr="00AE6EDB" w:rsidRDefault="000A7585" w:rsidP="00DE0EEC">
            <w:pPr>
              <w:ind w:right="304"/>
              <w:jc w:val="right"/>
              <w:rPr>
                <w:color w:val="000000"/>
                <w:szCs w:val="22"/>
              </w:rPr>
            </w:pPr>
            <w:r w:rsidRPr="00AE6EDB">
              <w:rPr>
                <w:color w:val="000000"/>
                <w:szCs w:val="22"/>
              </w:rPr>
              <w:t>3</w:t>
            </w:r>
            <w:r w:rsidR="0054295F">
              <w:rPr>
                <w:color w:val="000000"/>
                <w:szCs w:val="22"/>
              </w:rPr>
              <w:t>1 9</w:t>
            </w:r>
            <w:r w:rsidRPr="00AE6EDB">
              <w:rPr>
                <w:color w:val="000000"/>
                <w:szCs w:val="22"/>
              </w:rPr>
              <w:t>64</w:t>
            </w:r>
          </w:p>
        </w:tc>
        <w:tc>
          <w:tcPr>
            <w:tcW w:w="1820" w:type="dxa"/>
            <w:noWrap/>
            <w:vAlign w:val="center"/>
          </w:tcPr>
          <w:p w:rsidR="000A7585" w:rsidRPr="00AE6EDB" w:rsidRDefault="000A7585" w:rsidP="00DE0EEC">
            <w:pPr>
              <w:jc w:val="center"/>
              <w:rPr>
                <w:szCs w:val="22"/>
              </w:rPr>
            </w:pPr>
            <w:r w:rsidRPr="00AE6EDB">
              <w:rPr>
                <w:szCs w:val="22"/>
              </w:rPr>
              <w:t>246,3</w:t>
            </w:r>
          </w:p>
        </w:tc>
      </w:tr>
      <w:tr w:rsidR="000A7585" w:rsidRPr="00AE6EDB" w:rsidTr="00DE0EEC">
        <w:trPr>
          <w:trHeight w:val="255"/>
          <w:jc w:val="center"/>
        </w:trPr>
        <w:tc>
          <w:tcPr>
            <w:tcW w:w="2954" w:type="dxa"/>
            <w:noWrap/>
            <w:vAlign w:val="center"/>
          </w:tcPr>
          <w:p w:rsidR="000A7585" w:rsidRPr="00AE6EDB" w:rsidRDefault="000A7585" w:rsidP="00DE0EEC">
            <w:pPr>
              <w:jc w:val="left"/>
            </w:pPr>
            <w:r w:rsidRPr="00AE6EDB">
              <w:rPr>
                <w:szCs w:val="22"/>
              </w:rPr>
              <w:t>Vdovecký (muži) sólo</w:t>
            </w:r>
          </w:p>
        </w:tc>
        <w:tc>
          <w:tcPr>
            <w:tcW w:w="1600" w:type="dxa"/>
            <w:noWrap/>
            <w:vAlign w:val="center"/>
          </w:tcPr>
          <w:p w:rsidR="000A7585" w:rsidRPr="00AE6EDB" w:rsidRDefault="00AC44CB" w:rsidP="00DE0EEC">
            <w:pPr>
              <w:ind w:right="304"/>
              <w:jc w:val="right"/>
              <w:rPr>
                <w:szCs w:val="22"/>
              </w:rPr>
            </w:pPr>
            <w:r>
              <w:rPr>
                <w:szCs w:val="22"/>
              </w:rPr>
              <w:t>5 5</w:t>
            </w:r>
            <w:r w:rsidR="000A7585" w:rsidRPr="00AE6EDB">
              <w:rPr>
                <w:szCs w:val="22"/>
              </w:rPr>
              <w:t>40</w:t>
            </w:r>
          </w:p>
        </w:tc>
        <w:tc>
          <w:tcPr>
            <w:tcW w:w="1820" w:type="dxa"/>
            <w:noWrap/>
            <w:vAlign w:val="center"/>
          </w:tcPr>
          <w:p w:rsidR="000A7585" w:rsidRPr="00AE6EDB" w:rsidRDefault="000A7585" w:rsidP="00DE0EEC">
            <w:pPr>
              <w:jc w:val="center"/>
              <w:rPr>
                <w:szCs w:val="22"/>
              </w:rPr>
            </w:pPr>
            <w:r w:rsidRPr="00AE6EDB">
              <w:rPr>
                <w:szCs w:val="22"/>
              </w:rPr>
              <w:t>190,1</w:t>
            </w:r>
          </w:p>
        </w:tc>
      </w:tr>
      <w:tr w:rsidR="000A7585" w:rsidRPr="00AE6EDB" w:rsidTr="00DE0EEC">
        <w:trPr>
          <w:trHeight w:val="255"/>
          <w:jc w:val="center"/>
        </w:trPr>
        <w:tc>
          <w:tcPr>
            <w:tcW w:w="2954" w:type="dxa"/>
            <w:noWrap/>
            <w:vAlign w:val="center"/>
          </w:tcPr>
          <w:p w:rsidR="000A7585" w:rsidRPr="00AE6EDB" w:rsidRDefault="000A7585" w:rsidP="00DE0EEC">
            <w:pPr>
              <w:jc w:val="left"/>
            </w:pPr>
            <w:r w:rsidRPr="00AE6EDB">
              <w:rPr>
                <w:szCs w:val="22"/>
              </w:rPr>
              <w:t>Sirotský</w:t>
            </w:r>
          </w:p>
        </w:tc>
        <w:tc>
          <w:tcPr>
            <w:tcW w:w="1600" w:type="dxa"/>
            <w:noWrap/>
            <w:vAlign w:val="center"/>
          </w:tcPr>
          <w:p w:rsidR="000A7585" w:rsidRPr="00AE6EDB" w:rsidRDefault="000A7585" w:rsidP="00DE0EEC">
            <w:pPr>
              <w:ind w:right="304"/>
              <w:jc w:val="right"/>
              <w:rPr>
                <w:color w:val="000000"/>
                <w:szCs w:val="22"/>
              </w:rPr>
            </w:pPr>
            <w:r w:rsidRPr="00AE6EDB">
              <w:rPr>
                <w:color w:val="000000"/>
                <w:szCs w:val="22"/>
              </w:rPr>
              <w:t>2</w:t>
            </w:r>
            <w:r w:rsidR="0054295F">
              <w:rPr>
                <w:color w:val="000000"/>
                <w:szCs w:val="22"/>
              </w:rPr>
              <w:t>3 3</w:t>
            </w:r>
            <w:r w:rsidRPr="00AE6EDB">
              <w:rPr>
                <w:color w:val="000000"/>
                <w:szCs w:val="22"/>
              </w:rPr>
              <w:t>73</w:t>
            </w:r>
          </w:p>
        </w:tc>
        <w:tc>
          <w:tcPr>
            <w:tcW w:w="1820" w:type="dxa"/>
            <w:noWrap/>
            <w:vAlign w:val="center"/>
          </w:tcPr>
          <w:p w:rsidR="000A7585" w:rsidRPr="00AE6EDB" w:rsidRDefault="000A7585" w:rsidP="00DE0EEC">
            <w:pPr>
              <w:jc w:val="center"/>
              <w:rPr>
                <w:szCs w:val="22"/>
              </w:rPr>
            </w:pPr>
            <w:r w:rsidRPr="00AE6EDB">
              <w:rPr>
                <w:szCs w:val="22"/>
              </w:rPr>
              <w:t>131,5</w:t>
            </w:r>
          </w:p>
        </w:tc>
      </w:tr>
      <w:tr w:rsidR="000A7585" w:rsidRPr="00AE6EDB" w:rsidTr="00DE0EEC">
        <w:trPr>
          <w:trHeight w:val="255"/>
          <w:jc w:val="center"/>
        </w:trPr>
        <w:tc>
          <w:tcPr>
            <w:tcW w:w="2954" w:type="dxa"/>
            <w:noWrap/>
            <w:vAlign w:val="center"/>
          </w:tcPr>
          <w:p w:rsidR="000A7585" w:rsidRPr="00AE6EDB" w:rsidRDefault="000A7585" w:rsidP="00DE0EEC">
            <w:pPr>
              <w:ind w:left="113"/>
              <w:jc w:val="left"/>
            </w:pPr>
            <w:r w:rsidRPr="00AE6EDB">
              <w:rPr>
                <w:szCs w:val="22"/>
              </w:rPr>
              <w:t>muži</w:t>
            </w:r>
          </w:p>
        </w:tc>
        <w:tc>
          <w:tcPr>
            <w:tcW w:w="1600" w:type="dxa"/>
            <w:noWrap/>
            <w:vAlign w:val="center"/>
          </w:tcPr>
          <w:p w:rsidR="000A7585" w:rsidRPr="00AE6EDB" w:rsidRDefault="00AC44CB" w:rsidP="00DE0EEC">
            <w:pPr>
              <w:ind w:right="304"/>
              <w:jc w:val="right"/>
              <w:rPr>
                <w:szCs w:val="22"/>
              </w:rPr>
            </w:pPr>
            <w:r>
              <w:rPr>
                <w:szCs w:val="22"/>
              </w:rPr>
              <w:t>6 5</w:t>
            </w:r>
            <w:r w:rsidR="000A7585" w:rsidRPr="00AE6EDB">
              <w:rPr>
                <w:szCs w:val="22"/>
              </w:rPr>
              <w:t>32</w:t>
            </w:r>
          </w:p>
        </w:tc>
        <w:tc>
          <w:tcPr>
            <w:tcW w:w="1820" w:type="dxa"/>
            <w:noWrap/>
            <w:vAlign w:val="center"/>
          </w:tcPr>
          <w:p w:rsidR="000A7585" w:rsidRPr="00AE6EDB" w:rsidRDefault="000A7585" w:rsidP="00DE0EEC">
            <w:pPr>
              <w:jc w:val="center"/>
              <w:rPr>
                <w:szCs w:val="22"/>
              </w:rPr>
            </w:pPr>
            <w:r w:rsidRPr="00AE6EDB">
              <w:rPr>
                <w:szCs w:val="22"/>
              </w:rPr>
              <w:t>126,9</w:t>
            </w:r>
          </w:p>
        </w:tc>
      </w:tr>
      <w:tr w:rsidR="000A7585" w:rsidRPr="00AE6EDB" w:rsidTr="00DE0EEC">
        <w:trPr>
          <w:trHeight w:val="255"/>
          <w:jc w:val="center"/>
        </w:trPr>
        <w:tc>
          <w:tcPr>
            <w:tcW w:w="2954" w:type="dxa"/>
            <w:tcBorders>
              <w:bottom w:val="single" w:sz="2" w:space="0" w:color="auto"/>
            </w:tcBorders>
            <w:noWrap/>
            <w:vAlign w:val="center"/>
          </w:tcPr>
          <w:p w:rsidR="000A7585" w:rsidRPr="00AE6EDB" w:rsidRDefault="000A7585" w:rsidP="00DE0EEC">
            <w:pPr>
              <w:ind w:left="113"/>
              <w:jc w:val="left"/>
            </w:pPr>
            <w:r w:rsidRPr="00AE6EDB">
              <w:rPr>
                <w:szCs w:val="22"/>
              </w:rPr>
              <w:t>ženy</w:t>
            </w:r>
          </w:p>
        </w:tc>
        <w:tc>
          <w:tcPr>
            <w:tcW w:w="1600" w:type="dxa"/>
            <w:tcBorders>
              <w:bottom w:val="single" w:sz="2" w:space="0" w:color="auto"/>
            </w:tcBorders>
            <w:noWrap/>
            <w:vAlign w:val="center"/>
          </w:tcPr>
          <w:p w:rsidR="000A7585" w:rsidRPr="00AE6EDB" w:rsidRDefault="000A7585" w:rsidP="00DE0EEC">
            <w:pPr>
              <w:ind w:right="304"/>
              <w:jc w:val="right"/>
              <w:rPr>
                <w:szCs w:val="22"/>
              </w:rPr>
            </w:pPr>
            <w:r w:rsidRPr="00AE6EDB">
              <w:rPr>
                <w:szCs w:val="22"/>
              </w:rPr>
              <w:t>1</w:t>
            </w:r>
            <w:r w:rsidR="00AC44CB">
              <w:rPr>
                <w:szCs w:val="22"/>
              </w:rPr>
              <w:t>6 8</w:t>
            </w:r>
            <w:r w:rsidRPr="00AE6EDB">
              <w:rPr>
                <w:szCs w:val="22"/>
              </w:rPr>
              <w:t>41</w:t>
            </w:r>
          </w:p>
        </w:tc>
        <w:tc>
          <w:tcPr>
            <w:tcW w:w="1820" w:type="dxa"/>
            <w:tcBorders>
              <w:bottom w:val="single" w:sz="2" w:space="0" w:color="auto"/>
            </w:tcBorders>
            <w:noWrap/>
            <w:vAlign w:val="center"/>
          </w:tcPr>
          <w:p w:rsidR="000A7585" w:rsidRPr="00AE6EDB" w:rsidRDefault="000A7585" w:rsidP="00DE0EEC">
            <w:pPr>
              <w:jc w:val="center"/>
              <w:rPr>
                <w:szCs w:val="22"/>
              </w:rPr>
            </w:pPr>
            <w:r w:rsidRPr="00AE6EDB">
              <w:rPr>
                <w:szCs w:val="22"/>
              </w:rPr>
              <w:t>133,3</w:t>
            </w:r>
          </w:p>
        </w:tc>
      </w:tr>
      <w:tr w:rsidR="000A7585" w:rsidRPr="00AE6EDB" w:rsidTr="00DE0EEC">
        <w:trPr>
          <w:trHeight w:val="255"/>
          <w:jc w:val="center"/>
        </w:trPr>
        <w:tc>
          <w:tcPr>
            <w:tcW w:w="2954" w:type="dxa"/>
            <w:tcBorders>
              <w:top w:val="single" w:sz="2" w:space="0" w:color="auto"/>
              <w:bottom w:val="single" w:sz="2" w:space="0" w:color="auto"/>
            </w:tcBorders>
            <w:noWrap/>
            <w:vAlign w:val="center"/>
          </w:tcPr>
          <w:p w:rsidR="000A7585" w:rsidRPr="00AE6EDB" w:rsidRDefault="000A7585" w:rsidP="00DE0EEC">
            <w:pPr>
              <w:jc w:val="left"/>
              <w:rPr>
                <w:b/>
                <w:bCs/>
              </w:rPr>
            </w:pPr>
            <w:r w:rsidRPr="00AE6EDB">
              <w:rPr>
                <w:b/>
                <w:bCs/>
                <w:szCs w:val="22"/>
              </w:rPr>
              <w:t>Spolu</w:t>
            </w:r>
          </w:p>
        </w:tc>
        <w:tc>
          <w:tcPr>
            <w:tcW w:w="1600" w:type="dxa"/>
            <w:tcBorders>
              <w:top w:val="single" w:sz="2" w:space="0" w:color="auto"/>
              <w:bottom w:val="single" w:sz="2" w:space="0" w:color="auto"/>
            </w:tcBorders>
            <w:noWrap/>
            <w:vAlign w:val="center"/>
          </w:tcPr>
          <w:p w:rsidR="000A7585" w:rsidRPr="00AE6EDB" w:rsidRDefault="0054295F" w:rsidP="00DE0EEC">
            <w:pPr>
              <w:ind w:right="304"/>
              <w:jc w:val="right"/>
              <w:rPr>
                <w:color w:val="000000"/>
                <w:szCs w:val="22"/>
              </w:rPr>
            </w:pPr>
            <w:r>
              <w:rPr>
                <w:color w:val="000000"/>
                <w:szCs w:val="22"/>
              </w:rPr>
              <w:t>1 3</w:t>
            </w:r>
            <w:r w:rsidR="000A7585" w:rsidRPr="00AE6EDB">
              <w:rPr>
                <w:color w:val="000000"/>
                <w:szCs w:val="22"/>
              </w:rPr>
              <w:t>4</w:t>
            </w:r>
            <w:r w:rsidR="00AC44CB">
              <w:rPr>
                <w:color w:val="000000"/>
                <w:szCs w:val="22"/>
              </w:rPr>
              <w:t>5 8</w:t>
            </w:r>
            <w:r w:rsidR="000A7585" w:rsidRPr="00AE6EDB">
              <w:rPr>
                <w:color w:val="000000"/>
                <w:szCs w:val="22"/>
              </w:rPr>
              <w:t>76</w:t>
            </w:r>
          </w:p>
        </w:tc>
        <w:tc>
          <w:tcPr>
            <w:tcW w:w="1820" w:type="dxa"/>
            <w:tcBorders>
              <w:top w:val="single" w:sz="2" w:space="0" w:color="auto"/>
              <w:bottom w:val="single" w:sz="2" w:space="0" w:color="auto"/>
            </w:tcBorders>
            <w:noWrap/>
            <w:vAlign w:val="center"/>
          </w:tcPr>
          <w:p w:rsidR="000A7585" w:rsidRPr="00AE6EDB" w:rsidRDefault="000A7585" w:rsidP="00DE0EEC">
            <w:pPr>
              <w:jc w:val="center"/>
              <w:rPr>
                <w:b/>
                <w:bCs/>
              </w:rPr>
            </w:pPr>
            <w:r w:rsidRPr="00AE6EDB">
              <w:rPr>
                <w:b/>
                <w:bCs/>
                <w:szCs w:val="22"/>
              </w:rPr>
              <w:t>x</w:t>
            </w:r>
          </w:p>
        </w:tc>
      </w:tr>
    </w:tbl>
    <w:p w:rsidR="000A7585" w:rsidRPr="00AE6EDB" w:rsidRDefault="000A7585" w:rsidP="000A7585">
      <w:pPr>
        <w:pStyle w:val="zdroj"/>
      </w:pPr>
      <w:r w:rsidRPr="00AE6EDB">
        <w:t>Zdroj: Sociálna poisťovňa</w:t>
      </w:r>
    </w:p>
    <w:p w:rsidR="000A7585" w:rsidRPr="00AE6EDB" w:rsidRDefault="000A7585" w:rsidP="000A7585">
      <w:pPr>
        <w:rPr>
          <w:i/>
          <w:sz w:val="20"/>
          <w:highlight w:val="cyan"/>
        </w:rPr>
      </w:pPr>
    </w:p>
    <w:p w:rsidR="000A7585" w:rsidRPr="00AE6EDB" w:rsidRDefault="000A7585" w:rsidP="000A7585">
      <w:pPr>
        <w:pStyle w:val="Nadpis7"/>
        <w:rPr>
          <w:i/>
        </w:rPr>
      </w:pPr>
      <w:bookmarkStart w:id="871" w:name="_Toc313879699"/>
      <w:r w:rsidRPr="00AE6EDB">
        <w:t>Tabuľka 4 Rozdelenie poberateľov podľa výšky dôchodkových dávok</w:t>
      </w:r>
      <w:bookmarkEnd w:id="871"/>
      <w:r w:rsidRPr="00AE6EDB">
        <w:t xml:space="preserve"> k 31. 12. 2015</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1560"/>
        <w:gridCol w:w="1559"/>
        <w:gridCol w:w="1276"/>
        <w:gridCol w:w="1082"/>
        <w:gridCol w:w="1265"/>
        <w:gridCol w:w="1196"/>
      </w:tblGrid>
      <w:tr w:rsidR="000A7585" w:rsidRPr="00AE6EDB" w:rsidTr="00DE0EEC">
        <w:trPr>
          <w:trHeight w:val="271"/>
          <w:jc w:val="center"/>
        </w:trPr>
        <w:tc>
          <w:tcPr>
            <w:tcW w:w="1204" w:type="dxa"/>
            <w:vMerge w:val="restart"/>
            <w:shd w:val="clear" w:color="auto" w:fill="FF9999" w:themeFill="accent3" w:themeFillTint="66"/>
            <w:noWrap/>
            <w:vAlign w:val="center"/>
          </w:tcPr>
          <w:p w:rsidR="000A7585" w:rsidRPr="00AE6EDB" w:rsidRDefault="000A7585" w:rsidP="00DE0EEC">
            <w:pPr>
              <w:jc w:val="center"/>
              <w:rPr>
                <w:b/>
                <w:bCs/>
              </w:rPr>
            </w:pPr>
            <w:r w:rsidRPr="00AE6EDB">
              <w:rPr>
                <w:b/>
                <w:bCs/>
                <w:szCs w:val="22"/>
              </w:rPr>
              <w:t>Výška dôchodku v €</w:t>
            </w:r>
          </w:p>
        </w:tc>
        <w:tc>
          <w:tcPr>
            <w:tcW w:w="7938" w:type="dxa"/>
            <w:gridSpan w:val="6"/>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Počet poberateľov dôchodku : M+Ž spolu</w:t>
            </w:r>
          </w:p>
        </w:tc>
      </w:tr>
      <w:tr w:rsidR="000A7585" w:rsidRPr="00AE6EDB" w:rsidTr="00DE0EEC">
        <w:trPr>
          <w:trHeight w:val="1104"/>
          <w:jc w:val="center"/>
        </w:trPr>
        <w:tc>
          <w:tcPr>
            <w:tcW w:w="1204" w:type="dxa"/>
            <w:vMerge/>
            <w:shd w:val="clear" w:color="auto" w:fill="FF9999" w:themeFill="accent3" w:themeFillTint="66"/>
            <w:vAlign w:val="center"/>
          </w:tcPr>
          <w:p w:rsidR="000A7585" w:rsidRPr="00AE6EDB" w:rsidRDefault="000A7585" w:rsidP="00DE0EEC">
            <w:pPr>
              <w:keepNext/>
              <w:keepLines/>
              <w:jc w:val="center"/>
              <w:rPr>
                <w:b/>
                <w:bCs/>
              </w:rPr>
            </w:pPr>
          </w:p>
        </w:tc>
        <w:tc>
          <w:tcPr>
            <w:tcW w:w="1560" w:type="dxa"/>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Starobný sólo + starobný vyplácaný v súbehu s vdovským a vdoveckým</w:t>
            </w:r>
          </w:p>
        </w:tc>
        <w:tc>
          <w:tcPr>
            <w:tcW w:w="1559" w:type="dxa"/>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Predčasný starobný sólo + vyplácaný predčasný starobný v súbehu s vdovským a vdoveckým</w:t>
            </w:r>
          </w:p>
        </w:tc>
        <w:tc>
          <w:tcPr>
            <w:tcW w:w="1276" w:type="dxa"/>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Invalidný sólo* + invalidný v súbehu s vdovským a vdoveckým</w:t>
            </w:r>
          </w:p>
        </w:tc>
        <w:tc>
          <w:tcPr>
            <w:tcW w:w="1082" w:type="dxa"/>
            <w:shd w:val="clear" w:color="auto" w:fill="FF9999" w:themeFill="accent3" w:themeFillTint="66"/>
            <w:noWrap/>
            <w:vAlign w:val="center"/>
          </w:tcPr>
          <w:p w:rsidR="000A7585" w:rsidRPr="00AE6EDB" w:rsidRDefault="000A7585" w:rsidP="00DE0EEC">
            <w:pPr>
              <w:keepNext/>
              <w:keepLines/>
              <w:jc w:val="center"/>
              <w:rPr>
                <w:b/>
                <w:bCs/>
              </w:rPr>
            </w:pPr>
            <w:proofErr w:type="spellStart"/>
            <w:r w:rsidRPr="00AE6EDB">
              <w:rPr>
                <w:b/>
                <w:bCs/>
                <w:szCs w:val="22"/>
              </w:rPr>
              <w:t>Vdovský-sólo</w:t>
            </w:r>
            <w:proofErr w:type="spellEnd"/>
          </w:p>
        </w:tc>
        <w:tc>
          <w:tcPr>
            <w:tcW w:w="1265" w:type="dxa"/>
            <w:shd w:val="clear" w:color="auto" w:fill="FF9999" w:themeFill="accent3" w:themeFillTint="66"/>
            <w:noWrap/>
            <w:vAlign w:val="center"/>
          </w:tcPr>
          <w:p w:rsidR="000A7585" w:rsidRPr="00AE6EDB" w:rsidRDefault="000A7585" w:rsidP="00DE0EEC">
            <w:pPr>
              <w:keepNext/>
              <w:keepLines/>
              <w:jc w:val="center"/>
              <w:rPr>
                <w:b/>
                <w:bCs/>
              </w:rPr>
            </w:pPr>
            <w:proofErr w:type="spellStart"/>
            <w:r w:rsidRPr="00AE6EDB">
              <w:rPr>
                <w:b/>
                <w:bCs/>
                <w:szCs w:val="22"/>
              </w:rPr>
              <w:t>Vdovecký-sólo</w:t>
            </w:r>
            <w:proofErr w:type="spellEnd"/>
          </w:p>
        </w:tc>
        <w:tc>
          <w:tcPr>
            <w:tcW w:w="1196" w:type="dxa"/>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Sirotský</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do 130</w:t>
            </w:r>
          </w:p>
        </w:tc>
        <w:tc>
          <w:tcPr>
            <w:tcW w:w="1560" w:type="dxa"/>
            <w:noWrap/>
            <w:vAlign w:val="bottom"/>
          </w:tcPr>
          <w:p w:rsidR="000A7585" w:rsidRPr="00AE6EDB" w:rsidRDefault="00AC44CB" w:rsidP="00DE0EEC">
            <w:pPr>
              <w:jc w:val="right"/>
              <w:rPr>
                <w:szCs w:val="22"/>
              </w:rPr>
            </w:pPr>
            <w:r>
              <w:rPr>
                <w:szCs w:val="22"/>
              </w:rPr>
              <w:t>8 8</w:t>
            </w:r>
            <w:r w:rsidR="000A7585" w:rsidRPr="00AE6EDB">
              <w:rPr>
                <w:szCs w:val="22"/>
              </w:rPr>
              <w:t>03</w:t>
            </w:r>
          </w:p>
        </w:tc>
        <w:tc>
          <w:tcPr>
            <w:tcW w:w="1559" w:type="dxa"/>
            <w:noWrap/>
            <w:vAlign w:val="bottom"/>
          </w:tcPr>
          <w:p w:rsidR="000A7585" w:rsidRPr="00AE6EDB" w:rsidRDefault="000A7585" w:rsidP="00DE0EEC">
            <w:pPr>
              <w:jc w:val="right"/>
              <w:rPr>
                <w:szCs w:val="22"/>
              </w:rPr>
            </w:pPr>
            <w:r w:rsidRPr="00AE6EDB">
              <w:rPr>
                <w:szCs w:val="22"/>
              </w:rPr>
              <w:t>36</w:t>
            </w:r>
          </w:p>
        </w:tc>
        <w:tc>
          <w:tcPr>
            <w:tcW w:w="1276" w:type="dxa"/>
            <w:noWrap/>
            <w:vAlign w:val="bottom"/>
          </w:tcPr>
          <w:p w:rsidR="000A7585" w:rsidRPr="00AE6EDB" w:rsidRDefault="000A7585" w:rsidP="00DE0EEC">
            <w:pPr>
              <w:jc w:val="right"/>
              <w:rPr>
                <w:szCs w:val="22"/>
              </w:rPr>
            </w:pPr>
            <w:r w:rsidRPr="00AE6EDB">
              <w:rPr>
                <w:szCs w:val="22"/>
              </w:rPr>
              <w:t>1</w:t>
            </w:r>
            <w:r w:rsidR="00AC44CB">
              <w:rPr>
                <w:szCs w:val="22"/>
              </w:rPr>
              <w:t>8 5</w:t>
            </w:r>
            <w:r w:rsidRPr="00AE6EDB">
              <w:rPr>
                <w:szCs w:val="22"/>
              </w:rPr>
              <w:t>50</w:t>
            </w:r>
          </w:p>
        </w:tc>
        <w:tc>
          <w:tcPr>
            <w:tcW w:w="1082" w:type="dxa"/>
            <w:noWrap/>
            <w:vAlign w:val="bottom"/>
          </w:tcPr>
          <w:p w:rsidR="000A7585" w:rsidRPr="00AE6EDB" w:rsidRDefault="0054295F" w:rsidP="00DE0EEC">
            <w:pPr>
              <w:jc w:val="right"/>
              <w:rPr>
                <w:szCs w:val="22"/>
              </w:rPr>
            </w:pPr>
            <w:r>
              <w:rPr>
                <w:szCs w:val="22"/>
              </w:rPr>
              <w:t>1 3</w:t>
            </w:r>
            <w:r w:rsidR="000A7585" w:rsidRPr="00AE6EDB">
              <w:rPr>
                <w:szCs w:val="22"/>
              </w:rPr>
              <w:t>04</w:t>
            </w:r>
          </w:p>
        </w:tc>
        <w:tc>
          <w:tcPr>
            <w:tcW w:w="1265" w:type="dxa"/>
            <w:noWrap/>
            <w:vAlign w:val="bottom"/>
          </w:tcPr>
          <w:p w:rsidR="000A7585" w:rsidRPr="00AE6EDB" w:rsidRDefault="000A7585" w:rsidP="00DE0EEC">
            <w:pPr>
              <w:jc w:val="right"/>
              <w:rPr>
                <w:szCs w:val="22"/>
              </w:rPr>
            </w:pPr>
            <w:r w:rsidRPr="00AE6EDB">
              <w:rPr>
                <w:szCs w:val="22"/>
              </w:rPr>
              <w:t>752</w:t>
            </w:r>
          </w:p>
        </w:tc>
        <w:tc>
          <w:tcPr>
            <w:tcW w:w="1196" w:type="dxa"/>
            <w:noWrap/>
            <w:vAlign w:val="bottom"/>
          </w:tcPr>
          <w:p w:rsidR="000A7585" w:rsidRPr="00AE6EDB" w:rsidRDefault="000A7585" w:rsidP="00DE0EEC">
            <w:pPr>
              <w:jc w:val="right"/>
              <w:rPr>
                <w:szCs w:val="22"/>
              </w:rPr>
            </w:pPr>
            <w:r w:rsidRPr="00AE6EDB">
              <w:rPr>
                <w:szCs w:val="22"/>
              </w:rPr>
              <w:t>1</w:t>
            </w:r>
            <w:r w:rsidR="0054295F">
              <w:rPr>
                <w:szCs w:val="22"/>
              </w:rPr>
              <w:t>2 1</w:t>
            </w:r>
            <w:r w:rsidRPr="00AE6EDB">
              <w:rPr>
                <w:szCs w:val="22"/>
              </w:rPr>
              <w:t>16</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130,1 – 200</w:t>
            </w:r>
          </w:p>
        </w:tc>
        <w:tc>
          <w:tcPr>
            <w:tcW w:w="1560" w:type="dxa"/>
            <w:noWrap/>
            <w:vAlign w:val="bottom"/>
          </w:tcPr>
          <w:p w:rsidR="000A7585" w:rsidRPr="00AE6EDB" w:rsidRDefault="000A7585" w:rsidP="00DE0EEC">
            <w:pPr>
              <w:jc w:val="right"/>
              <w:rPr>
                <w:szCs w:val="22"/>
              </w:rPr>
            </w:pPr>
            <w:r w:rsidRPr="00AE6EDB">
              <w:rPr>
                <w:szCs w:val="22"/>
              </w:rPr>
              <w:t>1</w:t>
            </w:r>
            <w:r w:rsidR="00AC44CB">
              <w:rPr>
                <w:szCs w:val="22"/>
              </w:rPr>
              <w:t>5 9</w:t>
            </w:r>
            <w:r w:rsidRPr="00AE6EDB">
              <w:rPr>
                <w:szCs w:val="22"/>
              </w:rPr>
              <w:t>70</w:t>
            </w:r>
          </w:p>
        </w:tc>
        <w:tc>
          <w:tcPr>
            <w:tcW w:w="1559" w:type="dxa"/>
            <w:noWrap/>
            <w:vAlign w:val="bottom"/>
          </w:tcPr>
          <w:p w:rsidR="000A7585" w:rsidRPr="00AE6EDB" w:rsidRDefault="000A7585" w:rsidP="00DE0EEC">
            <w:pPr>
              <w:jc w:val="right"/>
              <w:rPr>
                <w:szCs w:val="22"/>
              </w:rPr>
            </w:pPr>
            <w:r w:rsidRPr="00AE6EDB">
              <w:rPr>
                <w:szCs w:val="22"/>
              </w:rPr>
              <w:t>54</w:t>
            </w:r>
          </w:p>
        </w:tc>
        <w:tc>
          <w:tcPr>
            <w:tcW w:w="1276" w:type="dxa"/>
            <w:noWrap/>
            <w:vAlign w:val="bottom"/>
          </w:tcPr>
          <w:p w:rsidR="000A7585" w:rsidRPr="00AE6EDB" w:rsidRDefault="000A7585" w:rsidP="00DE0EEC">
            <w:pPr>
              <w:jc w:val="right"/>
              <w:rPr>
                <w:szCs w:val="22"/>
              </w:rPr>
            </w:pPr>
            <w:r w:rsidRPr="00AE6EDB">
              <w:rPr>
                <w:szCs w:val="22"/>
              </w:rPr>
              <w:t>6</w:t>
            </w:r>
            <w:r w:rsidR="00AC44CB">
              <w:rPr>
                <w:szCs w:val="22"/>
              </w:rPr>
              <w:t>5 1</w:t>
            </w:r>
            <w:r w:rsidRPr="00AE6EDB">
              <w:rPr>
                <w:szCs w:val="22"/>
              </w:rPr>
              <w:t>37</w:t>
            </w:r>
          </w:p>
        </w:tc>
        <w:tc>
          <w:tcPr>
            <w:tcW w:w="1082" w:type="dxa"/>
            <w:noWrap/>
            <w:vAlign w:val="bottom"/>
          </w:tcPr>
          <w:p w:rsidR="000A7585" w:rsidRPr="00AE6EDB" w:rsidRDefault="0054295F" w:rsidP="00DE0EEC">
            <w:pPr>
              <w:jc w:val="right"/>
              <w:rPr>
                <w:szCs w:val="22"/>
              </w:rPr>
            </w:pPr>
            <w:r>
              <w:rPr>
                <w:szCs w:val="22"/>
              </w:rPr>
              <w:t>4 3</w:t>
            </w:r>
            <w:r w:rsidR="000A7585" w:rsidRPr="00AE6EDB">
              <w:rPr>
                <w:szCs w:val="22"/>
              </w:rPr>
              <w:t>93</w:t>
            </w:r>
          </w:p>
        </w:tc>
        <w:tc>
          <w:tcPr>
            <w:tcW w:w="1265" w:type="dxa"/>
            <w:noWrap/>
            <w:vAlign w:val="bottom"/>
          </w:tcPr>
          <w:p w:rsidR="000A7585" w:rsidRPr="00AE6EDB" w:rsidRDefault="0054295F" w:rsidP="00DE0EEC">
            <w:pPr>
              <w:jc w:val="right"/>
              <w:rPr>
                <w:szCs w:val="22"/>
              </w:rPr>
            </w:pPr>
            <w:r>
              <w:rPr>
                <w:szCs w:val="22"/>
              </w:rPr>
              <w:t>2 6</w:t>
            </w:r>
            <w:r w:rsidR="000A7585" w:rsidRPr="00AE6EDB">
              <w:rPr>
                <w:szCs w:val="22"/>
              </w:rPr>
              <w:t>45</w:t>
            </w:r>
          </w:p>
        </w:tc>
        <w:tc>
          <w:tcPr>
            <w:tcW w:w="1196" w:type="dxa"/>
            <w:noWrap/>
            <w:vAlign w:val="bottom"/>
          </w:tcPr>
          <w:p w:rsidR="000A7585" w:rsidRPr="00AE6EDB" w:rsidRDefault="00AC44CB" w:rsidP="00DE0EEC">
            <w:pPr>
              <w:jc w:val="right"/>
              <w:rPr>
                <w:szCs w:val="22"/>
              </w:rPr>
            </w:pPr>
            <w:r>
              <w:rPr>
                <w:szCs w:val="22"/>
              </w:rPr>
              <w:t>8 8</w:t>
            </w:r>
            <w:r w:rsidR="000A7585" w:rsidRPr="00AE6EDB">
              <w:rPr>
                <w:szCs w:val="22"/>
              </w:rPr>
              <w:t>13</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200,1 – 265</w:t>
            </w:r>
          </w:p>
        </w:tc>
        <w:tc>
          <w:tcPr>
            <w:tcW w:w="1560" w:type="dxa"/>
            <w:noWrap/>
            <w:vAlign w:val="bottom"/>
          </w:tcPr>
          <w:p w:rsidR="000A7585" w:rsidRPr="00AE6EDB" w:rsidRDefault="000A7585" w:rsidP="00DE0EEC">
            <w:pPr>
              <w:jc w:val="right"/>
              <w:rPr>
                <w:szCs w:val="22"/>
              </w:rPr>
            </w:pPr>
            <w:r w:rsidRPr="00AE6EDB">
              <w:rPr>
                <w:szCs w:val="22"/>
              </w:rPr>
              <w:t>2</w:t>
            </w:r>
            <w:r w:rsidR="00AC44CB">
              <w:rPr>
                <w:szCs w:val="22"/>
              </w:rPr>
              <w:t>6 7</w:t>
            </w:r>
            <w:r w:rsidRPr="00AE6EDB">
              <w:rPr>
                <w:szCs w:val="22"/>
              </w:rPr>
              <w:t>98</w:t>
            </w:r>
          </w:p>
        </w:tc>
        <w:tc>
          <w:tcPr>
            <w:tcW w:w="1559" w:type="dxa"/>
            <w:noWrap/>
            <w:vAlign w:val="bottom"/>
          </w:tcPr>
          <w:p w:rsidR="000A7585" w:rsidRPr="00AE6EDB" w:rsidRDefault="0054295F" w:rsidP="00DE0EEC">
            <w:pPr>
              <w:jc w:val="right"/>
              <w:rPr>
                <w:szCs w:val="22"/>
              </w:rPr>
            </w:pPr>
            <w:r>
              <w:rPr>
                <w:szCs w:val="22"/>
              </w:rPr>
              <w:t>1 7</w:t>
            </w:r>
            <w:r w:rsidR="000A7585" w:rsidRPr="00AE6EDB">
              <w:rPr>
                <w:szCs w:val="22"/>
              </w:rPr>
              <w:t>73</w:t>
            </w:r>
          </w:p>
        </w:tc>
        <w:tc>
          <w:tcPr>
            <w:tcW w:w="1276" w:type="dxa"/>
            <w:noWrap/>
            <w:vAlign w:val="bottom"/>
          </w:tcPr>
          <w:p w:rsidR="000A7585" w:rsidRPr="00AE6EDB" w:rsidRDefault="000A7585" w:rsidP="00DE0EEC">
            <w:pPr>
              <w:jc w:val="right"/>
              <w:rPr>
                <w:szCs w:val="22"/>
              </w:rPr>
            </w:pPr>
            <w:r w:rsidRPr="00AE6EDB">
              <w:rPr>
                <w:szCs w:val="22"/>
              </w:rPr>
              <w:t>4</w:t>
            </w:r>
            <w:r w:rsidR="0054295F">
              <w:rPr>
                <w:szCs w:val="22"/>
              </w:rPr>
              <w:t>0 1</w:t>
            </w:r>
            <w:r w:rsidRPr="00AE6EDB">
              <w:rPr>
                <w:szCs w:val="22"/>
              </w:rPr>
              <w:t>66</w:t>
            </w:r>
          </w:p>
        </w:tc>
        <w:tc>
          <w:tcPr>
            <w:tcW w:w="1082" w:type="dxa"/>
            <w:noWrap/>
            <w:vAlign w:val="bottom"/>
          </w:tcPr>
          <w:p w:rsidR="000A7585" w:rsidRPr="00AE6EDB" w:rsidRDefault="000A7585" w:rsidP="00DE0EEC">
            <w:pPr>
              <w:jc w:val="right"/>
              <w:rPr>
                <w:szCs w:val="22"/>
              </w:rPr>
            </w:pPr>
            <w:r w:rsidRPr="00AE6EDB">
              <w:rPr>
                <w:szCs w:val="22"/>
              </w:rPr>
              <w:t>1</w:t>
            </w:r>
            <w:r w:rsidR="00AC44CB">
              <w:rPr>
                <w:szCs w:val="22"/>
              </w:rPr>
              <w:t>7 0</w:t>
            </w:r>
            <w:r w:rsidRPr="00AE6EDB">
              <w:rPr>
                <w:szCs w:val="22"/>
              </w:rPr>
              <w:t>04</w:t>
            </w:r>
          </w:p>
        </w:tc>
        <w:tc>
          <w:tcPr>
            <w:tcW w:w="1265" w:type="dxa"/>
            <w:noWrap/>
            <w:vAlign w:val="bottom"/>
          </w:tcPr>
          <w:p w:rsidR="000A7585" w:rsidRPr="00AE6EDB" w:rsidRDefault="0054295F" w:rsidP="00DE0EEC">
            <w:pPr>
              <w:jc w:val="right"/>
              <w:rPr>
                <w:szCs w:val="22"/>
              </w:rPr>
            </w:pPr>
            <w:r>
              <w:rPr>
                <w:szCs w:val="22"/>
              </w:rPr>
              <w:t>1 5</w:t>
            </w:r>
            <w:r w:rsidR="000A7585" w:rsidRPr="00AE6EDB">
              <w:rPr>
                <w:szCs w:val="22"/>
              </w:rPr>
              <w:t>97</w:t>
            </w:r>
          </w:p>
        </w:tc>
        <w:tc>
          <w:tcPr>
            <w:tcW w:w="1196" w:type="dxa"/>
            <w:noWrap/>
            <w:vAlign w:val="bottom"/>
          </w:tcPr>
          <w:p w:rsidR="000A7585" w:rsidRPr="00AE6EDB" w:rsidRDefault="0054295F" w:rsidP="00DE0EEC">
            <w:pPr>
              <w:jc w:val="right"/>
              <w:rPr>
                <w:szCs w:val="22"/>
              </w:rPr>
            </w:pPr>
            <w:r>
              <w:rPr>
                <w:szCs w:val="22"/>
              </w:rPr>
              <w:t>1 5</w:t>
            </w:r>
            <w:r w:rsidR="000A7585" w:rsidRPr="00AE6EDB">
              <w:rPr>
                <w:szCs w:val="22"/>
              </w:rPr>
              <w:t>89</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 xml:space="preserve">265,1 </w:t>
            </w:r>
            <w:r w:rsidRPr="00AE6EDB">
              <w:rPr>
                <w:bCs/>
                <w:sz w:val="20"/>
                <w:szCs w:val="16"/>
              </w:rPr>
              <w:t>–</w:t>
            </w:r>
            <w:r w:rsidRPr="00AE6EDB">
              <w:rPr>
                <w:szCs w:val="22"/>
              </w:rPr>
              <w:t xml:space="preserve"> 325</w:t>
            </w:r>
          </w:p>
        </w:tc>
        <w:tc>
          <w:tcPr>
            <w:tcW w:w="1560" w:type="dxa"/>
            <w:noWrap/>
            <w:vAlign w:val="bottom"/>
          </w:tcPr>
          <w:p w:rsidR="000A7585" w:rsidRPr="00AE6EDB" w:rsidRDefault="000A7585" w:rsidP="00DE0EEC">
            <w:pPr>
              <w:jc w:val="right"/>
              <w:rPr>
                <w:szCs w:val="22"/>
              </w:rPr>
            </w:pPr>
            <w:r w:rsidRPr="00AE6EDB">
              <w:rPr>
                <w:szCs w:val="22"/>
              </w:rPr>
              <w:t>14</w:t>
            </w:r>
            <w:r w:rsidR="0054295F">
              <w:rPr>
                <w:szCs w:val="22"/>
              </w:rPr>
              <w:t>3 1</w:t>
            </w:r>
            <w:r w:rsidRPr="00AE6EDB">
              <w:rPr>
                <w:szCs w:val="22"/>
              </w:rPr>
              <w:t>64</w:t>
            </w:r>
          </w:p>
        </w:tc>
        <w:tc>
          <w:tcPr>
            <w:tcW w:w="1559" w:type="dxa"/>
            <w:noWrap/>
            <w:vAlign w:val="bottom"/>
          </w:tcPr>
          <w:p w:rsidR="000A7585" w:rsidRPr="00AE6EDB" w:rsidRDefault="0054295F" w:rsidP="00DE0EEC">
            <w:pPr>
              <w:jc w:val="right"/>
              <w:rPr>
                <w:szCs w:val="22"/>
              </w:rPr>
            </w:pPr>
            <w:r>
              <w:rPr>
                <w:szCs w:val="22"/>
              </w:rPr>
              <w:t>4 4</w:t>
            </w:r>
            <w:r w:rsidR="000A7585" w:rsidRPr="00AE6EDB">
              <w:rPr>
                <w:szCs w:val="22"/>
              </w:rPr>
              <w:t>14</w:t>
            </w:r>
          </w:p>
        </w:tc>
        <w:tc>
          <w:tcPr>
            <w:tcW w:w="1276" w:type="dxa"/>
            <w:noWrap/>
            <w:vAlign w:val="bottom"/>
          </w:tcPr>
          <w:p w:rsidR="000A7585" w:rsidRPr="00AE6EDB" w:rsidRDefault="000A7585" w:rsidP="00DE0EEC">
            <w:pPr>
              <w:jc w:val="right"/>
              <w:rPr>
                <w:szCs w:val="22"/>
              </w:rPr>
            </w:pPr>
            <w:r w:rsidRPr="00AE6EDB">
              <w:rPr>
                <w:szCs w:val="22"/>
              </w:rPr>
              <w:t>5</w:t>
            </w:r>
            <w:r w:rsidR="0054295F">
              <w:rPr>
                <w:szCs w:val="22"/>
              </w:rPr>
              <w:t>4 7</w:t>
            </w:r>
            <w:r w:rsidRPr="00AE6EDB">
              <w:rPr>
                <w:szCs w:val="22"/>
              </w:rPr>
              <w:t>54</w:t>
            </w:r>
          </w:p>
        </w:tc>
        <w:tc>
          <w:tcPr>
            <w:tcW w:w="1082" w:type="dxa"/>
            <w:noWrap/>
            <w:vAlign w:val="bottom"/>
          </w:tcPr>
          <w:p w:rsidR="000A7585" w:rsidRPr="00AE6EDB" w:rsidRDefault="00AC44CB" w:rsidP="00DE0EEC">
            <w:pPr>
              <w:jc w:val="right"/>
              <w:rPr>
                <w:szCs w:val="22"/>
              </w:rPr>
            </w:pPr>
            <w:r>
              <w:rPr>
                <w:szCs w:val="22"/>
              </w:rPr>
              <w:t>5 9</w:t>
            </w:r>
            <w:r w:rsidR="000A7585" w:rsidRPr="00AE6EDB">
              <w:rPr>
                <w:szCs w:val="22"/>
              </w:rPr>
              <w:t>99</w:t>
            </w:r>
          </w:p>
        </w:tc>
        <w:tc>
          <w:tcPr>
            <w:tcW w:w="1265" w:type="dxa"/>
            <w:noWrap/>
            <w:vAlign w:val="bottom"/>
          </w:tcPr>
          <w:p w:rsidR="000A7585" w:rsidRPr="00AE6EDB" w:rsidRDefault="000A7585" w:rsidP="00DE0EEC">
            <w:pPr>
              <w:jc w:val="right"/>
              <w:rPr>
                <w:szCs w:val="22"/>
              </w:rPr>
            </w:pPr>
            <w:r w:rsidRPr="00AE6EDB">
              <w:rPr>
                <w:szCs w:val="22"/>
              </w:rPr>
              <w:t>381</w:t>
            </w:r>
          </w:p>
        </w:tc>
        <w:tc>
          <w:tcPr>
            <w:tcW w:w="1196" w:type="dxa"/>
            <w:noWrap/>
            <w:vAlign w:val="bottom"/>
          </w:tcPr>
          <w:p w:rsidR="000A7585" w:rsidRPr="00AE6EDB" w:rsidRDefault="000A7585" w:rsidP="00DE0EEC">
            <w:pPr>
              <w:jc w:val="right"/>
              <w:rPr>
                <w:szCs w:val="22"/>
              </w:rPr>
            </w:pPr>
            <w:r w:rsidRPr="00AE6EDB">
              <w:rPr>
                <w:szCs w:val="22"/>
              </w:rPr>
              <w:t>562</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 xml:space="preserve">325,1 </w:t>
            </w:r>
            <w:r w:rsidRPr="00AE6EDB">
              <w:rPr>
                <w:bCs/>
                <w:sz w:val="20"/>
                <w:szCs w:val="16"/>
              </w:rPr>
              <w:t>–</w:t>
            </w:r>
            <w:r w:rsidRPr="00AE6EDB">
              <w:rPr>
                <w:szCs w:val="22"/>
              </w:rPr>
              <w:t xml:space="preserve"> 425</w:t>
            </w:r>
          </w:p>
        </w:tc>
        <w:tc>
          <w:tcPr>
            <w:tcW w:w="1560" w:type="dxa"/>
            <w:noWrap/>
            <w:vAlign w:val="bottom"/>
          </w:tcPr>
          <w:p w:rsidR="000A7585" w:rsidRPr="00AE6EDB" w:rsidRDefault="000A7585" w:rsidP="00DE0EEC">
            <w:pPr>
              <w:jc w:val="right"/>
              <w:rPr>
                <w:szCs w:val="22"/>
              </w:rPr>
            </w:pPr>
            <w:r w:rsidRPr="00AE6EDB">
              <w:rPr>
                <w:szCs w:val="22"/>
              </w:rPr>
              <w:t>39</w:t>
            </w:r>
            <w:r w:rsidR="0054295F">
              <w:rPr>
                <w:szCs w:val="22"/>
              </w:rPr>
              <w:t>0 0</w:t>
            </w:r>
            <w:r w:rsidRPr="00AE6EDB">
              <w:rPr>
                <w:szCs w:val="22"/>
              </w:rPr>
              <w:t>17</w:t>
            </w:r>
          </w:p>
        </w:tc>
        <w:tc>
          <w:tcPr>
            <w:tcW w:w="1559" w:type="dxa"/>
            <w:noWrap/>
            <w:vAlign w:val="bottom"/>
          </w:tcPr>
          <w:p w:rsidR="000A7585" w:rsidRPr="00AE6EDB" w:rsidRDefault="00AC44CB" w:rsidP="00DE0EEC">
            <w:pPr>
              <w:jc w:val="right"/>
              <w:rPr>
                <w:szCs w:val="22"/>
              </w:rPr>
            </w:pPr>
            <w:r>
              <w:rPr>
                <w:szCs w:val="22"/>
              </w:rPr>
              <w:t>6 0</w:t>
            </w:r>
            <w:r w:rsidR="000A7585" w:rsidRPr="00AE6EDB">
              <w:rPr>
                <w:szCs w:val="22"/>
              </w:rPr>
              <w:t>15</w:t>
            </w:r>
          </w:p>
        </w:tc>
        <w:tc>
          <w:tcPr>
            <w:tcW w:w="1276" w:type="dxa"/>
            <w:noWrap/>
            <w:vAlign w:val="bottom"/>
          </w:tcPr>
          <w:p w:rsidR="000A7585" w:rsidRPr="00AE6EDB" w:rsidRDefault="000A7585" w:rsidP="00DE0EEC">
            <w:pPr>
              <w:jc w:val="right"/>
              <w:rPr>
                <w:szCs w:val="22"/>
              </w:rPr>
            </w:pPr>
            <w:r w:rsidRPr="00AE6EDB">
              <w:rPr>
                <w:szCs w:val="22"/>
              </w:rPr>
              <w:t>4</w:t>
            </w:r>
            <w:r w:rsidR="00AC44CB">
              <w:rPr>
                <w:szCs w:val="22"/>
              </w:rPr>
              <w:t>6 2</w:t>
            </w:r>
            <w:r w:rsidRPr="00AE6EDB">
              <w:rPr>
                <w:szCs w:val="22"/>
              </w:rPr>
              <w:t>80</w:t>
            </w:r>
          </w:p>
        </w:tc>
        <w:tc>
          <w:tcPr>
            <w:tcW w:w="1082" w:type="dxa"/>
            <w:noWrap/>
            <w:vAlign w:val="bottom"/>
          </w:tcPr>
          <w:p w:rsidR="000A7585" w:rsidRPr="00AE6EDB" w:rsidRDefault="0054295F" w:rsidP="00DE0EEC">
            <w:pPr>
              <w:jc w:val="right"/>
              <w:rPr>
                <w:szCs w:val="22"/>
              </w:rPr>
            </w:pPr>
            <w:r>
              <w:rPr>
                <w:szCs w:val="22"/>
              </w:rPr>
              <w:t>2 6</w:t>
            </w:r>
            <w:r w:rsidR="000A7585" w:rsidRPr="00AE6EDB">
              <w:rPr>
                <w:szCs w:val="22"/>
              </w:rPr>
              <w:t>09</w:t>
            </w:r>
          </w:p>
        </w:tc>
        <w:tc>
          <w:tcPr>
            <w:tcW w:w="1265" w:type="dxa"/>
            <w:noWrap/>
            <w:vAlign w:val="bottom"/>
          </w:tcPr>
          <w:p w:rsidR="000A7585" w:rsidRPr="00AE6EDB" w:rsidRDefault="000A7585" w:rsidP="00DE0EEC">
            <w:pPr>
              <w:jc w:val="right"/>
              <w:rPr>
                <w:szCs w:val="22"/>
              </w:rPr>
            </w:pPr>
            <w:r w:rsidRPr="00AE6EDB">
              <w:rPr>
                <w:szCs w:val="22"/>
              </w:rPr>
              <w:t>134</w:t>
            </w:r>
          </w:p>
        </w:tc>
        <w:tc>
          <w:tcPr>
            <w:tcW w:w="1196" w:type="dxa"/>
            <w:noWrap/>
            <w:vAlign w:val="bottom"/>
          </w:tcPr>
          <w:p w:rsidR="000A7585" w:rsidRPr="00AE6EDB" w:rsidRDefault="000A7585" w:rsidP="00DE0EEC">
            <w:pPr>
              <w:jc w:val="right"/>
              <w:rPr>
                <w:szCs w:val="22"/>
              </w:rPr>
            </w:pPr>
            <w:r w:rsidRPr="00AE6EDB">
              <w:rPr>
                <w:szCs w:val="22"/>
              </w:rPr>
              <w:t>235</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 xml:space="preserve">425,1 </w:t>
            </w:r>
            <w:r w:rsidRPr="00AE6EDB">
              <w:rPr>
                <w:bCs/>
                <w:sz w:val="20"/>
                <w:szCs w:val="16"/>
              </w:rPr>
              <w:t>–</w:t>
            </w:r>
            <w:r w:rsidRPr="00AE6EDB">
              <w:rPr>
                <w:szCs w:val="22"/>
              </w:rPr>
              <w:t xml:space="preserve"> 530</w:t>
            </w:r>
          </w:p>
        </w:tc>
        <w:tc>
          <w:tcPr>
            <w:tcW w:w="1560" w:type="dxa"/>
            <w:noWrap/>
            <w:vAlign w:val="bottom"/>
          </w:tcPr>
          <w:p w:rsidR="000A7585" w:rsidRPr="00AE6EDB" w:rsidRDefault="000A7585" w:rsidP="00DE0EEC">
            <w:pPr>
              <w:jc w:val="right"/>
              <w:rPr>
                <w:szCs w:val="22"/>
              </w:rPr>
            </w:pPr>
            <w:r w:rsidRPr="00AE6EDB">
              <w:rPr>
                <w:szCs w:val="22"/>
              </w:rPr>
              <w:t>29</w:t>
            </w:r>
            <w:r w:rsidR="0054295F">
              <w:rPr>
                <w:szCs w:val="22"/>
              </w:rPr>
              <w:t>2 9</w:t>
            </w:r>
            <w:r w:rsidRPr="00AE6EDB">
              <w:rPr>
                <w:szCs w:val="22"/>
              </w:rPr>
              <w:t>15</w:t>
            </w:r>
          </w:p>
        </w:tc>
        <w:tc>
          <w:tcPr>
            <w:tcW w:w="1559" w:type="dxa"/>
            <w:noWrap/>
            <w:vAlign w:val="bottom"/>
          </w:tcPr>
          <w:p w:rsidR="000A7585" w:rsidRPr="00AE6EDB" w:rsidRDefault="0054295F" w:rsidP="00DE0EEC">
            <w:pPr>
              <w:jc w:val="right"/>
              <w:rPr>
                <w:szCs w:val="22"/>
              </w:rPr>
            </w:pPr>
            <w:r>
              <w:rPr>
                <w:szCs w:val="22"/>
              </w:rPr>
              <w:t>3 4</w:t>
            </w:r>
            <w:r w:rsidR="000A7585" w:rsidRPr="00AE6EDB">
              <w:rPr>
                <w:szCs w:val="22"/>
              </w:rPr>
              <w:t>26</w:t>
            </w:r>
          </w:p>
        </w:tc>
        <w:tc>
          <w:tcPr>
            <w:tcW w:w="1276" w:type="dxa"/>
            <w:noWrap/>
            <w:vAlign w:val="bottom"/>
          </w:tcPr>
          <w:p w:rsidR="000A7585" w:rsidRPr="00AE6EDB" w:rsidRDefault="000A7585" w:rsidP="00DE0EEC">
            <w:pPr>
              <w:jc w:val="right"/>
              <w:rPr>
                <w:szCs w:val="22"/>
              </w:rPr>
            </w:pPr>
            <w:r w:rsidRPr="00AE6EDB">
              <w:rPr>
                <w:szCs w:val="22"/>
              </w:rPr>
              <w:t>1</w:t>
            </w:r>
            <w:r w:rsidR="0054295F">
              <w:rPr>
                <w:szCs w:val="22"/>
              </w:rPr>
              <w:t>4 1</w:t>
            </w:r>
            <w:r w:rsidRPr="00AE6EDB">
              <w:rPr>
                <w:szCs w:val="22"/>
              </w:rPr>
              <w:t>42</w:t>
            </w:r>
          </w:p>
        </w:tc>
        <w:tc>
          <w:tcPr>
            <w:tcW w:w="1082" w:type="dxa"/>
            <w:noWrap/>
            <w:vAlign w:val="bottom"/>
          </w:tcPr>
          <w:p w:rsidR="000A7585" w:rsidRPr="00AE6EDB" w:rsidRDefault="000A7585" w:rsidP="00DE0EEC">
            <w:pPr>
              <w:jc w:val="right"/>
              <w:rPr>
                <w:szCs w:val="22"/>
              </w:rPr>
            </w:pPr>
            <w:r w:rsidRPr="00AE6EDB">
              <w:rPr>
                <w:szCs w:val="22"/>
              </w:rPr>
              <w:t>535</w:t>
            </w:r>
          </w:p>
        </w:tc>
        <w:tc>
          <w:tcPr>
            <w:tcW w:w="1265" w:type="dxa"/>
            <w:noWrap/>
            <w:vAlign w:val="bottom"/>
          </w:tcPr>
          <w:p w:rsidR="000A7585" w:rsidRPr="00AE6EDB" w:rsidRDefault="000A7585" w:rsidP="00DE0EEC">
            <w:pPr>
              <w:jc w:val="right"/>
              <w:rPr>
                <w:szCs w:val="22"/>
              </w:rPr>
            </w:pPr>
            <w:r w:rsidRPr="00AE6EDB">
              <w:rPr>
                <w:szCs w:val="22"/>
              </w:rPr>
              <w:t>27</w:t>
            </w:r>
          </w:p>
        </w:tc>
        <w:tc>
          <w:tcPr>
            <w:tcW w:w="1196" w:type="dxa"/>
            <w:noWrap/>
            <w:vAlign w:val="bottom"/>
          </w:tcPr>
          <w:p w:rsidR="000A7585" w:rsidRPr="00AE6EDB" w:rsidRDefault="000A7585" w:rsidP="00DE0EEC">
            <w:pPr>
              <w:jc w:val="right"/>
              <w:rPr>
                <w:szCs w:val="22"/>
              </w:rPr>
            </w:pPr>
            <w:r w:rsidRPr="00AE6EDB">
              <w:rPr>
                <w:szCs w:val="22"/>
              </w:rPr>
              <w:t>41</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 xml:space="preserve">530,1 </w:t>
            </w:r>
            <w:r w:rsidRPr="00AE6EDB">
              <w:rPr>
                <w:bCs/>
                <w:sz w:val="20"/>
                <w:szCs w:val="16"/>
              </w:rPr>
              <w:t>–</w:t>
            </w:r>
            <w:r w:rsidRPr="00AE6EDB">
              <w:rPr>
                <w:szCs w:val="22"/>
              </w:rPr>
              <w:t xml:space="preserve"> 665</w:t>
            </w:r>
          </w:p>
        </w:tc>
        <w:tc>
          <w:tcPr>
            <w:tcW w:w="1560" w:type="dxa"/>
            <w:noWrap/>
            <w:vAlign w:val="bottom"/>
          </w:tcPr>
          <w:p w:rsidR="000A7585" w:rsidRPr="00AE6EDB" w:rsidRDefault="000A7585" w:rsidP="00DE0EEC">
            <w:pPr>
              <w:jc w:val="right"/>
              <w:rPr>
                <w:szCs w:val="22"/>
              </w:rPr>
            </w:pPr>
            <w:r w:rsidRPr="00AE6EDB">
              <w:rPr>
                <w:szCs w:val="22"/>
              </w:rPr>
              <w:t>10</w:t>
            </w:r>
            <w:r w:rsidR="00AC44CB">
              <w:rPr>
                <w:szCs w:val="22"/>
              </w:rPr>
              <w:t>7 1</w:t>
            </w:r>
            <w:r w:rsidRPr="00AE6EDB">
              <w:rPr>
                <w:szCs w:val="22"/>
              </w:rPr>
              <w:t>76</w:t>
            </w:r>
          </w:p>
        </w:tc>
        <w:tc>
          <w:tcPr>
            <w:tcW w:w="1559" w:type="dxa"/>
            <w:noWrap/>
            <w:vAlign w:val="bottom"/>
          </w:tcPr>
          <w:p w:rsidR="000A7585" w:rsidRPr="00AE6EDB" w:rsidRDefault="0054295F" w:rsidP="00DE0EEC">
            <w:pPr>
              <w:jc w:val="right"/>
              <w:rPr>
                <w:szCs w:val="22"/>
              </w:rPr>
            </w:pPr>
            <w:r>
              <w:rPr>
                <w:szCs w:val="22"/>
              </w:rPr>
              <w:t>1 9</w:t>
            </w:r>
            <w:r w:rsidR="000A7585" w:rsidRPr="00AE6EDB">
              <w:rPr>
                <w:szCs w:val="22"/>
              </w:rPr>
              <w:t>05</w:t>
            </w:r>
          </w:p>
        </w:tc>
        <w:tc>
          <w:tcPr>
            <w:tcW w:w="1276" w:type="dxa"/>
            <w:noWrap/>
            <w:vAlign w:val="bottom"/>
          </w:tcPr>
          <w:p w:rsidR="000A7585" w:rsidRPr="00AE6EDB" w:rsidRDefault="00AC44CB" w:rsidP="00DE0EEC">
            <w:pPr>
              <w:jc w:val="right"/>
              <w:rPr>
                <w:szCs w:val="22"/>
              </w:rPr>
            </w:pPr>
            <w:r>
              <w:rPr>
                <w:szCs w:val="22"/>
              </w:rPr>
              <w:t>5 2</w:t>
            </w:r>
            <w:r w:rsidR="000A7585" w:rsidRPr="00AE6EDB">
              <w:rPr>
                <w:szCs w:val="22"/>
              </w:rPr>
              <w:t>29</w:t>
            </w:r>
          </w:p>
        </w:tc>
        <w:tc>
          <w:tcPr>
            <w:tcW w:w="1082" w:type="dxa"/>
            <w:noWrap/>
            <w:vAlign w:val="bottom"/>
          </w:tcPr>
          <w:p w:rsidR="000A7585" w:rsidRPr="00AE6EDB" w:rsidRDefault="000A7585" w:rsidP="00DE0EEC">
            <w:pPr>
              <w:jc w:val="right"/>
              <w:rPr>
                <w:szCs w:val="22"/>
              </w:rPr>
            </w:pPr>
            <w:r w:rsidRPr="00AE6EDB">
              <w:rPr>
                <w:szCs w:val="22"/>
              </w:rPr>
              <w:t>113</w:t>
            </w:r>
          </w:p>
        </w:tc>
        <w:tc>
          <w:tcPr>
            <w:tcW w:w="1265" w:type="dxa"/>
            <w:noWrap/>
            <w:vAlign w:val="bottom"/>
          </w:tcPr>
          <w:p w:rsidR="000A7585" w:rsidRPr="00AE6EDB" w:rsidRDefault="000A7585" w:rsidP="00DE0EEC">
            <w:pPr>
              <w:jc w:val="right"/>
              <w:rPr>
                <w:szCs w:val="22"/>
              </w:rPr>
            </w:pPr>
            <w:r w:rsidRPr="00AE6EDB">
              <w:rPr>
                <w:szCs w:val="22"/>
              </w:rPr>
              <w:t>3</w:t>
            </w:r>
          </w:p>
        </w:tc>
        <w:tc>
          <w:tcPr>
            <w:tcW w:w="1196" w:type="dxa"/>
            <w:noWrap/>
            <w:vAlign w:val="bottom"/>
          </w:tcPr>
          <w:p w:rsidR="000A7585" w:rsidRPr="00AE6EDB" w:rsidRDefault="000A7585" w:rsidP="00DE0EEC">
            <w:pPr>
              <w:jc w:val="right"/>
              <w:rPr>
                <w:szCs w:val="22"/>
              </w:rPr>
            </w:pPr>
            <w:r w:rsidRPr="00AE6EDB">
              <w:rPr>
                <w:szCs w:val="22"/>
              </w:rPr>
              <w:t>17</w:t>
            </w:r>
          </w:p>
        </w:tc>
      </w:tr>
      <w:tr w:rsidR="000A7585" w:rsidRPr="00AE6EDB" w:rsidTr="00DE0EEC">
        <w:trPr>
          <w:trHeight w:val="271"/>
          <w:jc w:val="center"/>
        </w:trPr>
        <w:tc>
          <w:tcPr>
            <w:tcW w:w="1204" w:type="dxa"/>
            <w:noWrap/>
            <w:vAlign w:val="center"/>
          </w:tcPr>
          <w:p w:rsidR="000A7585" w:rsidRPr="00AE6EDB" w:rsidRDefault="000A7585" w:rsidP="00DE0EEC">
            <w:pPr>
              <w:jc w:val="left"/>
            </w:pPr>
            <w:r w:rsidRPr="00AE6EDB">
              <w:rPr>
                <w:szCs w:val="22"/>
              </w:rPr>
              <w:t>nad 665,1</w:t>
            </w:r>
          </w:p>
        </w:tc>
        <w:tc>
          <w:tcPr>
            <w:tcW w:w="1560" w:type="dxa"/>
            <w:noWrap/>
            <w:vAlign w:val="bottom"/>
          </w:tcPr>
          <w:p w:rsidR="000A7585" w:rsidRPr="00AE6EDB" w:rsidRDefault="000A7585" w:rsidP="00DE0EEC">
            <w:pPr>
              <w:jc w:val="right"/>
              <w:rPr>
                <w:szCs w:val="22"/>
              </w:rPr>
            </w:pPr>
            <w:r w:rsidRPr="00AE6EDB">
              <w:rPr>
                <w:szCs w:val="22"/>
              </w:rPr>
              <w:t>4</w:t>
            </w:r>
            <w:r w:rsidR="00AC44CB">
              <w:rPr>
                <w:szCs w:val="22"/>
              </w:rPr>
              <w:t>7 3</w:t>
            </w:r>
            <w:r w:rsidRPr="00AE6EDB">
              <w:rPr>
                <w:szCs w:val="22"/>
              </w:rPr>
              <w:t>55</w:t>
            </w:r>
          </w:p>
        </w:tc>
        <w:tc>
          <w:tcPr>
            <w:tcW w:w="1559" w:type="dxa"/>
            <w:noWrap/>
            <w:vAlign w:val="bottom"/>
          </w:tcPr>
          <w:p w:rsidR="000A7585" w:rsidRPr="00AE6EDB" w:rsidRDefault="000A7585" w:rsidP="00DE0EEC">
            <w:pPr>
              <w:jc w:val="right"/>
              <w:rPr>
                <w:szCs w:val="22"/>
              </w:rPr>
            </w:pPr>
            <w:r w:rsidRPr="00AE6EDB">
              <w:rPr>
                <w:szCs w:val="22"/>
              </w:rPr>
              <w:t>728</w:t>
            </w:r>
          </w:p>
        </w:tc>
        <w:tc>
          <w:tcPr>
            <w:tcW w:w="1276" w:type="dxa"/>
            <w:noWrap/>
            <w:vAlign w:val="bottom"/>
          </w:tcPr>
          <w:p w:rsidR="000A7585" w:rsidRPr="00AE6EDB" w:rsidRDefault="0054295F" w:rsidP="00DE0EEC">
            <w:pPr>
              <w:jc w:val="right"/>
              <w:rPr>
                <w:szCs w:val="22"/>
              </w:rPr>
            </w:pPr>
            <w:r>
              <w:rPr>
                <w:szCs w:val="22"/>
              </w:rPr>
              <w:t>1 8</w:t>
            </w:r>
            <w:r w:rsidR="000A7585" w:rsidRPr="00AE6EDB">
              <w:rPr>
                <w:szCs w:val="22"/>
              </w:rPr>
              <w:t>74</w:t>
            </w:r>
          </w:p>
        </w:tc>
        <w:tc>
          <w:tcPr>
            <w:tcW w:w="1082" w:type="dxa"/>
            <w:noWrap/>
            <w:vAlign w:val="bottom"/>
          </w:tcPr>
          <w:p w:rsidR="000A7585" w:rsidRPr="00AE6EDB" w:rsidRDefault="000A7585" w:rsidP="00DE0EEC">
            <w:pPr>
              <w:jc w:val="right"/>
              <w:rPr>
                <w:szCs w:val="22"/>
              </w:rPr>
            </w:pPr>
            <w:r w:rsidRPr="00AE6EDB">
              <w:rPr>
                <w:szCs w:val="22"/>
              </w:rPr>
              <w:t>7</w:t>
            </w:r>
          </w:p>
        </w:tc>
        <w:tc>
          <w:tcPr>
            <w:tcW w:w="1265" w:type="dxa"/>
            <w:noWrap/>
            <w:vAlign w:val="bottom"/>
          </w:tcPr>
          <w:p w:rsidR="000A7585" w:rsidRPr="00AE6EDB" w:rsidRDefault="000A7585" w:rsidP="00DE0EEC">
            <w:pPr>
              <w:jc w:val="right"/>
              <w:rPr>
                <w:szCs w:val="22"/>
              </w:rPr>
            </w:pPr>
            <w:r w:rsidRPr="00AE6EDB">
              <w:rPr>
                <w:szCs w:val="22"/>
              </w:rPr>
              <w:t>1</w:t>
            </w:r>
          </w:p>
        </w:tc>
        <w:tc>
          <w:tcPr>
            <w:tcW w:w="1196" w:type="dxa"/>
            <w:noWrap/>
            <w:vAlign w:val="bottom"/>
          </w:tcPr>
          <w:p w:rsidR="000A7585" w:rsidRPr="00AE6EDB" w:rsidRDefault="000A7585" w:rsidP="00DE0EEC">
            <w:pPr>
              <w:jc w:val="right"/>
              <w:rPr>
                <w:szCs w:val="22"/>
              </w:rPr>
            </w:pPr>
            <w:r w:rsidRPr="00AE6EDB">
              <w:rPr>
                <w:szCs w:val="22"/>
              </w:rPr>
              <w:t>0</w:t>
            </w:r>
          </w:p>
        </w:tc>
      </w:tr>
      <w:tr w:rsidR="000A7585" w:rsidRPr="00AE6EDB" w:rsidTr="00DE0EEC">
        <w:trPr>
          <w:trHeight w:val="271"/>
          <w:jc w:val="center"/>
        </w:trPr>
        <w:tc>
          <w:tcPr>
            <w:tcW w:w="1204" w:type="dxa"/>
            <w:noWrap/>
            <w:vAlign w:val="center"/>
          </w:tcPr>
          <w:p w:rsidR="000A7585" w:rsidRPr="00AE6EDB" w:rsidRDefault="000A7585" w:rsidP="00DE0EEC">
            <w:pPr>
              <w:jc w:val="left"/>
              <w:rPr>
                <w:b/>
                <w:bCs/>
              </w:rPr>
            </w:pPr>
            <w:r w:rsidRPr="00AE6EDB">
              <w:rPr>
                <w:b/>
                <w:bCs/>
                <w:szCs w:val="22"/>
              </w:rPr>
              <w:t>Spolu</w:t>
            </w:r>
          </w:p>
        </w:tc>
        <w:tc>
          <w:tcPr>
            <w:tcW w:w="1560" w:type="dxa"/>
            <w:noWrap/>
            <w:vAlign w:val="bottom"/>
          </w:tcPr>
          <w:p w:rsidR="000A7585" w:rsidRPr="00AE6EDB" w:rsidRDefault="0054295F" w:rsidP="00DE0EEC">
            <w:pPr>
              <w:jc w:val="right"/>
              <w:rPr>
                <w:b/>
                <w:szCs w:val="22"/>
              </w:rPr>
            </w:pPr>
            <w:r>
              <w:rPr>
                <w:b/>
                <w:szCs w:val="22"/>
              </w:rPr>
              <w:t>1 0</w:t>
            </w:r>
            <w:r w:rsidR="000A7585" w:rsidRPr="00AE6EDB">
              <w:rPr>
                <w:b/>
                <w:szCs w:val="22"/>
              </w:rPr>
              <w:t>3</w:t>
            </w:r>
            <w:r>
              <w:rPr>
                <w:b/>
                <w:szCs w:val="22"/>
              </w:rPr>
              <w:t>2 1</w:t>
            </w:r>
            <w:r w:rsidR="000A7585" w:rsidRPr="00AE6EDB">
              <w:rPr>
                <w:b/>
                <w:szCs w:val="22"/>
              </w:rPr>
              <w:t>98</w:t>
            </w:r>
          </w:p>
        </w:tc>
        <w:tc>
          <w:tcPr>
            <w:tcW w:w="1559" w:type="dxa"/>
            <w:noWrap/>
            <w:vAlign w:val="bottom"/>
          </w:tcPr>
          <w:p w:rsidR="000A7585" w:rsidRPr="00AE6EDB" w:rsidRDefault="000A7585" w:rsidP="00DE0EEC">
            <w:pPr>
              <w:jc w:val="right"/>
              <w:rPr>
                <w:b/>
                <w:szCs w:val="22"/>
              </w:rPr>
            </w:pPr>
            <w:r w:rsidRPr="00AE6EDB">
              <w:rPr>
                <w:b/>
                <w:szCs w:val="22"/>
              </w:rPr>
              <w:t>1</w:t>
            </w:r>
            <w:r w:rsidR="00AC44CB">
              <w:rPr>
                <w:b/>
                <w:szCs w:val="22"/>
              </w:rPr>
              <w:t>8 3</w:t>
            </w:r>
            <w:r w:rsidRPr="00AE6EDB">
              <w:rPr>
                <w:b/>
                <w:szCs w:val="22"/>
              </w:rPr>
              <w:t>51</w:t>
            </w:r>
          </w:p>
        </w:tc>
        <w:tc>
          <w:tcPr>
            <w:tcW w:w="1276" w:type="dxa"/>
            <w:noWrap/>
            <w:vAlign w:val="bottom"/>
          </w:tcPr>
          <w:p w:rsidR="000A7585" w:rsidRPr="00AE6EDB" w:rsidRDefault="000A7585" w:rsidP="00DE0EEC">
            <w:pPr>
              <w:jc w:val="right"/>
              <w:rPr>
                <w:b/>
                <w:szCs w:val="22"/>
              </w:rPr>
            </w:pPr>
            <w:r w:rsidRPr="00AE6EDB">
              <w:rPr>
                <w:b/>
                <w:szCs w:val="22"/>
              </w:rPr>
              <w:t>24</w:t>
            </w:r>
            <w:r w:rsidR="00AC44CB">
              <w:rPr>
                <w:b/>
                <w:szCs w:val="22"/>
              </w:rPr>
              <w:t>6 1</w:t>
            </w:r>
            <w:r w:rsidRPr="00AE6EDB">
              <w:rPr>
                <w:b/>
                <w:szCs w:val="22"/>
              </w:rPr>
              <w:t>32</w:t>
            </w:r>
          </w:p>
        </w:tc>
        <w:tc>
          <w:tcPr>
            <w:tcW w:w="1082" w:type="dxa"/>
            <w:noWrap/>
            <w:vAlign w:val="bottom"/>
          </w:tcPr>
          <w:p w:rsidR="000A7585" w:rsidRPr="00AE6EDB" w:rsidRDefault="000A7585" w:rsidP="00DE0EEC">
            <w:pPr>
              <w:jc w:val="right"/>
              <w:rPr>
                <w:b/>
                <w:szCs w:val="22"/>
              </w:rPr>
            </w:pPr>
            <w:r w:rsidRPr="00AE6EDB">
              <w:rPr>
                <w:b/>
                <w:szCs w:val="22"/>
              </w:rPr>
              <w:t>3</w:t>
            </w:r>
            <w:r w:rsidR="0054295F">
              <w:rPr>
                <w:b/>
                <w:szCs w:val="22"/>
              </w:rPr>
              <w:t>1 9</w:t>
            </w:r>
            <w:r w:rsidRPr="00AE6EDB">
              <w:rPr>
                <w:b/>
                <w:szCs w:val="22"/>
              </w:rPr>
              <w:t>64</w:t>
            </w:r>
          </w:p>
        </w:tc>
        <w:tc>
          <w:tcPr>
            <w:tcW w:w="1265" w:type="dxa"/>
            <w:noWrap/>
            <w:vAlign w:val="bottom"/>
          </w:tcPr>
          <w:p w:rsidR="000A7585" w:rsidRPr="00AE6EDB" w:rsidRDefault="00AC44CB" w:rsidP="00DE0EEC">
            <w:pPr>
              <w:jc w:val="right"/>
              <w:rPr>
                <w:b/>
                <w:szCs w:val="22"/>
              </w:rPr>
            </w:pPr>
            <w:r>
              <w:rPr>
                <w:b/>
                <w:szCs w:val="22"/>
              </w:rPr>
              <w:t>5 5</w:t>
            </w:r>
            <w:r w:rsidR="000A7585" w:rsidRPr="00AE6EDB">
              <w:rPr>
                <w:b/>
                <w:szCs w:val="22"/>
              </w:rPr>
              <w:t>40</w:t>
            </w:r>
          </w:p>
        </w:tc>
        <w:tc>
          <w:tcPr>
            <w:tcW w:w="1196" w:type="dxa"/>
            <w:noWrap/>
            <w:vAlign w:val="bottom"/>
          </w:tcPr>
          <w:p w:rsidR="000A7585" w:rsidRPr="00AE6EDB" w:rsidRDefault="000A7585" w:rsidP="00DE0EEC">
            <w:pPr>
              <w:jc w:val="right"/>
              <w:rPr>
                <w:b/>
                <w:szCs w:val="22"/>
              </w:rPr>
            </w:pPr>
            <w:r w:rsidRPr="00AE6EDB">
              <w:rPr>
                <w:b/>
                <w:szCs w:val="22"/>
              </w:rPr>
              <w:t>2</w:t>
            </w:r>
            <w:r w:rsidR="0054295F">
              <w:rPr>
                <w:b/>
                <w:szCs w:val="22"/>
              </w:rPr>
              <w:t>3 3</w:t>
            </w:r>
            <w:r w:rsidRPr="00AE6EDB">
              <w:rPr>
                <w:b/>
                <w:szCs w:val="22"/>
              </w:rPr>
              <w:t>73</w:t>
            </w:r>
          </w:p>
        </w:tc>
      </w:tr>
    </w:tbl>
    <w:p w:rsidR="000A7585" w:rsidRPr="00AE6EDB" w:rsidRDefault="000A7585" w:rsidP="000A7585">
      <w:pPr>
        <w:pStyle w:val="zdroj"/>
        <w:spacing w:after="0"/>
        <w:ind w:firstLine="570"/>
      </w:pPr>
      <w:r w:rsidRPr="00AE6EDB">
        <w:t>Zdroj: Sociálna poisťovňa</w:t>
      </w:r>
    </w:p>
    <w:p w:rsidR="000A7585" w:rsidRPr="00AE6EDB" w:rsidRDefault="000A7585" w:rsidP="000A7585">
      <w:pPr>
        <w:pStyle w:val="zdroj"/>
        <w:spacing w:before="0"/>
        <w:ind w:firstLine="570"/>
      </w:pPr>
      <w:r w:rsidRPr="00AE6EDB">
        <w:t>* vrátane 1</w:t>
      </w:r>
      <w:r w:rsidR="0054295F">
        <w:t>1 6</w:t>
      </w:r>
      <w:r w:rsidRPr="00AE6EDB">
        <w:t xml:space="preserve">81 tzv. invalidných dôchodkov z mladosti </w:t>
      </w:r>
    </w:p>
    <w:p w:rsidR="000A7585" w:rsidRPr="00AE6EDB" w:rsidRDefault="000A7585" w:rsidP="000A7585">
      <w:pPr>
        <w:jc w:val="left"/>
        <w:rPr>
          <w:sz w:val="20"/>
          <w:highlight w:val="cyan"/>
        </w:rPr>
      </w:pPr>
      <w:r w:rsidRPr="00AE6EDB">
        <w:rPr>
          <w:sz w:val="20"/>
          <w:highlight w:val="cyan"/>
        </w:rPr>
        <w:br w:type="page"/>
      </w:r>
    </w:p>
    <w:p w:rsidR="000A7585" w:rsidRPr="00AE6EDB" w:rsidRDefault="000A7585" w:rsidP="000A7585">
      <w:pPr>
        <w:pStyle w:val="Nadpis7"/>
      </w:pPr>
      <w:bookmarkStart w:id="872" w:name="_Toc313879700"/>
      <w:r w:rsidRPr="00AE6EDB">
        <w:t>Tabuľka 5 Prehľad výdavkov na dôchodkové dávky k 31. 12. 201</w:t>
      </w:r>
      <w:bookmarkEnd w:id="872"/>
      <w:r w:rsidRPr="00AE6EDB">
        <w:t>5</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20"/>
        <w:gridCol w:w="1600"/>
        <w:gridCol w:w="1820"/>
        <w:gridCol w:w="1900"/>
      </w:tblGrid>
      <w:tr w:rsidR="000A7585" w:rsidRPr="00AE6EDB" w:rsidTr="00DE0EEC">
        <w:trPr>
          <w:trHeight w:val="660"/>
          <w:jc w:val="center"/>
        </w:trPr>
        <w:tc>
          <w:tcPr>
            <w:tcW w:w="4220" w:type="dxa"/>
            <w:shd w:val="clear" w:color="auto" w:fill="FF9999" w:themeFill="accent3" w:themeFillTint="66"/>
            <w:noWrap/>
            <w:vAlign w:val="center"/>
          </w:tcPr>
          <w:p w:rsidR="000A7585" w:rsidRPr="00AE6EDB" w:rsidRDefault="000A7585" w:rsidP="00DE0EEC">
            <w:r w:rsidRPr="00AE6EDB">
              <w:rPr>
                <w:szCs w:val="22"/>
              </w:rPr>
              <w:t> </w:t>
            </w:r>
          </w:p>
        </w:tc>
        <w:tc>
          <w:tcPr>
            <w:tcW w:w="1600" w:type="dxa"/>
            <w:shd w:val="clear" w:color="auto" w:fill="FF9999" w:themeFill="accent3" w:themeFillTint="66"/>
            <w:vAlign w:val="center"/>
          </w:tcPr>
          <w:p w:rsidR="000A7585" w:rsidRPr="00AE6EDB" w:rsidRDefault="000A7585" w:rsidP="00DE0EEC">
            <w:pPr>
              <w:jc w:val="center"/>
              <w:rPr>
                <w:b/>
                <w:bCs/>
              </w:rPr>
            </w:pPr>
            <w:r w:rsidRPr="00AE6EDB">
              <w:rPr>
                <w:b/>
                <w:bCs/>
                <w:szCs w:val="22"/>
              </w:rPr>
              <w:t>Základný fond starobného poistenia (ZFSP)</w:t>
            </w:r>
          </w:p>
          <w:p w:rsidR="000A7585" w:rsidRPr="00AE6EDB" w:rsidRDefault="000A7585" w:rsidP="00DE0EEC">
            <w:pPr>
              <w:jc w:val="center"/>
              <w:rPr>
                <w:b/>
                <w:bCs/>
              </w:rPr>
            </w:pPr>
            <w:r w:rsidRPr="00AE6EDB">
              <w:rPr>
                <w:b/>
                <w:bCs/>
                <w:szCs w:val="22"/>
              </w:rPr>
              <w:t>v tis. €</w:t>
            </w:r>
          </w:p>
        </w:tc>
        <w:tc>
          <w:tcPr>
            <w:tcW w:w="1820" w:type="dxa"/>
            <w:shd w:val="clear" w:color="auto" w:fill="FF9999" w:themeFill="accent3" w:themeFillTint="66"/>
            <w:vAlign w:val="center"/>
          </w:tcPr>
          <w:p w:rsidR="000A7585" w:rsidRPr="00AE6EDB" w:rsidRDefault="000A7585" w:rsidP="00DE0EEC">
            <w:pPr>
              <w:jc w:val="center"/>
              <w:rPr>
                <w:b/>
                <w:bCs/>
              </w:rPr>
            </w:pPr>
            <w:r w:rsidRPr="00AE6EDB">
              <w:rPr>
                <w:b/>
                <w:bCs/>
                <w:szCs w:val="22"/>
              </w:rPr>
              <w:t>Základný fond invalidného poistenia (ZFIP)</w:t>
            </w:r>
          </w:p>
          <w:p w:rsidR="000A7585" w:rsidRPr="00AE6EDB" w:rsidRDefault="000A7585" w:rsidP="00DE0EEC">
            <w:pPr>
              <w:jc w:val="center"/>
              <w:rPr>
                <w:b/>
                <w:bCs/>
              </w:rPr>
            </w:pPr>
            <w:r w:rsidRPr="00AE6EDB">
              <w:rPr>
                <w:b/>
                <w:bCs/>
                <w:szCs w:val="22"/>
              </w:rPr>
              <w:t>v tis. €</w:t>
            </w:r>
          </w:p>
        </w:tc>
        <w:tc>
          <w:tcPr>
            <w:tcW w:w="1900" w:type="dxa"/>
            <w:shd w:val="clear" w:color="auto" w:fill="FF9999" w:themeFill="accent3" w:themeFillTint="66"/>
            <w:noWrap/>
            <w:vAlign w:val="center"/>
          </w:tcPr>
          <w:p w:rsidR="000A7585" w:rsidRPr="00AE6EDB" w:rsidRDefault="000A7585" w:rsidP="00DE0EEC">
            <w:pPr>
              <w:jc w:val="center"/>
              <w:rPr>
                <w:b/>
                <w:bCs/>
              </w:rPr>
            </w:pPr>
            <w:r w:rsidRPr="00AE6EDB">
              <w:rPr>
                <w:b/>
                <w:bCs/>
                <w:szCs w:val="22"/>
              </w:rPr>
              <w:t>Spolu</w:t>
            </w:r>
          </w:p>
        </w:tc>
      </w:tr>
      <w:tr w:rsidR="000A7585" w:rsidRPr="00AE6EDB" w:rsidTr="00DE0EEC">
        <w:trPr>
          <w:trHeight w:val="270"/>
          <w:jc w:val="center"/>
        </w:trPr>
        <w:tc>
          <w:tcPr>
            <w:tcW w:w="4220" w:type="dxa"/>
            <w:noWrap/>
            <w:vAlign w:val="center"/>
          </w:tcPr>
          <w:p w:rsidR="000A7585" w:rsidRPr="00AE6EDB" w:rsidRDefault="000A7585" w:rsidP="00DE0EEC">
            <w:pPr>
              <w:rPr>
                <w:b/>
                <w:bCs/>
                <w:i/>
                <w:iCs/>
              </w:rPr>
            </w:pPr>
            <w:r w:rsidRPr="00AE6EDB">
              <w:rPr>
                <w:b/>
                <w:bCs/>
                <w:i/>
                <w:iCs/>
                <w:szCs w:val="22"/>
              </w:rPr>
              <w:t>Druh dôchodku</w:t>
            </w:r>
          </w:p>
        </w:tc>
        <w:tc>
          <w:tcPr>
            <w:tcW w:w="1600" w:type="dxa"/>
            <w:noWrap/>
            <w:vAlign w:val="center"/>
          </w:tcPr>
          <w:p w:rsidR="000A7585" w:rsidRPr="00AE6EDB" w:rsidRDefault="000A7585" w:rsidP="00DE0EEC">
            <w:pPr>
              <w:jc w:val="center"/>
            </w:pPr>
            <w:r w:rsidRPr="00AE6EDB">
              <w:rPr>
                <w:szCs w:val="22"/>
              </w:rPr>
              <w:t>Výdavky</w:t>
            </w:r>
          </w:p>
        </w:tc>
        <w:tc>
          <w:tcPr>
            <w:tcW w:w="1820" w:type="dxa"/>
            <w:noWrap/>
            <w:vAlign w:val="center"/>
          </w:tcPr>
          <w:p w:rsidR="000A7585" w:rsidRPr="00AE6EDB" w:rsidRDefault="000A7585" w:rsidP="00DE0EEC">
            <w:pPr>
              <w:jc w:val="center"/>
            </w:pPr>
            <w:r w:rsidRPr="00AE6EDB">
              <w:rPr>
                <w:szCs w:val="22"/>
              </w:rPr>
              <w:t>Výdavky</w:t>
            </w:r>
          </w:p>
        </w:tc>
        <w:tc>
          <w:tcPr>
            <w:tcW w:w="1900" w:type="dxa"/>
            <w:noWrap/>
            <w:vAlign w:val="center"/>
          </w:tcPr>
          <w:p w:rsidR="000A7585" w:rsidRPr="00AE6EDB" w:rsidRDefault="000A7585" w:rsidP="00DE0EEC">
            <w:pPr>
              <w:jc w:val="center"/>
            </w:pPr>
            <w:r w:rsidRPr="00AE6EDB">
              <w:rPr>
                <w:szCs w:val="22"/>
              </w:rPr>
              <w:t>Výdavky</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Starobný</w:t>
            </w:r>
          </w:p>
        </w:tc>
        <w:tc>
          <w:tcPr>
            <w:tcW w:w="1600" w:type="dxa"/>
            <w:noWrap/>
            <w:vAlign w:val="center"/>
          </w:tcPr>
          <w:p w:rsidR="000A7585" w:rsidRPr="00AE6EDB" w:rsidRDefault="0054295F" w:rsidP="00DE0EEC">
            <w:pPr>
              <w:jc w:val="right"/>
            </w:pPr>
            <w:r>
              <w:t>4 8</w:t>
            </w:r>
            <w:r w:rsidR="000A7585" w:rsidRPr="00AE6EDB">
              <w:t>8</w:t>
            </w:r>
            <w:r>
              <w:t>4 5</w:t>
            </w:r>
            <w:r w:rsidR="000A7585" w:rsidRPr="00AE6EDB">
              <w:t>27</w:t>
            </w:r>
          </w:p>
        </w:tc>
        <w:tc>
          <w:tcPr>
            <w:tcW w:w="1820" w:type="dxa"/>
            <w:noWrap/>
            <w:vAlign w:val="center"/>
          </w:tcPr>
          <w:p w:rsidR="000A7585" w:rsidRPr="00AE6EDB" w:rsidRDefault="000A7585" w:rsidP="00DE0EEC">
            <w:pPr>
              <w:jc w:val="right"/>
            </w:pPr>
            <w:r w:rsidRPr="00AE6EDB">
              <w:t>x</w:t>
            </w:r>
          </w:p>
        </w:tc>
        <w:tc>
          <w:tcPr>
            <w:tcW w:w="1900" w:type="dxa"/>
            <w:noWrap/>
            <w:vAlign w:val="center"/>
          </w:tcPr>
          <w:p w:rsidR="000A7585" w:rsidRPr="00AE6EDB" w:rsidRDefault="0054295F" w:rsidP="00DE0EEC">
            <w:pPr>
              <w:jc w:val="right"/>
            </w:pPr>
            <w:r>
              <w:t>4 8</w:t>
            </w:r>
            <w:r w:rsidR="000A7585" w:rsidRPr="00AE6EDB">
              <w:t>8</w:t>
            </w:r>
            <w:r>
              <w:t>4 5</w:t>
            </w:r>
            <w:r w:rsidR="000A7585" w:rsidRPr="00AE6EDB">
              <w:t>27</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Predčasný starobný</w:t>
            </w:r>
          </w:p>
        </w:tc>
        <w:tc>
          <w:tcPr>
            <w:tcW w:w="1600" w:type="dxa"/>
            <w:noWrap/>
            <w:vAlign w:val="center"/>
          </w:tcPr>
          <w:p w:rsidR="000A7585" w:rsidRPr="00AE6EDB" w:rsidRDefault="000A7585" w:rsidP="00DE0EEC">
            <w:pPr>
              <w:jc w:val="right"/>
            </w:pPr>
            <w:r w:rsidRPr="00AE6EDB">
              <w:t>10</w:t>
            </w:r>
            <w:r w:rsidR="0054295F">
              <w:t>1 8</w:t>
            </w:r>
            <w:r w:rsidRPr="00AE6EDB">
              <w:t>85</w:t>
            </w:r>
          </w:p>
        </w:tc>
        <w:tc>
          <w:tcPr>
            <w:tcW w:w="1820" w:type="dxa"/>
            <w:noWrap/>
            <w:vAlign w:val="center"/>
          </w:tcPr>
          <w:p w:rsidR="000A7585" w:rsidRPr="00AE6EDB" w:rsidRDefault="000A7585" w:rsidP="00DE0EEC">
            <w:pPr>
              <w:jc w:val="right"/>
            </w:pPr>
            <w:r w:rsidRPr="00AE6EDB">
              <w:t>x</w:t>
            </w:r>
          </w:p>
        </w:tc>
        <w:tc>
          <w:tcPr>
            <w:tcW w:w="1900" w:type="dxa"/>
            <w:noWrap/>
            <w:vAlign w:val="center"/>
          </w:tcPr>
          <w:p w:rsidR="000A7585" w:rsidRPr="00AE6EDB" w:rsidRDefault="000A7585" w:rsidP="00DE0EEC">
            <w:pPr>
              <w:jc w:val="right"/>
            </w:pPr>
            <w:r w:rsidRPr="00AE6EDB">
              <w:t>10</w:t>
            </w:r>
            <w:r w:rsidR="0054295F">
              <w:t>1 8</w:t>
            </w:r>
            <w:r w:rsidRPr="00AE6EDB">
              <w:t>85</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Invalidný</w:t>
            </w:r>
          </w:p>
        </w:tc>
        <w:tc>
          <w:tcPr>
            <w:tcW w:w="1600" w:type="dxa"/>
            <w:noWrap/>
            <w:vAlign w:val="center"/>
          </w:tcPr>
          <w:p w:rsidR="000A7585" w:rsidRPr="00AE6EDB" w:rsidRDefault="000A7585" w:rsidP="00DE0EEC">
            <w:pPr>
              <w:jc w:val="right"/>
            </w:pPr>
            <w:r w:rsidRPr="00AE6EDB">
              <w:t>x</w:t>
            </w:r>
          </w:p>
        </w:tc>
        <w:tc>
          <w:tcPr>
            <w:tcW w:w="1820" w:type="dxa"/>
            <w:noWrap/>
            <w:vAlign w:val="center"/>
          </w:tcPr>
          <w:p w:rsidR="000A7585" w:rsidRPr="00AE6EDB" w:rsidRDefault="000A7585" w:rsidP="00DE0EEC">
            <w:pPr>
              <w:jc w:val="right"/>
            </w:pPr>
            <w:r w:rsidRPr="00AE6EDB">
              <w:t>76</w:t>
            </w:r>
            <w:r w:rsidR="0054295F">
              <w:t>1 4</w:t>
            </w:r>
            <w:r w:rsidRPr="00AE6EDB">
              <w:t>00</w:t>
            </w:r>
          </w:p>
        </w:tc>
        <w:tc>
          <w:tcPr>
            <w:tcW w:w="1900" w:type="dxa"/>
            <w:noWrap/>
            <w:vAlign w:val="center"/>
          </w:tcPr>
          <w:p w:rsidR="000A7585" w:rsidRPr="00AE6EDB" w:rsidRDefault="000A7585" w:rsidP="00DE0EEC">
            <w:pPr>
              <w:jc w:val="right"/>
            </w:pPr>
            <w:r w:rsidRPr="00AE6EDB">
              <w:t>76</w:t>
            </w:r>
            <w:r w:rsidR="0054295F">
              <w:t>1 4</w:t>
            </w:r>
            <w:r w:rsidRPr="00AE6EDB">
              <w:t>00</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Vdovský</w:t>
            </w:r>
          </w:p>
        </w:tc>
        <w:tc>
          <w:tcPr>
            <w:tcW w:w="1600" w:type="dxa"/>
            <w:noWrap/>
            <w:vAlign w:val="center"/>
          </w:tcPr>
          <w:p w:rsidR="000A7585" w:rsidRPr="00AE6EDB" w:rsidRDefault="000A7585" w:rsidP="00DE0EEC">
            <w:pPr>
              <w:jc w:val="right"/>
            </w:pPr>
            <w:r w:rsidRPr="00AE6EDB">
              <w:t>46</w:t>
            </w:r>
            <w:r w:rsidR="00AC44CB">
              <w:t>9 3</w:t>
            </w:r>
            <w:r w:rsidRPr="00AE6EDB">
              <w:t>15</w:t>
            </w:r>
          </w:p>
        </w:tc>
        <w:tc>
          <w:tcPr>
            <w:tcW w:w="1820" w:type="dxa"/>
            <w:noWrap/>
            <w:vAlign w:val="center"/>
          </w:tcPr>
          <w:p w:rsidR="000A7585" w:rsidRPr="00AE6EDB" w:rsidRDefault="000A7585" w:rsidP="00DE0EEC">
            <w:pPr>
              <w:jc w:val="right"/>
            </w:pPr>
            <w:r w:rsidRPr="00AE6EDB">
              <w:t>10</w:t>
            </w:r>
            <w:r w:rsidR="0054295F">
              <w:t>1 3</w:t>
            </w:r>
            <w:r w:rsidRPr="00AE6EDB">
              <w:t>54</w:t>
            </w:r>
          </w:p>
        </w:tc>
        <w:tc>
          <w:tcPr>
            <w:tcW w:w="1900" w:type="dxa"/>
            <w:noWrap/>
            <w:vAlign w:val="center"/>
          </w:tcPr>
          <w:p w:rsidR="000A7585" w:rsidRPr="00AE6EDB" w:rsidRDefault="000A7585" w:rsidP="00DE0EEC">
            <w:pPr>
              <w:jc w:val="right"/>
            </w:pPr>
            <w:r w:rsidRPr="00AE6EDB">
              <w:t>57</w:t>
            </w:r>
            <w:r w:rsidR="0054295F">
              <w:t>0 6</w:t>
            </w:r>
            <w:r w:rsidRPr="00AE6EDB">
              <w:t>69</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Vdovecký </w:t>
            </w:r>
          </w:p>
        </w:tc>
        <w:tc>
          <w:tcPr>
            <w:tcW w:w="1600" w:type="dxa"/>
            <w:noWrap/>
            <w:vAlign w:val="center"/>
          </w:tcPr>
          <w:p w:rsidR="000A7585" w:rsidRPr="00AE6EDB" w:rsidRDefault="000A7585" w:rsidP="00DE0EEC">
            <w:pPr>
              <w:jc w:val="right"/>
            </w:pPr>
            <w:r w:rsidRPr="00AE6EDB">
              <w:t>4</w:t>
            </w:r>
            <w:r w:rsidR="0054295F">
              <w:t>3 2</w:t>
            </w:r>
            <w:r w:rsidRPr="00AE6EDB">
              <w:t>52</w:t>
            </w:r>
          </w:p>
        </w:tc>
        <w:tc>
          <w:tcPr>
            <w:tcW w:w="1820" w:type="dxa"/>
            <w:noWrap/>
            <w:vAlign w:val="center"/>
          </w:tcPr>
          <w:p w:rsidR="000A7585" w:rsidRPr="00AE6EDB" w:rsidRDefault="000A7585" w:rsidP="00DE0EEC">
            <w:pPr>
              <w:jc w:val="right"/>
            </w:pPr>
            <w:r w:rsidRPr="00AE6EDB">
              <w:t>1</w:t>
            </w:r>
            <w:r w:rsidR="0054295F">
              <w:t>3 1</w:t>
            </w:r>
            <w:r w:rsidRPr="00AE6EDB">
              <w:t>00</w:t>
            </w:r>
          </w:p>
        </w:tc>
        <w:tc>
          <w:tcPr>
            <w:tcW w:w="1900" w:type="dxa"/>
            <w:noWrap/>
            <w:vAlign w:val="center"/>
          </w:tcPr>
          <w:p w:rsidR="000A7585" w:rsidRPr="00AE6EDB" w:rsidRDefault="000A7585" w:rsidP="00DE0EEC">
            <w:pPr>
              <w:jc w:val="right"/>
            </w:pPr>
            <w:r w:rsidRPr="00AE6EDB">
              <w:t>5</w:t>
            </w:r>
            <w:r w:rsidR="00AC44CB">
              <w:t>6 3</w:t>
            </w:r>
            <w:r w:rsidRPr="00AE6EDB">
              <w:t>52</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Sirotský</w:t>
            </w:r>
          </w:p>
        </w:tc>
        <w:tc>
          <w:tcPr>
            <w:tcW w:w="1600" w:type="dxa"/>
            <w:noWrap/>
            <w:vAlign w:val="center"/>
          </w:tcPr>
          <w:p w:rsidR="000A7585" w:rsidRPr="00AE6EDB" w:rsidRDefault="0054295F" w:rsidP="00DE0EEC">
            <w:pPr>
              <w:jc w:val="right"/>
            </w:pPr>
            <w:r>
              <w:t>2 0</w:t>
            </w:r>
            <w:r w:rsidR="000A7585" w:rsidRPr="00AE6EDB">
              <w:t>63</w:t>
            </w:r>
          </w:p>
        </w:tc>
        <w:tc>
          <w:tcPr>
            <w:tcW w:w="1820" w:type="dxa"/>
            <w:noWrap/>
            <w:vAlign w:val="center"/>
          </w:tcPr>
          <w:p w:rsidR="000A7585" w:rsidRPr="00AE6EDB" w:rsidRDefault="000A7585" w:rsidP="00DE0EEC">
            <w:pPr>
              <w:jc w:val="right"/>
            </w:pPr>
            <w:r w:rsidRPr="00AE6EDB">
              <w:t>3</w:t>
            </w:r>
            <w:r w:rsidR="00AC44CB">
              <w:t>7 3</w:t>
            </w:r>
            <w:r w:rsidRPr="00AE6EDB">
              <w:t>07</w:t>
            </w:r>
          </w:p>
        </w:tc>
        <w:tc>
          <w:tcPr>
            <w:tcW w:w="1900" w:type="dxa"/>
            <w:noWrap/>
            <w:vAlign w:val="center"/>
          </w:tcPr>
          <w:p w:rsidR="000A7585" w:rsidRPr="00AE6EDB" w:rsidRDefault="000A7585" w:rsidP="00DE0EEC">
            <w:pPr>
              <w:jc w:val="right"/>
            </w:pPr>
            <w:r w:rsidRPr="00AE6EDB">
              <w:t>3</w:t>
            </w:r>
            <w:r w:rsidR="00AC44CB">
              <w:t>9 3</w:t>
            </w:r>
            <w:r w:rsidRPr="00AE6EDB">
              <w:t>70</w:t>
            </w:r>
          </w:p>
        </w:tc>
      </w:tr>
      <w:tr w:rsidR="000A7585" w:rsidRPr="00AE6EDB" w:rsidTr="00DE0EEC">
        <w:trPr>
          <w:trHeight w:val="270"/>
          <w:jc w:val="center"/>
        </w:trPr>
        <w:tc>
          <w:tcPr>
            <w:tcW w:w="4220" w:type="dxa"/>
            <w:noWrap/>
            <w:vAlign w:val="center"/>
          </w:tcPr>
          <w:p w:rsidR="000A7585" w:rsidRPr="00AE6EDB" w:rsidRDefault="000A7585" w:rsidP="00DE0EEC">
            <w:pPr>
              <w:rPr>
                <w:b/>
                <w:bCs/>
              </w:rPr>
            </w:pPr>
            <w:r w:rsidRPr="00AE6EDB">
              <w:rPr>
                <w:b/>
                <w:bCs/>
                <w:szCs w:val="22"/>
              </w:rPr>
              <w:t>Spolu</w:t>
            </w:r>
          </w:p>
        </w:tc>
        <w:tc>
          <w:tcPr>
            <w:tcW w:w="1600" w:type="dxa"/>
            <w:noWrap/>
            <w:vAlign w:val="center"/>
          </w:tcPr>
          <w:p w:rsidR="000A7585" w:rsidRPr="00AE6EDB" w:rsidRDefault="00AC44CB" w:rsidP="00DE0EEC">
            <w:pPr>
              <w:jc w:val="right"/>
              <w:rPr>
                <w:b/>
              </w:rPr>
            </w:pPr>
            <w:r>
              <w:rPr>
                <w:b/>
              </w:rPr>
              <w:t>5 5</w:t>
            </w:r>
            <w:r w:rsidR="000A7585" w:rsidRPr="00AE6EDB">
              <w:rPr>
                <w:b/>
              </w:rPr>
              <w:t>0</w:t>
            </w:r>
            <w:r w:rsidR="0054295F">
              <w:rPr>
                <w:b/>
              </w:rPr>
              <w:t>1 0</w:t>
            </w:r>
            <w:r w:rsidR="000A7585" w:rsidRPr="00AE6EDB">
              <w:rPr>
                <w:b/>
              </w:rPr>
              <w:t>42</w:t>
            </w:r>
          </w:p>
        </w:tc>
        <w:tc>
          <w:tcPr>
            <w:tcW w:w="1820" w:type="dxa"/>
            <w:noWrap/>
            <w:vAlign w:val="center"/>
          </w:tcPr>
          <w:p w:rsidR="000A7585" w:rsidRPr="00AE6EDB" w:rsidRDefault="000A7585" w:rsidP="00DE0EEC">
            <w:pPr>
              <w:jc w:val="right"/>
              <w:rPr>
                <w:b/>
              </w:rPr>
            </w:pPr>
            <w:r w:rsidRPr="00AE6EDB">
              <w:rPr>
                <w:b/>
              </w:rPr>
              <w:t>91</w:t>
            </w:r>
            <w:r w:rsidR="0054295F">
              <w:rPr>
                <w:b/>
              </w:rPr>
              <w:t>3 1</w:t>
            </w:r>
            <w:r w:rsidRPr="00AE6EDB">
              <w:rPr>
                <w:b/>
              </w:rPr>
              <w:t>61</w:t>
            </w:r>
          </w:p>
        </w:tc>
        <w:tc>
          <w:tcPr>
            <w:tcW w:w="1900" w:type="dxa"/>
            <w:noWrap/>
            <w:vAlign w:val="center"/>
          </w:tcPr>
          <w:p w:rsidR="000A7585" w:rsidRPr="00AE6EDB" w:rsidRDefault="00AC44CB" w:rsidP="00DE0EEC">
            <w:pPr>
              <w:jc w:val="right"/>
              <w:rPr>
                <w:b/>
              </w:rPr>
            </w:pPr>
            <w:r>
              <w:rPr>
                <w:b/>
              </w:rPr>
              <w:t>6 4</w:t>
            </w:r>
            <w:r w:rsidR="000A7585" w:rsidRPr="00AE6EDB">
              <w:rPr>
                <w:b/>
              </w:rPr>
              <w:t>1</w:t>
            </w:r>
            <w:r w:rsidR="0054295F">
              <w:rPr>
                <w:b/>
              </w:rPr>
              <w:t>4 2</w:t>
            </w:r>
            <w:r w:rsidR="000A7585" w:rsidRPr="00AE6EDB">
              <w:rPr>
                <w:b/>
              </w:rPr>
              <w:t>03</w:t>
            </w:r>
          </w:p>
        </w:tc>
      </w:tr>
      <w:tr w:rsidR="000A7585" w:rsidRPr="00AE6EDB" w:rsidTr="00DE0EEC">
        <w:trPr>
          <w:trHeight w:val="270"/>
          <w:jc w:val="center"/>
        </w:trPr>
        <w:tc>
          <w:tcPr>
            <w:tcW w:w="4220" w:type="dxa"/>
            <w:noWrap/>
            <w:vAlign w:val="center"/>
          </w:tcPr>
          <w:p w:rsidR="000A7585" w:rsidRPr="00AE6EDB" w:rsidRDefault="000A7585" w:rsidP="008B41EC">
            <w:r w:rsidRPr="00AE6EDB">
              <w:rPr>
                <w:szCs w:val="22"/>
              </w:rPr>
              <w:t xml:space="preserve">zúčtovanie dávok §112,ods. </w:t>
            </w:r>
            <w:r w:rsidR="00AC44CB">
              <w:rPr>
                <w:szCs w:val="22"/>
              </w:rPr>
              <w:t>9 4</w:t>
            </w:r>
            <w:r w:rsidRPr="00AE6EDB">
              <w:rPr>
                <w:szCs w:val="22"/>
              </w:rPr>
              <w:t>61/2003 Z. z.</w:t>
            </w:r>
          </w:p>
        </w:tc>
        <w:tc>
          <w:tcPr>
            <w:tcW w:w="1600" w:type="dxa"/>
            <w:noWrap/>
            <w:vAlign w:val="center"/>
          </w:tcPr>
          <w:p w:rsidR="000A7585" w:rsidRPr="00AE6EDB" w:rsidRDefault="000A7585" w:rsidP="00DE0EEC">
            <w:pPr>
              <w:jc w:val="right"/>
            </w:pPr>
            <w:r w:rsidRPr="00AE6EDB">
              <w:t>99</w:t>
            </w:r>
          </w:p>
        </w:tc>
        <w:tc>
          <w:tcPr>
            <w:tcW w:w="1820" w:type="dxa"/>
            <w:noWrap/>
            <w:vAlign w:val="center"/>
          </w:tcPr>
          <w:p w:rsidR="000A7585" w:rsidRPr="00AE6EDB" w:rsidRDefault="000A7585" w:rsidP="00DE0EEC">
            <w:pPr>
              <w:jc w:val="right"/>
            </w:pPr>
            <w:r w:rsidRPr="00AE6EDB">
              <w:t>179</w:t>
            </w:r>
          </w:p>
        </w:tc>
        <w:tc>
          <w:tcPr>
            <w:tcW w:w="1900" w:type="dxa"/>
            <w:noWrap/>
            <w:vAlign w:val="center"/>
          </w:tcPr>
          <w:p w:rsidR="000A7585" w:rsidRPr="00AE6EDB" w:rsidRDefault="000A7585" w:rsidP="00DE0EEC">
            <w:pPr>
              <w:jc w:val="right"/>
            </w:pPr>
            <w:r w:rsidRPr="00AE6EDB">
              <w:t>278</w:t>
            </w:r>
          </w:p>
        </w:tc>
      </w:tr>
      <w:tr w:rsidR="000A7585" w:rsidRPr="00AE6EDB" w:rsidTr="00DE0EEC">
        <w:trPr>
          <w:trHeight w:val="270"/>
          <w:jc w:val="center"/>
        </w:trPr>
        <w:tc>
          <w:tcPr>
            <w:tcW w:w="4220" w:type="dxa"/>
            <w:noWrap/>
            <w:vAlign w:val="center"/>
          </w:tcPr>
          <w:p w:rsidR="000A7585" w:rsidRPr="00AE6EDB" w:rsidRDefault="000A7585" w:rsidP="00DE0EEC">
            <w:pPr>
              <w:rPr>
                <w:b/>
                <w:bCs/>
              </w:rPr>
            </w:pPr>
            <w:r w:rsidRPr="00AE6EDB">
              <w:rPr>
                <w:b/>
                <w:bCs/>
                <w:szCs w:val="22"/>
              </w:rPr>
              <w:t>úhrn</w:t>
            </w:r>
          </w:p>
        </w:tc>
        <w:tc>
          <w:tcPr>
            <w:tcW w:w="1600" w:type="dxa"/>
            <w:noWrap/>
            <w:vAlign w:val="center"/>
          </w:tcPr>
          <w:p w:rsidR="000A7585" w:rsidRPr="00AE6EDB" w:rsidRDefault="00AC44CB" w:rsidP="00DE0EEC">
            <w:pPr>
              <w:jc w:val="right"/>
              <w:rPr>
                <w:b/>
              </w:rPr>
            </w:pPr>
            <w:r>
              <w:rPr>
                <w:b/>
              </w:rPr>
              <w:t>5 5</w:t>
            </w:r>
            <w:r w:rsidR="000A7585" w:rsidRPr="00AE6EDB">
              <w:rPr>
                <w:b/>
              </w:rPr>
              <w:t>0</w:t>
            </w:r>
            <w:r w:rsidR="0054295F">
              <w:rPr>
                <w:b/>
              </w:rPr>
              <w:t>1 1</w:t>
            </w:r>
            <w:r w:rsidR="000A7585" w:rsidRPr="00AE6EDB">
              <w:rPr>
                <w:b/>
              </w:rPr>
              <w:t>41</w:t>
            </w:r>
          </w:p>
        </w:tc>
        <w:tc>
          <w:tcPr>
            <w:tcW w:w="1820" w:type="dxa"/>
            <w:noWrap/>
            <w:vAlign w:val="center"/>
          </w:tcPr>
          <w:p w:rsidR="000A7585" w:rsidRPr="00AE6EDB" w:rsidRDefault="000A7585" w:rsidP="00DE0EEC">
            <w:pPr>
              <w:jc w:val="right"/>
              <w:rPr>
                <w:b/>
              </w:rPr>
            </w:pPr>
            <w:r w:rsidRPr="00AE6EDB">
              <w:rPr>
                <w:b/>
              </w:rPr>
              <w:t>91</w:t>
            </w:r>
            <w:r w:rsidR="0054295F">
              <w:rPr>
                <w:b/>
              </w:rPr>
              <w:t>3 3</w:t>
            </w:r>
            <w:r w:rsidRPr="00AE6EDB">
              <w:rPr>
                <w:b/>
              </w:rPr>
              <w:t>40</w:t>
            </w:r>
          </w:p>
        </w:tc>
        <w:tc>
          <w:tcPr>
            <w:tcW w:w="1900" w:type="dxa"/>
            <w:noWrap/>
            <w:vAlign w:val="center"/>
          </w:tcPr>
          <w:p w:rsidR="000A7585" w:rsidRPr="00AE6EDB" w:rsidRDefault="00AC44CB" w:rsidP="00DE0EEC">
            <w:pPr>
              <w:jc w:val="right"/>
              <w:rPr>
                <w:b/>
              </w:rPr>
            </w:pPr>
            <w:r>
              <w:rPr>
                <w:b/>
              </w:rPr>
              <w:t>6 4</w:t>
            </w:r>
            <w:r w:rsidR="000A7585" w:rsidRPr="00AE6EDB">
              <w:rPr>
                <w:b/>
              </w:rPr>
              <w:t>1</w:t>
            </w:r>
            <w:r w:rsidR="0054295F">
              <w:rPr>
                <w:b/>
              </w:rPr>
              <w:t>4 4</w:t>
            </w:r>
            <w:r w:rsidR="000A7585" w:rsidRPr="00AE6EDB">
              <w:rPr>
                <w:b/>
              </w:rPr>
              <w:t>81</w:t>
            </w:r>
          </w:p>
        </w:tc>
      </w:tr>
      <w:tr w:rsidR="000A7585" w:rsidRPr="00AE6EDB" w:rsidTr="00DE0EEC">
        <w:trPr>
          <w:trHeight w:val="270"/>
          <w:jc w:val="center"/>
        </w:trPr>
        <w:tc>
          <w:tcPr>
            <w:tcW w:w="4220" w:type="dxa"/>
            <w:noWrap/>
            <w:vAlign w:val="center"/>
          </w:tcPr>
          <w:p w:rsidR="000A7585" w:rsidRPr="00AE6EDB" w:rsidRDefault="000A7585" w:rsidP="00DE0EEC">
            <w:pPr>
              <w:rPr>
                <w:b/>
                <w:bCs/>
                <w:i/>
                <w:iCs/>
              </w:rPr>
            </w:pPr>
            <w:r w:rsidRPr="00AE6EDB">
              <w:rPr>
                <w:b/>
                <w:bCs/>
                <w:i/>
                <w:iCs/>
                <w:szCs w:val="22"/>
              </w:rPr>
              <w:t>Štátom hradené dávky</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spacing w:line="276" w:lineRule="auto"/>
              <w:ind w:right="129"/>
              <w:jc w:val="right"/>
              <w:rPr>
                <w:rFonts w:ascii="Calibri" w:eastAsiaTheme="minorHAnsi" w:hAnsi="Calibri"/>
                <w:b/>
                <w:bCs/>
              </w:rPr>
            </w:pP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dôchodok manželky</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179</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sociálny dôchodok</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AC44CB" w:rsidP="00DE0EEC">
            <w:pPr>
              <w:jc w:val="right"/>
            </w:pPr>
            <w:r>
              <w:t>5 2</w:t>
            </w:r>
            <w:r w:rsidR="000A7585" w:rsidRPr="00AE6EDB">
              <w:t>69</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zvýšenie pre bezvládnosť</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54295F" w:rsidP="00DE0EEC">
            <w:pPr>
              <w:jc w:val="right"/>
            </w:pPr>
            <w:r>
              <w:t>4 1</w:t>
            </w:r>
            <w:r w:rsidR="000A7585" w:rsidRPr="00AE6EDB">
              <w:t>06</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zvýšenie z dôvodu jediného zdroja príjmu</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41</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zvýšenie dôchodku za odboj, rehabilitáciu a deportáciu</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AC44CB" w:rsidP="00DE0EEC">
            <w:pPr>
              <w:jc w:val="right"/>
            </w:pPr>
            <w:r>
              <w:t>5 6</w:t>
            </w:r>
            <w:r w:rsidR="000A7585" w:rsidRPr="00AE6EDB">
              <w:t>01</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príplatok k dôchodku politických väzňov </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54295F" w:rsidP="00DE0EEC">
            <w:pPr>
              <w:jc w:val="right"/>
            </w:pPr>
            <w:r>
              <w:t>2 3</w:t>
            </w:r>
            <w:r w:rsidR="000A7585" w:rsidRPr="00AE6EDB">
              <w:t>46</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príspevok k dôchodku účasti národného boja za oslobodenie a vdovám a vdovcom po týchto osobách</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54295F" w:rsidP="00DE0EEC">
            <w:pPr>
              <w:jc w:val="right"/>
            </w:pPr>
            <w:r>
              <w:t>1 1</w:t>
            </w:r>
            <w:r w:rsidR="000A7585" w:rsidRPr="00AE6EDB">
              <w:t>39</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jednorazový finančný príspevok politickým väzňom podľa zákona č.462/2002 Z. z.</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1</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príplatok za štátnu službu</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368</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invalidný dôchodok z mladosti</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3</w:t>
            </w:r>
            <w:r w:rsidR="00AC44CB">
              <w:t>6 0</w:t>
            </w:r>
            <w:r w:rsidRPr="00AE6EDB">
              <w:t>95</w:t>
            </w:r>
          </w:p>
        </w:tc>
      </w:tr>
      <w:tr w:rsidR="000A7585" w:rsidRPr="00AE6EDB" w:rsidTr="00DE0EEC">
        <w:trPr>
          <w:trHeight w:val="270"/>
          <w:jc w:val="center"/>
        </w:trPr>
        <w:tc>
          <w:tcPr>
            <w:tcW w:w="4220" w:type="dxa"/>
            <w:noWrap/>
            <w:vAlign w:val="center"/>
          </w:tcPr>
          <w:p w:rsidR="000A7585" w:rsidRPr="00AE6EDB" w:rsidRDefault="000A7585" w:rsidP="00DE0EEC">
            <w:pPr>
              <w:rPr>
                <w:szCs w:val="22"/>
              </w:rPr>
            </w:pPr>
            <w:r w:rsidRPr="00AE6EDB">
              <w:rPr>
                <w:szCs w:val="22"/>
              </w:rPr>
              <w:t>zvýšenie sumy starobného dôchodku a sumy invalidného dôchodku vyplácaného po dovŕšení dôchodkového veku na sumu minimálneho dôchodku a úhrada výdavkov spojených s konaním o nároku</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AC44CB" w:rsidP="00DE0EEC">
            <w:pPr>
              <w:jc w:val="right"/>
            </w:pPr>
            <w:r>
              <w:t>8 1</w:t>
            </w:r>
            <w:r w:rsidR="000A7585" w:rsidRPr="00AE6EDB">
              <w:t>62</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vianočný príspevok – </w:t>
            </w:r>
            <w:proofErr w:type="spellStart"/>
            <w:r w:rsidRPr="00AE6EDB">
              <w:rPr>
                <w:szCs w:val="22"/>
              </w:rPr>
              <w:t>dopl</w:t>
            </w:r>
            <w:proofErr w:type="spellEnd"/>
            <w:r w:rsidRPr="00AE6EDB">
              <w:rPr>
                <w:szCs w:val="22"/>
              </w:rPr>
              <w:t xml:space="preserve">. rok 2009 </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1</w:t>
            </w:r>
          </w:p>
        </w:tc>
      </w:tr>
      <w:tr w:rsidR="000A7585" w:rsidRPr="00AE6EDB" w:rsidTr="00DE0EEC">
        <w:trPr>
          <w:trHeight w:val="270"/>
          <w:jc w:val="center"/>
        </w:trPr>
        <w:tc>
          <w:tcPr>
            <w:tcW w:w="4220" w:type="dxa"/>
            <w:noWrap/>
            <w:vAlign w:val="center"/>
          </w:tcPr>
          <w:p w:rsidR="000A7585" w:rsidRPr="00AE6EDB" w:rsidRDefault="000A7585" w:rsidP="00DE0EEC">
            <w:pPr>
              <w:rPr>
                <w:bCs/>
              </w:rPr>
            </w:pPr>
            <w:r w:rsidRPr="00AE6EDB">
              <w:rPr>
                <w:szCs w:val="22"/>
              </w:rPr>
              <w:t xml:space="preserve">vianočný príspevok – </w:t>
            </w:r>
            <w:proofErr w:type="spellStart"/>
            <w:r w:rsidRPr="00AE6EDB">
              <w:rPr>
                <w:szCs w:val="22"/>
              </w:rPr>
              <w:t>dopl</w:t>
            </w:r>
            <w:proofErr w:type="spellEnd"/>
            <w:r w:rsidRPr="00AE6EDB">
              <w:rPr>
                <w:szCs w:val="22"/>
              </w:rPr>
              <w:t xml:space="preserve">. rok 2010 </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4</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vianočný príspevok – </w:t>
            </w:r>
            <w:proofErr w:type="spellStart"/>
            <w:r w:rsidRPr="00AE6EDB">
              <w:rPr>
                <w:szCs w:val="22"/>
              </w:rPr>
              <w:t>dopl</w:t>
            </w:r>
            <w:proofErr w:type="spellEnd"/>
            <w:r w:rsidRPr="00AE6EDB">
              <w:rPr>
                <w:szCs w:val="22"/>
              </w:rPr>
              <w:t xml:space="preserve">. rok 2011 </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34</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vianočný príspevok – </w:t>
            </w:r>
            <w:proofErr w:type="spellStart"/>
            <w:r w:rsidRPr="00AE6EDB">
              <w:rPr>
                <w:szCs w:val="22"/>
              </w:rPr>
              <w:t>dopl</w:t>
            </w:r>
            <w:proofErr w:type="spellEnd"/>
            <w:r w:rsidRPr="00AE6EDB">
              <w:rPr>
                <w:szCs w:val="22"/>
              </w:rPr>
              <w:t>. rok 2012</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109</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vianočný príspevok – </w:t>
            </w:r>
            <w:proofErr w:type="spellStart"/>
            <w:r w:rsidRPr="00AE6EDB">
              <w:rPr>
                <w:szCs w:val="22"/>
              </w:rPr>
              <w:t>dopl</w:t>
            </w:r>
            <w:proofErr w:type="spellEnd"/>
            <w:r w:rsidRPr="00AE6EDB">
              <w:rPr>
                <w:szCs w:val="22"/>
              </w:rPr>
              <w:t>. rok 2013</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197</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 xml:space="preserve">vianočný príspevok – </w:t>
            </w:r>
            <w:proofErr w:type="spellStart"/>
            <w:r w:rsidRPr="00AE6EDB">
              <w:rPr>
                <w:szCs w:val="22"/>
              </w:rPr>
              <w:t>dopl</w:t>
            </w:r>
            <w:proofErr w:type="spellEnd"/>
            <w:r w:rsidRPr="00AE6EDB">
              <w:rPr>
                <w:szCs w:val="22"/>
              </w:rPr>
              <w:t>. rok 2014</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54295F" w:rsidP="00DE0EEC">
            <w:pPr>
              <w:jc w:val="right"/>
            </w:pPr>
            <w:r>
              <w:t>1 3</w:t>
            </w:r>
            <w:r w:rsidR="000A7585" w:rsidRPr="00AE6EDB">
              <w:t>38</w:t>
            </w:r>
          </w:p>
        </w:tc>
      </w:tr>
      <w:tr w:rsidR="000A7585" w:rsidRPr="00AE6EDB" w:rsidTr="00DE0EEC">
        <w:trPr>
          <w:trHeight w:val="270"/>
          <w:jc w:val="center"/>
        </w:trPr>
        <w:tc>
          <w:tcPr>
            <w:tcW w:w="4220" w:type="dxa"/>
            <w:noWrap/>
            <w:vAlign w:val="center"/>
          </w:tcPr>
          <w:p w:rsidR="000A7585" w:rsidRPr="00AE6EDB" w:rsidRDefault="000A7585" w:rsidP="00DE0EEC">
            <w:pPr>
              <w:rPr>
                <w:szCs w:val="22"/>
              </w:rPr>
            </w:pPr>
            <w:r w:rsidRPr="00AE6EDB">
              <w:rPr>
                <w:szCs w:val="22"/>
              </w:rPr>
              <w:t>vianočný príspevok – rok 2015</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7</w:t>
            </w:r>
            <w:r w:rsidR="00AC44CB">
              <w:t>7 2</w:t>
            </w:r>
            <w:r w:rsidRPr="00AE6EDB">
              <w:t>08</w:t>
            </w:r>
          </w:p>
        </w:tc>
      </w:tr>
      <w:tr w:rsidR="000A7585" w:rsidRPr="00AE6EDB" w:rsidTr="00DE0EEC">
        <w:trPr>
          <w:trHeight w:val="270"/>
          <w:jc w:val="center"/>
        </w:trPr>
        <w:tc>
          <w:tcPr>
            <w:tcW w:w="4220" w:type="dxa"/>
            <w:noWrap/>
            <w:vAlign w:val="center"/>
          </w:tcPr>
          <w:p w:rsidR="000A7585" w:rsidRPr="00AE6EDB" w:rsidRDefault="000A7585" w:rsidP="00DE0EEC">
            <w:r w:rsidRPr="00AE6EDB">
              <w:rPr>
                <w:szCs w:val="22"/>
              </w:rPr>
              <w:t>vianočný príspevok – spolu vyplatené 2015</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pPr>
            <w:r w:rsidRPr="00AE6EDB">
              <w:t>7</w:t>
            </w:r>
            <w:r w:rsidR="00AC44CB">
              <w:t>8 8</w:t>
            </w:r>
            <w:r w:rsidRPr="00AE6EDB">
              <w:t>91</w:t>
            </w:r>
          </w:p>
        </w:tc>
      </w:tr>
      <w:tr w:rsidR="000A7585" w:rsidRPr="00AE6EDB" w:rsidTr="00DE0EEC">
        <w:trPr>
          <w:trHeight w:val="270"/>
          <w:jc w:val="center"/>
        </w:trPr>
        <w:tc>
          <w:tcPr>
            <w:tcW w:w="4220" w:type="dxa"/>
            <w:noWrap/>
            <w:vAlign w:val="center"/>
          </w:tcPr>
          <w:p w:rsidR="000A7585" w:rsidRPr="00AE6EDB" w:rsidRDefault="000A7585" w:rsidP="00DE0EEC">
            <w:pPr>
              <w:rPr>
                <w:b/>
                <w:bCs/>
              </w:rPr>
            </w:pPr>
            <w:r w:rsidRPr="00AE6EDB">
              <w:rPr>
                <w:b/>
                <w:bCs/>
                <w:szCs w:val="22"/>
              </w:rPr>
              <w:t>Spolu</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0A7585" w:rsidP="00DE0EEC">
            <w:pPr>
              <w:jc w:val="right"/>
              <w:rPr>
                <w:b/>
              </w:rPr>
            </w:pPr>
            <w:r w:rsidRPr="00AE6EDB">
              <w:rPr>
                <w:b/>
              </w:rPr>
              <w:t>14</w:t>
            </w:r>
            <w:r w:rsidR="0054295F">
              <w:rPr>
                <w:b/>
              </w:rPr>
              <w:t>2 1</w:t>
            </w:r>
            <w:r w:rsidRPr="00AE6EDB">
              <w:rPr>
                <w:b/>
              </w:rPr>
              <w:t>98</w:t>
            </w:r>
          </w:p>
        </w:tc>
      </w:tr>
      <w:tr w:rsidR="000A7585" w:rsidRPr="00AE6EDB" w:rsidTr="00DE0EEC">
        <w:trPr>
          <w:trHeight w:val="270"/>
          <w:jc w:val="center"/>
        </w:trPr>
        <w:tc>
          <w:tcPr>
            <w:tcW w:w="4220" w:type="dxa"/>
            <w:noWrap/>
            <w:vAlign w:val="center"/>
          </w:tcPr>
          <w:p w:rsidR="000A7585" w:rsidRPr="00AE6EDB" w:rsidRDefault="000A7585" w:rsidP="00DE0EEC">
            <w:pPr>
              <w:rPr>
                <w:b/>
                <w:bCs/>
              </w:rPr>
            </w:pPr>
            <w:r w:rsidRPr="00AE6EDB">
              <w:rPr>
                <w:b/>
                <w:bCs/>
                <w:szCs w:val="22"/>
              </w:rPr>
              <w:t xml:space="preserve">Celkový úhrn </w:t>
            </w:r>
          </w:p>
        </w:tc>
        <w:tc>
          <w:tcPr>
            <w:tcW w:w="160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820" w:type="dxa"/>
            <w:noWrap/>
            <w:vAlign w:val="center"/>
          </w:tcPr>
          <w:p w:rsidR="000A7585" w:rsidRPr="00AE6EDB" w:rsidRDefault="000A7585" w:rsidP="00DE0EEC">
            <w:pPr>
              <w:spacing w:line="276" w:lineRule="auto"/>
              <w:ind w:right="129"/>
              <w:jc w:val="right"/>
              <w:rPr>
                <w:rFonts w:ascii="Calibri" w:eastAsiaTheme="minorHAnsi" w:hAnsi="Calibri"/>
              </w:rPr>
            </w:pPr>
          </w:p>
        </w:tc>
        <w:tc>
          <w:tcPr>
            <w:tcW w:w="1900" w:type="dxa"/>
            <w:noWrap/>
            <w:vAlign w:val="center"/>
          </w:tcPr>
          <w:p w:rsidR="000A7585" w:rsidRPr="00AE6EDB" w:rsidRDefault="00AC44CB" w:rsidP="00DE0EEC">
            <w:pPr>
              <w:jc w:val="right"/>
              <w:rPr>
                <w:b/>
              </w:rPr>
            </w:pPr>
            <w:r>
              <w:rPr>
                <w:b/>
              </w:rPr>
              <w:t>6 5</w:t>
            </w:r>
            <w:r w:rsidR="000A7585" w:rsidRPr="00AE6EDB">
              <w:rPr>
                <w:b/>
              </w:rPr>
              <w:t>5</w:t>
            </w:r>
            <w:r>
              <w:rPr>
                <w:b/>
              </w:rPr>
              <w:t>6 6</w:t>
            </w:r>
            <w:r w:rsidR="000A7585" w:rsidRPr="00AE6EDB">
              <w:rPr>
                <w:b/>
              </w:rPr>
              <w:t>79</w:t>
            </w:r>
          </w:p>
        </w:tc>
      </w:tr>
    </w:tbl>
    <w:p w:rsidR="000A7585" w:rsidRPr="00AE6EDB" w:rsidRDefault="000A7585" w:rsidP="000A7585">
      <w:pPr>
        <w:pStyle w:val="zdroj"/>
        <w:ind w:firstLine="0"/>
        <w:rPr>
          <w:color w:val="auto"/>
        </w:rPr>
      </w:pPr>
      <w:r w:rsidRPr="00AE6EDB">
        <w:rPr>
          <w:color w:val="auto"/>
        </w:rPr>
        <w:t>Zdroj: Sociálna poisťovňa</w:t>
      </w:r>
    </w:p>
    <w:p w:rsidR="000A7585" w:rsidRPr="00AE6EDB" w:rsidRDefault="000A7585" w:rsidP="000A7585">
      <w:pPr>
        <w:jc w:val="left"/>
        <w:rPr>
          <w:rFonts w:ascii="Times New Roman Bold" w:hAnsi="Times New Roman Bold"/>
          <w:b/>
          <w:bCs/>
          <w:iCs/>
          <w:szCs w:val="22"/>
          <w:highlight w:val="cyan"/>
          <w:lang w:eastAsia="cs-CZ"/>
        </w:rPr>
      </w:pPr>
      <w:r w:rsidRPr="00AE6EDB">
        <w:rPr>
          <w:highlight w:val="cyan"/>
        </w:rPr>
        <w:br w:type="page"/>
      </w:r>
    </w:p>
    <w:p w:rsidR="000A7585" w:rsidRPr="00AE6EDB" w:rsidRDefault="000A7585" w:rsidP="000A7585">
      <w:pPr>
        <w:pStyle w:val="Nadpis7"/>
        <w:spacing w:after="0"/>
      </w:pPr>
      <w:r w:rsidRPr="00AE6EDB">
        <w:t>Tabuľka 6 Výdavky základného fondu úrazového poistenia (ZFÚP) v roku 2015</w:t>
      </w:r>
    </w:p>
    <w:p w:rsidR="000A7585" w:rsidRPr="00AE6EDB" w:rsidRDefault="000A7585" w:rsidP="000A7585">
      <w:pPr>
        <w:ind w:right="-426"/>
        <w:jc w:val="right"/>
        <w:rPr>
          <w:sz w:val="20"/>
          <w:szCs w:val="20"/>
          <w:lang w:eastAsia="cs-CZ"/>
        </w:rPr>
      </w:pPr>
      <w:r w:rsidRPr="00AE6EDB">
        <w:rPr>
          <w:sz w:val="20"/>
          <w:szCs w:val="20"/>
        </w:rPr>
        <w:t>v tis.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0A7585" w:rsidRPr="00AE6EDB" w:rsidTr="00DE0EEC">
        <w:trPr>
          <w:trHeight w:val="271"/>
          <w:jc w:val="center"/>
        </w:trPr>
        <w:tc>
          <w:tcPr>
            <w:tcW w:w="1255" w:type="pct"/>
            <w:shd w:val="clear" w:color="auto" w:fill="FF9999" w:themeFill="accent3" w:themeFillTint="66"/>
            <w:noWrap/>
            <w:vAlign w:val="center"/>
          </w:tcPr>
          <w:p w:rsidR="000A7585" w:rsidRPr="00AE6EDB" w:rsidRDefault="000A7585" w:rsidP="00DE0EEC">
            <w:pPr>
              <w:rPr>
                <w:b/>
                <w:bCs/>
                <w:sz w:val="19"/>
                <w:szCs w:val="19"/>
              </w:rPr>
            </w:pPr>
            <w:r w:rsidRPr="00AE6EDB">
              <w:rPr>
                <w:b/>
                <w:sz w:val="19"/>
                <w:szCs w:val="19"/>
              </w:rPr>
              <w:t>Dávka podľa druhu</w:t>
            </w:r>
          </w:p>
        </w:tc>
        <w:tc>
          <w:tcPr>
            <w:tcW w:w="439"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Január</w:t>
            </w:r>
          </w:p>
        </w:tc>
        <w:tc>
          <w:tcPr>
            <w:tcW w:w="512"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Február</w:t>
            </w:r>
          </w:p>
        </w:tc>
        <w:tc>
          <w:tcPr>
            <w:tcW w:w="587"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Marec</w:t>
            </w:r>
          </w:p>
        </w:tc>
        <w:tc>
          <w:tcPr>
            <w:tcW w:w="513"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Apríl</w:t>
            </w:r>
          </w:p>
        </w:tc>
        <w:tc>
          <w:tcPr>
            <w:tcW w:w="586"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Máj</w:t>
            </w:r>
          </w:p>
        </w:tc>
        <w:tc>
          <w:tcPr>
            <w:tcW w:w="586"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Jún</w:t>
            </w:r>
          </w:p>
        </w:tc>
        <w:tc>
          <w:tcPr>
            <w:tcW w:w="521" w:type="pct"/>
            <w:shd w:val="clear" w:color="auto" w:fill="FF9999" w:themeFill="accent3" w:themeFillTint="66"/>
            <w:noWrap/>
            <w:vAlign w:val="center"/>
          </w:tcPr>
          <w:p w:rsidR="000A7585" w:rsidRPr="00AE6EDB" w:rsidRDefault="000A7585" w:rsidP="00DE0EEC">
            <w:pPr>
              <w:keepLines/>
              <w:jc w:val="center"/>
              <w:rPr>
                <w:b/>
                <w:bCs/>
                <w:sz w:val="19"/>
                <w:szCs w:val="19"/>
              </w:rPr>
            </w:pPr>
            <w:r w:rsidRPr="00AE6EDB">
              <w:rPr>
                <w:b/>
                <w:bCs/>
                <w:sz w:val="19"/>
                <w:szCs w:val="19"/>
              </w:rPr>
              <w:t>I. polrok 2015</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úrazový príplatok</w:t>
            </w:r>
          </w:p>
        </w:tc>
        <w:tc>
          <w:tcPr>
            <w:tcW w:w="439" w:type="pct"/>
            <w:noWrap/>
            <w:vAlign w:val="center"/>
          </w:tcPr>
          <w:p w:rsidR="000A7585" w:rsidRPr="00AE6EDB" w:rsidRDefault="000A7585" w:rsidP="00DE0EEC">
            <w:pPr>
              <w:jc w:val="right"/>
              <w:rPr>
                <w:sz w:val="19"/>
                <w:szCs w:val="19"/>
              </w:rPr>
            </w:pPr>
            <w:r w:rsidRPr="00AE6EDB">
              <w:rPr>
                <w:sz w:val="19"/>
                <w:szCs w:val="19"/>
              </w:rPr>
              <w:t>297</w:t>
            </w:r>
          </w:p>
        </w:tc>
        <w:tc>
          <w:tcPr>
            <w:tcW w:w="512" w:type="pct"/>
            <w:noWrap/>
            <w:vAlign w:val="center"/>
          </w:tcPr>
          <w:p w:rsidR="000A7585" w:rsidRPr="00AE6EDB" w:rsidRDefault="000A7585" w:rsidP="00DE0EEC">
            <w:pPr>
              <w:jc w:val="right"/>
              <w:rPr>
                <w:sz w:val="19"/>
                <w:szCs w:val="19"/>
              </w:rPr>
            </w:pPr>
            <w:r w:rsidRPr="00AE6EDB">
              <w:rPr>
                <w:sz w:val="19"/>
                <w:szCs w:val="19"/>
              </w:rPr>
              <w:t>305</w:t>
            </w:r>
          </w:p>
        </w:tc>
        <w:tc>
          <w:tcPr>
            <w:tcW w:w="587" w:type="pct"/>
            <w:noWrap/>
            <w:vAlign w:val="center"/>
          </w:tcPr>
          <w:p w:rsidR="000A7585" w:rsidRPr="00AE6EDB" w:rsidRDefault="000A7585" w:rsidP="00DE0EEC">
            <w:pPr>
              <w:jc w:val="right"/>
              <w:rPr>
                <w:sz w:val="19"/>
                <w:szCs w:val="19"/>
              </w:rPr>
            </w:pPr>
            <w:r w:rsidRPr="00AE6EDB">
              <w:rPr>
                <w:sz w:val="19"/>
                <w:szCs w:val="19"/>
              </w:rPr>
              <w:t>314</w:t>
            </w:r>
          </w:p>
        </w:tc>
        <w:tc>
          <w:tcPr>
            <w:tcW w:w="513" w:type="pct"/>
            <w:noWrap/>
            <w:vAlign w:val="center"/>
          </w:tcPr>
          <w:p w:rsidR="000A7585" w:rsidRPr="00AE6EDB" w:rsidRDefault="000A7585" w:rsidP="00DE0EEC">
            <w:pPr>
              <w:jc w:val="right"/>
              <w:rPr>
                <w:sz w:val="19"/>
                <w:szCs w:val="19"/>
              </w:rPr>
            </w:pPr>
            <w:r w:rsidRPr="00AE6EDB">
              <w:rPr>
                <w:sz w:val="19"/>
                <w:szCs w:val="19"/>
              </w:rPr>
              <w:t>338</w:t>
            </w:r>
          </w:p>
        </w:tc>
        <w:tc>
          <w:tcPr>
            <w:tcW w:w="586" w:type="pct"/>
            <w:noWrap/>
            <w:vAlign w:val="center"/>
          </w:tcPr>
          <w:p w:rsidR="000A7585" w:rsidRPr="00AE6EDB" w:rsidRDefault="000A7585" w:rsidP="00DE0EEC">
            <w:pPr>
              <w:jc w:val="right"/>
              <w:rPr>
                <w:sz w:val="19"/>
                <w:szCs w:val="19"/>
              </w:rPr>
            </w:pPr>
            <w:r w:rsidRPr="00AE6EDB">
              <w:rPr>
                <w:sz w:val="19"/>
                <w:szCs w:val="19"/>
              </w:rPr>
              <w:t>324</w:t>
            </w:r>
          </w:p>
        </w:tc>
        <w:tc>
          <w:tcPr>
            <w:tcW w:w="586" w:type="pct"/>
            <w:noWrap/>
            <w:vAlign w:val="center"/>
          </w:tcPr>
          <w:p w:rsidR="000A7585" w:rsidRPr="00AE6EDB" w:rsidRDefault="000A7585" w:rsidP="00DE0EEC">
            <w:pPr>
              <w:jc w:val="right"/>
              <w:rPr>
                <w:sz w:val="19"/>
                <w:szCs w:val="19"/>
              </w:rPr>
            </w:pPr>
            <w:r w:rsidRPr="00AE6EDB">
              <w:rPr>
                <w:sz w:val="19"/>
                <w:szCs w:val="19"/>
              </w:rPr>
              <w:t>313</w:t>
            </w:r>
          </w:p>
        </w:tc>
        <w:tc>
          <w:tcPr>
            <w:tcW w:w="521" w:type="pct"/>
            <w:noWrap/>
            <w:vAlign w:val="center"/>
          </w:tcPr>
          <w:p w:rsidR="000A7585" w:rsidRPr="00AE6EDB" w:rsidRDefault="0054295F" w:rsidP="00DE0EEC">
            <w:pPr>
              <w:jc w:val="right"/>
              <w:rPr>
                <w:sz w:val="19"/>
                <w:szCs w:val="19"/>
              </w:rPr>
            </w:pPr>
            <w:r>
              <w:rPr>
                <w:sz w:val="19"/>
                <w:szCs w:val="19"/>
              </w:rPr>
              <w:t>1 8</w:t>
            </w:r>
            <w:r w:rsidR="000A7585" w:rsidRPr="00AE6EDB">
              <w:rPr>
                <w:sz w:val="19"/>
                <w:szCs w:val="19"/>
              </w:rPr>
              <w:t>90</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úrazová renta</w:t>
            </w:r>
          </w:p>
        </w:tc>
        <w:tc>
          <w:tcPr>
            <w:tcW w:w="439"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92</w:t>
            </w:r>
          </w:p>
        </w:tc>
        <w:tc>
          <w:tcPr>
            <w:tcW w:w="512"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57</w:t>
            </w:r>
          </w:p>
        </w:tc>
        <w:tc>
          <w:tcPr>
            <w:tcW w:w="587"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72</w:t>
            </w:r>
          </w:p>
        </w:tc>
        <w:tc>
          <w:tcPr>
            <w:tcW w:w="513" w:type="pct"/>
            <w:noWrap/>
            <w:vAlign w:val="center"/>
          </w:tcPr>
          <w:p w:rsidR="000A7585" w:rsidRPr="00AE6EDB" w:rsidRDefault="0054295F" w:rsidP="00DE0EEC">
            <w:pPr>
              <w:jc w:val="right"/>
              <w:rPr>
                <w:sz w:val="19"/>
                <w:szCs w:val="19"/>
              </w:rPr>
            </w:pPr>
            <w:r>
              <w:rPr>
                <w:sz w:val="19"/>
                <w:szCs w:val="19"/>
              </w:rPr>
              <w:t>2 1</w:t>
            </w:r>
            <w:r w:rsidR="000A7585" w:rsidRPr="00AE6EDB">
              <w:rPr>
                <w:sz w:val="19"/>
                <w:szCs w:val="19"/>
              </w:rPr>
              <w:t>25</w:t>
            </w:r>
          </w:p>
        </w:tc>
        <w:tc>
          <w:tcPr>
            <w:tcW w:w="586" w:type="pct"/>
            <w:noWrap/>
            <w:vAlign w:val="center"/>
          </w:tcPr>
          <w:p w:rsidR="000A7585" w:rsidRPr="00AE6EDB" w:rsidRDefault="0054295F" w:rsidP="00DE0EEC">
            <w:pPr>
              <w:jc w:val="right"/>
              <w:rPr>
                <w:sz w:val="19"/>
                <w:szCs w:val="19"/>
              </w:rPr>
            </w:pPr>
            <w:r>
              <w:rPr>
                <w:sz w:val="19"/>
                <w:szCs w:val="19"/>
              </w:rPr>
              <w:t>2 1</w:t>
            </w:r>
            <w:r w:rsidR="000A7585" w:rsidRPr="00AE6EDB">
              <w:rPr>
                <w:sz w:val="19"/>
                <w:szCs w:val="19"/>
              </w:rPr>
              <w:t>12</w:t>
            </w:r>
          </w:p>
        </w:tc>
        <w:tc>
          <w:tcPr>
            <w:tcW w:w="586"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42</w:t>
            </w:r>
          </w:p>
        </w:tc>
        <w:tc>
          <w:tcPr>
            <w:tcW w:w="521" w:type="pct"/>
            <w:noWrap/>
            <w:vAlign w:val="center"/>
          </w:tcPr>
          <w:p w:rsidR="000A7585" w:rsidRPr="00AE6EDB" w:rsidRDefault="000A7585" w:rsidP="00DE0EEC">
            <w:pPr>
              <w:jc w:val="right"/>
              <w:rPr>
                <w:sz w:val="19"/>
                <w:szCs w:val="19"/>
              </w:rPr>
            </w:pPr>
            <w:r w:rsidRPr="00AE6EDB">
              <w:rPr>
                <w:sz w:val="19"/>
                <w:szCs w:val="19"/>
              </w:rPr>
              <w:t>1</w:t>
            </w:r>
            <w:r w:rsidR="0054295F">
              <w:rPr>
                <w:sz w:val="19"/>
                <w:szCs w:val="19"/>
              </w:rPr>
              <w:t>2 5</w:t>
            </w:r>
            <w:r w:rsidRPr="00AE6EDB">
              <w:rPr>
                <w:sz w:val="19"/>
                <w:szCs w:val="19"/>
              </w:rPr>
              <w:t>00</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jednorazové vyrovnanie</w:t>
            </w:r>
          </w:p>
        </w:tc>
        <w:tc>
          <w:tcPr>
            <w:tcW w:w="439" w:type="pct"/>
            <w:noWrap/>
            <w:vAlign w:val="center"/>
          </w:tcPr>
          <w:p w:rsidR="000A7585" w:rsidRPr="00AE6EDB" w:rsidRDefault="000A7585" w:rsidP="00DE0EEC">
            <w:pPr>
              <w:jc w:val="right"/>
              <w:rPr>
                <w:sz w:val="19"/>
                <w:szCs w:val="19"/>
              </w:rPr>
            </w:pPr>
            <w:r w:rsidRPr="00AE6EDB">
              <w:rPr>
                <w:sz w:val="19"/>
                <w:szCs w:val="19"/>
              </w:rPr>
              <w:t>6</w:t>
            </w:r>
          </w:p>
        </w:tc>
        <w:tc>
          <w:tcPr>
            <w:tcW w:w="512" w:type="pct"/>
            <w:noWrap/>
            <w:vAlign w:val="center"/>
          </w:tcPr>
          <w:p w:rsidR="000A7585" w:rsidRPr="00AE6EDB" w:rsidRDefault="000A7585" w:rsidP="00DE0EEC">
            <w:pPr>
              <w:jc w:val="right"/>
              <w:rPr>
                <w:sz w:val="19"/>
                <w:szCs w:val="19"/>
              </w:rPr>
            </w:pPr>
            <w:r w:rsidRPr="00AE6EDB">
              <w:rPr>
                <w:sz w:val="19"/>
                <w:szCs w:val="19"/>
              </w:rPr>
              <w:t>3</w:t>
            </w:r>
          </w:p>
        </w:tc>
        <w:tc>
          <w:tcPr>
            <w:tcW w:w="587" w:type="pct"/>
            <w:noWrap/>
            <w:vAlign w:val="center"/>
          </w:tcPr>
          <w:p w:rsidR="000A7585" w:rsidRPr="00AE6EDB" w:rsidRDefault="000A7585" w:rsidP="00DE0EEC">
            <w:pPr>
              <w:jc w:val="right"/>
              <w:rPr>
                <w:sz w:val="19"/>
                <w:szCs w:val="19"/>
              </w:rPr>
            </w:pPr>
            <w:r w:rsidRPr="00AE6EDB">
              <w:rPr>
                <w:sz w:val="19"/>
                <w:szCs w:val="19"/>
              </w:rPr>
              <w:t>13</w:t>
            </w:r>
          </w:p>
        </w:tc>
        <w:tc>
          <w:tcPr>
            <w:tcW w:w="513" w:type="pct"/>
            <w:noWrap/>
            <w:vAlign w:val="center"/>
          </w:tcPr>
          <w:p w:rsidR="000A7585" w:rsidRPr="00AE6EDB" w:rsidRDefault="000A7585" w:rsidP="00DE0EEC">
            <w:pPr>
              <w:jc w:val="right"/>
              <w:rPr>
                <w:sz w:val="19"/>
                <w:szCs w:val="19"/>
              </w:rPr>
            </w:pPr>
            <w:r w:rsidRPr="00AE6EDB">
              <w:rPr>
                <w:sz w:val="19"/>
                <w:szCs w:val="19"/>
              </w:rPr>
              <w:t>20</w:t>
            </w:r>
          </w:p>
        </w:tc>
        <w:tc>
          <w:tcPr>
            <w:tcW w:w="586" w:type="pct"/>
            <w:noWrap/>
            <w:vAlign w:val="center"/>
          </w:tcPr>
          <w:p w:rsidR="000A7585" w:rsidRPr="00AE6EDB" w:rsidRDefault="000A7585" w:rsidP="00DE0EEC">
            <w:pPr>
              <w:jc w:val="right"/>
              <w:rPr>
                <w:sz w:val="19"/>
                <w:szCs w:val="19"/>
              </w:rPr>
            </w:pPr>
            <w:r w:rsidRPr="00AE6EDB">
              <w:rPr>
                <w:sz w:val="19"/>
                <w:szCs w:val="19"/>
              </w:rPr>
              <w:t>5</w:t>
            </w:r>
          </w:p>
        </w:tc>
        <w:tc>
          <w:tcPr>
            <w:tcW w:w="586" w:type="pct"/>
            <w:noWrap/>
            <w:vAlign w:val="center"/>
          </w:tcPr>
          <w:p w:rsidR="000A7585" w:rsidRPr="00AE6EDB" w:rsidRDefault="000A7585" w:rsidP="00DE0EEC">
            <w:pPr>
              <w:jc w:val="right"/>
              <w:rPr>
                <w:sz w:val="19"/>
                <w:szCs w:val="19"/>
              </w:rPr>
            </w:pPr>
            <w:r w:rsidRPr="00AE6EDB">
              <w:rPr>
                <w:sz w:val="19"/>
                <w:szCs w:val="19"/>
              </w:rPr>
              <w:t>20</w:t>
            </w:r>
          </w:p>
        </w:tc>
        <w:tc>
          <w:tcPr>
            <w:tcW w:w="521" w:type="pct"/>
            <w:noWrap/>
            <w:vAlign w:val="center"/>
          </w:tcPr>
          <w:p w:rsidR="000A7585" w:rsidRPr="00AE6EDB" w:rsidRDefault="000A7585" w:rsidP="00DE0EEC">
            <w:pPr>
              <w:jc w:val="right"/>
              <w:rPr>
                <w:sz w:val="19"/>
                <w:szCs w:val="19"/>
              </w:rPr>
            </w:pPr>
            <w:r w:rsidRPr="00AE6EDB">
              <w:rPr>
                <w:sz w:val="19"/>
                <w:szCs w:val="19"/>
              </w:rPr>
              <w:t>67</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pozostalostná úrazová renta</w:t>
            </w:r>
          </w:p>
        </w:tc>
        <w:tc>
          <w:tcPr>
            <w:tcW w:w="439" w:type="pct"/>
            <w:noWrap/>
            <w:vAlign w:val="center"/>
          </w:tcPr>
          <w:p w:rsidR="000A7585" w:rsidRPr="00AE6EDB" w:rsidRDefault="000A7585" w:rsidP="00DE0EEC">
            <w:pPr>
              <w:jc w:val="right"/>
              <w:rPr>
                <w:sz w:val="19"/>
                <w:szCs w:val="19"/>
              </w:rPr>
            </w:pPr>
            <w:r w:rsidRPr="00AE6EDB">
              <w:rPr>
                <w:sz w:val="19"/>
                <w:szCs w:val="19"/>
              </w:rPr>
              <w:t>28</w:t>
            </w:r>
          </w:p>
        </w:tc>
        <w:tc>
          <w:tcPr>
            <w:tcW w:w="512" w:type="pct"/>
            <w:noWrap/>
            <w:vAlign w:val="center"/>
          </w:tcPr>
          <w:p w:rsidR="000A7585" w:rsidRPr="00AE6EDB" w:rsidRDefault="000A7585" w:rsidP="00DE0EEC">
            <w:pPr>
              <w:jc w:val="right"/>
              <w:rPr>
                <w:sz w:val="19"/>
                <w:szCs w:val="19"/>
              </w:rPr>
            </w:pPr>
            <w:r w:rsidRPr="00AE6EDB">
              <w:rPr>
                <w:sz w:val="19"/>
                <w:szCs w:val="19"/>
              </w:rPr>
              <w:t>29</w:t>
            </w:r>
          </w:p>
        </w:tc>
        <w:tc>
          <w:tcPr>
            <w:tcW w:w="587" w:type="pct"/>
            <w:noWrap/>
            <w:vAlign w:val="center"/>
          </w:tcPr>
          <w:p w:rsidR="000A7585" w:rsidRPr="00AE6EDB" w:rsidRDefault="000A7585" w:rsidP="00DE0EEC">
            <w:pPr>
              <w:jc w:val="right"/>
              <w:rPr>
                <w:sz w:val="19"/>
                <w:szCs w:val="19"/>
              </w:rPr>
            </w:pPr>
            <w:r w:rsidRPr="00AE6EDB">
              <w:rPr>
                <w:sz w:val="19"/>
                <w:szCs w:val="19"/>
              </w:rPr>
              <w:t>27</w:t>
            </w:r>
          </w:p>
        </w:tc>
        <w:tc>
          <w:tcPr>
            <w:tcW w:w="513" w:type="pct"/>
            <w:noWrap/>
            <w:vAlign w:val="center"/>
          </w:tcPr>
          <w:p w:rsidR="000A7585" w:rsidRPr="00AE6EDB" w:rsidRDefault="000A7585" w:rsidP="00DE0EEC">
            <w:pPr>
              <w:jc w:val="right"/>
              <w:rPr>
                <w:sz w:val="19"/>
                <w:szCs w:val="19"/>
              </w:rPr>
            </w:pPr>
            <w:r w:rsidRPr="00AE6EDB">
              <w:rPr>
                <w:sz w:val="19"/>
                <w:szCs w:val="19"/>
              </w:rPr>
              <w:t>27</w:t>
            </w:r>
          </w:p>
        </w:tc>
        <w:tc>
          <w:tcPr>
            <w:tcW w:w="586" w:type="pct"/>
            <w:noWrap/>
            <w:vAlign w:val="center"/>
          </w:tcPr>
          <w:p w:rsidR="000A7585" w:rsidRPr="00AE6EDB" w:rsidRDefault="000A7585" w:rsidP="00DE0EEC">
            <w:pPr>
              <w:jc w:val="right"/>
              <w:rPr>
                <w:sz w:val="19"/>
                <w:szCs w:val="19"/>
              </w:rPr>
            </w:pPr>
            <w:r w:rsidRPr="00AE6EDB">
              <w:rPr>
                <w:sz w:val="19"/>
                <w:szCs w:val="19"/>
              </w:rPr>
              <w:t>27</w:t>
            </w:r>
          </w:p>
        </w:tc>
        <w:tc>
          <w:tcPr>
            <w:tcW w:w="586" w:type="pct"/>
            <w:noWrap/>
            <w:vAlign w:val="center"/>
          </w:tcPr>
          <w:p w:rsidR="000A7585" w:rsidRPr="00AE6EDB" w:rsidRDefault="000A7585" w:rsidP="00DE0EEC">
            <w:pPr>
              <w:jc w:val="right"/>
              <w:rPr>
                <w:sz w:val="19"/>
                <w:szCs w:val="19"/>
              </w:rPr>
            </w:pPr>
            <w:r w:rsidRPr="00AE6EDB">
              <w:rPr>
                <w:sz w:val="19"/>
                <w:szCs w:val="19"/>
              </w:rPr>
              <w:t>27</w:t>
            </w:r>
          </w:p>
        </w:tc>
        <w:tc>
          <w:tcPr>
            <w:tcW w:w="521" w:type="pct"/>
            <w:noWrap/>
            <w:vAlign w:val="center"/>
          </w:tcPr>
          <w:p w:rsidR="000A7585" w:rsidRPr="00AE6EDB" w:rsidRDefault="000A7585" w:rsidP="00DE0EEC">
            <w:pPr>
              <w:jc w:val="right"/>
              <w:rPr>
                <w:sz w:val="19"/>
                <w:szCs w:val="19"/>
              </w:rPr>
            </w:pPr>
            <w:r w:rsidRPr="00AE6EDB">
              <w:rPr>
                <w:sz w:val="19"/>
                <w:szCs w:val="19"/>
              </w:rPr>
              <w:t>166</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jednorazové odškodnenie</w:t>
            </w:r>
          </w:p>
        </w:tc>
        <w:tc>
          <w:tcPr>
            <w:tcW w:w="439" w:type="pct"/>
            <w:noWrap/>
            <w:vAlign w:val="center"/>
          </w:tcPr>
          <w:p w:rsidR="000A7585" w:rsidRPr="00AE6EDB" w:rsidRDefault="000A7585" w:rsidP="00DE0EEC">
            <w:pPr>
              <w:jc w:val="right"/>
              <w:rPr>
                <w:sz w:val="19"/>
                <w:szCs w:val="19"/>
              </w:rPr>
            </w:pPr>
            <w:r w:rsidRPr="00AE6EDB">
              <w:rPr>
                <w:sz w:val="19"/>
                <w:szCs w:val="19"/>
              </w:rPr>
              <w:t>19</w:t>
            </w:r>
          </w:p>
        </w:tc>
        <w:tc>
          <w:tcPr>
            <w:tcW w:w="512" w:type="pct"/>
            <w:noWrap/>
            <w:vAlign w:val="center"/>
          </w:tcPr>
          <w:p w:rsidR="000A7585" w:rsidRPr="00AE6EDB" w:rsidRDefault="000A7585" w:rsidP="00DE0EEC">
            <w:pPr>
              <w:jc w:val="right"/>
              <w:rPr>
                <w:sz w:val="19"/>
                <w:szCs w:val="19"/>
              </w:rPr>
            </w:pPr>
            <w:r w:rsidRPr="00AE6EDB">
              <w:rPr>
                <w:sz w:val="19"/>
                <w:szCs w:val="19"/>
              </w:rPr>
              <w:t>18</w:t>
            </w:r>
          </w:p>
        </w:tc>
        <w:tc>
          <w:tcPr>
            <w:tcW w:w="587" w:type="pct"/>
            <w:noWrap/>
            <w:vAlign w:val="center"/>
          </w:tcPr>
          <w:p w:rsidR="000A7585" w:rsidRPr="00AE6EDB" w:rsidRDefault="000A7585" w:rsidP="00DE0EEC">
            <w:pPr>
              <w:jc w:val="right"/>
              <w:rPr>
                <w:sz w:val="19"/>
                <w:szCs w:val="19"/>
              </w:rPr>
            </w:pPr>
            <w:r w:rsidRPr="00AE6EDB">
              <w:rPr>
                <w:sz w:val="19"/>
                <w:szCs w:val="19"/>
              </w:rPr>
              <w:t>54</w:t>
            </w:r>
          </w:p>
        </w:tc>
        <w:tc>
          <w:tcPr>
            <w:tcW w:w="513" w:type="pct"/>
            <w:noWrap/>
            <w:vAlign w:val="center"/>
          </w:tcPr>
          <w:p w:rsidR="000A7585" w:rsidRPr="00AE6EDB" w:rsidRDefault="000A7585" w:rsidP="00DE0EEC">
            <w:pPr>
              <w:jc w:val="right"/>
              <w:rPr>
                <w:sz w:val="19"/>
                <w:szCs w:val="19"/>
              </w:rPr>
            </w:pPr>
            <w:r w:rsidRPr="00AE6EDB">
              <w:rPr>
                <w:sz w:val="19"/>
                <w:szCs w:val="19"/>
              </w:rPr>
              <w:t>52</w:t>
            </w:r>
          </w:p>
        </w:tc>
        <w:tc>
          <w:tcPr>
            <w:tcW w:w="586" w:type="pct"/>
            <w:noWrap/>
            <w:vAlign w:val="center"/>
          </w:tcPr>
          <w:p w:rsidR="000A7585" w:rsidRPr="00AE6EDB" w:rsidRDefault="000A7585" w:rsidP="00DE0EEC">
            <w:pPr>
              <w:jc w:val="right"/>
              <w:rPr>
                <w:sz w:val="19"/>
                <w:szCs w:val="19"/>
              </w:rPr>
            </w:pPr>
            <w:r w:rsidRPr="00AE6EDB">
              <w:rPr>
                <w:sz w:val="19"/>
                <w:szCs w:val="19"/>
              </w:rPr>
              <w:t>7</w:t>
            </w:r>
          </w:p>
        </w:tc>
        <w:tc>
          <w:tcPr>
            <w:tcW w:w="586" w:type="pct"/>
            <w:noWrap/>
            <w:vAlign w:val="center"/>
          </w:tcPr>
          <w:p w:rsidR="000A7585" w:rsidRPr="00AE6EDB" w:rsidRDefault="000A7585" w:rsidP="00DE0EEC">
            <w:pPr>
              <w:jc w:val="right"/>
              <w:rPr>
                <w:sz w:val="19"/>
                <w:szCs w:val="19"/>
              </w:rPr>
            </w:pPr>
            <w:r w:rsidRPr="00AE6EDB">
              <w:rPr>
                <w:sz w:val="19"/>
                <w:szCs w:val="19"/>
              </w:rPr>
              <w:t>31</w:t>
            </w:r>
          </w:p>
        </w:tc>
        <w:tc>
          <w:tcPr>
            <w:tcW w:w="521" w:type="pct"/>
            <w:noWrap/>
            <w:vAlign w:val="center"/>
          </w:tcPr>
          <w:p w:rsidR="000A7585" w:rsidRPr="00AE6EDB" w:rsidRDefault="000A7585" w:rsidP="00DE0EEC">
            <w:pPr>
              <w:jc w:val="right"/>
              <w:rPr>
                <w:sz w:val="19"/>
                <w:szCs w:val="19"/>
              </w:rPr>
            </w:pPr>
            <w:r w:rsidRPr="00AE6EDB">
              <w:rPr>
                <w:sz w:val="19"/>
                <w:szCs w:val="19"/>
              </w:rPr>
              <w:t>181</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pracovná rehabilitácia a rehabilitačné</w:t>
            </w:r>
          </w:p>
        </w:tc>
        <w:tc>
          <w:tcPr>
            <w:tcW w:w="439" w:type="pct"/>
            <w:noWrap/>
            <w:vAlign w:val="center"/>
          </w:tcPr>
          <w:p w:rsidR="000A7585" w:rsidRPr="00AE6EDB" w:rsidRDefault="000A7585" w:rsidP="00DE0EEC">
            <w:pPr>
              <w:jc w:val="right"/>
              <w:rPr>
                <w:sz w:val="19"/>
                <w:szCs w:val="19"/>
              </w:rPr>
            </w:pPr>
            <w:r w:rsidRPr="00AE6EDB">
              <w:rPr>
                <w:sz w:val="19"/>
                <w:szCs w:val="19"/>
              </w:rPr>
              <w:t>0</w:t>
            </w:r>
          </w:p>
        </w:tc>
        <w:tc>
          <w:tcPr>
            <w:tcW w:w="512" w:type="pct"/>
            <w:noWrap/>
            <w:vAlign w:val="center"/>
          </w:tcPr>
          <w:p w:rsidR="000A7585" w:rsidRPr="00AE6EDB" w:rsidRDefault="000A7585" w:rsidP="00DE0EEC">
            <w:pPr>
              <w:jc w:val="right"/>
              <w:rPr>
                <w:sz w:val="19"/>
                <w:szCs w:val="19"/>
              </w:rPr>
            </w:pPr>
            <w:r w:rsidRPr="00AE6EDB">
              <w:rPr>
                <w:sz w:val="19"/>
                <w:szCs w:val="19"/>
              </w:rPr>
              <w:t>0</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0</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rekvalifikácia a rekvalifikačné</w:t>
            </w:r>
          </w:p>
        </w:tc>
        <w:tc>
          <w:tcPr>
            <w:tcW w:w="439" w:type="pct"/>
            <w:noWrap/>
            <w:vAlign w:val="center"/>
          </w:tcPr>
          <w:p w:rsidR="000A7585" w:rsidRPr="00AE6EDB" w:rsidRDefault="000A7585" w:rsidP="00DE0EEC">
            <w:pPr>
              <w:jc w:val="right"/>
              <w:rPr>
                <w:sz w:val="19"/>
                <w:szCs w:val="19"/>
              </w:rPr>
            </w:pPr>
            <w:r w:rsidRPr="00AE6EDB">
              <w:rPr>
                <w:sz w:val="19"/>
                <w:szCs w:val="19"/>
              </w:rPr>
              <w:t>0</w:t>
            </w:r>
          </w:p>
        </w:tc>
        <w:tc>
          <w:tcPr>
            <w:tcW w:w="512" w:type="pct"/>
            <w:noWrap/>
            <w:vAlign w:val="center"/>
          </w:tcPr>
          <w:p w:rsidR="000A7585" w:rsidRPr="00AE6EDB" w:rsidRDefault="000A7585" w:rsidP="00DE0EEC">
            <w:pPr>
              <w:jc w:val="right"/>
              <w:rPr>
                <w:sz w:val="19"/>
                <w:szCs w:val="19"/>
              </w:rPr>
            </w:pPr>
            <w:r w:rsidRPr="00AE6EDB">
              <w:rPr>
                <w:sz w:val="19"/>
                <w:szCs w:val="19"/>
              </w:rPr>
              <w:t>0</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0</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za bolesť a náhrada za sťaženie spoločenského uplatnenia</w:t>
            </w:r>
          </w:p>
        </w:tc>
        <w:tc>
          <w:tcPr>
            <w:tcW w:w="439" w:type="pct"/>
            <w:noWrap/>
            <w:vAlign w:val="center"/>
          </w:tcPr>
          <w:p w:rsidR="000A7585" w:rsidRPr="00AE6EDB" w:rsidRDefault="0054295F" w:rsidP="00DE0EEC">
            <w:pPr>
              <w:jc w:val="right"/>
              <w:rPr>
                <w:sz w:val="19"/>
                <w:szCs w:val="19"/>
              </w:rPr>
            </w:pPr>
            <w:r>
              <w:rPr>
                <w:sz w:val="19"/>
                <w:szCs w:val="19"/>
              </w:rPr>
              <w:t>1 1</w:t>
            </w:r>
            <w:r w:rsidR="000A7585" w:rsidRPr="00AE6EDB">
              <w:rPr>
                <w:sz w:val="19"/>
                <w:szCs w:val="19"/>
              </w:rPr>
              <w:t>60</w:t>
            </w:r>
          </w:p>
        </w:tc>
        <w:tc>
          <w:tcPr>
            <w:tcW w:w="512" w:type="pct"/>
            <w:noWrap/>
            <w:vAlign w:val="center"/>
          </w:tcPr>
          <w:p w:rsidR="000A7585" w:rsidRPr="00AE6EDB" w:rsidRDefault="0054295F" w:rsidP="00DE0EEC">
            <w:pPr>
              <w:jc w:val="right"/>
              <w:rPr>
                <w:sz w:val="19"/>
                <w:szCs w:val="19"/>
              </w:rPr>
            </w:pPr>
            <w:r>
              <w:rPr>
                <w:sz w:val="19"/>
                <w:szCs w:val="19"/>
              </w:rPr>
              <w:t>1 1</w:t>
            </w:r>
            <w:r w:rsidR="000A7585" w:rsidRPr="00AE6EDB">
              <w:rPr>
                <w:sz w:val="19"/>
                <w:szCs w:val="19"/>
              </w:rPr>
              <w:t>04</w:t>
            </w:r>
          </w:p>
        </w:tc>
        <w:tc>
          <w:tcPr>
            <w:tcW w:w="587" w:type="pct"/>
            <w:noWrap/>
            <w:vAlign w:val="center"/>
          </w:tcPr>
          <w:p w:rsidR="000A7585" w:rsidRPr="00AE6EDB" w:rsidRDefault="0054295F" w:rsidP="00DE0EEC">
            <w:pPr>
              <w:jc w:val="right"/>
              <w:rPr>
                <w:sz w:val="19"/>
                <w:szCs w:val="19"/>
              </w:rPr>
            </w:pPr>
            <w:r>
              <w:rPr>
                <w:sz w:val="19"/>
                <w:szCs w:val="19"/>
              </w:rPr>
              <w:t>1 1</w:t>
            </w:r>
            <w:r w:rsidR="000A7585" w:rsidRPr="00AE6EDB">
              <w:rPr>
                <w:sz w:val="19"/>
                <w:szCs w:val="19"/>
              </w:rPr>
              <w:t>52</w:t>
            </w:r>
          </w:p>
        </w:tc>
        <w:tc>
          <w:tcPr>
            <w:tcW w:w="513" w:type="pct"/>
            <w:noWrap/>
            <w:vAlign w:val="center"/>
          </w:tcPr>
          <w:p w:rsidR="000A7585" w:rsidRPr="00AE6EDB" w:rsidRDefault="0054295F" w:rsidP="00DE0EEC">
            <w:pPr>
              <w:jc w:val="right"/>
              <w:rPr>
                <w:sz w:val="19"/>
                <w:szCs w:val="19"/>
              </w:rPr>
            </w:pPr>
            <w:r>
              <w:rPr>
                <w:sz w:val="19"/>
                <w:szCs w:val="19"/>
              </w:rPr>
              <w:t>1 4</w:t>
            </w:r>
            <w:r w:rsidR="000A7585" w:rsidRPr="00AE6EDB">
              <w:rPr>
                <w:sz w:val="19"/>
                <w:szCs w:val="19"/>
              </w:rPr>
              <w:t>39</w:t>
            </w:r>
          </w:p>
        </w:tc>
        <w:tc>
          <w:tcPr>
            <w:tcW w:w="586" w:type="pct"/>
            <w:noWrap/>
            <w:vAlign w:val="center"/>
          </w:tcPr>
          <w:p w:rsidR="000A7585" w:rsidRPr="00AE6EDB" w:rsidRDefault="0054295F" w:rsidP="00DE0EEC">
            <w:pPr>
              <w:jc w:val="right"/>
              <w:rPr>
                <w:sz w:val="19"/>
                <w:szCs w:val="19"/>
              </w:rPr>
            </w:pPr>
            <w:r>
              <w:rPr>
                <w:sz w:val="19"/>
                <w:szCs w:val="19"/>
              </w:rPr>
              <w:t>1 1</w:t>
            </w:r>
            <w:r w:rsidR="000A7585" w:rsidRPr="00AE6EDB">
              <w:rPr>
                <w:sz w:val="19"/>
                <w:szCs w:val="19"/>
              </w:rPr>
              <w:t>97</w:t>
            </w:r>
          </w:p>
        </w:tc>
        <w:tc>
          <w:tcPr>
            <w:tcW w:w="586" w:type="pct"/>
            <w:noWrap/>
            <w:vAlign w:val="center"/>
          </w:tcPr>
          <w:p w:rsidR="000A7585" w:rsidRPr="00AE6EDB" w:rsidRDefault="0054295F" w:rsidP="00DE0EEC">
            <w:pPr>
              <w:jc w:val="right"/>
              <w:rPr>
                <w:sz w:val="19"/>
                <w:szCs w:val="19"/>
              </w:rPr>
            </w:pPr>
            <w:r>
              <w:rPr>
                <w:sz w:val="19"/>
                <w:szCs w:val="19"/>
              </w:rPr>
              <w:t>1 1</w:t>
            </w:r>
            <w:r w:rsidR="000A7585" w:rsidRPr="00AE6EDB">
              <w:rPr>
                <w:sz w:val="19"/>
                <w:szCs w:val="19"/>
              </w:rPr>
              <w:t>38</w:t>
            </w:r>
          </w:p>
        </w:tc>
        <w:tc>
          <w:tcPr>
            <w:tcW w:w="521" w:type="pct"/>
            <w:noWrap/>
            <w:vAlign w:val="center"/>
          </w:tcPr>
          <w:p w:rsidR="000A7585" w:rsidRPr="00AE6EDB" w:rsidRDefault="00AC44CB" w:rsidP="00DE0EEC">
            <w:pPr>
              <w:jc w:val="right"/>
              <w:rPr>
                <w:sz w:val="19"/>
                <w:szCs w:val="19"/>
              </w:rPr>
            </w:pPr>
            <w:r>
              <w:rPr>
                <w:sz w:val="19"/>
                <w:szCs w:val="19"/>
              </w:rPr>
              <w:t>7 1</w:t>
            </w:r>
            <w:r w:rsidR="000A7585" w:rsidRPr="00AE6EDB">
              <w:rPr>
                <w:sz w:val="19"/>
                <w:szCs w:val="19"/>
              </w:rPr>
              <w:t>90</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nákladov spojených s liečením</w:t>
            </w:r>
          </w:p>
        </w:tc>
        <w:tc>
          <w:tcPr>
            <w:tcW w:w="439" w:type="pct"/>
            <w:noWrap/>
            <w:vAlign w:val="center"/>
          </w:tcPr>
          <w:p w:rsidR="000A7585" w:rsidRPr="00AE6EDB" w:rsidRDefault="000A7585" w:rsidP="00DE0EEC">
            <w:pPr>
              <w:jc w:val="right"/>
              <w:rPr>
                <w:sz w:val="19"/>
                <w:szCs w:val="19"/>
              </w:rPr>
            </w:pPr>
            <w:r w:rsidRPr="00AE6EDB">
              <w:rPr>
                <w:sz w:val="19"/>
                <w:szCs w:val="19"/>
              </w:rPr>
              <w:t>9</w:t>
            </w:r>
          </w:p>
        </w:tc>
        <w:tc>
          <w:tcPr>
            <w:tcW w:w="512" w:type="pct"/>
            <w:noWrap/>
            <w:vAlign w:val="center"/>
          </w:tcPr>
          <w:p w:rsidR="000A7585" w:rsidRPr="00AE6EDB" w:rsidRDefault="000A7585" w:rsidP="00DE0EEC">
            <w:pPr>
              <w:jc w:val="right"/>
              <w:rPr>
                <w:sz w:val="19"/>
                <w:szCs w:val="19"/>
              </w:rPr>
            </w:pPr>
            <w:r w:rsidRPr="00AE6EDB">
              <w:rPr>
                <w:sz w:val="19"/>
                <w:szCs w:val="19"/>
              </w:rPr>
              <w:t>13</w:t>
            </w:r>
          </w:p>
        </w:tc>
        <w:tc>
          <w:tcPr>
            <w:tcW w:w="587" w:type="pct"/>
            <w:noWrap/>
            <w:vAlign w:val="center"/>
          </w:tcPr>
          <w:p w:rsidR="000A7585" w:rsidRPr="00AE6EDB" w:rsidRDefault="000A7585" w:rsidP="00DE0EEC">
            <w:pPr>
              <w:jc w:val="right"/>
              <w:rPr>
                <w:sz w:val="19"/>
                <w:szCs w:val="19"/>
              </w:rPr>
            </w:pPr>
            <w:r w:rsidRPr="00AE6EDB">
              <w:rPr>
                <w:sz w:val="19"/>
                <w:szCs w:val="19"/>
              </w:rPr>
              <w:t>9</w:t>
            </w:r>
          </w:p>
        </w:tc>
        <w:tc>
          <w:tcPr>
            <w:tcW w:w="513" w:type="pct"/>
            <w:noWrap/>
            <w:vAlign w:val="center"/>
          </w:tcPr>
          <w:p w:rsidR="000A7585" w:rsidRPr="00AE6EDB" w:rsidRDefault="000A7585" w:rsidP="00DE0EEC">
            <w:pPr>
              <w:jc w:val="right"/>
              <w:rPr>
                <w:sz w:val="19"/>
                <w:szCs w:val="19"/>
              </w:rPr>
            </w:pPr>
            <w:r w:rsidRPr="00AE6EDB">
              <w:rPr>
                <w:sz w:val="19"/>
                <w:szCs w:val="19"/>
              </w:rPr>
              <w:t>8</w:t>
            </w:r>
          </w:p>
        </w:tc>
        <w:tc>
          <w:tcPr>
            <w:tcW w:w="586" w:type="pct"/>
            <w:noWrap/>
            <w:vAlign w:val="center"/>
          </w:tcPr>
          <w:p w:rsidR="000A7585" w:rsidRPr="00AE6EDB" w:rsidRDefault="000A7585" w:rsidP="00DE0EEC">
            <w:pPr>
              <w:jc w:val="right"/>
              <w:rPr>
                <w:sz w:val="19"/>
                <w:szCs w:val="19"/>
              </w:rPr>
            </w:pPr>
            <w:r w:rsidRPr="00AE6EDB">
              <w:rPr>
                <w:sz w:val="19"/>
                <w:szCs w:val="19"/>
              </w:rPr>
              <w:t>8</w:t>
            </w:r>
          </w:p>
        </w:tc>
        <w:tc>
          <w:tcPr>
            <w:tcW w:w="586" w:type="pct"/>
            <w:noWrap/>
            <w:vAlign w:val="center"/>
          </w:tcPr>
          <w:p w:rsidR="000A7585" w:rsidRPr="00AE6EDB" w:rsidRDefault="000A7585" w:rsidP="00DE0EEC">
            <w:pPr>
              <w:jc w:val="right"/>
              <w:rPr>
                <w:sz w:val="19"/>
                <w:szCs w:val="19"/>
              </w:rPr>
            </w:pPr>
            <w:r w:rsidRPr="00AE6EDB">
              <w:rPr>
                <w:sz w:val="19"/>
                <w:szCs w:val="19"/>
              </w:rPr>
              <w:t>8</w:t>
            </w:r>
          </w:p>
        </w:tc>
        <w:tc>
          <w:tcPr>
            <w:tcW w:w="521" w:type="pct"/>
            <w:noWrap/>
            <w:vAlign w:val="center"/>
          </w:tcPr>
          <w:p w:rsidR="000A7585" w:rsidRPr="00AE6EDB" w:rsidRDefault="000A7585" w:rsidP="00DE0EEC">
            <w:pPr>
              <w:jc w:val="right"/>
              <w:rPr>
                <w:sz w:val="19"/>
                <w:szCs w:val="19"/>
              </w:rPr>
            </w:pPr>
            <w:r w:rsidRPr="00AE6EDB">
              <w:rPr>
                <w:sz w:val="19"/>
                <w:szCs w:val="19"/>
              </w:rPr>
              <w:t>55</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nákladov spojených s pohrebom</w:t>
            </w:r>
          </w:p>
        </w:tc>
        <w:tc>
          <w:tcPr>
            <w:tcW w:w="439" w:type="pct"/>
            <w:noWrap/>
            <w:vAlign w:val="center"/>
          </w:tcPr>
          <w:p w:rsidR="000A7585" w:rsidRPr="00AE6EDB" w:rsidRDefault="000A7585" w:rsidP="00DE0EEC">
            <w:pPr>
              <w:jc w:val="right"/>
              <w:rPr>
                <w:sz w:val="19"/>
                <w:szCs w:val="19"/>
              </w:rPr>
            </w:pPr>
            <w:r w:rsidRPr="00AE6EDB">
              <w:rPr>
                <w:sz w:val="19"/>
                <w:szCs w:val="19"/>
              </w:rPr>
              <w:t>2</w:t>
            </w:r>
          </w:p>
        </w:tc>
        <w:tc>
          <w:tcPr>
            <w:tcW w:w="512" w:type="pct"/>
            <w:noWrap/>
            <w:vAlign w:val="center"/>
          </w:tcPr>
          <w:p w:rsidR="000A7585" w:rsidRPr="00AE6EDB" w:rsidRDefault="000A7585" w:rsidP="00DE0EEC">
            <w:pPr>
              <w:jc w:val="right"/>
              <w:rPr>
                <w:sz w:val="19"/>
                <w:szCs w:val="19"/>
              </w:rPr>
            </w:pPr>
            <w:r w:rsidRPr="00AE6EDB">
              <w:rPr>
                <w:sz w:val="19"/>
                <w:szCs w:val="19"/>
              </w:rPr>
              <w:t>5</w:t>
            </w:r>
          </w:p>
        </w:tc>
        <w:tc>
          <w:tcPr>
            <w:tcW w:w="587" w:type="pct"/>
            <w:noWrap/>
            <w:vAlign w:val="center"/>
          </w:tcPr>
          <w:p w:rsidR="000A7585" w:rsidRPr="00AE6EDB" w:rsidRDefault="000A7585" w:rsidP="00DE0EEC">
            <w:pPr>
              <w:jc w:val="right"/>
              <w:rPr>
                <w:sz w:val="19"/>
                <w:szCs w:val="19"/>
              </w:rPr>
            </w:pPr>
            <w:r w:rsidRPr="00AE6EDB">
              <w:rPr>
                <w:sz w:val="19"/>
                <w:szCs w:val="19"/>
              </w:rPr>
              <w:t>7</w:t>
            </w:r>
          </w:p>
        </w:tc>
        <w:tc>
          <w:tcPr>
            <w:tcW w:w="513" w:type="pct"/>
            <w:noWrap/>
            <w:vAlign w:val="center"/>
          </w:tcPr>
          <w:p w:rsidR="000A7585" w:rsidRPr="00AE6EDB" w:rsidRDefault="000A7585" w:rsidP="00DE0EEC">
            <w:pPr>
              <w:jc w:val="right"/>
              <w:rPr>
                <w:sz w:val="19"/>
                <w:szCs w:val="19"/>
              </w:rPr>
            </w:pPr>
            <w:r w:rsidRPr="00AE6EDB">
              <w:rPr>
                <w:sz w:val="19"/>
                <w:szCs w:val="19"/>
              </w:rPr>
              <w:t>2</w:t>
            </w:r>
          </w:p>
        </w:tc>
        <w:tc>
          <w:tcPr>
            <w:tcW w:w="586" w:type="pct"/>
            <w:noWrap/>
            <w:vAlign w:val="center"/>
          </w:tcPr>
          <w:p w:rsidR="000A7585" w:rsidRPr="00AE6EDB" w:rsidRDefault="000A7585" w:rsidP="00DE0EEC">
            <w:pPr>
              <w:jc w:val="right"/>
              <w:rPr>
                <w:sz w:val="19"/>
                <w:szCs w:val="19"/>
              </w:rPr>
            </w:pPr>
            <w:r w:rsidRPr="00AE6EDB">
              <w:rPr>
                <w:sz w:val="19"/>
                <w:szCs w:val="19"/>
              </w:rPr>
              <w:t>2</w:t>
            </w:r>
          </w:p>
        </w:tc>
        <w:tc>
          <w:tcPr>
            <w:tcW w:w="586" w:type="pct"/>
            <w:noWrap/>
            <w:vAlign w:val="center"/>
          </w:tcPr>
          <w:p w:rsidR="000A7585" w:rsidRPr="00AE6EDB" w:rsidRDefault="000A7585" w:rsidP="00DE0EEC">
            <w:pPr>
              <w:jc w:val="right"/>
              <w:rPr>
                <w:sz w:val="19"/>
                <w:szCs w:val="19"/>
              </w:rPr>
            </w:pPr>
            <w:r w:rsidRPr="00AE6EDB">
              <w:rPr>
                <w:sz w:val="19"/>
                <w:szCs w:val="19"/>
              </w:rPr>
              <w:t>4</w:t>
            </w:r>
          </w:p>
        </w:tc>
        <w:tc>
          <w:tcPr>
            <w:tcW w:w="521" w:type="pct"/>
            <w:noWrap/>
            <w:vAlign w:val="center"/>
          </w:tcPr>
          <w:p w:rsidR="000A7585" w:rsidRPr="00AE6EDB" w:rsidRDefault="000A7585" w:rsidP="00DE0EEC">
            <w:pPr>
              <w:jc w:val="right"/>
              <w:rPr>
                <w:sz w:val="19"/>
                <w:szCs w:val="19"/>
              </w:rPr>
            </w:pPr>
            <w:r w:rsidRPr="00AE6EDB">
              <w:rPr>
                <w:sz w:val="19"/>
                <w:szCs w:val="19"/>
              </w:rPr>
              <w:t>22</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výplata poistných plnení z minulých rokov</w:t>
            </w:r>
          </w:p>
        </w:tc>
        <w:tc>
          <w:tcPr>
            <w:tcW w:w="439" w:type="pct"/>
            <w:noWrap/>
            <w:vAlign w:val="center"/>
          </w:tcPr>
          <w:p w:rsidR="000A7585" w:rsidRPr="00AE6EDB" w:rsidRDefault="000A7585" w:rsidP="00DE0EEC">
            <w:pPr>
              <w:jc w:val="right"/>
              <w:rPr>
                <w:sz w:val="19"/>
                <w:szCs w:val="19"/>
              </w:rPr>
            </w:pPr>
            <w:r w:rsidRPr="00AE6EDB">
              <w:rPr>
                <w:sz w:val="19"/>
                <w:szCs w:val="19"/>
              </w:rPr>
              <w:t>20</w:t>
            </w:r>
          </w:p>
        </w:tc>
        <w:tc>
          <w:tcPr>
            <w:tcW w:w="512" w:type="pct"/>
            <w:noWrap/>
            <w:vAlign w:val="center"/>
          </w:tcPr>
          <w:p w:rsidR="000A7585" w:rsidRPr="00AE6EDB" w:rsidRDefault="000A7585" w:rsidP="00DE0EEC">
            <w:pPr>
              <w:jc w:val="right"/>
              <w:rPr>
                <w:sz w:val="19"/>
                <w:szCs w:val="19"/>
              </w:rPr>
            </w:pPr>
            <w:r w:rsidRPr="00AE6EDB">
              <w:rPr>
                <w:sz w:val="19"/>
                <w:szCs w:val="19"/>
              </w:rPr>
              <w:t>0</w:t>
            </w:r>
          </w:p>
        </w:tc>
        <w:tc>
          <w:tcPr>
            <w:tcW w:w="587" w:type="pct"/>
            <w:noWrap/>
            <w:vAlign w:val="center"/>
          </w:tcPr>
          <w:p w:rsidR="000A7585" w:rsidRPr="00AE6EDB" w:rsidRDefault="000A7585" w:rsidP="00DE0EEC">
            <w:pPr>
              <w:jc w:val="right"/>
              <w:rPr>
                <w:sz w:val="19"/>
                <w:szCs w:val="19"/>
              </w:rPr>
            </w:pPr>
            <w:r w:rsidRPr="00AE6EDB">
              <w:rPr>
                <w:sz w:val="19"/>
                <w:szCs w:val="19"/>
              </w:rPr>
              <w:t>1</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29</w:t>
            </w:r>
          </w:p>
        </w:tc>
        <w:tc>
          <w:tcPr>
            <w:tcW w:w="586" w:type="pct"/>
            <w:noWrap/>
            <w:vAlign w:val="center"/>
          </w:tcPr>
          <w:p w:rsidR="000A7585" w:rsidRPr="00AE6EDB" w:rsidRDefault="000A7585" w:rsidP="00DE0EEC">
            <w:pPr>
              <w:jc w:val="right"/>
              <w:rPr>
                <w:sz w:val="19"/>
                <w:szCs w:val="19"/>
              </w:rPr>
            </w:pPr>
            <w:r w:rsidRPr="00AE6EDB">
              <w:rPr>
                <w:sz w:val="19"/>
                <w:szCs w:val="19"/>
              </w:rPr>
              <w:t>8</w:t>
            </w:r>
          </w:p>
        </w:tc>
        <w:tc>
          <w:tcPr>
            <w:tcW w:w="521" w:type="pct"/>
            <w:noWrap/>
            <w:vAlign w:val="center"/>
          </w:tcPr>
          <w:p w:rsidR="000A7585" w:rsidRPr="00AE6EDB" w:rsidRDefault="000A7585" w:rsidP="00DE0EEC">
            <w:pPr>
              <w:jc w:val="right"/>
              <w:rPr>
                <w:sz w:val="19"/>
                <w:szCs w:val="19"/>
              </w:rPr>
            </w:pPr>
            <w:r w:rsidRPr="00AE6EDB">
              <w:rPr>
                <w:sz w:val="19"/>
                <w:szCs w:val="19"/>
              </w:rPr>
              <w:t>57</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zúčtovanie dávok podľa §112, ods.8</w:t>
            </w:r>
          </w:p>
        </w:tc>
        <w:tc>
          <w:tcPr>
            <w:tcW w:w="439" w:type="pct"/>
            <w:noWrap/>
            <w:vAlign w:val="center"/>
          </w:tcPr>
          <w:p w:rsidR="000A7585" w:rsidRPr="00AE6EDB" w:rsidRDefault="000A7585" w:rsidP="00DE0EEC">
            <w:pPr>
              <w:jc w:val="right"/>
              <w:rPr>
                <w:sz w:val="19"/>
                <w:szCs w:val="19"/>
              </w:rPr>
            </w:pPr>
            <w:r w:rsidRPr="00AE6EDB">
              <w:rPr>
                <w:sz w:val="19"/>
                <w:szCs w:val="19"/>
              </w:rPr>
              <w:t>0</w:t>
            </w:r>
          </w:p>
        </w:tc>
        <w:tc>
          <w:tcPr>
            <w:tcW w:w="512" w:type="pct"/>
            <w:noWrap/>
            <w:vAlign w:val="center"/>
          </w:tcPr>
          <w:p w:rsidR="000A7585" w:rsidRPr="00AE6EDB" w:rsidRDefault="000A7585" w:rsidP="00DE0EEC">
            <w:pPr>
              <w:jc w:val="right"/>
              <w:rPr>
                <w:sz w:val="19"/>
                <w:szCs w:val="19"/>
              </w:rPr>
            </w:pPr>
            <w:r w:rsidRPr="00AE6EDB">
              <w:rPr>
                <w:sz w:val="19"/>
                <w:szCs w:val="19"/>
              </w:rPr>
              <w:t>-10</w:t>
            </w:r>
          </w:p>
        </w:tc>
        <w:tc>
          <w:tcPr>
            <w:tcW w:w="587" w:type="pct"/>
            <w:noWrap/>
            <w:vAlign w:val="center"/>
          </w:tcPr>
          <w:p w:rsidR="000A7585" w:rsidRPr="00AE6EDB" w:rsidRDefault="000A7585" w:rsidP="00DE0EEC">
            <w:pPr>
              <w:jc w:val="right"/>
              <w:rPr>
                <w:sz w:val="19"/>
                <w:szCs w:val="19"/>
              </w:rPr>
            </w:pPr>
            <w:r w:rsidRPr="00AE6EDB">
              <w:rPr>
                <w:sz w:val="19"/>
                <w:szCs w:val="19"/>
              </w:rPr>
              <w:t>-7</w:t>
            </w:r>
          </w:p>
        </w:tc>
        <w:tc>
          <w:tcPr>
            <w:tcW w:w="513" w:type="pct"/>
            <w:noWrap/>
            <w:vAlign w:val="center"/>
          </w:tcPr>
          <w:p w:rsidR="000A7585" w:rsidRPr="00AE6EDB" w:rsidRDefault="000A7585" w:rsidP="00DE0EEC">
            <w:pPr>
              <w:jc w:val="right"/>
              <w:rPr>
                <w:sz w:val="19"/>
                <w:szCs w:val="19"/>
              </w:rPr>
            </w:pPr>
            <w:r w:rsidRPr="00AE6EDB">
              <w:rPr>
                <w:sz w:val="19"/>
                <w:szCs w:val="19"/>
              </w:rPr>
              <w:t>-1</w:t>
            </w:r>
          </w:p>
        </w:tc>
        <w:tc>
          <w:tcPr>
            <w:tcW w:w="586" w:type="pct"/>
            <w:noWrap/>
            <w:vAlign w:val="center"/>
          </w:tcPr>
          <w:p w:rsidR="000A7585" w:rsidRPr="00AE6EDB" w:rsidRDefault="000A7585" w:rsidP="00DE0EEC">
            <w:pPr>
              <w:jc w:val="right"/>
              <w:rPr>
                <w:sz w:val="19"/>
                <w:szCs w:val="19"/>
              </w:rPr>
            </w:pPr>
            <w:r w:rsidRPr="00AE6EDB">
              <w:rPr>
                <w:sz w:val="19"/>
                <w:szCs w:val="19"/>
              </w:rPr>
              <w:t>-3</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-21</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Spolu</w:t>
            </w:r>
          </w:p>
        </w:tc>
        <w:tc>
          <w:tcPr>
            <w:tcW w:w="439" w:type="pct"/>
            <w:noWrap/>
            <w:vAlign w:val="center"/>
          </w:tcPr>
          <w:p w:rsidR="000A7585" w:rsidRPr="00AE6EDB" w:rsidRDefault="0054295F" w:rsidP="00DE0EEC">
            <w:pPr>
              <w:jc w:val="right"/>
              <w:rPr>
                <w:sz w:val="19"/>
                <w:szCs w:val="19"/>
              </w:rPr>
            </w:pPr>
            <w:r>
              <w:rPr>
                <w:sz w:val="19"/>
                <w:szCs w:val="19"/>
              </w:rPr>
              <w:t>3 6</w:t>
            </w:r>
            <w:r w:rsidR="000A7585" w:rsidRPr="00AE6EDB">
              <w:rPr>
                <w:sz w:val="19"/>
                <w:szCs w:val="19"/>
              </w:rPr>
              <w:t>34</w:t>
            </w:r>
          </w:p>
        </w:tc>
        <w:tc>
          <w:tcPr>
            <w:tcW w:w="512" w:type="pct"/>
            <w:noWrap/>
            <w:vAlign w:val="center"/>
          </w:tcPr>
          <w:p w:rsidR="000A7585" w:rsidRPr="00AE6EDB" w:rsidRDefault="0054295F" w:rsidP="00DE0EEC">
            <w:pPr>
              <w:jc w:val="right"/>
              <w:rPr>
                <w:sz w:val="19"/>
                <w:szCs w:val="19"/>
              </w:rPr>
            </w:pPr>
            <w:r>
              <w:rPr>
                <w:sz w:val="19"/>
                <w:szCs w:val="19"/>
              </w:rPr>
              <w:t>3 5</w:t>
            </w:r>
            <w:r w:rsidR="000A7585" w:rsidRPr="00AE6EDB">
              <w:rPr>
                <w:sz w:val="19"/>
                <w:szCs w:val="19"/>
              </w:rPr>
              <w:t>22</w:t>
            </w:r>
          </w:p>
        </w:tc>
        <w:tc>
          <w:tcPr>
            <w:tcW w:w="587" w:type="pct"/>
            <w:noWrap/>
            <w:vAlign w:val="center"/>
          </w:tcPr>
          <w:p w:rsidR="000A7585" w:rsidRPr="00AE6EDB" w:rsidRDefault="0054295F" w:rsidP="00DE0EEC">
            <w:pPr>
              <w:jc w:val="right"/>
              <w:rPr>
                <w:sz w:val="19"/>
                <w:szCs w:val="19"/>
              </w:rPr>
            </w:pPr>
            <w:r>
              <w:rPr>
                <w:sz w:val="19"/>
                <w:szCs w:val="19"/>
              </w:rPr>
              <w:t>3 6</w:t>
            </w:r>
            <w:r w:rsidR="000A7585" w:rsidRPr="00AE6EDB">
              <w:rPr>
                <w:sz w:val="19"/>
                <w:szCs w:val="19"/>
              </w:rPr>
              <w:t>42</w:t>
            </w:r>
          </w:p>
        </w:tc>
        <w:tc>
          <w:tcPr>
            <w:tcW w:w="513" w:type="pct"/>
            <w:noWrap/>
            <w:vAlign w:val="center"/>
          </w:tcPr>
          <w:p w:rsidR="000A7585" w:rsidRPr="00AE6EDB" w:rsidRDefault="0054295F" w:rsidP="00DE0EEC">
            <w:pPr>
              <w:jc w:val="right"/>
              <w:rPr>
                <w:sz w:val="19"/>
                <w:szCs w:val="19"/>
              </w:rPr>
            </w:pPr>
            <w:r>
              <w:rPr>
                <w:sz w:val="19"/>
                <w:szCs w:val="19"/>
              </w:rPr>
              <w:t>4 0</w:t>
            </w:r>
            <w:r w:rsidR="000A7585" w:rsidRPr="00AE6EDB">
              <w:rPr>
                <w:sz w:val="19"/>
                <w:szCs w:val="19"/>
              </w:rPr>
              <w:t>11</w:t>
            </w:r>
          </w:p>
        </w:tc>
        <w:tc>
          <w:tcPr>
            <w:tcW w:w="586" w:type="pct"/>
            <w:noWrap/>
            <w:vAlign w:val="center"/>
          </w:tcPr>
          <w:p w:rsidR="000A7585" w:rsidRPr="00AE6EDB" w:rsidRDefault="0054295F" w:rsidP="00DE0EEC">
            <w:pPr>
              <w:jc w:val="right"/>
              <w:rPr>
                <w:sz w:val="19"/>
                <w:szCs w:val="19"/>
              </w:rPr>
            </w:pPr>
            <w:r>
              <w:rPr>
                <w:sz w:val="19"/>
                <w:szCs w:val="19"/>
              </w:rPr>
              <w:t>3 7</w:t>
            </w:r>
            <w:r w:rsidR="000A7585" w:rsidRPr="00AE6EDB">
              <w:rPr>
                <w:sz w:val="19"/>
                <w:szCs w:val="19"/>
              </w:rPr>
              <w:t>08</w:t>
            </w:r>
          </w:p>
        </w:tc>
        <w:tc>
          <w:tcPr>
            <w:tcW w:w="586" w:type="pct"/>
            <w:noWrap/>
            <w:vAlign w:val="center"/>
          </w:tcPr>
          <w:p w:rsidR="000A7585" w:rsidRPr="00AE6EDB" w:rsidRDefault="0054295F" w:rsidP="00DE0EEC">
            <w:pPr>
              <w:jc w:val="right"/>
              <w:rPr>
                <w:sz w:val="19"/>
                <w:szCs w:val="19"/>
              </w:rPr>
            </w:pPr>
            <w:r>
              <w:rPr>
                <w:sz w:val="19"/>
                <w:szCs w:val="19"/>
              </w:rPr>
              <w:t>3 5</w:t>
            </w:r>
            <w:r w:rsidR="000A7585" w:rsidRPr="00AE6EDB">
              <w:rPr>
                <w:sz w:val="19"/>
                <w:szCs w:val="19"/>
              </w:rPr>
              <w:t>91</w:t>
            </w:r>
          </w:p>
        </w:tc>
        <w:tc>
          <w:tcPr>
            <w:tcW w:w="521" w:type="pct"/>
            <w:noWrap/>
            <w:vAlign w:val="center"/>
          </w:tcPr>
          <w:p w:rsidR="000A7585" w:rsidRPr="00AE6EDB" w:rsidRDefault="000A7585" w:rsidP="00DE0EEC">
            <w:pPr>
              <w:jc w:val="right"/>
              <w:rPr>
                <w:sz w:val="19"/>
                <w:szCs w:val="19"/>
              </w:rPr>
            </w:pPr>
            <w:r w:rsidRPr="00AE6EDB">
              <w:rPr>
                <w:sz w:val="19"/>
                <w:szCs w:val="19"/>
              </w:rPr>
              <w:t>2</w:t>
            </w:r>
            <w:r w:rsidR="0054295F">
              <w:rPr>
                <w:sz w:val="19"/>
                <w:szCs w:val="19"/>
              </w:rPr>
              <w:t>2 1</w:t>
            </w:r>
            <w:r w:rsidRPr="00AE6EDB">
              <w:rPr>
                <w:sz w:val="19"/>
                <w:szCs w:val="19"/>
              </w:rPr>
              <w:t>08</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18</w:t>
            </w:r>
            <w:r w:rsidR="005676EF">
              <w:rPr>
                <w:sz w:val="19"/>
                <w:szCs w:val="19"/>
              </w:rPr>
              <w:t> %</w:t>
            </w:r>
            <w:r w:rsidRPr="00AE6EDB">
              <w:rPr>
                <w:sz w:val="19"/>
                <w:szCs w:val="19"/>
              </w:rPr>
              <w:t xml:space="preserve"> prevod finančných prostriedkov do ZFSP za poberanie úrazovej renty</w:t>
            </w:r>
          </w:p>
        </w:tc>
        <w:tc>
          <w:tcPr>
            <w:tcW w:w="439" w:type="pct"/>
            <w:noWrap/>
            <w:vAlign w:val="center"/>
          </w:tcPr>
          <w:p w:rsidR="000A7585" w:rsidRPr="00AE6EDB" w:rsidRDefault="000A7585" w:rsidP="00DE0EEC">
            <w:pPr>
              <w:jc w:val="right"/>
              <w:rPr>
                <w:sz w:val="19"/>
                <w:szCs w:val="19"/>
              </w:rPr>
            </w:pPr>
            <w:r w:rsidRPr="00AE6EDB">
              <w:rPr>
                <w:sz w:val="19"/>
                <w:szCs w:val="19"/>
              </w:rPr>
              <w:t>225</w:t>
            </w:r>
          </w:p>
        </w:tc>
        <w:tc>
          <w:tcPr>
            <w:tcW w:w="512" w:type="pct"/>
            <w:noWrap/>
            <w:vAlign w:val="center"/>
          </w:tcPr>
          <w:p w:rsidR="000A7585" w:rsidRPr="00AE6EDB" w:rsidRDefault="000A7585" w:rsidP="00DE0EEC">
            <w:pPr>
              <w:jc w:val="right"/>
              <w:rPr>
                <w:sz w:val="19"/>
                <w:szCs w:val="19"/>
              </w:rPr>
            </w:pPr>
            <w:r w:rsidRPr="00AE6EDB">
              <w:rPr>
                <w:sz w:val="19"/>
                <w:szCs w:val="19"/>
              </w:rPr>
              <w:t>256</w:t>
            </w:r>
          </w:p>
        </w:tc>
        <w:tc>
          <w:tcPr>
            <w:tcW w:w="587" w:type="pct"/>
            <w:noWrap/>
            <w:vAlign w:val="center"/>
          </w:tcPr>
          <w:p w:rsidR="000A7585" w:rsidRPr="00AE6EDB" w:rsidRDefault="000A7585" w:rsidP="00DE0EEC">
            <w:pPr>
              <w:jc w:val="right"/>
              <w:rPr>
                <w:sz w:val="19"/>
                <w:szCs w:val="19"/>
              </w:rPr>
            </w:pPr>
            <w:r w:rsidRPr="00AE6EDB">
              <w:rPr>
                <w:sz w:val="19"/>
                <w:szCs w:val="19"/>
              </w:rPr>
              <w:t>230</w:t>
            </w:r>
          </w:p>
        </w:tc>
        <w:tc>
          <w:tcPr>
            <w:tcW w:w="513" w:type="pct"/>
            <w:noWrap/>
            <w:vAlign w:val="center"/>
          </w:tcPr>
          <w:p w:rsidR="000A7585" w:rsidRPr="00AE6EDB" w:rsidRDefault="000A7585" w:rsidP="00DE0EEC">
            <w:pPr>
              <w:jc w:val="right"/>
              <w:rPr>
                <w:sz w:val="19"/>
                <w:szCs w:val="19"/>
              </w:rPr>
            </w:pPr>
            <w:r w:rsidRPr="00AE6EDB">
              <w:rPr>
                <w:sz w:val="19"/>
                <w:szCs w:val="19"/>
              </w:rPr>
              <w:t>219</w:t>
            </w:r>
          </w:p>
        </w:tc>
        <w:tc>
          <w:tcPr>
            <w:tcW w:w="586" w:type="pct"/>
            <w:noWrap/>
            <w:vAlign w:val="center"/>
          </w:tcPr>
          <w:p w:rsidR="000A7585" w:rsidRPr="00AE6EDB" w:rsidRDefault="000A7585" w:rsidP="00DE0EEC">
            <w:pPr>
              <w:jc w:val="right"/>
              <w:rPr>
                <w:sz w:val="19"/>
                <w:szCs w:val="19"/>
              </w:rPr>
            </w:pPr>
            <w:r w:rsidRPr="00AE6EDB">
              <w:rPr>
                <w:sz w:val="19"/>
                <w:szCs w:val="19"/>
              </w:rPr>
              <w:t>243</w:t>
            </w:r>
          </w:p>
        </w:tc>
        <w:tc>
          <w:tcPr>
            <w:tcW w:w="586" w:type="pct"/>
            <w:noWrap/>
            <w:vAlign w:val="center"/>
          </w:tcPr>
          <w:p w:rsidR="000A7585" w:rsidRPr="00AE6EDB" w:rsidRDefault="000A7585" w:rsidP="00DE0EEC">
            <w:pPr>
              <w:jc w:val="right"/>
              <w:rPr>
                <w:sz w:val="19"/>
                <w:szCs w:val="19"/>
              </w:rPr>
            </w:pPr>
            <w:r w:rsidRPr="00AE6EDB">
              <w:rPr>
                <w:sz w:val="19"/>
                <w:szCs w:val="19"/>
              </w:rPr>
              <w:t>251</w:t>
            </w:r>
          </w:p>
        </w:tc>
        <w:tc>
          <w:tcPr>
            <w:tcW w:w="521" w:type="pct"/>
            <w:noWrap/>
            <w:vAlign w:val="center"/>
          </w:tcPr>
          <w:p w:rsidR="000A7585" w:rsidRPr="00AE6EDB" w:rsidRDefault="0054295F" w:rsidP="00DE0EEC">
            <w:pPr>
              <w:jc w:val="right"/>
              <w:rPr>
                <w:sz w:val="19"/>
                <w:szCs w:val="19"/>
              </w:rPr>
            </w:pPr>
            <w:r>
              <w:rPr>
                <w:sz w:val="19"/>
                <w:szCs w:val="19"/>
              </w:rPr>
              <w:t>1 4</w:t>
            </w:r>
            <w:r w:rsidR="000A7585" w:rsidRPr="00AE6EDB">
              <w:rPr>
                <w:sz w:val="19"/>
                <w:szCs w:val="19"/>
              </w:rPr>
              <w:t>24</w:t>
            </w:r>
          </w:p>
        </w:tc>
      </w:tr>
      <w:tr w:rsidR="000A7585" w:rsidRPr="00AE6EDB" w:rsidTr="00DE0EEC">
        <w:trPr>
          <w:trHeight w:val="271"/>
          <w:jc w:val="center"/>
        </w:trPr>
        <w:tc>
          <w:tcPr>
            <w:tcW w:w="1255" w:type="pct"/>
            <w:noWrap/>
            <w:vAlign w:val="center"/>
          </w:tcPr>
          <w:p w:rsidR="000A7585" w:rsidRPr="00AE6EDB" w:rsidRDefault="000A7585" w:rsidP="00DE0EEC">
            <w:pPr>
              <w:jc w:val="left"/>
              <w:rPr>
                <w:b/>
                <w:bCs/>
                <w:sz w:val="19"/>
                <w:szCs w:val="19"/>
              </w:rPr>
            </w:pPr>
            <w:r w:rsidRPr="00AE6EDB">
              <w:rPr>
                <w:b/>
                <w:sz w:val="19"/>
                <w:szCs w:val="19"/>
              </w:rPr>
              <w:t>Celkom</w:t>
            </w:r>
            <w:r w:rsidRPr="00AE6EDB">
              <w:rPr>
                <w:b/>
                <w:bCs/>
                <w:sz w:val="19"/>
                <w:szCs w:val="19"/>
              </w:rPr>
              <w:t xml:space="preserve"> výdavky ZFÚP</w:t>
            </w:r>
          </w:p>
        </w:tc>
        <w:tc>
          <w:tcPr>
            <w:tcW w:w="439" w:type="pct"/>
            <w:noWrap/>
            <w:vAlign w:val="center"/>
          </w:tcPr>
          <w:p w:rsidR="000A7585" w:rsidRPr="00AE6EDB" w:rsidRDefault="0054295F" w:rsidP="00DE0EEC">
            <w:pPr>
              <w:jc w:val="right"/>
              <w:rPr>
                <w:sz w:val="19"/>
                <w:szCs w:val="19"/>
              </w:rPr>
            </w:pPr>
            <w:r>
              <w:rPr>
                <w:sz w:val="19"/>
                <w:szCs w:val="19"/>
              </w:rPr>
              <w:t>3 8</w:t>
            </w:r>
            <w:r w:rsidR="000A7585" w:rsidRPr="00AE6EDB">
              <w:rPr>
                <w:sz w:val="19"/>
                <w:szCs w:val="19"/>
              </w:rPr>
              <w:t>59</w:t>
            </w:r>
          </w:p>
        </w:tc>
        <w:tc>
          <w:tcPr>
            <w:tcW w:w="512" w:type="pct"/>
            <w:noWrap/>
            <w:vAlign w:val="center"/>
          </w:tcPr>
          <w:p w:rsidR="000A7585" w:rsidRPr="00AE6EDB" w:rsidRDefault="0054295F" w:rsidP="00DE0EEC">
            <w:pPr>
              <w:jc w:val="right"/>
              <w:rPr>
                <w:sz w:val="19"/>
                <w:szCs w:val="19"/>
              </w:rPr>
            </w:pPr>
            <w:r>
              <w:rPr>
                <w:sz w:val="19"/>
                <w:szCs w:val="19"/>
              </w:rPr>
              <w:t>3 7</w:t>
            </w:r>
            <w:r w:rsidR="000A7585" w:rsidRPr="00AE6EDB">
              <w:rPr>
                <w:sz w:val="19"/>
                <w:szCs w:val="19"/>
              </w:rPr>
              <w:t>78</w:t>
            </w:r>
          </w:p>
        </w:tc>
        <w:tc>
          <w:tcPr>
            <w:tcW w:w="587" w:type="pct"/>
            <w:noWrap/>
            <w:vAlign w:val="center"/>
          </w:tcPr>
          <w:p w:rsidR="000A7585" w:rsidRPr="00AE6EDB" w:rsidRDefault="0054295F" w:rsidP="00DE0EEC">
            <w:pPr>
              <w:jc w:val="right"/>
              <w:rPr>
                <w:sz w:val="19"/>
                <w:szCs w:val="19"/>
              </w:rPr>
            </w:pPr>
            <w:r>
              <w:rPr>
                <w:sz w:val="19"/>
                <w:szCs w:val="19"/>
              </w:rPr>
              <w:t>3 8</w:t>
            </w:r>
            <w:r w:rsidR="000A7585" w:rsidRPr="00AE6EDB">
              <w:rPr>
                <w:sz w:val="19"/>
                <w:szCs w:val="19"/>
              </w:rPr>
              <w:t>73</w:t>
            </w:r>
          </w:p>
        </w:tc>
        <w:tc>
          <w:tcPr>
            <w:tcW w:w="513" w:type="pct"/>
            <w:noWrap/>
            <w:vAlign w:val="center"/>
          </w:tcPr>
          <w:p w:rsidR="000A7585" w:rsidRPr="00AE6EDB" w:rsidRDefault="0054295F" w:rsidP="00DE0EEC">
            <w:pPr>
              <w:jc w:val="right"/>
              <w:rPr>
                <w:sz w:val="19"/>
                <w:szCs w:val="19"/>
              </w:rPr>
            </w:pPr>
            <w:r>
              <w:rPr>
                <w:sz w:val="19"/>
                <w:szCs w:val="19"/>
              </w:rPr>
              <w:t>4 2</w:t>
            </w:r>
            <w:r w:rsidR="000A7585" w:rsidRPr="00AE6EDB">
              <w:rPr>
                <w:sz w:val="19"/>
                <w:szCs w:val="19"/>
              </w:rPr>
              <w:t>31</w:t>
            </w:r>
          </w:p>
        </w:tc>
        <w:tc>
          <w:tcPr>
            <w:tcW w:w="586" w:type="pct"/>
            <w:noWrap/>
            <w:vAlign w:val="center"/>
          </w:tcPr>
          <w:p w:rsidR="000A7585" w:rsidRPr="00AE6EDB" w:rsidRDefault="0054295F" w:rsidP="00DE0EEC">
            <w:pPr>
              <w:jc w:val="right"/>
              <w:rPr>
                <w:sz w:val="19"/>
                <w:szCs w:val="19"/>
              </w:rPr>
            </w:pPr>
            <w:r>
              <w:rPr>
                <w:sz w:val="19"/>
                <w:szCs w:val="19"/>
              </w:rPr>
              <w:t>3 9</w:t>
            </w:r>
            <w:r w:rsidR="000A7585" w:rsidRPr="00AE6EDB">
              <w:rPr>
                <w:sz w:val="19"/>
                <w:szCs w:val="19"/>
              </w:rPr>
              <w:t>51</w:t>
            </w:r>
          </w:p>
        </w:tc>
        <w:tc>
          <w:tcPr>
            <w:tcW w:w="586" w:type="pct"/>
            <w:noWrap/>
            <w:vAlign w:val="center"/>
          </w:tcPr>
          <w:p w:rsidR="000A7585" w:rsidRPr="00AE6EDB" w:rsidRDefault="0054295F" w:rsidP="00DE0EEC">
            <w:pPr>
              <w:jc w:val="right"/>
              <w:rPr>
                <w:sz w:val="19"/>
                <w:szCs w:val="19"/>
              </w:rPr>
            </w:pPr>
            <w:r>
              <w:rPr>
                <w:sz w:val="19"/>
                <w:szCs w:val="19"/>
              </w:rPr>
              <w:t>3 8</w:t>
            </w:r>
            <w:r w:rsidR="000A7585" w:rsidRPr="00AE6EDB">
              <w:rPr>
                <w:sz w:val="19"/>
                <w:szCs w:val="19"/>
              </w:rPr>
              <w:t>42</w:t>
            </w:r>
          </w:p>
        </w:tc>
        <w:tc>
          <w:tcPr>
            <w:tcW w:w="521" w:type="pct"/>
            <w:noWrap/>
            <w:vAlign w:val="center"/>
          </w:tcPr>
          <w:p w:rsidR="000A7585" w:rsidRPr="00AE6EDB" w:rsidRDefault="000A7585" w:rsidP="00DE0EEC">
            <w:pPr>
              <w:jc w:val="right"/>
              <w:rPr>
                <w:sz w:val="19"/>
                <w:szCs w:val="19"/>
              </w:rPr>
            </w:pPr>
            <w:r w:rsidRPr="00AE6EDB">
              <w:rPr>
                <w:sz w:val="19"/>
                <w:szCs w:val="19"/>
              </w:rPr>
              <w:t>2</w:t>
            </w:r>
            <w:r w:rsidR="0054295F">
              <w:rPr>
                <w:sz w:val="19"/>
                <w:szCs w:val="19"/>
              </w:rPr>
              <w:t>3 5</w:t>
            </w:r>
            <w:r w:rsidRPr="00AE6EDB">
              <w:rPr>
                <w:sz w:val="19"/>
                <w:szCs w:val="19"/>
              </w:rPr>
              <w:t>33</w:t>
            </w:r>
          </w:p>
        </w:tc>
      </w:tr>
      <w:tr w:rsidR="000A7585" w:rsidRPr="00AE6EDB" w:rsidTr="00DE0EEC">
        <w:trPr>
          <w:trHeight w:hRule="exact" w:val="170"/>
          <w:jc w:val="center"/>
        </w:trPr>
        <w:tc>
          <w:tcPr>
            <w:tcW w:w="1255" w:type="pct"/>
            <w:noWrap/>
            <w:vAlign w:val="bottom"/>
          </w:tcPr>
          <w:p w:rsidR="000A7585" w:rsidRPr="00AE6EDB" w:rsidRDefault="000A7585" w:rsidP="00DE0EEC">
            <w:pPr>
              <w:jc w:val="left"/>
              <w:rPr>
                <w:sz w:val="19"/>
                <w:szCs w:val="19"/>
              </w:rPr>
            </w:pPr>
          </w:p>
        </w:tc>
        <w:tc>
          <w:tcPr>
            <w:tcW w:w="439" w:type="pct"/>
            <w:noWrap/>
            <w:vAlign w:val="bottom"/>
          </w:tcPr>
          <w:p w:rsidR="000A7585" w:rsidRPr="00AE6EDB" w:rsidRDefault="000A7585" w:rsidP="00DE0EEC">
            <w:pPr>
              <w:keepLines/>
              <w:rPr>
                <w:sz w:val="19"/>
                <w:szCs w:val="19"/>
              </w:rPr>
            </w:pPr>
          </w:p>
        </w:tc>
        <w:tc>
          <w:tcPr>
            <w:tcW w:w="512" w:type="pct"/>
            <w:noWrap/>
            <w:vAlign w:val="bottom"/>
          </w:tcPr>
          <w:p w:rsidR="000A7585" w:rsidRPr="00AE6EDB" w:rsidRDefault="000A7585" w:rsidP="00DE0EEC">
            <w:pPr>
              <w:keepLines/>
              <w:rPr>
                <w:sz w:val="19"/>
                <w:szCs w:val="19"/>
              </w:rPr>
            </w:pPr>
          </w:p>
        </w:tc>
        <w:tc>
          <w:tcPr>
            <w:tcW w:w="587" w:type="pct"/>
            <w:noWrap/>
            <w:vAlign w:val="bottom"/>
          </w:tcPr>
          <w:p w:rsidR="000A7585" w:rsidRPr="00AE6EDB" w:rsidRDefault="000A7585" w:rsidP="00DE0EEC">
            <w:pPr>
              <w:keepLines/>
              <w:rPr>
                <w:sz w:val="19"/>
                <w:szCs w:val="19"/>
              </w:rPr>
            </w:pPr>
          </w:p>
        </w:tc>
        <w:tc>
          <w:tcPr>
            <w:tcW w:w="513" w:type="pct"/>
            <w:noWrap/>
            <w:vAlign w:val="bottom"/>
          </w:tcPr>
          <w:p w:rsidR="000A7585" w:rsidRPr="00AE6EDB" w:rsidRDefault="000A7585" w:rsidP="00DE0EEC">
            <w:pPr>
              <w:keepLines/>
              <w:rPr>
                <w:sz w:val="19"/>
                <w:szCs w:val="19"/>
              </w:rPr>
            </w:pPr>
          </w:p>
        </w:tc>
        <w:tc>
          <w:tcPr>
            <w:tcW w:w="586" w:type="pct"/>
            <w:noWrap/>
            <w:vAlign w:val="bottom"/>
          </w:tcPr>
          <w:p w:rsidR="000A7585" w:rsidRPr="00AE6EDB" w:rsidRDefault="000A7585" w:rsidP="00DE0EEC">
            <w:pPr>
              <w:keepLines/>
              <w:rPr>
                <w:sz w:val="19"/>
                <w:szCs w:val="19"/>
              </w:rPr>
            </w:pPr>
          </w:p>
        </w:tc>
        <w:tc>
          <w:tcPr>
            <w:tcW w:w="586" w:type="pct"/>
            <w:noWrap/>
            <w:vAlign w:val="bottom"/>
          </w:tcPr>
          <w:p w:rsidR="000A7585" w:rsidRPr="00AE6EDB" w:rsidRDefault="000A7585" w:rsidP="00DE0EEC">
            <w:pPr>
              <w:keepLines/>
              <w:rPr>
                <w:sz w:val="19"/>
                <w:szCs w:val="19"/>
              </w:rPr>
            </w:pPr>
          </w:p>
        </w:tc>
        <w:tc>
          <w:tcPr>
            <w:tcW w:w="521" w:type="pct"/>
            <w:noWrap/>
            <w:vAlign w:val="bottom"/>
          </w:tcPr>
          <w:p w:rsidR="000A7585" w:rsidRPr="00AE6EDB" w:rsidRDefault="000A7585" w:rsidP="00DE0EEC">
            <w:pPr>
              <w:keepLines/>
              <w:rPr>
                <w:sz w:val="19"/>
                <w:szCs w:val="19"/>
              </w:rPr>
            </w:pPr>
          </w:p>
        </w:tc>
      </w:tr>
      <w:tr w:rsidR="000A7585" w:rsidRPr="00AE6EDB" w:rsidTr="00DE0EEC">
        <w:trPr>
          <w:trHeight w:val="271"/>
          <w:jc w:val="center"/>
        </w:trPr>
        <w:tc>
          <w:tcPr>
            <w:tcW w:w="1255" w:type="pct"/>
            <w:shd w:val="clear" w:color="auto" w:fill="FF9999" w:themeFill="accent3" w:themeFillTint="66"/>
            <w:noWrap/>
            <w:vAlign w:val="center"/>
          </w:tcPr>
          <w:p w:rsidR="000A7585" w:rsidRPr="00AE6EDB" w:rsidRDefault="000A7585" w:rsidP="00DE0EEC">
            <w:pPr>
              <w:rPr>
                <w:b/>
                <w:bCs/>
                <w:sz w:val="19"/>
                <w:szCs w:val="19"/>
              </w:rPr>
            </w:pPr>
            <w:r w:rsidRPr="00AE6EDB">
              <w:rPr>
                <w:b/>
                <w:bCs/>
                <w:sz w:val="19"/>
                <w:szCs w:val="19"/>
              </w:rPr>
              <w:t>Dávka podľa druhu</w:t>
            </w:r>
          </w:p>
        </w:tc>
        <w:tc>
          <w:tcPr>
            <w:tcW w:w="439"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Júl</w:t>
            </w:r>
          </w:p>
        </w:tc>
        <w:tc>
          <w:tcPr>
            <w:tcW w:w="512"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August</w:t>
            </w:r>
          </w:p>
        </w:tc>
        <w:tc>
          <w:tcPr>
            <w:tcW w:w="587"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September</w:t>
            </w:r>
          </w:p>
        </w:tc>
        <w:tc>
          <w:tcPr>
            <w:tcW w:w="513"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Október</w:t>
            </w:r>
          </w:p>
        </w:tc>
        <w:tc>
          <w:tcPr>
            <w:tcW w:w="586"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November</w:t>
            </w:r>
          </w:p>
        </w:tc>
        <w:tc>
          <w:tcPr>
            <w:tcW w:w="586" w:type="pct"/>
            <w:shd w:val="clear" w:color="auto" w:fill="FF9999" w:themeFill="accent3" w:themeFillTint="66"/>
            <w:noWrap/>
            <w:vAlign w:val="center"/>
          </w:tcPr>
          <w:p w:rsidR="000A7585" w:rsidRPr="00AE6EDB" w:rsidRDefault="000A7585" w:rsidP="00DE0EEC">
            <w:pPr>
              <w:keepLines/>
              <w:jc w:val="center"/>
              <w:rPr>
                <w:b/>
                <w:sz w:val="19"/>
                <w:szCs w:val="19"/>
              </w:rPr>
            </w:pPr>
            <w:r w:rsidRPr="00AE6EDB">
              <w:rPr>
                <w:b/>
                <w:sz w:val="19"/>
                <w:szCs w:val="19"/>
              </w:rPr>
              <w:t>December</w:t>
            </w:r>
          </w:p>
        </w:tc>
        <w:tc>
          <w:tcPr>
            <w:tcW w:w="521" w:type="pct"/>
            <w:shd w:val="clear" w:color="auto" w:fill="FF9999" w:themeFill="accent3" w:themeFillTint="66"/>
            <w:noWrap/>
            <w:vAlign w:val="center"/>
          </w:tcPr>
          <w:p w:rsidR="000A7585" w:rsidRPr="00AE6EDB" w:rsidRDefault="000A7585" w:rsidP="00DE0EEC">
            <w:pPr>
              <w:keepLines/>
              <w:jc w:val="center"/>
              <w:rPr>
                <w:b/>
                <w:bCs/>
                <w:sz w:val="19"/>
                <w:szCs w:val="19"/>
              </w:rPr>
            </w:pPr>
            <w:r w:rsidRPr="00AE6EDB">
              <w:rPr>
                <w:b/>
                <w:bCs/>
                <w:sz w:val="19"/>
                <w:szCs w:val="19"/>
              </w:rPr>
              <w:t>Rok 2015</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úrazový príplatok</w:t>
            </w:r>
          </w:p>
        </w:tc>
        <w:tc>
          <w:tcPr>
            <w:tcW w:w="439" w:type="pct"/>
            <w:noWrap/>
            <w:vAlign w:val="center"/>
          </w:tcPr>
          <w:p w:rsidR="000A7585" w:rsidRPr="00AE6EDB" w:rsidRDefault="000A7585" w:rsidP="00DE0EEC">
            <w:pPr>
              <w:jc w:val="right"/>
              <w:rPr>
                <w:sz w:val="19"/>
                <w:szCs w:val="19"/>
              </w:rPr>
            </w:pPr>
            <w:r w:rsidRPr="00AE6EDB">
              <w:rPr>
                <w:sz w:val="19"/>
                <w:szCs w:val="19"/>
              </w:rPr>
              <w:t>296</w:t>
            </w:r>
          </w:p>
        </w:tc>
        <w:tc>
          <w:tcPr>
            <w:tcW w:w="512" w:type="pct"/>
            <w:noWrap/>
            <w:vAlign w:val="center"/>
          </w:tcPr>
          <w:p w:rsidR="000A7585" w:rsidRPr="00AE6EDB" w:rsidRDefault="000A7585" w:rsidP="00DE0EEC">
            <w:pPr>
              <w:jc w:val="right"/>
              <w:rPr>
                <w:sz w:val="19"/>
                <w:szCs w:val="19"/>
              </w:rPr>
            </w:pPr>
            <w:r w:rsidRPr="00AE6EDB">
              <w:rPr>
                <w:sz w:val="19"/>
                <w:szCs w:val="19"/>
              </w:rPr>
              <w:t>303</w:t>
            </w:r>
          </w:p>
        </w:tc>
        <w:tc>
          <w:tcPr>
            <w:tcW w:w="587" w:type="pct"/>
            <w:noWrap/>
            <w:vAlign w:val="center"/>
          </w:tcPr>
          <w:p w:rsidR="000A7585" w:rsidRPr="00AE6EDB" w:rsidRDefault="000A7585" w:rsidP="00DE0EEC">
            <w:pPr>
              <w:jc w:val="right"/>
              <w:rPr>
                <w:sz w:val="19"/>
                <w:szCs w:val="19"/>
              </w:rPr>
            </w:pPr>
            <w:r w:rsidRPr="00AE6EDB">
              <w:rPr>
                <w:sz w:val="19"/>
                <w:szCs w:val="19"/>
              </w:rPr>
              <w:t>311</w:t>
            </w:r>
          </w:p>
        </w:tc>
        <w:tc>
          <w:tcPr>
            <w:tcW w:w="513" w:type="pct"/>
            <w:noWrap/>
            <w:vAlign w:val="center"/>
          </w:tcPr>
          <w:p w:rsidR="000A7585" w:rsidRPr="00AE6EDB" w:rsidRDefault="000A7585" w:rsidP="00DE0EEC">
            <w:pPr>
              <w:jc w:val="right"/>
              <w:rPr>
                <w:sz w:val="19"/>
                <w:szCs w:val="19"/>
              </w:rPr>
            </w:pPr>
            <w:r w:rsidRPr="00AE6EDB">
              <w:rPr>
                <w:sz w:val="19"/>
                <w:szCs w:val="19"/>
              </w:rPr>
              <w:t>307</w:t>
            </w:r>
          </w:p>
        </w:tc>
        <w:tc>
          <w:tcPr>
            <w:tcW w:w="586" w:type="pct"/>
            <w:noWrap/>
            <w:vAlign w:val="center"/>
          </w:tcPr>
          <w:p w:rsidR="000A7585" w:rsidRPr="00AE6EDB" w:rsidRDefault="000A7585" w:rsidP="00DE0EEC">
            <w:pPr>
              <w:jc w:val="right"/>
              <w:rPr>
                <w:sz w:val="19"/>
                <w:szCs w:val="19"/>
              </w:rPr>
            </w:pPr>
            <w:r w:rsidRPr="00AE6EDB">
              <w:rPr>
                <w:sz w:val="19"/>
                <w:szCs w:val="19"/>
              </w:rPr>
              <w:t>344</w:t>
            </w:r>
          </w:p>
        </w:tc>
        <w:tc>
          <w:tcPr>
            <w:tcW w:w="586" w:type="pct"/>
            <w:noWrap/>
            <w:vAlign w:val="center"/>
          </w:tcPr>
          <w:p w:rsidR="000A7585" w:rsidRPr="00AE6EDB" w:rsidRDefault="000A7585" w:rsidP="00DE0EEC">
            <w:pPr>
              <w:jc w:val="right"/>
              <w:rPr>
                <w:sz w:val="19"/>
                <w:szCs w:val="19"/>
              </w:rPr>
            </w:pPr>
            <w:r w:rsidRPr="00AE6EDB">
              <w:rPr>
                <w:sz w:val="19"/>
                <w:szCs w:val="19"/>
              </w:rPr>
              <w:t>333</w:t>
            </w:r>
          </w:p>
        </w:tc>
        <w:tc>
          <w:tcPr>
            <w:tcW w:w="521" w:type="pct"/>
            <w:noWrap/>
            <w:vAlign w:val="center"/>
          </w:tcPr>
          <w:p w:rsidR="000A7585" w:rsidRPr="00AE6EDB" w:rsidRDefault="0054295F" w:rsidP="00DE0EEC">
            <w:pPr>
              <w:jc w:val="right"/>
              <w:rPr>
                <w:sz w:val="19"/>
                <w:szCs w:val="19"/>
              </w:rPr>
            </w:pPr>
            <w:r>
              <w:rPr>
                <w:sz w:val="19"/>
                <w:szCs w:val="19"/>
              </w:rPr>
              <w:t>3 7</w:t>
            </w:r>
            <w:r w:rsidR="000A7585" w:rsidRPr="00AE6EDB">
              <w:rPr>
                <w:sz w:val="19"/>
                <w:szCs w:val="19"/>
              </w:rPr>
              <w:t>84</w:t>
            </w:r>
          </w:p>
        </w:tc>
      </w:tr>
      <w:tr w:rsidR="000A7585" w:rsidRPr="00AE6EDB" w:rsidTr="00DE0EEC">
        <w:trPr>
          <w:trHeight w:val="271"/>
          <w:jc w:val="center"/>
        </w:trPr>
        <w:tc>
          <w:tcPr>
            <w:tcW w:w="1255" w:type="pct"/>
            <w:noWrap/>
            <w:vAlign w:val="center"/>
          </w:tcPr>
          <w:p w:rsidR="000A7585" w:rsidRPr="00AE6EDB" w:rsidRDefault="000A7585" w:rsidP="00DE0EEC">
            <w:pPr>
              <w:jc w:val="left"/>
              <w:rPr>
                <w:sz w:val="19"/>
                <w:szCs w:val="19"/>
              </w:rPr>
            </w:pPr>
            <w:r w:rsidRPr="00AE6EDB">
              <w:rPr>
                <w:sz w:val="19"/>
                <w:szCs w:val="19"/>
              </w:rPr>
              <w:t>úrazová renta</w:t>
            </w:r>
          </w:p>
        </w:tc>
        <w:tc>
          <w:tcPr>
            <w:tcW w:w="439"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20</w:t>
            </w:r>
          </w:p>
        </w:tc>
        <w:tc>
          <w:tcPr>
            <w:tcW w:w="512" w:type="pct"/>
            <w:noWrap/>
            <w:vAlign w:val="center"/>
          </w:tcPr>
          <w:p w:rsidR="000A7585" w:rsidRPr="00AE6EDB" w:rsidRDefault="0054295F" w:rsidP="00DE0EEC">
            <w:pPr>
              <w:jc w:val="right"/>
              <w:rPr>
                <w:sz w:val="19"/>
                <w:szCs w:val="19"/>
              </w:rPr>
            </w:pPr>
            <w:r>
              <w:rPr>
                <w:sz w:val="19"/>
                <w:szCs w:val="19"/>
              </w:rPr>
              <w:t>2 2</w:t>
            </w:r>
            <w:r w:rsidR="000A7585" w:rsidRPr="00AE6EDB">
              <w:rPr>
                <w:sz w:val="19"/>
                <w:szCs w:val="19"/>
              </w:rPr>
              <w:t>72</w:t>
            </w:r>
          </w:p>
        </w:tc>
        <w:tc>
          <w:tcPr>
            <w:tcW w:w="587" w:type="pct"/>
            <w:noWrap/>
            <w:vAlign w:val="center"/>
          </w:tcPr>
          <w:p w:rsidR="000A7585" w:rsidRPr="00AE6EDB" w:rsidRDefault="0054295F" w:rsidP="00DE0EEC">
            <w:pPr>
              <w:jc w:val="right"/>
              <w:rPr>
                <w:sz w:val="19"/>
                <w:szCs w:val="19"/>
              </w:rPr>
            </w:pPr>
            <w:r>
              <w:rPr>
                <w:sz w:val="19"/>
                <w:szCs w:val="19"/>
              </w:rPr>
              <w:t>1 8</w:t>
            </w:r>
            <w:r w:rsidR="000A7585" w:rsidRPr="00AE6EDB">
              <w:rPr>
                <w:sz w:val="19"/>
                <w:szCs w:val="19"/>
              </w:rPr>
              <w:t>74</w:t>
            </w:r>
          </w:p>
        </w:tc>
        <w:tc>
          <w:tcPr>
            <w:tcW w:w="513"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71</w:t>
            </w:r>
          </w:p>
        </w:tc>
        <w:tc>
          <w:tcPr>
            <w:tcW w:w="586" w:type="pct"/>
            <w:noWrap/>
            <w:vAlign w:val="center"/>
          </w:tcPr>
          <w:p w:rsidR="000A7585" w:rsidRPr="00AE6EDB" w:rsidRDefault="0054295F" w:rsidP="00DE0EEC">
            <w:pPr>
              <w:jc w:val="right"/>
              <w:rPr>
                <w:sz w:val="19"/>
                <w:szCs w:val="19"/>
              </w:rPr>
            </w:pPr>
            <w:r>
              <w:rPr>
                <w:sz w:val="19"/>
                <w:szCs w:val="19"/>
              </w:rPr>
              <w:t>2 0</w:t>
            </w:r>
            <w:r w:rsidR="000A7585" w:rsidRPr="00AE6EDB">
              <w:rPr>
                <w:sz w:val="19"/>
                <w:szCs w:val="19"/>
              </w:rPr>
              <w:t>77</w:t>
            </w:r>
          </w:p>
        </w:tc>
        <w:tc>
          <w:tcPr>
            <w:tcW w:w="586" w:type="pct"/>
            <w:noWrap/>
            <w:vAlign w:val="center"/>
          </w:tcPr>
          <w:p w:rsidR="000A7585" w:rsidRPr="00AE6EDB" w:rsidRDefault="0054295F" w:rsidP="00DE0EEC">
            <w:pPr>
              <w:jc w:val="right"/>
              <w:rPr>
                <w:sz w:val="19"/>
                <w:szCs w:val="19"/>
              </w:rPr>
            </w:pPr>
            <w:r>
              <w:rPr>
                <w:sz w:val="19"/>
                <w:szCs w:val="19"/>
              </w:rPr>
              <w:t>2 1</w:t>
            </w:r>
            <w:r w:rsidR="000A7585" w:rsidRPr="00AE6EDB">
              <w:rPr>
                <w:sz w:val="19"/>
                <w:szCs w:val="19"/>
              </w:rPr>
              <w:t>21</w:t>
            </w:r>
          </w:p>
        </w:tc>
        <w:tc>
          <w:tcPr>
            <w:tcW w:w="521" w:type="pct"/>
            <w:noWrap/>
            <w:vAlign w:val="center"/>
          </w:tcPr>
          <w:p w:rsidR="000A7585" w:rsidRPr="00AE6EDB" w:rsidRDefault="000A7585" w:rsidP="00DE0EEC">
            <w:pPr>
              <w:jc w:val="right"/>
              <w:rPr>
                <w:sz w:val="19"/>
                <w:szCs w:val="19"/>
              </w:rPr>
            </w:pPr>
            <w:r w:rsidRPr="00AE6EDB">
              <w:rPr>
                <w:sz w:val="19"/>
                <w:szCs w:val="19"/>
              </w:rPr>
              <w:t>2</w:t>
            </w:r>
            <w:r w:rsidR="00AC44CB">
              <w:rPr>
                <w:sz w:val="19"/>
                <w:szCs w:val="19"/>
              </w:rPr>
              <w:t>4 9</w:t>
            </w:r>
            <w:r w:rsidRPr="00AE6EDB">
              <w:rPr>
                <w:sz w:val="19"/>
                <w:szCs w:val="19"/>
              </w:rPr>
              <w:t>36</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jednorazové vyrovnanie</w:t>
            </w:r>
          </w:p>
        </w:tc>
        <w:tc>
          <w:tcPr>
            <w:tcW w:w="439" w:type="pct"/>
            <w:noWrap/>
            <w:vAlign w:val="center"/>
          </w:tcPr>
          <w:p w:rsidR="000A7585" w:rsidRPr="00AE6EDB" w:rsidRDefault="000A7585" w:rsidP="00DE0EEC">
            <w:pPr>
              <w:jc w:val="right"/>
              <w:rPr>
                <w:sz w:val="19"/>
                <w:szCs w:val="19"/>
              </w:rPr>
            </w:pPr>
            <w:r w:rsidRPr="00AE6EDB">
              <w:rPr>
                <w:sz w:val="19"/>
                <w:szCs w:val="19"/>
              </w:rPr>
              <w:t>18</w:t>
            </w:r>
          </w:p>
        </w:tc>
        <w:tc>
          <w:tcPr>
            <w:tcW w:w="512" w:type="pct"/>
            <w:noWrap/>
            <w:vAlign w:val="center"/>
          </w:tcPr>
          <w:p w:rsidR="000A7585" w:rsidRPr="00AE6EDB" w:rsidRDefault="000A7585" w:rsidP="00DE0EEC">
            <w:pPr>
              <w:jc w:val="right"/>
              <w:rPr>
                <w:sz w:val="19"/>
                <w:szCs w:val="19"/>
              </w:rPr>
            </w:pPr>
            <w:r w:rsidRPr="00AE6EDB">
              <w:rPr>
                <w:sz w:val="19"/>
                <w:szCs w:val="19"/>
              </w:rPr>
              <w:t>5</w:t>
            </w:r>
          </w:p>
        </w:tc>
        <w:tc>
          <w:tcPr>
            <w:tcW w:w="587" w:type="pct"/>
            <w:noWrap/>
            <w:vAlign w:val="center"/>
          </w:tcPr>
          <w:p w:rsidR="000A7585" w:rsidRPr="00AE6EDB" w:rsidRDefault="000A7585" w:rsidP="00DE0EEC">
            <w:pPr>
              <w:jc w:val="right"/>
              <w:rPr>
                <w:sz w:val="19"/>
                <w:szCs w:val="19"/>
              </w:rPr>
            </w:pPr>
            <w:r w:rsidRPr="00AE6EDB">
              <w:rPr>
                <w:sz w:val="19"/>
                <w:szCs w:val="19"/>
              </w:rPr>
              <w:t>16</w:t>
            </w:r>
          </w:p>
        </w:tc>
        <w:tc>
          <w:tcPr>
            <w:tcW w:w="513" w:type="pct"/>
            <w:noWrap/>
            <w:vAlign w:val="center"/>
          </w:tcPr>
          <w:p w:rsidR="000A7585" w:rsidRPr="00AE6EDB" w:rsidRDefault="000A7585" w:rsidP="00DE0EEC">
            <w:pPr>
              <w:jc w:val="right"/>
              <w:rPr>
                <w:sz w:val="19"/>
                <w:szCs w:val="19"/>
              </w:rPr>
            </w:pPr>
            <w:r w:rsidRPr="00AE6EDB">
              <w:rPr>
                <w:sz w:val="19"/>
                <w:szCs w:val="19"/>
              </w:rPr>
              <w:t>11</w:t>
            </w:r>
          </w:p>
        </w:tc>
        <w:tc>
          <w:tcPr>
            <w:tcW w:w="586" w:type="pct"/>
            <w:noWrap/>
            <w:vAlign w:val="center"/>
          </w:tcPr>
          <w:p w:rsidR="000A7585" w:rsidRPr="00AE6EDB" w:rsidRDefault="000A7585" w:rsidP="00DE0EEC">
            <w:pPr>
              <w:jc w:val="right"/>
              <w:rPr>
                <w:sz w:val="19"/>
                <w:szCs w:val="19"/>
              </w:rPr>
            </w:pPr>
            <w:r w:rsidRPr="00AE6EDB">
              <w:rPr>
                <w:sz w:val="19"/>
                <w:szCs w:val="19"/>
              </w:rPr>
              <w:t>10</w:t>
            </w:r>
          </w:p>
        </w:tc>
        <w:tc>
          <w:tcPr>
            <w:tcW w:w="586" w:type="pct"/>
            <w:noWrap/>
            <w:vAlign w:val="center"/>
          </w:tcPr>
          <w:p w:rsidR="000A7585" w:rsidRPr="00AE6EDB" w:rsidRDefault="000A7585" w:rsidP="00DE0EEC">
            <w:pPr>
              <w:jc w:val="right"/>
              <w:rPr>
                <w:sz w:val="19"/>
                <w:szCs w:val="19"/>
              </w:rPr>
            </w:pPr>
            <w:r w:rsidRPr="00AE6EDB">
              <w:rPr>
                <w:sz w:val="19"/>
                <w:szCs w:val="19"/>
              </w:rPr>
              <w:t>15</w:t>
            </w:r>
          </w:p>
        </w:tc>
        <w:tc>
          <w:tcPr>
            <w:tcW w:w="521" w:type="pct"/>
            <w:noWrap/>
            <w:vAlign w:val="center"/>
          </w:tcPr>
          <w:p w:rsidR="000A7585" w:rsidRPr="00AE6EDB" w:rsidRDefault="000A7585" w:rsidP="00DE0EEC">
            <w:pPr>
              <w:jc w:val="right"/>
              <w:rPr>
                <w:sz w:val="19"/>
                <w:szCs w:val="19"/>
              </w:rPr>
            </w:pPr>
            <w:r w:rsidRPr="00AE6EDB">
              <w:rPr>
                <w:sz w:val="19"/>
                <w:szCs w:val="19"/>
              </w:rPr>
              <w:t>141</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pozostalostná úrazová renta</w:t>
            </w:r>
          </w:p>
        </w:tc>
        <w:tc>
          <w:tcPr>
            <w:tcW w:w="439" w:type="pct"/>
            <w:noWrap/>
            <w:vAlign w:val="center"/>
          </w:tcPr>
          <w:p w:rsidR="000A7585" w:rsidRPr="00AE6EDB" w:rsidRDefault="000A7585" w:rsidP="00DE0EEC">
            <w:pPr>
              <w:jc w:val="right"/>
              <w:rPr>
                <w:sz w:val="19"/>
                <w:szCs w:val="19"/>
              </w:rPr>
            </w:pPr>
            <w:r w:rsidRPr="00AE6EDB">
              <w:rPr>
                <w:sz w:val="19"/>
                <w:szCs w:val="19"/>
              </w:rPr>
              <w:t>27</w:t>
            </w:r>
          </w:p>
        </w:tc>
        <w:tc>
          <w:tcPr>
            <w:tcW w:w="512" w:type="pct"/>
            <w:noWrap/>
            <w:vAlign w:val="center"/>
          </w:tcPr>
          <w:p w:rsidR="000A7585" w:rsidRPr="00AE6EDB" w:rsidRDefault="000A7585" w:rsidP="00DE0EEC">
            <w:pPr>
              <w:jc w:val="right"/>
              <w:rPr>
                <w:sz w:val="19"/>
                <w:szCs w:val="19"/>
              </w:rPr>
            </w:pPr>
            <w:r w:rsidRPr="00AE6EDB">
              <w:rPr>
                <w:sz w:val="19"/>
                <w:szCs w:val="19"/>
              </w:rPr>
              <w:t>35</w:t>
            </w:r>
          </w:p>
        </w:tc>
        <w:tc>
          <w:tcPr>
            <w:tcW w:w="587" w:type="pct"/>
            <w:noWrap/>
            <w:vAlign w:val="center"/>
          </w:tcPr>
          <w:p w:rsidR="000A7585" w:rsidRPr="00AE6EDB" w:rsidRDefault="000A7585" w:rsidP="00DE0EEC">
            <w:pPr>
              <w:jc w:val="right"/>
              <w:rPr>
                <w:sz w:val="19"/>
                <w:szCs w:val="19"/>
              </w:rPr>
            </w:pPr>
            <w:r w:rsidRPr="00AE6EDB">
              <w:rPr>
                <w:sz w:val="19"/>
                <w:szCs w:val="19"/>
              </w:rPr>
              <w:t>27</w:t>
            </w:r>
          </w:p>
        </w:tc>
        <w:tc>
          <w:tcPr>
            <w:tcW w:w="513" w:type="pct"/>
            <w:noWrap/>
            <w:vAlign w:val="center"/>
          </w:tcPr>
          <w:p w:rsidR="000A7585" w:rsidRPr="00AE6EDB" w:rsidRDefault="000A7585" w:rsidP="00DE0EEC">
            <w:pPr>
              <w:jc w:val="right"/>
              <w:rPr>
                <w:sz w:val="19"/>
                <w:szCs w:val="19"/>
              </w:rPr>
            </w:pPr>
            <w:r w:rsidRPr="00AE6EDB">
              <w:rPr>
                <w:sz w:val="19"/>
                <w:szCs w:val="19"/>
              </w:rPr>
              <w:t>27</w:t>
            </w:r>
          </w:p>
        </w:tc>
        <w:tc>
          <w:tcPr>
            <w:tcW w:w="586" w:type="pct"/>
            <w:noWrap/>
            <w:vAlign w:val="center"/>
          </w:tcPr>
          <w:p w:rsidR="000A7585" w:rsidRPr="00AE6EDB" w:rsidRDefault="000A7585" w:rsidP="00DE0EEC">
            <w:pPr>
              <w:jc w:val="right"/>
              <w:rPr>
                <w:sz w:val="19"/>
                <w:szCs w:val="19"/>
              </w:rPr>
            </w:pPr>
            <w:r w:rsidRPr="00AE6EDB">
              <w:rPr>
                <w:sz w:val="19"/>
                <w:szCs w:val="19"/>
              </w:rPr>
              <w:t>27</w:t>
            </w:r>
          </w:p>
        </w:tc>
        <w:tc>
          <w:tcPr>
            <w:tcW w:w="586" w:type="pct"/>
            <w:noWrap/>
            <w:vAlign w:val="center"/>
          </w:tcPr>
          <w:p w:rsidR="000A7585" w:rsidRPr="00AE6EDB" w:rsidRDefault="000A7585" w:rsidP="00DE0EEC">
            <w:pPr>
              <w:jc w:val="right"/>
              <w:rPr>
                <w:sz w:val="19"/>
                <w:szCs w:val="19"/>
              </w:rPr>
            </w:pPr>
            <w:r w:rsidRPr="00AE6EDB">
              <w:rPr>
                <w:sz w:val="19"/>
                <w:szCs w:val="19"/>
              </w:rPr>
              <w:t>26</w:t>
            </w:r>
          </w:p>
        </w:tc>
        <w:tc>
          <w:tcPr>
            <w:tcW w:w="521" w:type="pct"/>
            <w:noWrap/>
            <w:vAlign w:val="center"/>
          </w:tcPr>
          <w:p w:rsidR="000A7585" w:rsidRPr="00AE6EDB" w:rsidRDefault="000A7585" w:rsidP="00DE0EEC">
            <w:pPr>
              <w:jc w:val="right"/>
              <w:rPr>
                <w:sz w:val="19"/>
                <w:szCs w:val="19"/>
              </w:rPr>
            </w:pPr>
            <w:r w:rsidRPr="00AE6EDB">
              <w:rPr>
                <w:sz w:val="19"/>
                <w:szCs w:val="19"/>
              </w:rPr>
              <w:t>337</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jednorazové odškodnenie</w:t>
            </w:r>
          </w:p>
        </w:tc>
        <w:tc>
          <w:tcPr>
            <w:tcW w:w="439" w:type="pct"/>
            <w:noWrap/>
            <w:vAlign w:val="center"/>
          </w:tcPr>
          <w:p w:rsidR="000A7585" w:rsidRPr="00AE6EDB" w:rsidRDefault="000A7585" w:rsidP="00DE0EEC">
            <w:pPr>
              <w:jc w:val="right"/>
              <w:rPr>
                <w:sz w:val="19"/>
                <w:szCs w:val="19"/>
              </w:rPr>
            </w:pPr>
            <w:r w:rsidRPr="00AE6EDB">
              <w:rPr>
                <w:sz w:val="19"/>
                <w:szCs w:val="19"/>
              </w:rPr>
              <w:t>15</w:t>
            </w:r>
          </w:p>
        </w:tc>
        <w:tc>
          <w:tcPr>
            <w:tcW w:w="512" w:type="pct"/>
            <w:noWrap/>
            <w:vAlign w:val="center"/>
          </w:tcPr>
          <w:p w:rsidR="000A7585" w:rsidRPr="00AE6EDB" w:rsidRDefault="000A7585" w:rsidP="00DE0EEC">
            <w:pPr>
              <w:jc w:val="right"/>
              <w:rPr>
                <w:sz w:val="19"/>
                <w:szCs w:val="19"/>
              </w:rPr>
            </w:pPr>
            <w:r w:rsidRPr="00AE6EDB">
              <w:rPr>
                <w:sz w:val="19"/>
                <w:szCs w:val="19"/>
              </w:rPr>
              <w:t>58</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63</w:t>
            </w:r>
          </w:p>
        </w:tc>
        <w:tc>
          <w:tcPr>
            <w:tcW w:w="586" w:type="pct"/>
            <w:noWrap/>
            <w:vAlign w:val="center"/>
          </w:tcPr>
          <w:p w:rsidR="000A7585" w:rsidRPr="00AE6EDB" w:rsidRDefault="000A7585" w:rsidP="00DE0EEC">
            <w:pPr>
              <w:jc w:val="right"/>
              <w:rPr>
                <w:sz w:val="19"/>
                <w:szCs w:val="19"/>
              </w:rPr>
            </w:pPr>
            <w:r w:rsidRPr="00AE6EDB">
              <w:rPr>
                <w:sz w:val="19"/>
                <w:szCs w:val="19"/>
              </w:rPr>
              <w:t>86</w:t>
            </w:r>
          </w:p>
        </w:tc>
        <w:tc>
          <w:tcPr>
            <w:tcW w:w="586" w:type="pct"/>
            <w:noWrap/>
            <w:vAlign w:val="center"/>
          </w:tcPr>
          <w:p w:rsidR="000A7585" w:rsidRPr="00AE6EDB" w:rsidRDefault="000A7585" w:rsidP="00DE0EEC">
            <w:pPr>
              <w:jc w:val="right"/>
              <w:rPr>
                <w:sz w:val="19"/>
                <w:szCs w:val="19"/>
              </w:rPr>
            </w:pPr>
            <w:r w:rsidRPr="00AE6EDB">
              <w:rPr>
                <w:sz w:val="19"/>
                <w:szCs w:val="19"/>
              </w:rPr>
              <w:t>155</w:t>
            </w:r>
          </w:p>
        </w:tc>
        <w:tc>
          <w:tcPr>
            <w:tcW w:w="521" w:type="pct"/>
            <w:noWrap/>
            <w:vAlign w:val="center"/>
          </w:tcPr>
          <w:p w:rsidR="000A7585" w:rsidRPr="00AE6EDB" w:rsidRDefault="000A7585" w:rsidP="00DE0EEC">
            <w:pPr>
              <w:jc w:val="right"/>
              <w:rPr>
                <w:sz w:val="19"/>
                <w:szCs w:val="19"/>
              </w:rPr>
            </w:pPr>
            <w:r w:rsidRPr="00AE6EDB">
              <w:rPr>
                <w:sz w:val="19"/>
                <w:szCs w:val="19"/>
              </w:rPr>
              <w:t>559</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pracovná rehabilitácia a rehabilitačné</w:t>
            </w:r>
          </w:p>
        </w:tc>
        <w:tc>
          <w:tcPr>
            <w:tcW w:w="439" w:type="pct"/>
            <w:noWrap/>
            <w:vAlign w:val="center"/>
          </w:tcPr>
          <w:p w:rsidR="000A7585" w:rsidRPr="00AE6EDB" w:rsidRDefault="000A7585" w:rsidP="00DE0EEC">
            <w:pPr>
              <w:jc w:val="right"/>
              <w:rPr>
                <w:sz w:val="19"/>
                <w:szCs w:val="19"/>
              </w:rPr>
            </w:pPr>
            <w:r w:rsidRPr="00AE6EDB">
              <w:rPr>
                <w:sz w:val="19"/>
                <w:szCs w:val="19"/>
              </w:rPr>
              <w:t>0</w:t>
            </w:r>
          </w:p>
        </w:tc>
        <w:tc>
          <w:tcPr>
            <w:tcW w:w="512" w:type="pct"/>
            <w:noWrap/>
            <w:vAlign w:val="center"/>
          </w:tcPr>
          <w:p w:rsidR="000A7585" w:rsidRPr="00AE6EDB" w:rsidRDefault="000A7585" w:rsidP="00DE0EEC">
            <w:pPr>
              <w:jc w:val="right"/>
              <w:rPr>
                <w:sz w:val="19"/>
                <w:szCs w:val="19"/>
              </w:rPr>
            </w:pPr>
            <w:r w:rsidRPr="00AE6EDB">
              <w:rPr>
                <w:sz w:val="19"/>
                <w:szCs w:val="19"/>
              </w:rPr>
              <w:t>0</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0</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rekvalifikácia a rekvalifikačné</w:t>
            </w:r>
          </w:p>
        </w:tc>
        <w:tc>
          <w:tcPr>
            <w:tcW w:w="439" w:type="pct"/>
            <w:noWrap/>
            <w:vAlign w:val="center"/>
          </w:tcPr>
          <w:p w:rsidR="000A7585" w:rsidRPr="00AE6EDB" w:rsidRDefault="000A7585" w:rsidP="00DE0EEC">
            <w:pPr>
              <w:jc w:val="right"/>
              <w:rPr>
                <w:sz w:val="19"/>
                <w:szCs w:val="19"/>
              </w:rPr>
            </w:pPr>
            <w:r w:rsidRPr="00AE6EDB">
              <w:rPr>
                <w:sz w:val="19"/>
                <w:szCs w:val="19"/>
              </w:rPr>
              <w:t>0</w:t>
            </w:r>
          </w:p>
        </w:tc>
        <w:tc>
          <w:tcPr>
            <w:tcW w:w="512" w:type="pct"/>
            <w:noWrap/>
            <w:vAlign w:val="center"/>
          </w:tcPr>
          <w:p w:rsidR="000A7585" w:rsidRPr="00AE6EDB" w:rsidRDefault="000A7585" w:rsidP="00DE0EEC">
            <w:pPr>
              <w:jc w:val="right"/>
              <w:rPr>
                <w:sz w:val="19"/>
                <w:szCs w:val="19"/>
              </w:rPr>
            </w:pPr>
            <w:r w:rsidRPr="00AE6EDB">
              <w:rPr>
                <w:sz w:val="19"/>
                <w:szCs w:val="19"/>
              </w:rPr>
              <w:t>0</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0</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za bolesť a náhrada za sťaženie spoločenského uplatnenia</w:t>
            </w:r>
          </w:p>
        </w:tc>
        <w:tc>
          <w:tcPr>
            <w:tcW w:w="439" w:type="pct"/>
            <w:noWrap/>
            <w:vAlign w:val="center"/>
          </w:tcPr>
          <w:p w:rsidR="000A7585" w:rsidRPr="00AE6EDB" w:rsidRDefault="0054295F" w:rsidP="00DE0EEC">
            <w:pPr>
              <w:jc w:val="right"/>
              <w:rPr>
                <w:sz w:val="19"/>
                <w:szCs w:val="19"/>
              </w:rPr>
            </w:pPr>
            <w:r>
              <w:rPr>
                <w:sz w:val="19"/>
                <w:szCs w:val="19"/>
              </w:rPr>
              <w:t>1 3</w:t>
            </w:r>
            <w:r w:rsidR="000A7585" w:rsidRPr="00AE6EDB">
              <w:rPr>
                <w:sz w:val="19"/>
                <w:szCs w:val="19"/>
              </w:rPr>
              <w:t>15</w:t>
            </w:r>
          </w:p>
        </w:tc>
        <w:tc>
          <w:tcPr>
            <w:tcW w:w="512" w:type="pct"/>
            <w:noWrap/>
            <w:vAlign w:val="center"/>
          </w:tcPr>
          <w:p w:rsidR="000A7585" w:rsidRPr="00AE6EDB" w:rsidRDefault="0054295F" w:rsidP="00DE0EEC">
            <w:pPr>
              <w:jc w:val="right"/>
              <w:rPr>
                <w:sz w:val="19"/>
                <w:szCs w:val="19"/>
              </w:rPr>
            </w:pPr>
            <w:r>
              <w:rPr>
                <w:sz w:val="19"/>
                <w:szCs w:val="19"/>
              </w:rPr>
              <w:t>1 0</w:t>
            </w:r>
            <w:r w:rsidR="000A7585" w:rsidRPr="00AE6EDB">
              <w:rPr>
                <w:sz w:val="19"/>
                <w:szCs w:val="19"/>
              </w:rPr>
              <w:t>38</w:t>
            </w:r>
          </w:p>
        </w:tc>
        <w:tc>
          <w:tcPr>
            <w:tcW w:w="587" w:type="pct"/>
            <w:noWrap/>
            <w:vAlign w:val="center"/>
          </w:tcPr>
          <w:p w:rsidR="000A7585" w:rsidRPr="00AE6EDB" w:rsidRDefault="0054295F" w:rsidP="00DE0EEC">
            <w:pPr>
              <w:jc w:val="right"/>
              <w:rPr>
                <w:sz w:val="19"/>
                <w:szCs w:val="19"/>
              </w:rPr>
            </w:pPr>
            <w:r>
              <w:rPr>
                <w:sz w:val="19"/>
                <w:szCs w:val="19"/>
              </w:rPr>
              <w:t>1 0</w:t>
            </w:r>
            <w:r w:rsidR="000A7585" w:rsidRPr="00AE6EDB">
              <w:rPr>
                <w:sz w:val="19"/>
                <w:szCs w:val="19"/>
              </w:rPr>
              <w:t>86</w:t>
            </w:r>
          </w:p>
        </w:tc>
        <w:tc>
          <w:tcPr>
            <w:tcW w:w="513" w:type="pct"/>
            <w:noWrap/>
            <w:vAlign w:val="center"/>
          </w:tcPr>
          <w:p w:rsidR="000A7585" w:rsidRPr="00AE6EDB" w:rsidRDefault="000A7585" w:rsidP="00DE0EEC">
            <w:pPr>
              <w:jc w:val="right"/>
              <w:rPr>
                <w:sz w:val="19"/>
                <w:szCs w:val="19"/>
              </w:rPr>
            </w:pPr>
            <w:r w:rsidRPr="00AE6EDB">
              <w:rPr>
                <w:sz w:val="19"/>
                <w:szCs w:val="19"/>
              </w:rPr>
              <w:t>959</w:t>
            </w:r>
          </w:p>
        </w:tc>
        <w:tc>
          <w:tcPr>
            <w:tcW w:w="586" w:type="pct"/>
            <w:noWrap/>
            <w:vAlign w:val="center"/>
          </w:tcPr>
          <w:p w:rsidR="000A7585" w:rsidRPr="00AE6EDB" w:rsidRDefault="0054295F" w:rsidP="00DE0EEC">
            <w:pPr>
              <w:jc w:val="right"/>
              <w:rPr>
                <w:sz w:val="19"/>
                <w:szCs w:val="19"/>
              </w:rPr>
            </w:pPr>
            <w:r>
              <w:rPr>
                <w:sz w:val="19"/>
                <w:szCs w:val="19"/>
              </w:rPr>
              <w:t>1 0</w:t>
            </w:r>
            <w:r w:rsidR="000A7585" w:rsidRPr="00AE6EDB">
              <w:rPr>
                <w:sz w:val="19"/>
                <w:szCs w:val="19"/>
              </w:rPr>
              <w:t>34</w:t>
            </w:r>
          </w:p>
        </w:tc>
        <w:tc>
          <w:tcPr>
            <w:tcW w:w="586" w:type="pct"/>
            <w:noWrap/>
            <w:vAlign w:val="center"/>
          </w:tcPr>
          <w:p w:rsidR="000A7585" w:rsidRPr="00AE6EDB" w:rsidRDefault="0054295F" w:rsidP="00DE0EEC">
            <w:pPr>
              <w:jc w:val="right"/>
              <w:rPr>
                <w:sz w:val="19"/>
                <w:szCs w:val="19"/>
              </w:rPr>
            </w:pPr>
            <w:r>
              <w:rPr>
                <w:sz w:val="19"/>
                <w:szCs w:val="19"/>
              </w:rPr>
              <w:t>1 2</w:t>
            </w:r>
            <w:r w:rsidR="000A7585" w:rsidRPr="00AE6EDB">
              <w:rPr>
                <w:sz w:val="19"/>
                <w:szCs w:val="19"/>
              </w:rPr>
              <w:t>45</w:t>
            </w:r>
          </w:p>
        </w:tc>
        <w:tc>
          <w:tcPr>
            <w:tcW w:w="521" w:type="pct"/>
            <w:noWrap/>
            <w:vAlign w:val="center"/>
          </w:tcPr>
          <w:p w:rsidR="000A7585" w:rsidRPr="00AE6EDB" w:rsidRDefault="000A7585" w:rsidP="00DE0EEC">
            <w:pPr>
              <w:jc w:val="right"/>
              <w:rPr>
                <w:sz w:val="19"/>
                <w:szCs w:val="19"/>
              </w:rPr>
            </w:pPr>
            <w:r w:rsidRPr="00AE6EDB">
              <w:rPr>
                <w:sz w:val="19"/>
                <w:szCs w:val="19"/>
              </w:rPr>
              <w:t>1</w:t>
            </w:r>
            <w:r w:rsidR="0054295F">
              <w:rPr>
                <w:sz w:val="19"/>
                <w:szCs w:val="19"/>
              </w:rPr>
              <w:t>3 8</w:t>
            </w:r>
            <w:r w:rsidRPr="00AE6EDB">
              <w:rPr>
                <w:sz w:val="19"/>
                <w:szCs w:val="19"/>
              </w:rPr>
              <w:t>67</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nákladov spojených s liečením</w:t>
            </w:r>
          </w:p>
        </w:tc>
        <w:tc>
          <w:tcPr>
            <w:tcW w:w="439" w:type="pct"/>
            <w:noWrap/>
            <w:vAlign w:val="center"/>
          </w:tcPr>
          <w:p w:rsidR="000A7585" w:rsidRPr="00AE6EDB" w:rsidRDefault="000A7585" w:rsidP="00DE0EEC">
            <w:pPr>
              <w:jc w:val="right"/>
              <w:rPr>
                <w:sz w:val="19"/>
                <w:szCs w:val="19"/>
              </w:rPr>
            </w:pPr>
            <w:r w:rsidRPr="00AE6EDB">
              <w:rPr>
                <w:sz w:val="19"/>
                <w:szCs w:val="19"/>
              </w:rPr>
              <w:t>10</w:t>
            </w:r>
          </w:p>
        </w:tc>
        <w:tc>
          <w:tcPr>
            <w:tcW w:w="512" w:type="pct"/>
            <w:noWrap/>
            <w:vAlign w:val="center"/>
          </w:tcPr>
          <w:p w:rsidR="000A7585" w:rsidRPr="00AE6EDB" w:rsidRDefault="000A7585" w:rsidP="00DE0EEC">
            <w:pPr>
              <w:jc w:val="right"/>
              <w:rPr>
                <w:sz w:val="19"/>
                <w:szCs w:val="19"/>
              </w:rPr>
            </w:pPr>
            <w:r w:rsidRPr="00AE6EDB">
              <w:rPr>
                <w:sz w:val="19"/>
                <w:szCs w:val="19"/>
              </w:rPr>
              <w:t>12</w:t>
            </w:r>
          </w:p>
        </w:tc>
        <w:tc>
          <w:tcPr>
            <w:tcW w:w="587" w:type="pct"/>
            <w:noWrap/>
            <w:vAlign w:val="center"/>
          </w:tcPr>
          <w:p w:rsidR="000A7585" w:rsidRPr="00AE6EDB" w:rsidRDefault="000A7585" w:rsidP="00DE0EEC">
            <w:pPr>
              <w:jc w:val="right"/>
              <w:rPr>
                <w:sz w:val="19"/>
                <w:szCs w:val="19"/>
              </w:rPr>
            </w:pPr>
            <w:r w:rsidRPr="00AE6EDB">
              <w:rPr>
                <w:sz w:val="19"/>
                <w:szCs w:val="19"/>
              </w:rPr>
              <w:t>9</w:t>
            </w:r>
          </w:p>
        </w:tc>
        <w:tc>
          <w:tcPr>
            <w:tcW w:w="513" w:type="pct"/>
            <w:noWrap/>
            <w:vAlign w:val="center"/>
          </w:tcPr>
          <w:p w:rsidR="000A7585" w:rsidRPr="00AE6EDB" w:rsidRDefault="000A7585" w:rsidP="00DE0EEC">
            <w:pPr>
              <w:jc w:val="right"/>
              <w:rPr>
                <w:sz w:val="19"/>
                <w:szCs w:val="19"/>
              </w:rPr>
            </w:pPr>
            <w:r w:rsidRPr="00AE6EDB">
              <w:rPr>
                <w:sz w:val="19"/>
                <w:szCs w:val="19"/>
              </w:rPr>
              <w:t>9</w:t>
            </w:r>
          </w:p>
        </w:tc>
        <w:tc>
          <w:tcPr>
            <w:tcW w:w="586" w:type="pct"/>
            <w:noWrap/>
            <w:vAlign w:val="center"/>
          </w:tcPr>
          <w:p w:rsidR="000A7585" w:rsidRPr="00AE6EDB" w:rsidRDefault="000A7585" w:rsidP="00DE0EEC">
            <w:pPr>
              <w:jc w:val="right"/>
              <w:rPr>
                <w:sz w:val="19"/>
                <w:szCs w:val="19"/>
              </w:rPr>
            </w:pPr>
            <w:r w:rsidRPr="00AE6EDB">
              <w:rPr>
                <w:sz w:val="19"/>
                <w:szCs w:val="19"/>
              </w:rPr>
              <w:t>10</w:t>
            </w:r>
          </w:p>
        </w:tc>
        <w:tc>
          <w:tcPr>
            <w:tcW w:w="586" w:type="pct"/>
            <w:noWrap/>
            <w:vAlign w:val="center"/>
          </w:tcPr>
          <w:p w:rsidR="000A7585" w:rsidRPr="00AE6EDB" w:rsidRDefault="000A7585" w:rsidP="00DE0EEC">
            <w:pPr>
              <w:jc w:val="right"/>
              <w:rPr>
                <w:sz w:val="19"/>
                <w:szCs w:val="19"/>
              </w:rPr>
            </w:pPr>
            <w:r w:rsidRPr="00AE6EDB">
              <w:rPr>
                <w:sz w:val="19"/>
                <w:szCs w:val="19"/>
              </w:rPr>
              <w:t>13</w:t>
            </w:r>
          </w:p>
        </w:tc>
        <w:tc>
          <w:tcPr>
            <w:tcW w:w="521" w:type="pct"/>
            <w:noWrap/>
            <w:vAlign w:val="center"/>
          </w:tcPr>
          <w:p w:rsidR="000A7585" w:rsidRPr="00AE6EDB" w:rsidRDefault="000A7585" w:rsidP="00DE0EEC">
            <w:pPr>
              <w:jc w:val="right"/>
              <w:rPr>
                <w:sz w:val="19"/>
                <w:szCs w:val="19"/>
              </w:rPr>
            </w:pPr>
            <w:r w:rsidRPr="00AE6EDB">
              <w:rPr>
                <w:sz w:val="19"/>
                <w:szCs w:val="19"/>
              </w:rPr>
              <w:t>119</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náhrada nákladov spojených s pohrebom</w:t>
            </w:r>
          </w:p>
        </w:tc>
        <w:tc>
          <w:tcPr>
            <w:tcW w:w="439" w:type="pct"/>
            <w:noWrap/>
            <w:vAlign w:val="center"/>
          </w:tcPr>
          <w:p w:rsidR="000A7585" w:rsidRPr="00AE6EDB" w:rsidRDefault="000A7585" w:rsidP="00DE0EEC">
            <w:pPr>
              <w:jc w:val="right"/>
              <w:rPr>
                <w:sz w:val="19"/>
                <w:szCs w:val="19"/>
              </w:rPr>
            </w:pPr>
            <w:r w:rsidRPr="00AE6EDB">
              <w:rPr>
                <w:sz w:val="19"/>
                <w:szCs w:val="19"/>
              </w:rPr>
              <w:t>3</w:t>
            </w:r>
          </w:p>
        </w:tc>
        <w:tc>
          <w:tcPr>
            <w:tcW w:w="512" w:type="pct"/>
            <w:noWrap/>
            <w:vAlign w:val="center"/>
          </w:tcPr>
          <w:p w:rsidR="000A7585" w:rsidRPr="00AE6EDB" w:rsidRDefault="000A7585" w:rsidP="00DE0EEC">
            <w:pPr>
              <w:jc w:val="right"/>
              <w:rPr>
                <w:sz w:val="19"/>
                <w:szCs w:val="19"/>
              </w:rPr>
            </w:pPr>
            <w:r w:rsidRPr="00AE6EDB">
              <w:rPr>
                <w:sz w:val="19"/>
                <w:szCs w:val="19"/>
              </w:rPr>
              <w:t>6</w:t>
            </w:r>
          </w:p>
        </w:tc>
        <w:tc>
          <w:tcPr>
            <w:tcW w:w="587" w:type="pct"/>
            <w:noWrap/>
            <w:vAlign w:val="center"/>
          </w:tcPr>
          <w:p w:rsidR="000A7585" w:rsidRPr="00AE6EDB" w:rsidRDefault="000A7585" w:rsidP="00DE0EEC">
            <w:pPr>
              <w:jc w:val="right"/>
              <w:rPr>
                <w:sz w:val="19"/>
                <w:szCs w:val="19"/>
              </w:rPr>
            </w:pPr>
            <w:r w:rsidRPr="00AE6EDB">
              <w:rPr>
                <w:sz w:val="19"/>
                <w:szCs w:val="19"/>
              </w:rPr>
              <w:t>0</w:t>
            </w:r>
          </w:p>
        </w:tc>
        <w:tc>
          <w:tcPr>
            <w:tcW w:w="513" w:type="pct"/>
            <w:noWrap/>
            <w:vAlign w:val="center"/>
          </w:tcPr>
          <w:p w:rsidR="000A7585" w:rsidRPr="00AE6EDB" w:rsidRDefault="000A7585" w:rsidP="00DE0EEC">
            <w:pPr>
              <w:jc w:val="right"/>
              <w:rPr>
                <w:sz w:val="19"/>
                <w:szCs w:val="19"/>
              </w:rPr>
            </w:pPr>
            <w:r w:rsidRPr="00AE6EDB">
              <w:rPr>
                <w:sz w:val="19"/>
                <w:szCs w:val="19"/>
              </w:rPr>
              <w:t>4</w:t>
            </w:r>
          </w:p>
        </w:tc>
        <w:tc>
          <w:tcPr>
            <w:tcW w:w="586" w:type="pct"/>
            <w:noWrap/>
            <w:vAlign w:val="center"/>
          </w:tcPr>
          <w:p w:rsidR="000A7585" w:rsidRPr="00AE6EDB" w:rsidRDefault="000A7585" w:rsidP="00DE0EEC">
            <w:pPr>
              <w:jc w:val="right"/>
              <w:rPr>
                <w:sz w:val="19"/>
                <w:szCs w:val="19"/>
              </w:rPr>
            </w:pPr>
            <w:r w:rsidRPr="00AE6EDB">
              <w:rPr>
                <w:sz w:val="19"/>
                <w:szCs w:val="19"/>
              </w:rPr>
              <w:t>7</w:t>
            </w:r>
          </w:p>
        </w:tc>
        <w:tc>
          <w:tcPr>
            <w:tcW w:w="586" w:type="pct"/>
            <w:noWrap/>
            <w:vAlign w:val="center"/>
          </w:tcPr>
          <w:p w:rsidR="000A7585" w:rsidRPr="00AE6EDB" w:rsidRDefault="000A7585" w:rsidP="00DE0EEC">
            <w:pPr>
              <w:jc w:val="right"/>
              <w:rPr>
                <w:sz w:val="19"/>
                <w:szCs w:val="19"/>
              </w:rPr>
            </w:pPr>
            <w:r w:rsidRPr="00AE6EDB">
              <w:rPr>
                <w:sz w:val="19"/>
                <w:szCs w:val="19"/>
              </w:rPr>
              <w:t>4</w:t>
            </w:r>
          </w:p>
        </w:tc>
        <w:tc>
          <w:tcPr>
            <w:tcW w:w="521" w:type="pct"/>
            <w:noWrap/>
            <w:vAlign w:val="center"/>
          </w:tcPr>
          <w:p w:rsidR="000A7585" w:rsidRPr="00AE6EDB" w:rsidRDefault="000A7585" w:rsidP="00DE0EEC">
            <w:pPr>
              <w:jc w:val="right"/>
              <w:rPr>
                <w:sz w:val="19"/>
                <w:szCs w:val="19"/>
              </w:rPr>
            </w:pPr>
            <w:r w:rsidRPr="00AE6EDB">
              <w:rPr>
                <w:sz w:val="19"/>
                <w:szCs w:val="19"/>
              </w:rPr>
              <w:t>47</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výplata poistných plnení z minulých rokov</w:t>
            </w:r>
          </w:p>
        </w:tc>
        <w:tc>
          <w:tcPr>
            <w:tcW w:w="439" w:type="pct"/>
            <w:noWrap/>
            <w:vAlign w:val="center"/>
          </w:tcPr>
          <w:p w:rsidR="000A7585" w:rsidRPr="00AE6EDB" w:rsidRDefault="000A7585" w:rsidP="00DE0EEC">
            <w:pPr>
              <w:jc w:val="right"/>
              <w:rPr>
                <w:sz w:val="19"/>
                <w:szCs w:val="19"/>
              </w:rPr>
            </w:pPr>
            <w:r w:rsidRPr="00AE6EDB">
              <w:rPr>
                <w:sz w:val="19"/>
                <w:szCs w:val="19"/>
              </w:rPr>
              <w:t>1</w:t>
            </w:r>
          </w:p>
        </w:tc>
        <w:tc>
          <w:tcPr>
            <w:tcW w:w="512" w:type="pct"/>
            <w:noWrap/>
            <w:vAlign w:val="center"/>
          </w:tcPr>
          <w:p w:rsidR="000A7585" w:rsidRPr="00AE6EDB" w:rsidRDefault="000A7585" w:rsidP="00DE0EEC">
            <w:pPr>
              <w:jc w:val="right"/>
              <w:rPr>
                <w:sz w:val="19"/>
                <w:szCs w:val="19"/>
              </w:rPr>
            </w:pPr>
            <w:r w:rsidRPr="00AE6EDB">
              <w:rPr>
                <w:sz w:val="19"/>
                <w:szCs w:val="19"/>
              </w:rPr>
              <w:t>78</w:t>
            </w:r>
          </w:p>
        </w:tc>
        <w:tc>
          <w:tcPr>
            <w:tcW w:w="587" w:type="pct"/>
            <w:noWrap/>
            <w:vAlign w:val="center"/>
          </w:tcPr>
          <w:p w:rsidR="000A7585" w:rsidRPr="00AE6EDB" w:rsidRDefault="000A7585" w:rsidP="00DE0EEC">
            <w:pPr>
              <w:jc w:val="right"/>
              <w:rPr>
                <w:sz w:val="19"/>
                <w:szCs w:val="19"/>
              </w:rPr>
            </w:pPr>
            <w:r w:rsidRPr="00AE6EDB">
              <w:rPr>
                <w:sz w:val="19"/>
                <w:szCs w:val="19"/>
              </w:rPr>
              <w:t>25</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0</w:t>
            </w:r>
          </w:p>
        </w:tc>
        <w:tc>
          <w:tcPr>
            <w:tcW w:w="521" w:type="pct"/>
            <w:noWrap/>
            <w:vAlign w:val="center"/>
          </w:tcPr>
          <w:p w:rsidR="000A7585" w:rsidRPr="00AE6EDB" w:rsidRDefault="000A7585" w:rsidP="00DE0EEC">
            <w:pPr>
              <w:jc w:val="right"/>
              <w:rPr>
                <w:sz w:val="19"/>
                <w:szCs w:val="19"/>
              </w:rPr>
            </w:pPr>
            <w:r w:rsidRPr="00AE6EDB">
              <w:rPr>
                <w:sz w:val="19"/>
                <w:szCs w:val="19"/>
              </w:rPr>
              <w:t>161</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zúčtovanie dávok podľa §112, ods.8</w:t>
            </w:r>
          </w:p>
        </w:tc>
        <w:tc>
          <w:tcPr>
            <w:tcW w:w="439" w:type="pct"/>
            <w:noWrap/>
            <w:vAlign w:val="center"/>
          </w:tcPr>
          <w:p w:rsidR="000A7585" w:rsidRPr="00AE6EDB" w:rsidRDefault="000A7585" w:rsidP="00DE0EEC">
            <w:pPr>
              <w:jc w:val="right"/>
              <w:rPr>
                <w:sz w:val="19"/>
                <w:szCs w:val="19"/>
              </w:rPr>
            </w:pPr>
            <w:r w:rsidRPr="00AE6EDB">
              <w:rPr>
                <w:sz w:val="19"/>
                <w:szCs w:val="19"/>
              </w:rPr>
              <w:t>-13</w:t>
            </w:r>
          </w:p>
        </w:tc>
        <w:tc>
          <w:tcPr>
            <w:tcW w:w="512" w:type="pct"/>
            <w:noWrap/>
            <w:vAlign w:val="center"/>
          </w:tcPr>
          <w:p w:rsidR="000A7585" w:rsidRPr="00AE6EDB" w:rsidRDefault="000A7585" w:rsidP="00DE0EEC">
            <w:pPr>
              <w:jc w:val="right"/>
              <w:rPr>
                <w:sz w:val="19"/>
                <w:szCs w:val="19"/>
              </w:rPr>
            </w:pPr>
            <w:r w:rsidRPr="00AE6EDB">
              <w:rPr>
                <w:sz w:val="19"/>
                <w:szCs w:val="19"/>
              </w:rPr>
              <w:t>-14</w:t>
            </w:r>
          </w:p>
        </w:tc>
        <w:tc>
          <w:tcPr>
            <w:tcW w:w="587" w:type="pct"/>
            <w:noWrap/>
            <w:vAlign w:val="center"/>
          </w:tcPr>
          <w:p w:rsidR="000A7585" w:rsidRPr="00AE6EDB" w:rsidRDefault="000A7585" w:rsidP="00DE0EEC">
            <w:pPr>
              <w:jc w:val="right"/>
              <w:rPr>
                <w:sz w:val="19"/>
                <w:szCs w:val="19"/>
              </w:rPr>
            </w:pPr>
            <w:r w:rsidRPr="00AE6EDB">
              <w:rPr>
                <w:sz w:val="19"/>
                <w:szCs w:val="19"/>
              </w:rPr>
              <w:t>-5</w:t>
            </w:r>
          </w:p>
        </w:tc>
        <w:tc>
          <w:tcPr>
            <w:tcW w:w="513" w:type="pct"/>
            <w:noWrap/>
            <w:vAlign w:val="center"/>
          </w:tcPr>
          <w:p w:rsidR="000A7585" w:rsidRPr="00AE6EDB" w:rsidRDefault="000A7585" w:rsidP="00DE0EEC">
            <w:pPr>
              <w:jc w:val="right"/>
              <w:rPr>
                <w:sz w:val="19"/>
                <w:szCs w:val="19"/>
              </w:rPr>
            </w:pPr>
            <w:r w:rsidRPr="00AE6EDB">
              <w:rPr>
                <w:sz w:val="19"/>
                <w:szCs w:val="19"/>
              </w:rPr>
              <w:t>0</w:t>
            </w:r>
          </w:p>
        </w:tc>
        <w:tc>
          <w:tcPr>
            <w:tcW w:w="586" w:type="pct"/>
            <w:noWrap/>
            <w:vAlign w:val="center"/>
          </w:tcPr>
          <w:p w:rsidR="000A7585" w:rsidRPr="00AE6EDB" w:rsidRDefault="000A7585" w:rsidP="00DE0EEC">
            <w:pPr>
              <w:jc w:val="right"/>
              <w:rPr>
                <w:sz w:val="19"/>
                <w:szCs w:val="19"/>
              </w:rPr>
            </w:pPr>
            <w:r w:rsidRPr="00AE6EDB">
              <w:rPr>
                <w:sz w:val="19"/>
                <w:szCs w:val="19"/>
              </w:rPr>
              <w:t>-15</w:t>
            </w:r>
          </w:p>
        </w:tc>
        <w:tc>
          <w:tcPr>
            <w:tcW w:w="586" w:type="pct"/>
            <w:noWrap/>
            <w:vAlign w:val="center"/>
          </w:tcPr>
          <w:p w:rsidR="000A7585" w:rsidRPr="00AE6EDB" w:rsidRDefault="000A7585" w:rsidP="00DE0EEC">
            <w:pPr>
              <w:jc w:val="right"/>
              <w:rPr>
                <w:sz w:val="19"/>
                <w:szCs w:val="19"/>
              </w:rPr>
            </w:pPr>
            <w:r w:rsidRPr="00AE6EDB">
              <w:rPr>
                <w:sz w:val="19"/>
                <w:szCs w:val="19"/>
              </w:rPr>
              <w:t>-4</w:t>
            </w:r>
          </w:p>
        </w:tc>
        <w:tc>
          <w:tcPr>
            <w:tcW w:w="521" w:type="pct"/>
            <w:noWrap/>
            <w:vAlign w:val="center"/>
          </w:tcPr>
          <w:p w:rsidR="000A7585" w:rsidRPr="00AE6EDB" w:rsidRDefault="000A7585" w:rsidP="00DE0EEC">
            <w:pPr>
              <w:jc w:val="right"/>
              <w:rPr>
                <w:b/>
                <w:sz w:val="19"/>
                <w:szCs w:val="19"/>
              </w:rPr>
            </w:pPr>
            <w:r w:rsidRPr="00AE6EDB">
              <w:rPr>
                <w:b/>
                <w:sz w:val="19"/>
                <w:szCs w:val="19"/>
              </w:rPr>
              <w:t>-71</w:t>
            </w:r>
          </w:p>
        </w:tc>
      </w:tr>
      <w:tr w:rsidR="000A7585" w:rsidRPr="00AE6EDB" w:rsidTr="00DE0EEC">
        <w:trPr>
          <w:trHeight w:val="271"/>
          <w:jc w:val="center"/>
        </w:trPr>
        <w:tc>
          <w:tcPr>
            <w:tcW w:w="1255" w:type="pct"/>
            <w:noWrap/>
            <w:vAlign w:val="center"/>
          </w:tcPr>
          <w:p w:rsidR="000A7585" w:rsidRPr="00AE6EDB" w:rsidRDefault="000A7585" w:rsidP="00DE0EEC">
            <w:pPr>
              <w:jc w:val="left"/>
              <w:rPr>
                <w:b/>
                <w:sz w:val="19"/>
                <w:szCs w:val="19"/>
              </w:rPr>
            </w:pPr>
            <w:r w:rsidRPr="00AE6EDB">
              <w:rPr>
                <w:b/>
                <w:sz w:val="19"/>
                <w:szCs w:val="19"/>
              </w:rPr>
              <w:t>s p o l u</w:t>
            </w:r>
          </w:p>
        </w:tc>
        <w:tc>
          <w:tcPr>
            <w:tcW w:w="439" w:type="pct"/>
            <w:noWrap/>
            <w:vAlign w:val="center"/>
          </w:tcPr>
          <w:p w:rsidR="000A7585" w:rsidRPr="00AE6EDB" w:rsidRDefault="0054295F" w:rsidP="00DE0EEC">
            <w:pPr>
              <w:jc w:val="right"/>
              <w:rPr>
                <w:sz w:val="19"/>
                <w:szCs w:val="19"/>
              </w:rPr>
            </w:pPr>
            <w:r>
              <w:rPr>
                <w:sz w:val="19"/>
                <w:szCs w:val="19"/>
              </w:rPr>
              <w:t>3 6</w:t>
            </w:r>
            <w:r w:rsidR="000A7585" w:rsidRPr="00AE6EDB">
              <w:rPr>
                <w:sz w:val="19"/>
                <w:szCs w:val="19"/>
              </w:rPr>
              <w:t>92</w:t>
            </w:r>
          </w:p>
        </w:tc>
        <w:tc>
          <w:tcPr>
            <w:tcW w:w="512" w:type="pct"/>
            <w:noWrap/>
            <w:vAlign w:val="center"/>
          </w:tcPr>
          <w:p w:rsidR="000A7585" w:rsidRPr="00AE6EDB" w:rsidRDefault="0054295F" w:rsidP="00DE0EEC">
            <w:pPr>
              <w:jc w:val="right"/>
              <w:rPr>
                <w:sz w:val="19"/>
                <w:szCs w:val="19"/>
              </w:rPr>
            </w:pPr>
            <w:r>
              <w:rPr>
                <w:sz w:val="19"/>
                <w:szCs w:val="19"/>
              </w:rPr>
              <w:t>3 7</w:t>
            </w:r>
            <w:r w:rsidR="000A7585" w:rsidRPr="00AE6EDB">
              <w:rPr>
                <w:sz w:val="19"/>
                <w:szCs w:val="19"/>
              </w:rPr>
              <w:t>94</w:t>
            </w:r>
          </w:p>
        </w:tc>
        <w:tc>
          <w:tcPr>
            <w:tcW w:w="587" w:type="pct"/>
            <w:noWrap/>
            <w:vAlign w:val="center"/>
          </w:tcPr>
          <w:p w:rsidR="000A7585" w:rsidRPr="00AE6EDB" w:rsidRDefault="0054295F" w:rsidP="00DE0EEC">
            <w:pPr>
              <w:jc w:val="right"/>
              <w:rPr>
                <w:sz w:val="19"/>
                <w:szCs w:val="19"/>
              </w:rPr>
            </w:pPr>
            <w:r>
              <w:rPr>
                <w:sz w:val="19"/>
                <w:szCs w:val="19"/>
              </w:rPr>
              <w:t>3 3</w:t>
            </w:r>
            <w:r w:rsidR="000A7585" w:rsidRPr="00AE6EDB">
              <w:rPr>
                <w:sz w:val="19"/>
                <w:szCs w:val="19"/>
              </w:rPr>
              <w:t>42</w:t>
            </w:r>
          </w:p>
        </w:tc>
        <w:tc>
          <w:tcPr>
            <w:tcW w:w="513" w:type="pct"/>
            <w:noWrap/>
            <w:vAlign w:val="center"/>
          </w:tcPr>
          <w:p w:rsidR="000A7585" w:rsidRPr="00AE6EDB" w:rsidRDefault="0054295F" w:rsidP="00DE0EEC">
            <w:pPr>
              <w:jc w:val="right"/>
              <w:rPr>
                <w:sz w:val="19"/>
                <w:szCs w:val="19"/>
              </w:rPr>
            </w:pPr>
            <w:r>
              <w:rPr>
                <w:sz w:val="19"/>
                <w:szCs w:val="19"/>
              </w:rPr>
              <w:t>3 4</w:t>
            </w:r>
            <w:r w:rsidR="000A7585" w:rsidRPr="00AE6EDB">
              <w:rPr>
                <w:sz w:val="19"/>
                <w:szCs w:val="19"/>
              </w:rPr>
              <w:t>51</w:t>
            </w:r>
          </w:p>
        </w:tc>
        <w:tc>
          <w:tcPr>
            <w:tcW w:w="586" w:type="pct"/>
            <w:noWrap/>
            <w:vAlign w:val="center"/>
          </w:tcPr>
          <w:p w:rsidR="000A7585" w:rsidRPr="00AE6EDB" w:rsidRDefault="0054295F" w:rsidP="00DE0EEC">
            <w:pPr>
              <w:jc w:val="right"/>
              <w:rPr>
                <w:sz w:val="19"/>
                <w:szCs w:val="19"/>
              </w:rPr>
            </w:pPr>
            <w:r>
              <w:rPr>
                <w:sz w:val="19"/>
                <w:szCs w:val="19"/>
              </w:rPr>
              <w:t>3 5</w:t>
            </w:r>
            <w:r w:rsidR="000A7585" w:rsidRPr="00AE6EDB">
              <w:rPr>
                <w:sz w:val="19"/>
                <w:szCs w:val="19"/>
              </w:rPr>
              <w:t>82</w:t>
            </w:r>
          </w:p>
        </w:tc>
        <w:tc>
          <w:tcPr>
            <w:tcW w:w="586" w:type="pct"/>
            <w:noWrap/>
            <w:vAlign w:val="center"/>
          </w:tcPr>
          <w:p w:rsidR="000A7585" w:rsidRPr="00AE6EDB" w:rsidRDefault="0054295F" w:rsidP="00DE0EEC">
            <w:pPr>
              <w:jc w:val="right"/>
              <w:rPr>
                <w:sz w:val="19"/>
                <w:szCs w:val="19"/>
              </w:rPr>
            </w:pPr>
            <w:r>
              <w:rPr>
                <w:sz w:val="19"/>
                <w:szCs w:val="19"/>
              </w:rPr>
              <w:t>3 9</w:t>
            </w:r>
            <w:r w:rsidR="000A7585" w:rsidRPr="00AE6EDB">
              <w:rPr>
                <w:sz w:val="19"/>
                <w:szCs w:val="19"/>
              </w:rPr>
              <w:t>09</w:t>
            </w:r>
          </w:p>
        </w:tc>
        <w:tc>
          <w:tcPr>
            <w:tcW w:w="521" w:type="pct"/>
            <w:noWrap/>
            <w:vAlign w:val="center"/>
          </w:tcPr>
          <w:p w:rsidR="000A7585" w:rsidRPr="00AE6EDB" w:rsidRDefault="000A7585" w:rsidP="00DE0EEC">
            <w:pPr>
              <w:jc w:val="right"/>
              <w:rPr>
                <w:b/>
                <w:sz w:val="19"/>
                <w:szCs w:val="19"/>
              </w:rPr>
            </w:pPr>
            <w:r w:rsidRPr="00AE6EDB">
              <w:rPr>
                <w:b/>
                <w:sz w:val="19"/>
                <w:szCs w:val="19"/>
              </w:rPr>
              <w:t>4</w:t>
            </w:r>
            <w:r w:rsidR="0054295F">
              <w:rPr>
                <w:b/>
                <w:sz w:val="19"/>
                <w:szCs w:val="19"/>
              </w:rPr>
              <w:t>3 8</w:t>
            </w:r>
            <w:r w:rsidRPr="00AE6EDB">
              <w:rPr>
                <w:b/>
                <w:sz w:val="19"/>
                <w:szCs w:val="19"/>
              </w:rPr>
              <w:t>79</w:t>
            </w:r>
          </w:p>
        </w:tc>
      </w:tr>
      <w:tr w:rsidR="000A7585" w:rsidRPr="00AE6EDB" w:rsidTr="00DE0EEC">
        <w:trPr>
          <w:trHeight w:val="331"/>
          <w:jc w:val="center"/>
        </w:trPr>
        <w:tc>
          <w:tcPr>
            <w:tcW w:w="1255" w:type="pct"/>
            <w:noWrap/>
            <w:vAlign w:val="center"/>
          </w:tcPr>
          <w:p w:rsidR="000A7585" w:rsidRPr="00AE6EDB" w:rsidRDefault="000A7585" w:rsidP="00DE0EEC">
            <w:pPr>
              <w:jc w:val="left"/>
              <w:rPr>
                <w:sz w:val="19"/>
                <w:szCs w:val="19"/>
              </w:rPr>
            </w:pPr>
            <w:r w:rsidRPr="00AE6EDB">
              <w:rPr>
                <w:sz w:val="19"/>
                <w:szCs w:val="19"/>
              </w:rPr>
              <w:t>18</w:t>
            </w:r>
            <w:r w:rsidR="005676EF">
              <w:rPr>
                <w:sz w:val="19"/>
                <w:szCs w:val="19"/>
              </w:rPr>
              <w:t> %</w:t>
            </w:r>
            <w:r w:rsidRPr="00AE6EDB">
              <w:rPr>
                <w:sz w:val="19"/>
                <w:szCs w:val="19"/>
              </w:rPr>
              <w:t xml:space="preserve"> prevod finančných prostriedkov do ZFSP za poberanie úrazovej renty</w:t>
            </w:r>
          </w:p>
        </w:tc>
        <w:tc>
          <w:tcPr>
            <w:tcW w:w="439" w:type="pct"/>
            <w:noWrap/>
            <w:vAlign w:val="center"/>
          </w:tcPr>
          <w:p w:rsidR="000A7585" w:rsidRPr="00AE6EDB" w:rsidRDefault="000A7585" w:rsidP="00DE0EEC">
            <w:pPr>
              <w:jc w:val="right"/>
              <w:rPr>
                <w:sz w:val="19"/>
                <w:szCs w:val="19"/>
              </w:rPr>
            </w:pPr>
            <w:r w:rsidRPr="00AE6EDB">
              <w:rPr>
                <w:sz w:val="19"/>
                <w:szCs w:val="19"/>
              </w:rPr>
              <w:t>234</w:t>
            </w:r>
          </w:p>
        </w:tc>
        <w:tc>
          <w:tcPr>
            <w:tcW w:w="512" w:type="pct"/>
            <w:noWrap/>
            <w:vAlign w:val="center"/>
          </w:tcPr>
          <w:p w:rsidR="000A7585" w:rsidRPr="00AE6EDB" w:rsidRDefault="000A7585" w:rsidP="00DE0EEC">
            <w:pPr>
              <w:jc w:val="right"/>
              <w:rPr>
                <w:sz w:val="19"/>
                <w:szCs w:val="19"/>
              </w:rPr>
            </w:pPr>
            <w:r w:rsidRPr="00AE6EDB">
              <w:rPr>
                <w:sz w:val="19"/>
                <w:szCs w:val="19"/>
              </w:rPr>
              <w:t>231</w:t>
            </w:r>
          </w:p>
        </w:tc>
        <w:tc>
          <w:tcPr>
            <w:tcW w:w="587" w:type="pct"/>
            <w:noWrap/>
            <w:vAlign w:val="center"/>
          </w:tcPr>
          <w:p w:rsidR="000A7585" w:rsidRPr="00AE6EDB" w:rsidRDefault="000A7585" w:rsidP="00DE0EEC">
            <w:pPr>
              <w:jc w:val="right"/>
              <w:rPr>
                <w:sz w:val="19"/>
                <w:szCs w:val="19"/>
              </w:rPr>
            </w:pPr>
            <w:r w:rsidRPr="00AE6EDB">
              <w:rPr>
                <w:sz w:val="19"/>
                <w:szCs w:val="19"/>
              </w:rPr>
              <w:t>243</w:t>
            </w:r>
          </w:p>
        </w:tc>
        <w:tc>
          <w:tcPr>
            <w:tcW w:w="513" w:type="pct"/>
            <w:noWrap/>
            <w:vAlign w:val="center"/>
          </w:tcPr>
          <w:p w:rsidR="000A7585" w:rsidRPr="00AE6EDB" w:rsidRDefault="000A7585" w:rsidP="00DE0EEC">
            <w:pPr>
              <w:jc w:val="right"/>
              <w:rPr>
                <w:sz w:val="19"/>
                <w:szCs w:val="19"/>
              </w:rPr>
            </w:pPr>
            <w:r w:rsidRPr="00AE6EDB">
              <w:rPr>
                <w:sz w:val="19"/>
                <w:szCs w:val="19"/>
              </w:rPr>
              <w:t>227</w:t>
            </w:r>
          </w:p>
        </w:tc>
        <w:tc>
          <w:tcPr>
            <w:tcW w:w="586" w:type="pct"/>
            <w:noWrap/>
            <w:vAlign w:val="center"/>
          </w:tcPr>
          <w:p w:rsidR="000A7585" w:rsidRPr="00AE6EDB" w:rsidRDefault="000A7585" w:rsidP="00DE0EEC">
            <w:pPr>
              <w:jc w:val="right"/>
              <w:rPr>
                <w:sz w:val="19"/>
                <w:szCs w:val="19"/>
              </w:rPr>
            </w:pPr>
            <w:r w:rsidRPr="00AE6EDB">
              <w:rPr>
                <w:sz w:val="19"/>
                <w:szCs w:val="19"/>
              </w:rPr>
              <w:t>243</w:t>
            </w:r>
          </w:p>
        </w:tc>
        <w:tc>
          <w:tcPr>
            <w:tcW w:w="586" w:type="pct"/>
            <w:noWrap/>
            <w:vAlign w:val="center"/>
          </w:tcPr>
          <w:p w:rsidR="000A7585" w:rsidRPr="00AE6EDB" w:rsidRDefault="000A7585" w:rsidP="00DE0EEC">
            <w:pPr>
              <w:jc w:val="right"/>
              <w:rPr>
                <w:sz w:val="19"/>
                <w:szCs w:val="19"/>
              </w:rPr>
            </w:pPr>
            <w:r w:rsidRPr="00AE6EDB">
              <w:rPr>
                <w:sz w:val="19"/>
                <w:szCs w:val="19"/>
              </w:rPr>
              <w:t>243</w:t>
            </w:r>
          </w:p>
        </w:tc>
        <w:tc>
          <w:tcPr>
            <w:tcW w:w="521" w:type="pct"/>
            <w:noWrap/>
            <w:vAlign w:val="center"/>
          </w:tcPr>
          <w:p w:rsidR="000A7585" w:rsidRPr="00AE6EDB" w:rsidRDefault="0054295F" w:rsidP="00DE0EEC">
            <w:pPr>
              <w:jc w:val="right"/>
              <w:rPr>
                <w:b/>
                <w:sz w:val="19"/>
                <w:szCs w:val="19"/>
              </w:rPr>
            </w:pPr>
            <w:r>
              <w:rPr>
                <w:b/>
                <w:sz w:val="19"/>
                <w:szCs w:val="19"/>
              </w:rPr>
              <w:t>2 8</w:t>
            </w:r>
            <w:r w:rsidR="000A7585" w:rsidRPr="00AE6EDB">
              <w:rPr>
                <w:b/>
                <w:sz w:val="19"/>
                <w:szCs w:val="19"/>
              </w:rPr>
              <w:t>45</w:t>
            </w:r>
          </w:p>
        </w:tc>
      </w:tr>
      <w:tr w:rsidR="000A7585" w:rsidRPr="00AE6EDB" w:rsidTr="00DE0EEC">
        <w:trPr>
          <w:trHeight w:val="331"/>
          <w:jc w:val="center"/>
        </w:trPr>
        <w:tc>
          <w:tcPr>
            <w:tcW w:w="1255" w:type="pct"/>
            <w:noWrap/>
            <w:vAlign w:val="center"/>
          </w:tcPr>
          <w:p w:rsidR="000A7585" w:rsidRPr="00AE6EDB" w:rsidRDefault="000A7585" w:rsidP="00DE0EEC">
            <w:pPr>
              <w:jc w:val="left"/>
              <w:rPr>
                <w:b/>
                <w:sz w:val="19"/>
                <w:szCs w:val="19"/>
              </w:rPr>
            </w:pPr>
            <w:r w:rsidRPr="00AE6EDB">
              <w:rPr>
                <w:b/>
                <w:sz w:val="19"/>
                <w:szCs w:val="19"/>
              </w:rPr>
              <w:t>Celkom výdavky ZFÚP</w:t>
            </w:r>
          </w:p>
        </w:tc>
        <w:tc>
          <w:tcPr>
            <w:tcW w:w="439" w:type="pct"/>
            <w:noWrap/>
            <w:vAlign w:val="center"/>
          </w:tcPr>
          <w:p w:rsidR="000A7585" w:rsidRPr="00AE6EDB" w:rsidRDefault="0054295F" w:rsidP="00DE0EEC">
            <w:pPr>
              <w:jc w:val="right"/>
              <w:rPr>
                <w:sz w:val="19"/>
                <w:szCs w:val="19"/>
              </w:rPr>
            </w:pPr>
            <w:r>
              <w:rPr>
                <w:sz w:val="19"/>
                <w:szCs w:val="19"/>
              </w:rPr>
              <w:t>3 9</w:t>
            </w:r>
            <w:r w:rsidR="000A7585" w:rsidRPr="00AE6EDB">
              <w:rPr>
                <w:sz w:val="19"/>
                <w:szCs w:val="19"/>
              </w:rPr>
              <w:t>26</w:t>
            </w:r>
          </w:p>
        </w:tc>
        <w:tc>
          <w:tcPr>
            <w:tcW w:w="512" w:type="pct"/>
            <w:noWrap/>
            <w:vAlign w:val="center"/>
          </w:tcPr>
          <w:p w:rsidR="000A7585" w:rsidRPr="00AE6EDB" w:rsidRDefault="0054295F" w:rsidP="00DE0EEC">
            <w:pPr>
              <w:jc w:val="right"/>
              <w:rPr>
                <w:sz w:val="19"/>
                <w:szCs w:val="19"/>
              </w:rPr>
            </w:pPr>
            <w:r>
              <w:rPr>
                <w:sz w:val="19"/>
                <w:szCs w:val="19"/>
              </w:rPr>
              <w:t>4 0</w:t>
            </w:r>
            <w:r w:rsidR="000A7585" w:rsidRPr="00AE6EDB">
              <w:rPr>
                <w:sz w:val="19"/>
                <w:szCs w:val="19"/>
              </w:rPr>
              <w:t>25</w:t>
            </w:r>
          </w:p>
        </w:tc>
        <w:tc>
          <w:tcPr>
            <w:tcW w:w="587" w:type="pct"/>
            <w:noWrap/>
            <w:vAlign w:val="center"/>
          </w:tcPr>
          <w:p w:rsidR="000A7585" w:rsidRPr="00AE6EDB" w:rsidRDefault="0054295F" w:rsidP="00DE0EEC">
            <w:pPr>
              <w:jc w:val="right"/>
              <w:rPr>
                <w:sz w:val="19"/>
                <w:szCs w:val="19"/>
              </w:rPr>
            </w:pPr>
            <w:r>
              <w:rPr>
                <w:sz w:val="19"/>
                <w:szCs w:val="19"/>
              </w:rPr>
              <w:t>3 5</w:t>
            </w:r>
            <w:r w:rsidR="000A7585" w:rsidRPr="00AE6EDB">
              <w:rPr>
                <w:sz w:val="19"/>
                <w:szCs w:val="19"/>
              </w:rPr>
              <w:t>86</w:t>
            </w:r>
          </w:p>
        </w:tc>
        <w:tc>
          <w:tcPr>
            <w:tcW w:w="513" w:type="pct"/>
            <w:noWrap/>
            <w:vAlign w:val="center"/>
          </w:tcPr>
          <w:p w:rsidR="000A7585" w:rsidRPr="00AE6EDB" w:rsidRDefault="0054295F" w:rsidP="00DE0EEC">
            <w:pPr>
              <w:jc w:val="right"/>
              <w:rPr>
                <w:sz w:val="19"/>
                <w:szCs w:val="19"/>
              </w:rPr>
            </w:pPr>
            <w:r>
              <w:rPr>
                <w:sz w:val="19"/>
                <w:szCs w:val="19"/>
              </w:rPr>
              <w:t>3 6</w:t>
            </w:r>
            <w:r w:rsidR="000A7585" w:rsidRPr="00AE6EDB">
              <w:rPr>
                <w:sz w:val="19"/>
                <w:szCs w:val="19"/>
              </w:rPr>
              <w:t>79</w:t>
            </w:r>
          </w:p>
        </w:tc>
        <w:tc>
          <w:tcPr>
            <w:tcW w:w="586" w:type="pct"/>
            <w:noWrap/>
            <w:vAlign w:val="center"/>
          </w:tcPr>
          <w:p w:rsidR="000A7585" w:rsidRPr="00AE6EDB" w:rsidRDefault="0054295F" w:rsidP="00DE0EEC">
            <w:pPr>
              <w:jc w:val="right"/>
              <w:rPr>
                <w:sz w:val="19"/>
                <w:szCs w:val="19"/>
              </w:rPr>
            </w:pPr>
            <w:r>
              <w:rPr>
                <w:sz w:val="19"/>
                <w:szCs w:val="19"/>
              </w:rPr>
              <w:t>3 8</w:t>
            </w:r>
            <w:r w:rsidR="000A7585" w:rsidRPr="00AE6EDB">
              <w:rPr>
                <w:sz w:val="19"/>
                <w:szCs w:val="19"/>
              </w:rPr>
              <w:t>25</w:t>
            </w:r>
          </w:p>
        </w:tc>
        <w:tc>
          <w:tcPr>
            <w:tcW w:w="586" w:type="pct"/>
            <w:noWrap/>
            <w:vAlign w:val="center"/>
          </w:tcPr>
          <w:p w:rsidR="000A7585" w:rsidRPr="00AE6EDB" w:rsidRDefault="0054295F" w:rsidP="00DE0EEC">
            <w:pPr>
              <w:jc w:val="right"/>
              <w:rPr>
                <w:sz w:val="19"/>
                <w:szCs w:val="19"/>
              </w:rPr>
            </w:pPr>
            <w:r>
              <w:rPr>
                <w:sz w:val="19"/>
                <w:szCs w:val="19"/>
              </w:rPr>
              <w:t>4 1</w:t>
            </w:r>
            <w:r w:rsidR="000A7585" w:rsidRPr="00AE6EDB">
              <w:rPr>
                <w:sz w:val="19"/>
                <w:szCs w:val="19"/>
              </w:rPr>
              <w:t>52</w:t>
            </w:r>
          </w:p>
        </w:tc>
        <w:tc>
          <w:tcPr>
            <w:tcW w:w="521" w:type="pct"/>
            <w:noWrap/>
            <w:vAlign w:val="center"/>
          </w:tcPr>
          <w:p w:rsidR="000A7585" w:rsidRPr="00AE6EDB" w:rsidRDefault="000A7585" w:rsidP="00DE0EEC">
            <w:pPr>
              <w:jc w:val="right"/>
              <w:rPr>
                <w:b/>
                <w:sz w:val="19"/>
                <w:szCs w:val="19"/>
              </w:rPr>
            </w:pPr>
            <w:r w:rsidRPr="00AE6EDB">
              <w:rPr>
                <w:b/>
                <w:sz w:val="19"/>
                <w:szCs w:val="19"/>
              </w:rPr>
              <w:t>4</w:t>
            </w:r>
            <w:r w:rsidR="00AC44CB">
              <w:rPr>
                <w:b/>
                <w:sz w:val="19"/>
                <w:szCs w:val="19"/>
              </w:rPr>
              <w:t>6 7</w:t>
            </w:r>
            <w:r w:rsidRPr="00AE6EDB">
              <w:rPr>
                <w:b/>
                <w:sz w:val="19"/>
                <w:szCs w:val="19"/>
              </w:rPr>
              <w:t>24</w:t>
            </w:r>
          </w:p>
        </w:tc>
      </w:tr>
    </w:tbl>
    <w:p w:rsidR="000A7585" w:rsidRPr="00AE6EDB" w:rsidRDefault="000A7585" w:rsidP="000A7585">
      <w:pPr>
        <w:pStyle w:val="zdroj"/>
        <w:rPr>
          <w:b/>
        </w:rPr>
      </w:pPr>
      <w:r w:rsidRPr="00AE6EDB">
        <w:t>Zdroj: Sociálna poisťovňa</w:t>
      </w:r>
    </w:p>
    <w:p w:rsidR="000A7585" w:rsidRPr="00AE6EDB" w:rsidRDefault="000A7585" w:rsidP="000A7585">
      <w:pPr>
        <w:pStyle w:val="Nadpis7"/>
      </w:pPr>
      <w:r w:rsidRPr="00AE6EDB">
        <w:t>Tabuľka 7 Priemerná výška a počet vyplatených dávok úrazového poistenia v roku 2015</w:t>
      </w:r>
    </w:p>
    <w:tbl>
      <w:tblPr>
        <w:tblW w:w="9371" w:type="dxa"/>
        <w:tblCellMar>
          <w:left w:w="0" w:type="dxa"/>
          <w:right w:w="0" w:type="dxa"/>
        </w:tblCellMar>
        <w:tblLook w:val="0000" w:firstRow="0" w:lastRow="0" w:firstColumn="0" w:lastColumn="0" w:noHBand="0" w:noVBand="0"/>
      </w:tblPr>
      <w:tblGrid>
        <w:gridCol w:w="5590"/>
        <w:gridCol w:w="1655"/>
        <w:gridCol w:w="2126"/>
      </w:tblGrid>
      <w:tr w:rsidR="000A7585" w:rsidRPr="00AE6EDB" w:rsidTr="00DE0EEC">
        <w:trPr>
          <w:trHeight w:val="454"/>
        </w:trPr>
        <w:tc>
          <w:tcPr>
            <w:tcW w:w="559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15" w:type="dxa"/>
              <w:left w:w="15" w:type="dxa"/>
              <w:bottom w:w="0" w:type="dxa"/>
              <w:right w:w="15" w:type="dxa"/>
            </w:tcMar>
            <w:vAlign w:val="center"/>
          </w:tcPr>
          <w:p w:rsidR="000A7585" w:rsidRPr="00AE6EDB" w:rsidRDefault="000A7585" w:rsidP="00DE0EEC">
            <w:pPr>
              <w:keepNext/>
              <w:keepLines/>
              <w:rPr>
                <w:b/>
                <w:bCs/>
              </w:rPr>
            </w:pPr>
            <w:r w:rsidRPr="00AE6EDB">
              <w:rPr>
                <w:b/>
                <w:bCs/>
                <w:szCs w:val="22"/>
              </w:rPr>
              <w:t>Druh úrazovej dávky</w:t>
            </w:r>
          </w:p>
        </w:tc>
        <w:tc>
          <w:tcPr>
            <w:tcW w:w="1655"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0A7585" w:rsidRPr="00AE6EDB" w:rsidRDefault="000A7585" w:rsidP="00DE0EEC">
            <w:pPr>
              <w:jc w:val="center"/>
              <w:rPr>
                <w:b/>
                <w:bCs/>
              </w:rPr>
            </w:pPr>
            <w:r w:rsidRPr="00AE6EDB">
              <w:rPr>
                <w:b/>
                <w:bCs/>
                <w:szCs w:val="22"/>
              </w:rPr>
              <w:t>Počet vyplatených dávok celkom k 31.12.2015</w:t>
            </w:r>
          </w:p>
        </w:tc>
        <w:tc>
          <w:tcPr>
            <w:tcW w:w="2126"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0A7585" w:rsidRPr="00AE6EDB" w:rsidRDefault="000A7585" w:rsidP="00DE0EEC">
            <w:pPr>
              <w:jc w:val="center"/>
              <w:rPr>
                <w:b/>
                <w:bCs/>
              </w:rPr>
            </w:pPr>
            <w:r w:rsidRPr="00AE6EDB">
              <w:rPr>
                <w:b/>
                <w:bCs/>
                <w:szCs w:val="22"/>
              </w:rPr>
              <w:t>Priemerná výška vyplatenej dávky z ÚP v €</w:t>
            </w:r>
          </w:p>
        </w:tc>
      </w:tr>
      <w:tr w:rsidR="000A7585" w:rsidRPr="00AE6EDB" w:rsidTr="00DE0EEC">
        <w:trPr>
          <w:trHeight w:val="285"/>
        </w:trPr>
        <w:tc>
          <w:tcPr>
            <w:tcW w:w="0" w:type="auto"/>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stratu na zárobku počas PN *</w:t>
            </w:r>
          </w:p>
        </w:tc>
        <w:tc>
          <w:tcPr>
            <w:tcW w:w="1655"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w:t>
            </w:r>
          </w:p>
        </w:tc>
        <w:tc>
          <w:tcPr>
            <w:tcW w:w="2126"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209,75</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stratu na zárobku po skončení PN</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5</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w:t>
            </w:r>
            <w:r w:rsidR="0054295F">
              <w:rPr>
                <w:rFonts w:eastAsiaTheme="minorHAnsi"/>
              </w:rPr>
              <w:t>3 8</w:t>
            </w:r>
            <w:r w:rsidRPr="00AE6EDB">
              <w:rPr>
                <w:rFonts w:eastAsiaTheme="minorHAnsi"/>
              </w:rPr>
              <w:t>34,14</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stratu na dôchodku</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nákladov na výživu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2 1</w:t>
            </w:r>
            <w:r w:rsidR="000A7585" w:rsidRPr="00AE6EDB">
              <w:rPr>
                <w:rFonts w:eastAsiaTheme="minorHAnsi"/>
              </w:rPr>
              <w:t>22,50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bolesť</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2 8</w:t>
            </w:r>
            <w:r w:rsidR="000A7585" w:rsidRPr="00AE6EDB">
              <w:rPr>
                <w:rFonts w:eastAsiaTheme="minorHAnsi"/>
              </w:rPr>
              <w:t>17,50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sťaženie spoločenského uplatnenia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w:t>
            </w:r>
            <w:r w:rsidR="00AC44CB">
              <w:rPr>
                <w:rFonts w:eastAsiaTheme="minorHAnsi"/>
              </w:rPr>
              <w:t>6 4</w:t>
            </w:r>
            <w:r w:rsidRPr="00AE6EDB">
              <w:rPr>
                <w:rFonts w:eastAsiaTheme="minorHAnsi"/>
              </w:rPr>
              <w:t>72,91</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nákladov spojených s liečením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51,86</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nákladov spojených s pohrebom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307,01</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Jednorazové odškodnenie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213,39</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stratu na zárobku počas PN po 1.1.2004</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bolesť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AC44CB" w:rsidP="00DE0EEC">
            <w:pPr>
              <w:spacing w:line="276" w:lineRule="auto"/>
              <w:ind w:right="411"/>
              <w:jc w:val="right"/>
              <w:rPr>
                <w:rFonts w:eastAsiaTheme="minorHAnsi"/>
              </w:rPr>
            </w:pPr>
            <w:r>
              <w:rPr>
                <w:rFonts w:eastAsiaTheme="minorHAnsi"/>
              </w:rPr>
              <w:t>8 1</w:t>
            </w:r>
            <w:r w:rsidR="000A7585" w:rsidRPr="00AE6EDB">
              <w:rPr>
                <w:rFonts w:eastAsiaTheme="minorHAnsi"/>
              </w:rPr>
              <w:t>07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712,94</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za sťaženie spoločenského uplatnenia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1 6</w:t>
            </w:r>
            <w:r w:rsidR="000A7585" w:rsidRPr="00AE6EDB">
              <w:rPr>
                <w:rFonts w:eastAsiaTheme="minorHAnsi"/>
              </w:rPr>
              <w:t>53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AC44CB" w:rsidP="00DE0EEC">
            <w:pPr>
              <w:spacing w:line="276" w:lineRule="auto"/>
              <w:ind w:right="411"/>
              <w:jc w:val="right"/>
              <w:rPr>
                <w:rFonts w:eastAsiaTheme="minorHAnsi"/>
              </w:rPr>
            </w:pPr>
            <w:r>
              <w:rPr>
                <w:rFonts w:eastAsiaTheme="minorHAnsi"/>
              </w:rPr>
              <w:t>4 9</w:t>
            </w:r>
            <w:r w:rsidR="000A7585" w:rsidRPr="00AE6EDB">
              <w:rPr>
                <w:rFonts w:eastAsiaTheme="minorHAnsi"/>
              </w:rPr>
              <w:t>04,28</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nákladov spojených s liečením podľa § 100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1 0</w:t>
            </w:r>
            <w:r w:rsidR="000A7585" w:rsidRPr="00AE6EDB">
              <w:rPr>
                <w:rFonts w:eastAsiaTheme="minorHAnsi"/>
              </w:rPr>
              <w:t>63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113,15</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Náhrada nákladov spojených s pohrebom podľa § 101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40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1 1</w:t>
            </w:r>
            <w:r w:rsidR="000A7585" w:rsidRPr="00AE6EDB">
              <w:rPr>
                <w:rFonts w:eastAsiaTheme="minorHAnsi"/>
              </w:rPr>
              <w:t>78,50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Jednorazové vyrovnanie podľa § 90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68</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2 0</w:t>
            </w:r>
            <w:r w:rsidR="000A7585" w:rsidRPr="00AE6EDB">
              <w:rPr>
                <w:rFonts w:eastAsiaTheme="minorHAnsi"/>
              </w:rPr>
              <w:t>72,49</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Jednorazové odškodnenie podľa § 94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50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w:t>
            </w:r>
            <w:r w:rsidR="0054295F">
              <w:rPr>
                <w:rFonts w:eastAsiaTheme="minorHAnsi"/>
              </w:rPr>
              <w:t>1 1</w:t>
            </w:r>
            <w:r w:rsidRPr="00AE6EDB">
              <w:rPr>
                <w:rFonts w:eastAsiaTheme="minorHAnsi"/>
              </w:rPr>
              <w:t>86,15</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Úrazový príplatok podľa § 85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2</w:t>
            </w:r>
            <w:r w:rsidR="00AC44CB">
              <w:rPr>
                <w:rFonts w:eastAsiaTheme="minorHAnsi"/>
              </w:rPr>
              <w:t>7 6</w:t>
            </w:r>
            <w:r w:rsidRPr="00AE6EDB">
              <w:rPr>
                <w:rFonts w:eastAsiaTheme="minorHAnsi"/>
              </w:rPr>
              <w:t>80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136,67</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Pracovná rehabilitácia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Rehabilitačné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Rekvalifikácia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Rekvalifikačné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0</w:t>
            </w:r>
          </w:p>
        </w:tc>
      </w:tr>
      <w:tr w:rsidR="000A7585" w:rsidRPr="00AE6EDB"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Úrazová renta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8</w:t>
            </w:r>
            <w:r w:rsidR="0054295F">
              <w:rPr>
                <w:rFonts w:eastAsiaTheme="minorHAnsi"/>
              </w:rPr>
              <w:t>4 7</w:t>
            </w:r>
            <w:r w:rsidRPr="00AE6EDB">
              <w:rPr>
                <w:rFonts w:eastAsiaTheme="minorHAnsi"/>
              </w:rPr>
              <w:t>29</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300,10</w:t>
            </w:r>
          </w:p>
        </w:tc>
      </w:tr>
      <w:tr w:rsidR="000A7585" w:rsidRPr="00AE6EDB" w:rsidTr="00DE0EEC">
        <w:trPr>
          <w:trHeight w:val="300"/>
        </w:trPr>
        <w:tc>
          <w:tcPr>
            <w:tcW w:w="0" w:type="auto"/>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keepNext/>
              <w:keepLines/>
            </w:pPr>
            <w:r w:rsidRPr="00AE6EDB">
              <w:rPr>
                <w:szCs w:val="22"/>
              </w:rPr>
              <w:t>Pozostalostná úrazová renta</w:t>
            </w:r>
          </w:p>
        </w:tc>
        <w:tc>
          <w:tcPr>
            <w:tcW w:w="1655"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0A7585" w:rsidRPr="00AE6EDB" w:rsidRDefault="0054295F" w:rsidP="00DE0EEC">
            <w:pPr>
              <w:spacing w:line="276" w:lineRule="auto"/>
              <w:ind w:right="411"/>
              <w:jc w:val="right"/>
              <w:rPr>
                <w:rFonts w:eastAsiaTheme="minorHAnsi"/>
              </w:rPr>
            </w:pPr>
            <w:r>
              <w:rPr>
                <w:rFonts w:eastAsiaTheme="minorHAnsi"/>
              </w:rPr>
              <w:t>2 4</w:t>
            </w:r>
            <w:r w:rsidR="000A7585" w:rsidRPr="00AE6EDB">
              <w:rPr>
                <w:rFonts w:eastAsiaTheme="minorHAnsi"/>
              </w:rPr>
              <w:t>41</w:t>
            </w:r>
          </w:p>
        </w:tc>
        <w:tc>
          <w:tcPr>
            <w:tcW w:w="2126"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0A7585" w:rsidRPr="00AE6EDB" w:rsidRDefault="000A7585" w:rsidP="00DE0EEC">
            <w:pPr>
              <w:spacing w:line="276" w:lineRule="auto"/>
              <w:ind w:right="411"/>
              <w:jc w:val="right"/>
              <w:rPr>
                <w:rFonts w:eastAsiaTheme="minorHAnsi"/>
              </w:rPr>
            </w:pPr>
            <w:r w:rsidRPr="00AE6EDB">
              <w:rPr>
                <w:rFonts w:eastAsiaTheme="minorHAnsi"/>
              </w:rPr>
              <w:t>138,56</w:t>
            </w:r>
          </w:p>
        </w:tc>
      </w:tr>
    </w:tbl>
    <w:p w:rsidR="000A7585" w:rsidRPr="00AE6EDB" w:rsidRDefault="000A7585" w:rsidP="000A7585">
      <w:pPr>
        <w:pStyle w:val="zdroj"/>
        <w:spacing w:after="0"/>
        <w:ind w:firstLine="0"/>
        <w:rPr>
          <w:color w:val="auto"/>
        </w:rPr>
      </w:pPr>
      <w:r w:rsidRPr="00AE6EDB">
        <w:rPr>
          <w:color w:val="auto"/>
        </w:rPr>
        <w:t>Zdroj : Sociálna poisťovňa</w:t>
      </w:r>
    </w:p>
    <w:p w:rsidR="000A7585" w:rsidRPr="00AE6EDB" w:rsidRDefault="000A7585" w:rsidP="000A7585">
      <w:pPr>
        <w:pStyle w:val="zdroj"/>
        <w:spacing w:before="0" w:after="0"/>
        <w:ind w:firstLine="0"/>
        <w:rPr>
          <w:color w:val="auto"/>
        </w:rPr>
      </w:pPr>
      <w:r w:rsidRPr="00AE6EDB">
        <w:rPr>
          <w:color w:val="auto"/>
        </w:rPr>
        <w:t>* Dávky v 1. – 10. riadku sú vyplácané podľa právnych predpisov účinných do 31. 12. 2003</w:t>
      </w:r>
    </w:p>
    <w:p w:rsidR="000A7585" w:rsidRPr="00AE6EDB" w:rsidRDefault="000A7585" w:rsidP="000A7585">
      <w:pPr>
        <w:pStyle w:val="zdroj"/>
        <w:spacing w:before="0"/>
        <w:ind w:firstLine="0"/>
        <w:rPr>
          <w:color w:val="auto"/>
        </w:rPr>
      </w:pPr>
      <w:r w:rsidRPr="00AE6EDB">
        <w:rPr>
          <w:color w:val="auto"/>
        </w:rPr>
        <w:t xml:space="preserve">** Dávky v 11. – 23. riadku sú vyplácané podľa zákona o sociálnom poistení (vrátane </w:t>
      </w:r>
      <w:proofErr w:type="spellStart"/>
      <w:r w:rsidRPr="00AE6EDB">
        <w:rPr>
          <w:color w:val="auto"/>
        </w:rPr>
        <w:t>prekvalifikovaných</w:t>
      </w:r>
      <w:proofErr w:type="spellEnd"/>
      <w:r w:rsidRPr="00AE6EDB">
        <w:rPr>
          <w:color w:val="auto"/>
        </w:rPr>
        <w:t xml:space="preserve"> úrazových rent)</w:t>
      </w:r>
    </w:p>
    <w:p w:rsidR="000A7585" w:rsidRPr="00AE6EDB" w:rsidRDefault="000A7585" w:rsidP="000A7585">
      <w:pPr>
        <w:pStyle w:val="Nadpis7"/>
      </w:pPr>
      <w:r w:rsidRPr="00AE6EDB">
        <w:t>Tabuľka 8 Štátne dávky týkajúce sa úrazového poistenia</w:t>
      </w:r>
    </w:p>
    <w:tbl>
      <w:tblPr>
        <w:tblW w:w="9231" w:type="dxa"/>
        <w:tblInd w:w="53" w:type="dxa"/>
        <w:tblCellMar>
          <w:left w:w="70" w:type="dxa"/>
          <w:right w:w="70" w:type="dxa"/>
        </w:tblCellMar>
        <w:tblLook w:val="00A0" w:firstRow="1" w:lastRow="0" w:firstColumn="1" w:lastColumn="0" w:noHBand="0" w:noVBand="0"/>
      </w:tblPr>
      <w:tblGrid>
        <w:gridCol w:w="5829"/>
        <w:gridCol w:w="3402"/>
      </w:tblGrid>
      <w:tr w:rsidR="000A7585" w:rsidRPr="00AE6EDB" w:rsidTr="00DE0EEC">
        <w:trPr>
          <w:trHeight w:val="386"/>
        </w:trPr>
        <w:tc>
          <w:tcPr>
            <w:tcW w:w="582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tc>
        <w:tc>
          <w:tcPr>
            <w:tcW w:w="340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szCs w:val="22"/>
              </w:rPr>
              <w:t xml:space="preserve">Suma vyplatených dávok </w:t>
            </w:r>
            <w:r w:rsidRPr="00AE6EDB">
              <w:rPr>
                <w:b/>
                <w:szCs w:val="22"/>
              </w:rPr>
              <w:br/>
              <w:t>(v tis. €)</w:t>
            </w:r>
          </w:p>
        </w:tc>
      </w:tr>
      <w:tr w:rsidR="000A7585" w:rsidRPr="00AE6EDB" w:rsidTr="00DE0EEC">
        <w:trPr>
          <w:trHeight w:val="750"/>
        </w:trPr>
        <w:tc>
          <w:tcPr>
            <w:tcW w:w="5829" w:type="dxa"/>
            <w:tcBorders>
              <w:top w:val="single" w:sz="4" w:space="0" w:color="auto"/>
              <w:left w:val="single" w:sz="4" w:space="0" w:color="auto"/>
              <w:bottom w:val="single" w:sz="4" w:space="0" w:color="auto"/>
              <w:right w:val="single" w:sz="4" w:space="0" w:color="auto"/>
            </w:tcBorders>
            <w:shd w:val="clear" w:color="000000" w:fill="FFFFFF"/>
            <w:vAlign w:val="center"/>
          </w:tcPr>
          <w:p w:rsidR="000A7585" w:rsidRPr="00AE6EDB" w:rsidRDefault="000A7585" w:rsidP="00DE0EEC">
            <w:r w:rsidRPr="00AE6EDB">
              <w:rPr>
                <w:szCs w:val="22"/>
              </w:rPr>
              <w:t>Odškodnenie prac. úrazov a chorôb z povolania zamestnancov zrušených zamestnávateľov, ktorých zakladateľom bol štát, alebo Fond národného majetku SR</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0A7585" w:rsidRPr="00AE6EDB" w:rsidRDefault="000A7585" w:rsidP="00DE0EEC">
            <w:pPr>
              <w:jc w:val="center"/>
              <w:rPr>
                <w:color w:val="000000"/>
              </w:rPr>
            </w:pPr>
            <w:r w:rsidRPr="00AE6EDB">
              <w:rPr>
                <w:color w:val="000000"/>
                <w:szCs w:val="22"/>
              </w:rPr>
              <w:t>411</w:t>
            </w:r>
          </w:p>
        </w:tc>
      </w:tr>
      <w:tr w:rsidR="000A7585" w:rsidRPr="00AE6EDB" w:rsidTr="00DE0EEC">
        <w:trPr>
          <w:trHeight w:val="750"/>
        </w:trPr>
        <w:tc>
          <w:tcPr>
            <w:tcW w:w="5829"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r w:rsidRPr="00AE6EDB">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pPr>
              <w:jc w:val="center"/>
              <w:rPr>
                <w:color w:val="000000"/>
              </w:rPr>
            </w:pPr>
            <w:r w:rsidRPr="00AE6EDB">
              <w:rPr>
                <w:color w:val="000000"/>
                <w:szCs w:val="22"/>
              </w:rPr>
              <w:t>47</w:t>
            </w:r>
          </w:p>
        </w:tc>
      </w:tr>
      <w:tr w:rsidR="000A7585" w:rsidRPr="00AE6EDB" w:rsidTr="00DE0EEC">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r w:rsidRPr="00AE6EDB">
              <w:rPr>
                <w:szCs w:val="22"/>
              </w:rPr>
              <w:t>Úrazové dávky poskytované fyzickým osobám uvedeným v § 17 ods. 2 a 3 zákona o sociálnom poistení</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pPr>
              <w:jc w:val="center"/>
              <w:rPr>
                <w:color w:val="000000"/>
              </w:rPr>
            </w:pPr>
            <w:r w:rsidRPr="00AE6EDB">
              <w:rPr>
                <w:color w:val="000000"/>
                <w:szCs w:val="22"/>
              </w:rPr>
              <w:t>13</w:t>
            </w:r>
          </w:p>
        </w:tc>
      </w:tr>
      <w:tr w:rsidR="000A7585" w:rsidRPr="00AE6EDB" w:rsidTr="00DE0EEC">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r w:rsidRPr="00AE6EDB">
              <w:t>Zodpovednosť štátu za škodu na zdraví, ktorá vznikla vojakom povinnej vojenskej služby (plnenie podľa § 293 ods. 6)</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0A7585" w:rsidRPr="00AE6EDB" w:rsidRDefault="000A7585" w:rsidP="00DE0EEC">
            <w:pPr>
              <w:jc w:val="center"/>
              <w:rPr>
                <w:color w:val="000000"/>
              </w:rPr>
            </w:pPr>
            <w:r w:rsidRPr="00AE6EDB">
              <w:rPr>
                <w:color w:val="000000"/>
                <w:szCs w:val="22"/>
              </w:rPr>
              <w:t>65</w:t>
            </w:r>
          </w:p>
        </w:tc>
      </w:tr>
    </w:tbl>
    <w:p w:rsidR="000A7585" w:rsidRPr="00AE6EDB" w:rsidRDefault="000A7585" w:rsidP="000A7585">
      <w:pPr>
        <w:pStyle w:val="zdroj"/>
        <w:rPr>
          <w:b/>
        </w:rPr>
      </w:pPr>
      <w:r w:rsidRPr="00AE6EDB">
        <w:t>Zdroj: Sociálna poisťovňa</w:t>
      </w:r>
    </w:p>
    <w:p w:rsidR="000A7585" w:rsidRPr="00AE6EDB" w:rsidRDefault="000A7585" w:rsidP="000A7585">
      <w:pPr>
        <w:pStyle w:val="Nadpis7"/>
      </w:pPr>
      <w:r w:rsidRPr="00AE6EDB">
        <w:t>Tabuľka 9 Výdavky základného fondu garančného poistenia (ZFGP) v roku 2015</w:t>
      </w:r>
    </w:p>
    <w:tbl>
      <w:tblPr>
        <w:tblW w:w="7039" w:type="dxa"/>
        <w:jc w:val="center"/>
        <w:tblCellMar>
          <w:left w:w="70" w:type="dxa"/>
          <w:right w:w="70" w:type="dxa"/>
        </w:tblCellMar>
        <w:tblLook w:val="00A0" w:firstRow="1" w:lastRow="0" w:firstColumn="1" w:lastColumn="0" w:noHBand="0" w:noVBand="0"/>
      </w:tblPr>
      <w:tblGrid>
        <w:gridCol w:w="1719"/>
        <w:gridCol w:w="1600"/>
        <w:gridCol w:w="1820"/>
        <w:gridCol w:w="1900"/>
      </w:tblGrid>
      <w:tr w:rsidR="000A7585" w:rsidRPr="00AE6EDB" w:rsidTr="00DE0EEC">
        <w:trPr>
          <w:trHeight w:val="293"/>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0A7585" w:rsidRPr="00AE6EDB" w:rsidRDefault="000A7585" w:rsidP="00DE0EEC">
            <w:pPr>
              <w:rPr>
                <w:b/>
                <w:bCs/>
              </w:rPr>
            </w:pPr>
            <w:r w:rsidRPr="00AE6EDB">
              <w:rPr>
                <w:b/>
                <w:szCs w:val="22"/>
              </w:rPr>
              <w:t>Obdobie</w:t>
            </w:r>
          </w:p>
        </w:tc>
        <w:tc>
          <w:tcPr>
            <w:tcW w:w="5320"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0A7585" w:rsidRPr="00AE6EDB" w:rsidRDefault="000A7585" w:rsidP="00DE0EEC">
            <w:pPr>
              <w:keepNext/>
              <w:keepLines/>
              <w:jc w:val="center"/>
              <w:rPr>
                <w:b/>
                <w:bCs/>
              </w:rPr>
            </w:pPr>
            <w:r w:rsidRPr="00AE6EDB">
              <w:rPr>
                <w:b/>
                <w:bCs/>
                <w:szCs w:val="22"/>
              </w:rPr>
              <w:t>Výdavky ZFGP v tis. €</w:t>
            </w:r>
          </w:p>
        </w:tc>
      </w:tr>
      <w:tr w:rsidR="000A7585" w:rsidRPr="00AE6EDB" w:rsidTr="00DE0EEC">
        <w:trPr>
          <w:trHeight w:val="552"/>
          <w:jc w:val="center"/>
        </w:trPr>
        <w:tc>
          <w:tcPr>
            <w:tcW w:w="171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keepNext/>
              <w:keepLines/>
              <w:rPr>
                <w:b/>
                <w:bCs/>
              </w:rPr>
            </w:pPr>
          </w:p>
        </w:tc>
        <w:tc>
          <w:tcPr>
            <w:tcW w:w="16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keepNext/>
              <w:keepLines/>
              <w:jc w:val="center"/>
              <w:rPr>
                <w:b/>
                <w:bCs/>
              </w:rPr>
            </w:pPr>
            <w:r w:rsidRPr="00AE6EDB">
              <w:rPr>
                <w:b/>
                <w:bCs/>
                <w:szCs w:val="22"/>
              </w:rPr>
              <w:t>na dávku garančného poistenia</w:t>
            </w:r>
          </w:p>
        </w:tc>
        <w:tc>
          <w:tcPr>
            <w:tcW w:w="182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keepNext/>
              <w:keepLines/>
              <w:jc w:val="center"/>
              <w:rPr>
                <w:b/>
                <w:bCs/>
              </w:rPr>
            </w:pPr>
            <w:r w:rsidRPr="00AE6EDB">
              <w:rPr>
                <w:b/>
                <w:bCs/>
                <w:szCs w:val="22"/>
              </w:rPr>
              <w:t>úhrada príspevkov na starobné dôchodkové sporenie</w:t>
            </w:r>
          </w:p>
        </w:tc>
        <w:tc>
          <w:tcPr>
            <w:tcW w:w="19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keepNext/>
              <w:keepLines/>
              <w:jc w:val="center"/>
              <w:rPr>
                <w:b/>
                <w:bCs/>
              </w:rPr>
            </w:pPr>
            <w:r w:rsidRPr="00AE6EDB">
              <w:rPr>
                <w:b/>
                <w:bCs/>
                <w:szCs w:val="22"/>
              </w:rPr>
              <w:t>Spolu</w:t>
            </w:r>
          </w:p>
        </w:tc>
      </w:tr>
      <w:tr w:rsidR="000A7585" w:rsidRPr="00AE6EDB" w:rsidTr="00DE0EEC">
        <w:trPr>
          <w:trHeight w:val="315"/>
          <w:jc w:val="center"/>
        </w:trPr>
        <w:tc>
          <w:tcPr>
            <w:tcW w:w="1719" w:type="dxa"/>
            <w:tcBorders>
              <w:top w:val="single" w:sz="4" w:space="0" w:color="auto"/>
              <w:left w:val="single" w:sz="2" w:space="0" w:color="auto"/>
              <w:right w:val="single" w:sz="2" w:space="0" w:color="auto"/>
            </w:tcBorders>
            <w:noWrap/>
            <w:vAlign w:val="center"/>
          </w:tcPr>
          <w:p w:rsidR="000A7585" w:rsidRPr="00AE6EDB" w:rsidRDefault="000A7585" w:rsidP="00DE0EEC">
            <w:pPr>
              <w:jc w:val="left"/>
            </w:pPr>
            <w:r w:rsidRPr="00AE6EDB">
              <w:rPr>
                <w:szCs w:val="22"/>
              </w:rPr>
              <w:t>Január</w:t>
            </w:r>
          </w:p>
        </w:tc>
        <w:tc>
          <w:tcPr>
            <w:tcW w:w="1600" w:type="dxa"/>
            <w:tcBorders>
              <w:top w:val="single" w:sz="4" w:space="0" w:color="auto"/>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114,0</w:t>
            </w:r>
          </w:p>
        </w:tc>
        <w:tc>
          <w:tcPr>
            <w:tcW w:w="1820" w:type="dxa"/>
            <w:tcBorders>
              <w:top w:val="single" w:sz="4" w:space="0" w:color="auto"/>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735,7</w:t>
            </w:r>
          </w:p>
        </w:tc>
        <w:tc>
          <w:tcPr>
            <w:tcW w:w="1900" w:type="dxa"/>
            <w:tcBorders>
              <w:top w:val="single" w:sz="4" w:space="0" w:color="auto"/>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849,7</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Február</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224,2</w:t>
            </w:r>
          </w:p>
        </w:tc>
        <w:tc>
          <w:tcPr>
            <w:tcW w:w="182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1 3</w:t>
            </w:r>
            <w:r w:rsidR="000A7585" w:rsidRPr="00AE6EDB">
              <w:rPr>
                <w:szCs w:val="22"/>
              </w:rPr>
              <w:t>46,6</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1 5</w:t>
            </w:r>
            <w:r w:rsidR="000A7585" w:rsidRPr="00AE6EDB">
              <w:rPr>
                <w:szCs w:val="22"/>
              </w:rPr>
              <w:t>70,8</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Marec</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252,7</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870,4</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1 1</w:t>
            </w:r>
            <w:r w:rsidR="000A7585" w:rsidRPr="00AE6EDB">
              <w:rPr>
                <w:szCs w:val="22"/>
              </w:rPr>
              <w:t>23,2</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Apríl</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264,9</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251,8</w:t>
            </w:r>
          </w:p>
        </w:tc>
        <w:tc>
          <w:tcPr>
            <w:tcW w:w="19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516,7</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Máj</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640,7</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773,2</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1 4</w:t>
            </w:r>
            <w:r w:rsidR="000A7585" w:rsidRPr="00AE6EDB">
              <w:rPr>
                <w:szCs w:val="22"/>
              </w:rPr>
              <w:t>14,0</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Jún</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792,9</w:t>
            </w:r>
          </w:p>
        </w:tc>
        <w:tc>
          <w:tcPr>
            <w:tcW w:w="182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1 2</w:t>
            </w:r>
            <w:r w:rsidR="000A7585" w:rsidRPr="00AE6EDB">
              <w:rPr>
                <w:szCs w:val="22"/>
              </w:rPr>
              <w:t>82,6</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2 0</w:t>
            </w:r>
            <w:r w:rsidR="000A7585" w:rsidRPr="00AE6EDB">
              <w:rPr>
                <w:szCs w:val="22"/>
              </w:rPr>
              <w:t>75,5</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Júl</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369,3</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736,2</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1 1</w:t>
            </w:r>
            <w:r w:rsidR="000A7585" w:rsidRPr="00AE6EDB">
              <w:rPr>
                <w:szCs w:val="22"/>
              </w:rPr>
              <w:t>05,5</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August</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279,4</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695,4</w:t>
            </w:r>
          </w:p>
        </w:tc>
        <w:tc>
          <w:tcPr>
            <w:tcW w:w="19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974,8</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September</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150,6</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649,8</w:t>
            </w:r>
          </w:p>
        </w:tc>
        <w:tc>
          <w:tcPr>
            <w:tcW w:w="19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800,4</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Október</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381,1</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629,2</w:t>
            </w:r>
          </w:p>
        </w:tc>
        <w:tc>
          <w:tcPr>
            <w:tcW w:w="1900" w:type="dxa"/>
            <w:tcBorders>
              <w:left w:val="single" w:sz="2" w:space="0" w:color="auto"/>
              <w:right w:val="single" w:sz="2" w:space="0" w:color="auto"/>
            </w:tcBorders>
            <w:noWrap/>
            <w:vAlign w:val="bottom"/>
          </w:tcPr>
          <w:p w:rsidR="000A7585" w:rsidRPr="00AE6EDB" w:rsidRDefault="0054295F" w:rsidP="00DE0EEC">
            <w:pPr>
              <w:ind w:right="296"/>
              <w:jc w:val="right"/>
              <w:rPr>
                <w:szCs w:val="22"/>
              </w:rPr>
            </w:pPr>
            <w:r>
              <w:rPr>
                <w:szCs w:val="22"/>
              </w:rPr>
              <w:t>1 0</w:t>
            </w:r>
            <w:r w:rsidR="000A7585" w:rsidRPr="00AE6EDB">
              <w:rPr>
                <w:szCs w:val="22"/>
              </w:rPr>
              <w:t>10,3</w:t>
            </w:r>
          </w:p>
        </w:tc>
      </w:tr>
      <w:tr w:rsidR="000A7585" w:rsidRPr="00AE6EDB" w:rsidTr="00DE0EEC">
        <w:trPr>
          <w:trHeight w:val="315"/>
          <w:jc w:val="center"/>
        </w:trPr>
        <w:tc>
          <w:tcPr>
            <w:tcW w:w="1719" w:type="dxa"/>
            <w:tcBorders>
              <w:left w:val="single" w:sz="2" w:space="0" w:color="auto"/>
              <w:right w:val="single" w:sz="2" w:space="0" w:color="auto"/>
            </w:tcBorders>
            <w:noWrap/>
            <w:vAlign w:val="center"/>
          </w:tcPr>
          <w:p w:rsidR="000A7585" w:rsidRPr="00AE6EDB" w:rsidRDefault="000A7585" w:rsidP="00DE0EEC">
            <w:pPr>
              <w:jc w:val="left"/>
            </w:pPr>
            <w:r w:rsidRPr="00AE6EDB">
              <w:rPr>
                <w:szCs w:val="22"/>
              </w:rPr>
              <w:t>November</w:t>
            </w:r>
          </w:p>
        </w:tc>
        <w:tc>
          <w:tcPr>
            <w:tcW w:w="16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130,1</w:t>
            </w:r>
          </w:p>
        </w:tc>
        <w:tc>
          <w:tcPr>
            <w:tcW w:w="182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645,0</w:t>
            </w:r>
          </w:p>
        </w:tc>
        <w:tc>
          <w:tcPr>
            <w:tcW w:w="1900" w:type="dxa"/>
            <w:tcBorders>
              <w:left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775,1</w:t>
            </w:r>
          </w:p>
        </w:tc>
      </w:tr>
      <w:tr w:rsidR="000A7585" w:rsidRPr="00AE6EDB" w:rsidTr="00DE0EEC">
        <w:trPr>
          <w:trHeight w:val="315"/>
          <w:jc w:val="center"/>
        </w:trPr>
        <w:tc>
          <w:tcPr>
            <w:tcW w:w="1719" w:type="dxa"/>
            <w:tcBorders>
              <w:left w:val="single" w:sz="2" w:space="0" w:color="auto"/>
              <w:bottom w:val="single" w:sz="2" w:space="0" w:color="auto"/>
              <w:right w:val="single" w:sz="2" w:space="0" w:color="auto"/>
            </w:tcBorders>
            <w:noWrap/>
            <w:vAlign w:val="center"/>
          </w:tcPr>
          <w:p w:rsidR="000A7585" w:rsidRPr="00AE6EDB" w:rsidRDefault="000A7585" w:rsidP="00DE0EEC">
            <w:pPr>
              <w:jc w:val="left"/>
            </w:pPr>
            <w:r w:rsidRPr="00AE6EDB">
              <w:rPr>
                <w:szCs w:val="22"/>
              </w:rPr>
              <w:t>December</w:t>
            </w:r>
          </w:p>
        </w:tc>
        <w:tc>
          <w:tcPr>
            <w:tcW w:w="1600" w:type="dxa"/>
            <w:tcBorders>
              <w:left w:val="single" w:sz="2" w:space="0" w:color="auto"/>
              <w:bottom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82,8</w:t>
            </w:r>
          </w:p>
        </w:tc>
        <w:tc>
          <w:tcPr>
            <w:tcW w:w="1820" w:type="dxa"/>
            <w:tcBorders>
              <w:left w:val="single" w:sz="2" w:space="0" w:color="auto"/>
              <w:bottom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420,9</w:t>
            </w:r>
          </w:p>
        </w:tc>
        <w:tc>
          <w:tcPr>
            <w:tcW w:w="1900" w:type="dxa"/>
            <w:tcBorders>
              <w:left w:val="single" w:sz="2" w:space="0" w:color="auto"/>
              <w:bottom w:val="single" w:sz="2" w:space="0" w:color="auto"/>
              <w:right w:val="single" w:sz="2" w:space="0" w:color="auto"/>
            </w:tcBorders>
            <w:noWrap/>
            <w:vAlign w:val="bottom"/>
          </w:tcPr>
          <w:p w:rsidR="000A7585" w:rsidRPr="00AE6EDB" w:rsidRDefault="000A7585" w:rsidP="00DE0EEC">
            <w:pPr>
              <w:ind w:right="296"/>
              <w:jc w:val="right"/>
              <w:rPr>
                <w:szCs w:val="22"/>
              </w:rPr>
            </w:pPr>
            <w:r w:rsidRPr="00AE6EDB">
              <w:rPr>
                <w:szCs w:val="22"/>
              </w:rPr>
              <w:t>503,7</w:t>
            </w:r>
          </w:p>
        </w:tc>
      </w:tr>
      <w:tr w:rsidR="000A7585" w:rsidRPr="00AE6EDB" w:rsidTr="00DE0EEC">
        <w:trPr>
          <w:trHeight w:val="315"/>
          <w:jc w:val="center"/>
        </w:trPr>
        <w:tc>
          <w:tcPr>
            <w:tcW w:w="1719" w:type="dxa"/>
            <w:tcBorders>
              <w:top w:val="single" w:sz="2" w:space="0" w:color="auto"/>
              <w:left w:val="single" w:sz="2" w:space="0" w:color="auto"/>
              <w:bottom w:val="single" w:sz="2" w:space="0" w:color="auto"/>
              <w:right w:val="single" w:sz="2" w:space="0" w:color="auto"/>
            </w:tcBorders>
            <w:noWrap/>
            <w:vAlign w:val="center"/>
          </w:tcPr>
          <w:p w:rsidR="000A7585" w:rsidRPr="00AE6EDB" w:rsidRDefault="000A7585" w:rsidP="00DE0EEC">
            <w:pPr>
              <w:rPr>
                <w:b/>
              </w:rPr>
            </w:pPr>
            <w:r w:rsidRPr="00AE6EDB">
              <w:rPr>
                <w:b/>
                <w:szCs w:val="22"/>
              </w:rPr>
              <w:t>Rok 2015</w:t>
            </w:r>
          </w:p>
        </w:tc>
        <w:tc>
          <w:tcPr>
            <w:tcW w:w="160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54295F" w:rsidP="00DE0EEC">
            <w:pPr>
              <w:ind w:right="296"/>
              <w:jc w:val="right"/>
              <w:rPr>
                <w:b/>
                <w:szCs w:val="22"/>
              </w:rPr>
            </w:pPr>
            <w:r>
              <w:rPr>
                <w:b/>
                <w:szCs w:val="22"/>
              </w:rPr>
              <w:t>3 6</w:t>
            </w:r>
            <w:r w:rsidR="000A7585" w:rsidRPr="00AE6EDB">
              <w:rPr>
                <w:b/>
                <w:szCs w:val="22"/>
              </w:rPr>
              <w:t>82,9</w:t>
            </w:r>
          </w:p>
        </w:tc>
        <w:tc>
          <w:tcPr>
            <w:tcW w:w="182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AC44CB" w:rsidP="00DE0EEC">
            <w:pPr>
              <w:ind w:right="296"/>
              <w:jc w:val="right"/>
              <w:rPr>
                <w:b/>
                <w:szCs w:val="22"/>
              </w:rPr>
            </w:pPr>
            <w:r>
              <w:rPr>
                <w:b/>
                <w:szCs w:val="22"/>
              </w:rPr>
              <w:t>9 0</w:t>
            </w:r>
            <w:r w:rsidR="000A7585" w:rsidRPr="00AE6EDB">
              <w:rPr>
                <w:b/>
                <w:szCs w:val="22"/>
              </w:rPr>
              <w:t>37,0</w:t>
            </w:r>
          </w:p>
        </w:tc>
        <w:tc>
          <w:tcPr>
            <w:tcW w:w="1900" w:type="dxa"/>
            <w:tcBorders>
              <w:top w:val="single" w:sz="2" w:space="0" w:color="auto"/>
              <w:left w:val="single" w:sz="2" w:space="0" w:color="auto"/>
              <w:bottom w:val="single" w:sz="2" w:space="0" w:color="auto"/>
              <w:right w:val="single" w:sz="2" w:space="0" w:color="auto"/>
            </w:tcBorders>
            <w:noWrap/>
            <w:vAlign w:val="bottom"/>
          </w:tcPr>
          <w:p w:rsidR="000A7585" w:rsidRPr="00AE6EDB" w:rsidRDefault="000A7585" w:rsidP="00DE0EEC">
            <w:pPr>
              <w:ind w:right="296"/>
              <w:jc w:val="right"/>
              <w:rPr>
                <w:b/>
                <w:szCs w:val="22"/>
              </w:rPr>
            </w:pPr>
            <w:r w:rsidRPr="00AE6EDB">
              <w:rPr>
                <w:b/>
                <w:szCs w:val="22"/>
              </w:rPr>
              <w:t>1</w:t>
            </w:r>
            <w:r w:rsidR="0054295F">
              <w:rPr>
                <w:b/>
                <w:szCs w:val="22"/>
              </w:rPr>
              <w:t>2 7</w:t>
            </w:r>
            <w:r w:rsidRPr="00AE6EDB">
              <w:rPr>
                <w:b/>
                <w:szCs w:val="22"/>
              </w:rPr>
              <w:t>19,9</w:t>
            </w:r>
          </w:p>
        </w:tc>
      </w:tr>
    </w:tbl>
    <w:p w:rsidR="000A7585" w:rsidRPr="00AE6EDB" w:rsidRDefault="000A7585" w:rsidP="000A7585">
      <w:pPr>
        <w:pStyle w:val="zdroj"/>
        <w:ind w:firstLine="1134"/>
      </w:pPr>
      <w:r w:rsidRPr="00AE6EDB">
        <w:t>Zdroj : Sociálna poisťovňa</w:t>
      </w:r>
    </w:p>
    <w:p w:rsidR="000A7585" w:rsidRPr="00AE6EDB" w:rsidRDefault="000A7585" w:rsidP="000A7585">
      <w:pPr>
        <w:rPr>
          <w:highlight w:val="cyan"/>
        </w:rPr>
      </w:pPr>
    </w:p>
    <w:p w:rsidR="000A7585" w:rsidRPr="00AE6EDB" w:rsidRDefault="000A7585" w:rsidP="000A7585">
      <w:pPr>
        <w:pStyle w:val="Nadpis7"/>
      </w:pPr>
      <w:r w:rsidRPr="00AE6EDB">
        <w:t>Tabuľka 10 Vyplatené dávky v nezamestnanosti, počet prípadov a priemerná výška dávky</w:t>
      </w:r>
      <w:r w:rsidRPr="00AE6EDB">
        <w:br/>
        <w:t xml:space="preserve"> v roku 2015</w:t>
      </w:r>
    </w:p>
    <w:tbl>
      <w:tblPr>
        <w:tblW w:w="9572" w:type="dxa"/>
        <w:tblInd w:w="60" w:type="dxa"/>
        <w:tblLayout w:type="fixed"/>
        <w:tblCellMar>
          <w:left w:w="70" w:type="dxa"/>
          <w:right w:w="70" w:type="dxa"/>
        </w:tblCellMar>
        <w:tblLook w:val="04A0" w:firstRow="1" w:lastRow="0" w:firstColumn="1" w:lastColumn="0" w:noHBand="0" w:noVBand="1"/>
      </w:tblPr>
      <w:tblGrid>
        <w:gridCol w:w="1150"/>
        <w:gridCol w:w="1140"/>
        <w:gridCol w:w="1140"/>
        <w:gridCol w:w="1140"/>
        <w:gridCol w:w="1140"/>
        <w:gridCol w:w="965"/>
        <w:gridCol w:w="966"/>
        <w:gridCol w:w="965"/>
        <w:gridCol w:w="966"/>
      </w:tblGrid>
      <w:tr w:rsidR="000A7585" w:rsidRPr="00AE6EDB" w:rsidTr="00DE0EEC">
        <w:trPr>
          <w:trHeight w:val="549"/>
        </w:trPr>
        <w:tc>
          <w:tcPr>
            <w:tcW w:w="115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Mesiac</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rPr>
            </w:pPr>
            <w:r w:rsidRPr="00AE6EDB">
              <w:rPr>
                <w:b/>
                <w:bCs/>
                <w:szCs w:val="22"/>
              </w:rPr>
              <w:t>Počet poberateľov vyplatenej dávky v nezamestnanosti</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rPr>
            </w:pPr>
            <w:r w:rsidRPr="00AE6EDB">
              <w:rPr>
                <w:b/>
                <w:bCs/>
                <w:szCs w:val="22"/>
              </w:rPr>
              <w:t>Počet vyplatených dávok v nezamestnanosti</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bCs/>
              </w:rPr>
            </w:pPr>
            <w:r w:rsidRPr="00AE6EDB">
              <w:rPr>
                <w:b/>
                <w:bCs/>
                <w:szCs w:val="22"/>
              </w:rPr>
              <w:t>Priemerná výška dávky v nezamestnanosti v €</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Celková výška výdavkov na dávky v tis. €</w:t>
            </w:r>
          </w:p>
        </w:tc>
      </w:tr>
      <w:tr w:rsidR="000A7585" w:rsidRPr="00AE6EDB" w:rsidTr="00DE0EEC">
        <w:trPr>
          <w:trHeight w:val="289"/>
        </w:trPr>
        <w:tc>
          <w:tcPr>
            <w:tcW w:w="115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left"/>
              <w:rPr>
                <w:b/>
                <w:bCs/>
              </w:rPr>
            </w:pP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2014</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2015</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2014</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2015</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2014</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2015</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2014</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szCs w:val="22"/>
              </w:rPr>
              <w:t>Rok 2015</w:t>
            </w:r>
          </w:p>
        </w:tc>
      </w:tr>
      <w:tr w:rsidR="000A7585" w:rsidRPr="00AE6EDB" w:rsidTr="00DE0EEC">
        <w:trPr>
          <w:trHeight w:val="289"/>
        </w:trPr>
        <w:tc>
          <w:tcPr>
            <w:tcW w:w="1150"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Január</w:t>
            </w:r>
          </w:p>
        </w:tc>
        <w:tc>
          <w:tcPr>
            <w:tcW w:w="1140"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6 3</w:t>
            </w:r>
            <w:r w:rsidRPr="00AE6EDB">
              <w:rPr>
                <w:szCs w:val="22"/>
              </w:rPr>
              <w:t>93</w:t>
            </w:r>
          </w:p>
        </w:tc>
        <w:tc>
          <w:tcPr>
            <w:tcW w:w="1140"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2 8</w:t>
            </w:r>
            <w:r w:rsidRPr="00AE6EDB">
              <w:rPr>
                <w:szCs w:val="22"/>
              </w:rPr>
              <w:t>47</w:t>
            </w:r>
          </w:p>
        </w:tc>
        <w:tc>
          <w:tcPr>
            <w:tcW w:w="1140"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9 9</w:t>
            </w:r>
            <w:r w:rsidRPr="00AE6EDB">
              <w:t>83</w:t>
            </w:r>
          </w:p>
        </w:tc>
        <w:tc>
          <w:tcPr>
            <w:tcW w:w="1140"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6 2</w:t>
            </w:r>
            <w:r w:rsidRPr="00AE6EDB">
              <w:t>22</w:t>
            </w:r>
          </w:p>
        </w:tc>
        <w:tc>
          <w:tcPr>
            <w:tcW w:w="965"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333,9</w:t>
            </w:r>
          </w:p>
        </w:tc>
        <w:tc>
          <w:tcPr>
            <w:tcW w:w="966"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344,0</w:t>
            </w:r>
          </w:p>
        </w:tc>
        <w:tc>
          <w:tcPr>
            <w:tcW w:w="965"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3 2</w:t>
            </w:r>
            <w:r w:rsidRPr="00AE6EDB">
              <w:t>30</w:t>
            </w:r>
          </w:p>
        </w:tc>
        <w:tc>
          <w:tcPr>
            <w:tcW w:w="966" w:type="dxa"/>
            <w:tcBorders>
              <w:top w:val="single" w:sz="4" w:space="0" w:color="auto"/>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2 4</w:t>
            </w:r>
            <w:r w:rsidRPr="00AE6EDB">
              <w:t>50</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Február</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8 7</w:t>
            </w:r>
            <w:r w:rsidRPr="00AE6EDB">
              <w:rPr>
                <w:szCs w:val="22"/>
              </w:rPr>
              <w:t>65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AC44CB">
              <w:rPr>
                <w:szCs w:val="22"/>
              </w:rPr>
              <w:t>5 8</w:t>
            </w:r>
            <w:r w:rsidRPr="00AE6EDB">
              <w:rPr>
                <w:szCs w:val="22"/>
              </w:rPr>
              <w:t>06</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4</w:t>
            </w:r>
            <w:r w:rsidR="0054295F">
              <w:t>3 7</w:t>
            </w:r>
            <w:r w:rsidRPr="00AE6EDB">
              <w:t>71</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4</w:t>
            </w:r>
            <w:r w:rsidR="0054295F">
              <w:t>0 4</w:t>
            </w:r>
            <w:r w:rsidRPr="00AE6EDB">
              <w:t>00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327,8</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342,7</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4 2</w:t>
            </w:r>
            <w:r w:rsidRPr="00AE6EDB">
              <w:t>42</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3 8</w:t>
            </w:r>
            <w:r w:rsidRPr="00AE6EDB">
              <w:t>14</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Marec</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7 9</w:t>
            </w:r>
            <w:r w:rsidRPr="00AE6EDB">
              <w:rPr>
                <w:szCs w:val="22"/>
              </w:rPr>
              <w:t>15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AC44CB">
              <w:rPr>
                <w:szCs w:val="22"/>
              </w:rPr>
              <w:t>5 5</w:t>
            </w:r>
            <w:r w:rsidRPr="00AE6EDB">
              <w:rPr>
                <w:szCs w:val="22"/>
              </w:rPr>
              <w:t>86</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4</w:t>
            </w:r>
            <w:r w:rsidR="0054295F">
              <w:t>2 4</w:t>
            </w:r>
            <w:r w:rsidRPr="00AE6EDB">
              <w:t>78</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4</w:t>
            </w:r>
            <w:r w:rsidR="0054295F">
              <w:t>0 4</w:t>
            </w:r>
            <w:r w:rsidRPr="00AE6EDB">
              <w:t>79</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302,5</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315,4</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2 5</w:t>
            </w:r>
            <w:r w:rsidRPr="00AE6EDB">
              <w:t>39</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2 6</w:t>
            </w:r>
            <w:r w:rsidRPr="00AE6EDB">
              <w:t>98</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Apríl</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7 3</w:t>
            </w:r>
            <w:r w:rsidRPr="00AE6EDB">
              <w:rPr>
                <w:szCs w:val="22"/>
              </w:rPr>
              <w:t>85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4 8</w:t>
            </w:r>
            <w:r w:rsidRPr="00AE6EDB">
              <w:rPr>
                <w:szCs w:val="22"/>
              </w:rPr>
              <w:t>85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4</w:t>
            </w:r>
            <w:r w:rsidR="0054295F">
              <w:t>1 8</w:t>
            </w:r>
            <w:r w:rsidRPr="00AE6EDB">
              <w:t>51</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8 9</w:t>
            </w:r>
            <w:r w:rsidRPr="00AE6EDB">
              <w:t>76</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323,1</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337,2</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3 4</w:t>
            </w:r>
            <w:r w:rsidRPr="00AE6EDB">
              <w:t>27</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3 0</w:t>
            </w:r>
            <w:r w:rsidRPr="00AE6EDB">
              <w:t>95</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Máj</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5 3</w:t>
            </w:r>
            <w:r w:rsidRPr="00AE6EDB">
              <w:rPr>
                <w:szCs w:val="22"/>
              </w:rPr>
              <w:t>24</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3 7</w:t>
            </w:r>
            <w:r w:rsidRPr="00AE6EDB">
              <w:rPr>
                <w:szCs w:val="22"/>
              </w:rPr>
              <w:t>84</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9 1</w:t>
            </w:r>
            <w:r w:rsidRPr="00AE6EDB">
              <w:t>45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8 0</w:t>
            </w:r>
            <w:r w:rsidRPr="00AE6EDB">
              <w:t>02</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321,4</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335,0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2 4</w:t>
            </w:r>
            <w:r w:rsidRPr="00AE6EDB">
              <w:t>97</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2 6</w:t>
            </w:r>
            <w:r w:rsidRPr="00AE6EDB">
              <w:t>94</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Jún</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5 1</w:t>
            </w:r>
            <w:r w:rsidRPr="00AE6EDB">
              <w:rPr>
                <w:szCs w:val="22"/>
              </w:rPr>
              <w:t>87</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4 0</w:t>
            </w:r>
            <w:r w:rsidRPr="00AE6EDB">
              <w:rPr>
                <w:szCs w:val="22"/>
              </w:rPr>
              <w:t>06</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9 2</w:t>
            </w:r>
            <w:r w:rsidRPr="00AE6EDB">
              <w:t>28</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8 3</w:t>
            </w:r>
            <w:r w:rsidRPr="00AE6EDB">
              <w:t>27</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332,2</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347,0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2 6</w:t>
            </w:r>
            <w:r w:rsidRPr="00AE6EDB">
              <w:t>15</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3 2</w:t>
            </w:r>
            <w:r w:rsidRPr="00AE6EDB">
              <w:t>24</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Júl</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54295F">
              <w:rPr>
                <w:szCs w:val="22"/>
              </w:rPr>
              <w:t>4 3</w:t>
            </w:r>
            <w:r w:rsidRPr="00AE6EDB">
              <w:rPr>
                <w:szCs w:val="22"/>
              </w:rPr>
              <w:t>38</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3 9</w:t>
            </w:r>
            <w:r w:rsidRPr="00AE6EDB">
              <w:rPr>
                <w:szCs w:val="22"/>
              </w:rPr>
              <w:t>37</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7 8</w:t>
            </w:r>
            <w:r w:rsidRPr="00AE6EDB">
              <w:t>67</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7 9</w:t>
            </w:r>
            <w:r w:rsidRPr="00AE6EDB">
              <w:t>96</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328,7</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341,3</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2 3</w:t>
            </w:r>
            <w:r w:rsidRPr="00AE6EDB">
              <w:t>69</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2 8</w:t>
            </w:r>
            <w:r w:rsidRPr="00AE6EDB">
              <w:t>87</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August</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AC44CB">
              <w:rPr>
                <w:szCs w:val="22"/>
              </w:rPr>
              <w:t>5 0</w:t>
            </w:r>
            <w:r w:rsidRPr="00AE6EDB">
              <w:rPr>
                <w:szCs w:val="22"/>
              </w:rPr>
              <w:t>10</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4 7</w:t>
            </w:r>
            <w:r w:rsidRPr="00AE6EDB">
              <w:rPr>
                <w:szCs w:val="22"/>
              </w:rPr>
              <w:t>89</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8 8</w:t>
            </w:r>
            <w:r w:rsidRPr="00AE6EDB">
              <w:t>28</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8 6</w:t>
            </w:r>
            <w:r w:rsidRPr="00AE6EDB">
              <w:t>30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339,5</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351,6</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3 0</w:t>
            </w:r>
            <w:r w:rsidRPr="00AE6EDB">
              <w:t>26</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3 5</w:t>
            </w:r>
            <w:r w:rsidRPr="00AE6EDB">
              <w:t>25</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September</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54295F">
              <w:rPr>
                <w:szCs w:val="22"/>
              </w:rPr>
              <w:t>4 8</w:t>
            </w:r>
            <w:r w:rsidRPr="00AE6EDB">
              <w:rPr>
                <w:szCs w:val="22"/>
              </w:rPr>
              <w:t>77</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AC44CB">
              <w:rPr>
                <w:szCs w:val="22"/>
              </w:rPr>
              <w:t>5 5</w:t>
            </w:r>
            <w:r w:rsidRPr="00AE6EDB">
              <w:rPr>
                <w:szCs w:val="22"/>
              </w:rPr>
              <w:t>65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8 4</w:t>
            </w:r>
            <w:r w:rsidRPr="00AE6EDB">
              <w:t>04</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9 8</w:t>
            </w:r>
            <w:r w:rsidRPr="00AE6EDB">
              <w:t>68</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348,0</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355,6</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3 2</w:t>
            </w:r>
            <w:r w:rsidRPr="00AE6EDB">
              <w:t>75</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4 1</w:t>
            </w:r>
            <w:r w:rsidRPr="00AE6EDB">
              <w:t>17</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Október</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54295F">
              <w:rPr>
                <w:szCs w:val="22"/>
              </w:rPr>
              <w:t>4 0</w:t>
            </w:r>
            <w:r w:rsidRPr="00AE6EDB">
              <w:rPr>
                <w:szCs w:val="22"/>
              </w:rPr>
              <w:t>57</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AC44CB">
              <w:rPr>
                <w:szCs w:val="22"/>
              </w:rPr>
              <w:t>5 1</w:t>
            </w:r>
            <w:r w:rsidRPr="00AE6EDB">
              <w:rPr>
                <w:szCs w:val="22"/>
              </w:rPr>
              <w:t>45</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7 5</w:t>
            </w:r>
            <w:r w:rsidRPr="00AE6EDB">
              <w:t>84</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9 1</w:t>
            </w:r>
            <w:r w:rsidRPr="00AE6EDB">
              <w:t>90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331,6</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341,1</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2 3</w:t>
            </w:r>
            <w:r w:rsidRPr="00AE6EDB">
              <w:t>91</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3 3</w:t>
            </w:r>
            <w:r w:rsidRPr="00AE6EDB">
              <w:t>05</w:t>
            </w:r>
          </w:p>
        </w:tc>
      </w:tr>
      <w:tr w:rsidR="000A7585" w:rsidRPr="00AE6EDB" w:rsidTr="00DE0EEC">
        <w:trPr>
          <w:trHeight w:val="289"/>
        </w:trPr>
        <w:tc>
          <w:tcPr>
            <w:tcW w:w="1150" w:type="dxa"/>
            <w:tcBorders>
              <w:left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November</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54295F">
              <w:rPr>
                <w:szCs w:val="22"/>
              </w:rPr>
              <w:t>3 1</w:t>
            </w:r>
            <w:r w:rsidRPr="00AE6EDB">
              <w:rPr>
                <w:szCs w:val="22"/>
              </w:rPr>
              <w:t>74</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3 8</w:t>
            </w:r>
            <w:r w:rsidRPr="00AE6EDB">
              <w:rPr>
                <w:szCs w:val="22"/>
              </w:rPr>
              <w:t>19</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6 8</w:t>
            </w:r>
            <w:r w:rsidRPr="00AE6EDB">
              <w:t>88</w:t>
            </w:r>
          </w:p>
        </w:tc>
        <w:tc>
          <w:tcPr>
            <w:tcW w:w="1140"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8 0</w:t>
            </w:r>
            <w:r w:rsidRPr="00AE6EDB">
              <w:t>71</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345,0</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354,0</w:t>
            </w:r>
          </w:p>
        </w:tc>
        <w:tc>
          <w:tcPr>
            <w:tcW w:w="965" w:type="dxa"/>
            <w:tcBorders>
              <w:left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2 6</w:t>
            </w:r>
            <w:r w:rsidRPr="00AE6EDB">
              <w:t>67</w:t>
            </w:r>
          </w:p>
        </w:tc>
        <w:tc>
          <w:tcPr>
            <w:tcW w:w="966" w:type="dxa"/>
            <w:tcBorders>
              <w:left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3 4</w:t>
            </w:r>
            <w:r w:rsidRPr="00AE6EDB">
              <w:t>29</w:t>
            </w:r>
          </w:p>
        </w:tc>
      </w:tr>
      <w:tr w:rsidR="000A7585" w:rsidRPr="00AE6EDB" w:rsidTr="00DE0EEC">
        <w:trPr>
          <w:trHeight w:val="304"/>
        </w:trPr>
        <w:tc>
          <w:tcPr>
            <w:tcW w:w="1150"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r w:rsidRPr="00AE6EDB">
              <w:rPr>
                <w:szCs w:val="22"/>
              </w:rPr>
              <w:t>December</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rPr>
                <w:szCs w:val="22"/>
              </w:rPr>
              <w:t>3</w:t>
            </w:r>
            <w:r w:rsidR="0054295F">
              <w:rPr>
                <w:szCs w:val="22"/>
              </w:rPr>
              <w:t>3 3</w:t>
            </w:r>
            <w:r w:rsidRPr="00AE6EDB">
              <w:rPr>
                <w:szCs w:val="22"/>
              </w:rPr>
              <w:t>31</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szCs w:val="22"/>
              </w:rPr>
            </w:pPr>
            <w:r w:rsidRPr="00AE6EDB">
              <w:rPr>
                <w:szCs w:val="22"/>
              </w:rPr>
              <w:t>3</w:t>
            </w:r>
            <w:r w:rsidR="0054295F">
              <w:rPr>
                <w:szCs w:val="22"/>
              </w:rPr>
              <w:t>4 5</w:t>
            </w:r>
            <w:r w:rsidRPr="00AE6EDB">
              <w:rPr>
                <w:szCs w:val="22"/>
              </w:rPr>
              <w:t>15</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w:t>
            </w:r>
            <w:r w:rsidR="00AC44CB">
              <w:t>7 3</w:t>
            </w:r>
            <w:r w:rsidRPr="00AE6EDB">
              <w:t>54</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w:t>
            </w:r>
            <w:r w:rsidR="00AC44CB">
              <w:t>9 0</w:t>
            </w:r>
            <w:r w:rsidRPr="00AE6EDB">
              <w:t>44</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336,1</w:t>
            </w:r>
          </w:p>
        </w:tc>
        <w:tc>
          <w:tcPr>
            <w:tcW w:w="966"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343,8</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pPr>
            <w:r w:rsidRPr="00AE6EDB">
              <w:t>1</w:t>
            </w:r>
            <w:r w:rsidR="0054295F">
              <w:t>2 4</w:t>
            </w:r>
            <w:r w:rsidRPr="00AE6EDB">
              <w:t>43</w:t>
            </w:r>
          </w:p>
        </w:tc>
        <w:tc>
          <w:tcPr>
            <w:tcW w:w="966" w:type="dxa"/>
            <w:tcBorders>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jc w:val="right"/>
            </w:pPr>
            <w:r w:rsidRPr="00AE6EDB">
              <w:t>1</w:t>
            </w:r>
            <w:r w:rsidR="0054295F">
              <w:t>3 3</w:t>
            </w:r>
            <w:r w:rsidRPr="00AE6EDB">
              <w:t>81</w:t>
            </w:r>
          </w:p>
        </w:tc>
      </w:tr>
      <w:tr w:rsidR="000A7585" w:rsidRPr="00AE6EDB" w:rsidTr="00DE0EEC">
        <w:trPr>
          <w:trHeight w:val="289"/>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rPr>
            </w:pPr>
            <w:r w:rsidRPr="00AE6EDB">
              <w:rPr>
                <w:b/>
                <w:bCs/>
                <w:szCs w:val="22"/>
              </w:rPr>
              <w:t>Spolu</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szCs w:val="22"/>
              </w:rPr>
              <w:t>12</w:t>
            </w:r>
            <w:r w:rsidR="0054295F">
              <w:rPr>
                <w:b/>
                <w:bCs/>
                <w:szCs w:val="22"/>
              </w:rPr>
              <w:t>2 1</w:t>
            </w:r>
            <w:r w:rsidRPr="00AE6EDB">
              <w:rPr>
                <w:b/>
                <w:bCs/>
                <w:szCs w:val="22"/>
              </w:rPr>
              <w:t>98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szCs w:val="22"/>
              </w:rPr>
            </w:pPr>
            <w:r w:rsidRPr="00AE6EDB">
              <w:rPr>
                <w:b/>
                <w:szCs w:val="22"/>
              </w:rPr>
              <w:t>12</w:t>
            </w:r>
            <w:r w:rsidR="0054295F">
              <w:rPr>
                <w:b/>
                <w:szCs w:val="22"/>
              </w:rPr>
              <w:t>0 6</w:t>
            </w:r>
            <w:r w:rsidRPr="00AE6EDB">
              <w:rPr>
                <w:b/>
                <w:szCs w:val="22"/>
              </w:rPr>
              <w:t>63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rPr>
              <w:t>47</w:t>
            </w:r>
            <w:r w:rsidR="0054295F">
              <w:rPr>
                <w:b/>
                <w:bCs/>
              </w:rPr>
              <w:t>3 3</w:t>
            </w:r>
            <w:r w:rsidRPr="00AE6EDB">
              <w:rPr>
                <w:b/>
                <w:bCs/>
              </w:rPr>
              <w:t>81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jc w:val="right"/>
              <w:rPr>
                <w:b/>
              </w:rPr>
            </w:pPr>
            <w:r w:rsidRPr="00AE6EDB">
              <w:rPr>
                <w:b/>
              </w:rPr>
              <w:t>46</w:t>
            </w:r>
            <w:r w:rsidR="00AC44CB">
              <w:rPr>
                <w:b/>
              </w:rPr>
              <w:t>5 2</w:t>
            </w:r>
            <w:r w:rsidRPr="00AE6EDB">
              <w:rPr>
                <w:b/>
              </w:rPr>
              <w:t>05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rPr>
              <w:t>x</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szCs w:val="22"/>
              </w:rPr>
              <w:t>x</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rPr>
            </w:pPr>
            <w:r w:rsidRPr="00AE6EDB">
              <w:rPr>
                <w:b/>
              </w:rPr>
              <w:t>15</w:t>
            </w:r>
            <w:r w:rsidR="0054295F">
              <w:rPr>
                <w:b/>
              </w:rPr>
              <w:t>4 7</w:t>
            </w:r>
            <w:r w:rsidRPr="00AE6EDB">
              <w:rPr>
                <w:b/>
              </w:rPr>
              <w:t>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rPr>
            </w:pPr>
            <w:r w:rsidRPr="00AE6EDB">
              <w:rPr>
                <w:b/>
                <w:szCs w:val="22"/>
              </w:rPr>
              <w:t>15</w:t>
            </w:r>
            <w:r w:rsidR="00AC44CB">
              <w:rPr>
                <w:b/>
                <w:szCs w:val="22"/>
              </w:rPr>
              <w:t>8 6</w:t>
            </w:r>
            <w:r w:rsidRPr="00AE6EDB">
              <w:rPr>
                <w:b/>
                <w:szCs w:val="22"/>
              </w:rPr>
              <w:t>19</w:t>
            </w:r>
          </w:p>
        </w:tc>
      </w:tr>
      <w:tr w:rsidR="000A7585" w:rsidRPr="00AE6EDB" w:rsidTr="00DE0EEC">
        <w:trPr>
          <w:trHeight w:val="30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rPr>
                <w:b/>
                <w:bCs/>
                <w:i/>
                <w:iCs/>
              </w:rPr>
            </w:pPr>
            <w:r w:rsidRPr="00AE6EDB">
              <w:rPr>
                <w:b/>
                <w:bCs/>
                <w:i/>
                <w:iCs/>
                <w:szCs w:val="22"/>
              </w:rPr>
              <w:t>Priemer</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rPr>
              <w:t>3</w:t>
            </w:r>
            <w:r w:rsidR="00AC44CB">
              <w:rPr>
                <w:b/>
                <w:bCs/>
              </w:rPr>
              <w:t>9 4</w:t>
            </w:r>
            <w:r w:rsidRPr="00AE6EDB">
              <w:rPr>
                <w:b/>
                <w:bCs/>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iCs/>
                <w:szCs w:val="22"/>
              </w:rPr>
            </w:pPr>
            <w:r w:rsidRPr="00AE6EDB">
              <w:rPr>
                <w:b/>
                <w:bCs/>
                <w:iCs/>
                <w:szCs w:val="22"/>
              </w:rPr>
              <w:t>3</w:t>
            </w:r>
            <w:r w:rsidR="00AC44CB">
              <w:rPr>
                <w:b/>
                <w:bCs/>
                <w:iCs/>
                <w:szCs w:val="22"/>
              </w:rPr>
              <w:t>8 7</w:t>
            </w:r>
            <w:r w:rsidRPr="00AE6EDB">
              <w:rPr>
                <w:b/>
                <w:bCs/>
                <w:iCs/>
                <w:szCs w:val="22"/>
              </w:rPr>
              <w:t>67</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rPr>
              <w:t>333,0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iCs/>
                <w:szCs w:val="22"/>
              </w:rPr>
              <w:t>344,5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bCs/>
              </w:rPr>
            </w:pPr>
            <w:r w:rsidRPr="00AE6EDB">
              <w:rPr>
                <w:b/>
                <w:bCs/>
              </w:rPr>
              <w:t>1</w:t>
            </w:r>
            <w:r w:rsidR="0054295F">
              <w:rPr>
                <w:b/>
                <w:bCs/>
              </w:rPr>
              <w:t>2 8</w:t>
            </w:r>
            <w:r w:rsidRPr="00AE6EDB">
              <w:rPr>
                <w:b/>
                <w:bCs/>
              </w:rPr>
              <w:t>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585" w:rsidRPr="00AE6EDB" w:rsidRDefault="000A7585" w:rsidP="00DE0EEC">
            <w:pPr>
              <w:ind w:right="71"/>
              <w:jc w:val="right"/>
              <w:rPr>
                <w:b/>
              </w:rPr>
            </w:pPr>
            <w:r w:rsidRPr="00AE6EDB">
              <w:rPr>
                <w:b/>
                <w:szCs w:val="22"/>
              </w:rPr>
              <w:t>1</w:t>
            </w:r>
            <w:r w:rsidR="0054295F">
              <w:rPr>
                <w:b/>
                <w:szCs w:val="22"/>
              </w:rPr>
              <w:t>3 2</w:t>
            </w:r>
            <w:r w:rsidRPr="00AE6EDB">
              <w:rPr>
                <w:b/>
                <w:szCs w:val="22"/>
              </w:rPr>
              <w:t>18</w:t>
            </w:r>
          </w:p>
        </w:tc>
      </w:tr>
    </w:tbl>
    <w:p w:rsidR="000A7585" w:rsidRPr="00AE6EDB" w:rsidRDefault="000A7585" w:rsidP="000A7585">
      <w:pPr>
        <w:pStyle w:val="zdroj"/>
      </w:pPr>
      <w:r w:rsidRPr="00AE6EDB">
        <w:t>Zdroj : Sociálna poisťovňa</w:t>
      </w:r>
    </w:p>
    <w:p w:rsidR="000A7585" w:rsidRPr="00AE6EDB" w:rsidRDefault="000A7585" w:rsidP="000A7585">
      <w:pPr>
        <w:pStyle w:val="Nadpis7"/>
      </w:pPr>
      <w:r w:rsidRPr="00AE6EDB">
        <w:t xml:space="preserve">Tabuľka 11 Počet poberateľov dávky v nezamestnanosti v členení podľa veku a pohlavia </w:t>
      </w:r>
      <w:r w:rsidRPr="00AE6EDB">
        <w:br/>
        <w:t>za rok 2015</w:t>
      </w:r>
    </w:p>
    <w:tbl>
      <w:tblPr>
        <w:tblW w:w="6254" w:type="dxa"/>
        <w:tblInd w:w="1422" w:type="dxa"/>
        <w:tblCellMar>
          <w:left w:w="70" w:type="dxa"/>
          <w:right w:w="70" w:type="dxa"/>
        </w:tblCellMar>
        <w:tblLook w:val="04A0" w:firstRow="1" w:lastRow="0" w:firstColumn="1" w:lastColumn="0" w:noHBand="0" w:noVBand="1"/>
      </w:tblPr>
      <w:tblGrid>
        <w:gridCol w:w="1860"/>
        <w:gridCol w:w="1324"/>
        <w:gridCol w:w="1276"/>
        <w:gridCol w:w="1794"/>
      </w:tblGrid>
      <w:tr w:rsidR="000A7585" w:rsidRPr="00AE6EDB" w:rsidTr="00DE0EEC">
        <w:trPr>
          <w:trHeight w:val="315"/>
        </w:trPr>
        <w:tc>
          <w:tcPr>
            <w:tcW w:w="186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AE6EDB" w:rsidRDefault="000A7585" w:rsidP="00DE0EEC">
            <w:pPr>
              <w:rPr>
                <w:b/>
                <w:bCs/>
              </w:rPr>
            </w:pPr>
            <w:r w:rsidRPr="00AE6EDB">
              <w:rPr>
                <w:b/>
                <w:bCs/>
                <w:szCs w:val="22"/>
              </w:rPr>
              <w:t xml:space="preserve">Vekové pásma </w:t>
            </w:r>
          </w:p>
        </w:tc>
        <w:tc>
          <w:tcPr>
            <w:tcW w:w="439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AE6EDB" w:rsidRDefault="000A7585" w:rsidP="00DE0EEC">
            <w:pPr>
              <w:jc w:val="center"/>
              <w:rPr>
                <w:b/>
                <w:bCs/>
              </w:rPr>
            </w:pPr>
            <w:r w:rsidRPr="00AE6EDB">
              <w:rPr>
                <w:b/>
                <w:bCs/>
                <w:szCs w:val="22"/>
              </w:rPr>
              <w:t>Pohlavie</w:t>
            </w:r>
          </w:p>
        </w:tc>
      </w:tr>
      <w:tr w:rsidR="000A7585" w:rsidRPr="00AE6EDB" w:rsidTr="00DE0EEC">
        <w:trPr>
          <w:trHeight w:val="315"/>
        </w:trPr>
        <w:tc>
          <w:tcPr>
            <w:tcW w:w="186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left"/>
              <w:rPr>
                <w:b/>
                <w:bCs/>
              </w:rPr>
            </w:pPr>
          </w:p>
        </w:tc>
        <w:tc>
          <w:tcPr>
            <w:tcW w:w="132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AE6EDB" w:rsidRDefault="000A7585" w:rsidP="00DE0EEC">
            <w:pPr>
              <w:jc w:val="center"/>
              <w:rPr>
                <w:b/>
                <w:bCs/>
              </w:rPr>
            </w:pPr>
            <w:r w:rsidRPr="00AE6EDB">
              <w:rPr>
                <w:b/>
                <w:bCs/>
                <w:szCs w:val="22"/>
              </w:rPr>
              <w:t>muži</w:t>
            </w:r>
          </w:p>
        </w:tc>
        <w:tc>
          <w:tcPr>
            <w:tcW w:w="127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AE6EDB" w:rsidRDefault="000A7585" w:rsidP="00DE0EEC">
            <w:pPr>
              <w:jc w:val="center"/>
              <w:rPr>
                <w:b/>
                <w:bCs/>
              </w:rPr>
            </w:pPr>
            <w:r w:rsidRPr="00AE6EDB">
              <w:rPr>
                <w:b/>
                <w:bCs/>
                <w:szCs w:val="22"/>
              </w:rPr>
              <w:t>ženy</w:t>
            </w:r>
          </w:p>
        </w:tc>
        <w:tc>
          <w:tcPr>
            <w:tcW w:w="179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AE6EDB" w:rsidRDefault="000A7585" w:rsidP="00DE0EEC">
            <w:pPr>
              <w:jc w:val="center"/>
              <w:rPr>
                <w:b/>
                <w:bCs/>
              </w:rPr>
            </w:pPr>
            <w:r w:rsidRPr="00AE6EDB">
              <w:rPr>
                <w:b/>
                <w:bCs/>
                <w:szCs w:val="22"/>
              </w:rPr>
              <w:t>spolu</w:t>
            </w:r>
          </w:p>
        </w:tc>
      </w:tr>
      <w:tr w:rsidR="000A7585" w:rsidRPr="00AE6EDB" w:rsidTr="00DE0EEC">
        <w:trPr>
          <w:trHeight w:val="300"/>
        </w:trPr>
        <w:tc>
          <w:tcPr>
            <w:tcW w:w="1860" w:type="dxa"/>
            <w:tcBorders>
              <w:top w:val="single" w:sz="4" w:space="0" w:color="auto"/>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do 19 rokov</w:t>
            </w:r>
          </w:p>
        </w:tc>
        <w:tc>
          <w:tcPr>
            <w:tcW w:w="1324" w:type="dxa"/>
            <w:tcBorders>
              <w:top w:val="single" w:sz="4" w:space="0" w:color="auto"/>
              <w:left w:val="single" w:sz="4" w:space="0" w:color="auto"/>
              <w:right w:val="single" w:sz="4" w:space="0" w:color="auto"/>
            </w:tcBorders>
            <w:shd w:val="clear" w:color="auto" w:fill="auto"/>
            <w:noWrap/>
            <w:vAlign w:val="center"/>
          </w:tcPr>
          <w:p w:rsidR="000A7585" w:rsidRPr="00AE6EDB" w:rsidRDefault="000A7585" w:rsidP="00DE0EEC">
            <w:pPr>
              <w:ind w:right="213"/>
              <w:jc w:val="right"/>
            </w:pPr>
            <w:r w:rsidRPr="00AE6EDB">
              <w:t>9</w:t>
            </w:r>
          </w:p>
        </w:tc>
        <w:tc>
          <w:tcPr>
            <w:tcW w:w="1276" w:type="dxa"/>
            <w:tcBorders>
              <w:top w:val="single" w:sz="4" w:space="0" w:color="auto"/>
              <w:left w:val="single" w:sz="4" w:space="0" w:color="auto"/>
              <w:right w:val="single" w:sz="4" w:space="0" w:color="auto"/>
            </w:tcBorders>
            <w:shd w:val="clear" w:color="auto" w:fill="auto"/>
            <w:noWrap/>
            <w:vAlign w:val="center"/>
          </w:tcPr>
          <w:p w:rsidR="000A7585" w:rsidRPr="00AE6EDB" w:rsidRDefault="000A7585" w:rsidP="00DE0EEC">
            <w:pPr>
              <w:ind w:right="213"/>
              <w:jc w:val="right"/>
            </w:pPr>
            <w:r w:rsidRPr="00AE6EDB">
              <w:t>1</w:t>
            </w:r>
          </w:p>
        </w:tc>
        <w:tc>
          <w:tcPr>
            <w:tcW w:w="1794" w:type="dxa"/>
            <w:tcBorders>
              <w:top w:val="single" w:sz="4" w:space="0" w:color="auto"/>
              <w:left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10</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20 </w:t>
            </w:r>
            <w:r w:rsidRPr="00AE6EDB">
              <w:rPr>
                <w:bCs/>
                <w:sz w:val="20"/>
                <w:szCs w:val="16"/>
              </w:rPr>
              <w:t>–</w:t>
            </w:r>
            <w:r w:rsidRPr="00AE6EDB">
              <w:rPr>
                <w:szCs w:val="22"/>
              </w:rPr>
              <w:t xml:space="preserve"> 24 rokov</w:t>
            </w:r>
          </w:p>
        </w:tc>
        <w:tc>
          <w:tcPr>
            <w:tcW w:w="1324" w:type="dxa"/>
            <w:tcBorders>
              <w:left w:val="single" w:sz="4" w:space="0" w:color="auto"/>
              <w:right w:val="single" w:sz="4" w:space="0" w:color="auto"/>
            </w:tcBorders>
            <w:shd w:val="pct25" w:color="FFFFFF" w:fill="FFFFFF"/>
            <w:noWrap/>
            <w:vAlign w:val="center"/>
          </w:tcPr>
          <w:p w:rsidR="000A7585" w:rsidRPr="00AE6EDB" w:rsidRDefault="0054295F" w:rsidP="00DE0EEC">
            <w:pPr>
              <w:ind w:right="213"/>
              <w:jc w:val="right"/>
            </w:pPr>
            <w:r>
              <w:t>4 1</w:t>
            </w:r>
            <w:r w:rsidR="000A7585" w:rsidRPr="00AE6EDB">
              <w:t>71</w:t>
            </w:r>
          </w:p>
        </w:tc>
        <w:tc>
          <w:tcPr>
            <w:tcW w:w="1276" w:type="dxa"/>
            <w:tcBorders>
              <w:left w:val="single" w:sz="4" w:space="0" w:color="auto"/>
              <w:right w:val="single" w:sz="4" w:space="0" w:color="auto"/>
            </w:tcBorders>
            <w:shd w:val="pct25" w:color="FFFFFF" w:fill="FFFFFF"/>
            <w:noWrap/>
            <w:vAlign w:val="center"/>
          </w:tcPr>
          <w:p w:rsidR="000A7585" w:rsidRPr="00AE6EDB" w:rsidRDefault="0054295F" w:rsidP="00DE0EEC">
            <w:pPr>
              <w:ind w:right="213"/>
              <w:jc w:val="right"/>
            </w:pPr>
            <w:r>
              <w:t>2 8</w:t>
            </w:r>
            <w:r w:rsidR="000A7585" w:rsidRPr="00AE6EDB">
              <w:t>31</w:t>
            </w:r>
          </w:p>
        </w:tc>
        <w:tc>
          <w:tcPr>
            <w:tcW w:w="1794"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rPr>
                <w:b/>
              </w:rPr>
            </w:pPr>
            <w:r>
              <w:rPr>
                <w:b/>
              </w:rPr>
              <w:t>7 0</w:t>
            </w:r>
            <w:r w:rsidR="000A7585" w:rsidRPr="00AE6EDB">
              <w:rPr>
                <w:b/>
              </w:rPr>
              <w:t>02</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25 </w:t>
            </w:r>
            <w:r w:rsidRPr="00AE6EDB">
              <w:rPr>
                <w:bCs/>
                <w:sz w:val="20"/>
                <w:szCs w:val="16"/>
              </w:rPr>
              <w:t>–</w:t>
            </w:r>
            <w:r w:rsidRPr="00AE6EDB">
              <w:rPr>
                <w:szCs w:val="22"/>
              </w:rPr>
              <w:t xml:space="preserve"> 29 rokov</w:t>
            </w:r>
          </w:p>
        </w:tc>
        <w:tc>
          <w:tcPr>
            <w:tcW w:w="1324"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9 4</w:t>
            </w:r>
            <w:r w:rsidR="000A7585" w:rsidRPr="00AE6EDB">
              <w:t>57</w:t>
            </w:r>
          </w:p>
        </w:tc>
        <w:tc>
          <w:tcPr>
            <w:tcW w:w="1276"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8 7</w:t>
            </w:r>
            <w:r w:rsidR="000A7585" w:rsidRPr="00AE6EDB">
              <w:t>65</w:t>
            </w:r>
          </w:p>
        </w:tc>
        <w:tc>
          <w:tcPr>
            <w:tcW w:w="1794" w:type="dxa"/>
            <w:tcBorders>
              <w:left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w:t>
            </w:r>
            <w:r w:rsidR="00AC44CB">
              <w:rPr>
                <w:b/>
              </w:rPr>
              <w:t>8 2</w:t>
            </w:r>
            <w:r w:rsidRPr="00AE6EDB">
              <w:rPr>
                <w:b/>
              </w:rPr>
              <w:t>22</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30 </w:t>
            </w:r>
            <w:r w:rsidRPr="00AE6EDB">
              <w:rPr>
                <w:bCs/>
                <w:sz w:val="20"/>
                <w:szCs w:val="16"/>
              </w:rPr>
              <w:t>–</w:t>
            </w:r>
            <w:r w:rsidRPr="00AE6EDB">
              <w:rPr>
                <w:szCs w:val="22"/>
              </w:rPr>
              <w:t xml:space="preserve"> 34 rokov</w:t>
            </w:r>
          </w:p>
        </w:tc>
        <w:tc>
          <w:tcPr>
            <w:tcW w:w="1324"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9 4</w:t>
            </w:r>
            <w:r w:rsidR="000A7585" w:rsidRPr="00AE6EDB">
              <w:t>64</w:t>
            </w:r>
          </w:p>
        </w:tc>
        <w:tc>
          <w:tcPr>
            <w:tcW w:w="1276"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9 7</w:t>
            </w:r>
            <w:r w:rsidR="000A7585" w:rsidRPr="00AE6EDB">
              <w:t>15</w:t>
            </w:r>
          </w:p>
        </w:tc>
        <w:tc>
          <w:tcPr>
            <w:tcW w:w="1794" w:type="dxa"/>
            <w:tcBorders>
              <w:left w:val="single" w:sz="4" w:space="0" w:color="auto"/>
              <w:right w:val="single" w:sz="4" w:space="0" w:color="auto"/>
            </w:tcBorders>
            <w:shd w:val="pct25" w:color="FFFFFF" w:fill="FFFFFF"/>
            <w:noWrap/>
            <w:vAlign w:val="center"/>
          </w:tcPr>
          <w:p w:rsidR="000A7585" w:rsidRPr="00AE6EDB" w:rsidRDefault="000A7585" w:rsidP="00DE0EEC">
            <w:pPr>
              <w:ind w:right="213"/>
              <w:jc w:val="right"/>
              <w:rPr>
                <w:b/>
              </w:rPr>
            </w:pPr>
            <w:r w:rsidRPr="00AE6EDB">
              <w:rPr>
                <w:b/>
              </w:rPr>
              <w:t>1</w:t>
            </w:r>
            <w:r w:rsidR="00AC44CB">
              <w:rPr>
                <w:b/>
              </w:rPr>
              <w:t>9 1</w:t>
            </w:r>
            <w:r w:rsidRPr="00AE6EDB">
              <w:rPr>
                <w:b/>
              </w:rPr>
              <w:t>79</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35 </w:t>
            </w:r>
            <w:r w:rsidRPr="00AE6EDB">
              <w:rPr>
                <w:bCs/>
                <w:sz w:val="20"/>
                <w:szCs w:val="16"/>
              </w:rPr>
              <w:t>–</w:t>
            </w:r>
            <w:r w:rsidRPr="00AE6EDB">
              <w:rPr>
                <w:szCs w:val="22"/>
              </w:rPr>
              <w:t xml:space="preserve"> 39 rokov</w:t>
            </w:r>
          </w:p>
        </w:tc>
        <w:tc>
          <w:tcPr>
            <w:tcW w:w="1324"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8 5</w:t>
            </w:r>
            <w:r w:rsidR="000A7585" w:rsidRPr="00AE6EDB">
              <w:t>17</w:t>
            </w:r>
          </w:p>
        </w:tc>
        <w:tc>
          <w:tcPr>
            <w:tcW w:w="1276"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9 9</w:t>
            </w:r>
            <w:r w:rsidR="000A7585" w:rsidRPr="00AE6EDB">
              <w:t>32</w:t>
            </w:r>
          </w:p>
        </w:tc>
        <w:tc>
          <w:tcPr>
            <w:tcW w:w="1794" w:type="dxa"/>
            <w:tcBorders>
              <w:left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w:t>
            </w:r>
            <w:r w:rsidR="00AC44CB">
              <w:rPr>
                <w:b/>
              </w:rPr>
              <w:t>8 4</w:t>
            </w:r>
            <w:r w:rsidRPr="00AE6EDB">
              <w:rPr>
                <w:b/>
              </w:rPr>
              <w:t>49</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40 </w:t>
            </w:r>
            <w:r w:rsidRPr="00AE6EDB">
              <w:rPr>
                <w:bCs/>
                <w:sz w:val="20"/>
                <w:szCs w:val="16"/>
              </w:rPr>
              <w:t>–</w:t>
            </w:r>
            <w:r w:rsidRPr="00AE6EDB">
              <w:rPr>
                <w:szCs w:val="22"/>
              </w:rPr>
              <w:t xml:space="preserve"> 44 rokov</w:t>
            </w:r>
          </w:p>
        </w:tc>
        <w:tc>
          <w:tcPr>
            <w:tcW w:w="1324"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6 6</w:t>
            </w:r>
            <w:r w:rsidR="000A7585" w:rsidRPr="00AE6EDB">
              <w:t>26</w:t>
            </w:r>
          </w:p>
        </w:tc>
        <w:tc>
          <w:tcPr>
            <w:tcW w:w="1276"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8 5</w:t>
            </w:r>
            <w:r w:rsidR="000A7585" w:rsidRPr="00AE6EDB">
              <w:t>56</w:t>
            </w:r>
          </w:p>
        </w:tc>
        <w:tc>
          <w:tcPr>
            <w:tcW w:w="1794" w:type="dxa"/>
            <w:tcBorders>
              <w:left w:val="single" w:sz="4" w:space="0" w:color="auto"/>
              <w:right w:val="single" w:sz="4" w:space="0" w:color="auto"/>
            </w:tcBorders>
            <w:shd w:val="pct25" w:color="FFFFFF" w:fill="FFFFFF"/>
            <w:noWrap/>
            <w:vAlign w:val="center"/>
          </w:tcPr>
          <w:p w:rsidR="000A7585" w:rsidRPr="00AE6EDB" w:rsidRDefault="000A7585" w:rsidP="00DE0EEC">
            <w:pPr>
              <w:ind w:right="213"/>
              <w:jc w:val="right"/>
              <w:rPr>
                <w:b/>
              </w:rPr>
            </w:pPr>
            <w:r w:rsidRPr="00AE6EDB">
              <w:rPr>
                <w:b/>
              </w:rPr>
              <w:t>1</w:t>
            </w:r>
            <w:r w:rsidR="00AC44CB">
              <w:rPr>
                <w:b/>
              </w:rPr>
              <w:t>5 1</w:t>
            </w:r>
            <w:r w:rsidRPr="00AE6EDB">
              <w:rPr>
                <w:b/>
              </w:rPr>
              <w:t>82</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45 </w:t>
            </w:r>
            <w:r w:rsidRPr="00AE6EDB">
              <w:rPr>
                <w:bCs/>
                <w:sz w:val="20"/>
                <w:szCs w:val="16"/>
              </w:rPr>
              <w:t>–</w:t>
            </w:r>
            <w:r w:rsidRPr="00AE6EDB">
              <w:rPr>
                <w:szCs w:val="22"/>
              </w:rPr>
              <w:t xml:space="preserve"> 49 rokov</w:t>
            </w:r>
          </w:p>
        </w:tc>
        <w:tc>
          <w:tcPr>
            <w:tcW w:w="1324"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5 6</w:t>
            </w:r>
            <w:r w:rsidR="000A7585" w:rsidRPr="00AE6EDB">
              <w:t>60</w:t>
            </w:r>
          </w:p>
        </w:tc>
        <w:tc>
          <w:tcPr>
            <w:tcW w:w="1276"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6 9</w:t>
            </w:r>
            <w:r w:rsidR="000A7585" w:rsidRPr="00AE6EDB">
              <w:t>77</w:t>
            </w:r>
          </w:p>
        </w:tc>
        <w:tc>
          <w:tcPr>
            <w:tcW w:w="1794" w:type="dxa"/>
            <w:tcBorders>
              <w:left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w:t>
            </w:r>
            <w:r w:rsidR="0054295F">
              <w:rPr>
                <w:b/>
              </w:rPr>
              <w:t>2 6</w:t>
            </w:r>
            <w:r w:rsidRPr="00AE6EDB">
              <w:rPr>
                <w:b/>
              </w:rPr>
              <w:t>37</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50 </w:t>
            </w:r>
            <w:r w:rsidRPr="00AE6EDB">
              <w:rPr>
                <w:bCs/>
                <w:sz w:val="20"/>
                <w:szCs w:val="16"/>
              </w:rPr>
              <w:t>–</w:t>
            </w:r>
            <w:r w:rsidRPr="00AE6EDB">
              <w:rPr>
                <w:szCs w:val="22"/>
              </w:rPr>
              <w:t xml:space="preserve"> 54 rokov</w:t>
            </w:r>
          </w:p>
        </w:tc>
        <w:tc>
          <w:tcPr>
            <w:tcW w:w="1324"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5 8</w:t>
            </w:r>
            <w:r w:rsidR="000A7585" w:rsidRPr="00AE6EDB">
              <w:t>91</w:t>
            </w:r>
          </w:p>
        </w:tc>
        <w:tc>
          <w:tcPr>
            <w:tcW w:w="1276" w:type="dxa"/>
            <w:tcBorders>
              <w:left w:val="single" w:sz="4" w:space="0" w:color="auto"/>
              <w:right w:val="single" w:sz="4" w:space="0" w:color="auto"/>
            </w:tcBorders>
            <w:shd w:val="pct25" w:color="FFFFFF" w:fill="FFFFFF"/>
            <w:noWrap/>
            <w:vAlign w:val="center"/>
          </w:tcPr>
          <w:p w:rsidR="000A7585" w:rsidRPr="00AE6EDB" w:rsidRDefault="00AC44CB" w:rsidP="00DE0EEC">
            <w:pPr>
              <w:ind w:right="213"/>
              <w:jc w:val="right"/>
            </w:pPr>
            <w:r>
              <w:t>6 9</w:t>
            </w:r>
            <w:r w:rsidR="000A7585" w:rsidRPr="00AE6EDB">
              <w:t>60</w:t>
            </w:r>
          </w:p>
        </w:tc>
        <w:tc>
          <w:tcPr>
            <w:tcW w:w="1794" w:type="dxa"/>
            <w:tcBorders>
              <w:left w:val="single" w:sz="4" w:space="0" w:color="auto"/>
              <w:right w:val="single" w:sz="4" w:space="0" w:color="auto"/>
            </w:tcBorders>
            <w:shd w:val="pct25" w:color="FFFFFF" w:fill="FFFFFF"/>
            <w:noWrap/>
            <w:vAlign w:val="center"/>
          </w:tcPr>
          <w:p w:rsidR="000A7585" w:rsidRPr="00AE6EDB" w:rsidRDefault="000A7585" w:rsidP="00DE0EEC">
            <w:pPr>
              <w:ind w:right="213"/>
              <w:jc w:val="right"/>
              <w:rPr>
                <w:b/>
              </w:rPr>
            </w:pPr>
            <w:r w:rsidRPr="00AE6EDB">
              <w:rPr>
                <w:b/>
              </w:rPr>
              <w:t>1</w:t>
            </w:r>
            <w:r w:rsidR="0054295F">
              <w:rPr>
                <w:b/>
              </w:rPr>
              <w:t>2 8</w:t>
            </w:r>
            <w:r w:rsidRPr="00AE6EDB">
              <w:rPr>
                <w:b/>
              </w:rPr>
              <w:t>51</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 xml:space="preserve">55 </w:t>
            </w:r>
            <w:r w:rsidRPr="00AE6EDB">
              <w:rPr>
                <w:bCs/>
                <w:sz w:val="20"/>
                <w:szCs w:val="16"/>
              </w:rPr>
              <w:t>–</w:t>
            </w:r>
            <w:r w:rsidRPr="00AE6EDB">
              <w:rPr>
                <w:szCs w:val="22"/>
              </w:rPr>
              <w:t xml:space="preserve"> 59 rokov</w:t>
            </w:r>
          </w:p>
        </w:tc>
        <w:tc>
          <w:tcPr>
            <w:tcW w:w="1324"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6 1</w:t>
            </w:r>
            <w:r w:rsidR="000A7585" w:rsidRPr="00AE6EDB">
              <w:t>87</w:t>
            </w:r>
          </w:p>
        </w:tc>
        <w:tc>
          <w:tcPr>
            <w:tcW w:w="1276" w:type="dxa"/>
            <w:tcBorders>
              <w:left w:val="single" w:sz="4" w:space="0" w:color="auto"/>
              <w:right w:val="single" w:sz="4" w:space="0" w:color="auto"/>
            </w:tcBorders>
            <w:shd w:val="clear" w:color="auto" w:fill="auto"/>
            <w:noWrap/>
            <w:vAlign w:val="center"/>
          </w:tcPr>
          <w:p w:rsidR="000A7585" w:rsidRPr="00AE6EDB" w:rsidRDefault="00AC44CB" w:rsidP="00DE0EEC">
            <w:pPr>
              <w:ind w:right="213"/>
              <w:jc w:val="right"/>
            </w:pPr>
            <w:r>
              <w:t>7 2</w:t>
            </w:r>
            <w:r w:rsidR="000A7585" w:rsidRPr="00AE6EDB">
              <w:t>05</w:t>
            </w:r>
          </w:p>
        </w:tc>
        <w:tc>
          <w:tcPr>
            <w:tcW w:w="1794" w:type="dxa"/>
            <w:tcBorders>
              <w:left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w:t>
            </w:r>
            <w:r w:rsidR="0054295F">
              <w:rPr>
                <w:b/>
              </w:rPr>
              <w:t>3 3</w:t>
            </w:r>
            <w:r w:rsidRPr="00AE6EDB">
              <w:rPr>
                <w:b/>
              </w:rPr>
              <w:t>92</w:t>
            </w:r>
          </w:p>
        </w:tc>
      </w:tr>
      <w:tr w:rsidR="000A7585" w:rsidRPr="00AE6EDB" w:rsidTr="00DE0EEC">
        <w:trPr>
          <w:trHeight w:val="300"/>
        </w:trPr>
        <w:tc>
          <w:tcPr>
            <w:tcW w:w="1860" w:type="dxa"/>
            <w:tcBorders>
              <w:left w:val="single" w:sz="4" w:space="0" w:color="auto"/>
              <w:right w:val="single" w:sz="4" w:space="0" w:color="auto"/>
            </w:tcBorders>
            <w:shd w:val="clear" w:color="auto" w:fill="auto"/>
            <w:noWrap/>
            <w:vAlign w:val="bottom"/>
          </w:tcPr>
          <w:p w:rsidR="000A7585" w:rsidRPr="00AE6EDB" w:rsidRDefault="000A7585" w:rsidP="00DE0EEC">
            <w:r w:rsidRPr="00AE6EDB">
              <w:rPr>
                <w:szCs w:val="22"/>
              </w:rPr>
              <w:t>nad 60 rokov</w:t>
            </w:r>
          </w:p>
        </w:tc>
        <w:tc>
          <w:tcPr>
            <w:tcW w:w="1324" w:type="dxa"/>
            <w:tcBorders>
              <w:left w:val="single" w:sz="4" w:space="0" w:color="auto"/>
              <w:right w:val="single" w:sz="4" w:space="0" w:color="auto"/>
            </w:tcBorders>
            <w:shd w:val="pct25" w:color="FFFFFF" w:fill="FFFFFF"/>
            <w:noWrap/>
            <w:vAlign w:val="center"/>
          </w:tcPr>
          <w:p w:rsidR="000A7585" w:rsidRPr="00AE6EDB" w:rsidRDefault="0054295F" w:rsidP="00DE0EEC">
            <w:pPr>
              <w:ind w:right="213"/>
              <w:jc w:val="right"/>
            </w:pPr>
            <w:r>
              <w:t>3 1</w:t>
            </w:r>
            <w:r w:rsidR="000A7585" w:rsidRPr="00AE6EDB">
              <w:t>80</w:t>
            </w:r>
          </w:p>
        </w:tc>
        <w:tc>
          <w:tcPr>
            <w:tcW w:w="1276" w:type="dxa"/>
            <w:tcBorders>
              <w:left w:val="single" w:sz="4" w:space="0" w:color="auto"/>
              <w:right w:val="single" w:sz="4" w:space="0" w:color="auto"/>
            </w:tcBorders>
            <w:shd w:val="pct25" w:color="FFFFFF" w:fill="FFFFFF"/>
            <w:noWrap/>
            <w:vAlign w:val="center"/>
          </w:tcPr>
          <w:p w:rsidR="000A7585" w:rsidRPr="00AE6EDB" w:rsidRDefault="000A7585" w:rsidP="00DE0EEC">
            <w:pPr>
              <w:ind w:right="213"/>
              <w:jc w:val="right"/>
            </w:pPr>
            <w:r w:rsidRPr="00AE6EDB">
              <w:t>473</w:t>
            </w:r>
          </w:p>
        </w:tc>
        <w:tc>
          <w:tcPr>
            <w:tcW w:w="1794" w:type="dxa"/>
            <w:tcBorders>
              <w:left w:val="single" w:sz="4" w:space="0" w:color="auto"/>
              <w:right w:val="single" w:sz="4" w:space="0" w:color="auto"/>
            </w:tcBorders>
            <w:shd w:val="pct25" w:color="FFFFFF" w:fill="FFFFFF"/>
            <w:noWrap/>
            <w:vAlign w:val="center"/>
          </w:tcPr>
          <w:p w:rsidR="000A7585" w:rsidRPr="00AE6EDB" w:rsidRDefault="0054295F" w:rsidP="00DE0EEC">
            <w:pPr>
              <w:ind w:right="213"/>
              <w:jc w:val="right"/>
              <w:rPr>
                <w:b/>
              </w:rPr>
            </w:pPr>
            <w:r>
              <w:rPr>
                <w:b/>
              </w:rPr>
              <w:t>3 6</w:t>
            </w:r>
            <w:r w:rsidR="000A7585" w:rsidRPr="00AE6EDB">
              <w:rPr>
                <w:b/>
              </w:rPr>
              <w:t>53</w:t>
            </w:r>
          </w:p>
        </w:tc>
      </w:tr>
      <w:tr w:rsidR="000A7585" w:rsidRPr="00AE6EDB" w:rsidTr="00DE0EEC">
        <w:trPr>
          <w:trHeight w:val="315"/>
        </w:trPr>
        <w:tc>
          <w:tcPr>
            <w:tcW w:w="1860" w:type="dxa"/>
            <w:tcBorders>
              <w:left w:val="single" w:sz="4" w:space="0" w:color="auto"/>
              <w:bottom w:val="single" w:sz="4" w:space="0" w:color="auto"/>
              <w:right w:val="single" w:sz="4" w:space="0" w:color="auto"/>
            </w:tcBorders>
            <w:shd w:val="clear" w:color="auto" w:fill="auto"/>
            <w:noWrap/>
            <w:vAlign w:val="bottom"/>
          </w:tcPr>
          <w:p w:rsidR="000A7585" w:rsidRPr="00AE6EDB" w:rsidRDefault="000A7585" w:rsidP="00DE0EEC">
            <w:r w:rsidRPr="00AE6EDB">
              <w:rPr>
                <w:szCs w:val="22"/>
              </w:rPr>
              <w:t>nezistené</w:t>
            </w:r>
          </w:p>
        </w:tc>
        <w:tc>
          <w:tcPr>
            <w:tcW w:w="1324" w:type="dxa"/>
            <w:tcBorders>
              <w:left w:val="single" w:sz="4" w:space="0" w:color="auto"/>
              <w:bottom w:val="single" w:sz="4" w:space="0" w:color="auto"/>
              <w:right w:val="single" w:sz="4" w:space="0" w:color="auto"/>
            </w:tcBorders>
            <w:shd w:val="pct25" w:color="FFFFFF" w:fill="FFFFFF"/>
            <w:noWrap/>
            <w:vAlign w:val="center"/>
          </w:tcPr>
          <w:p w:rsidR="000A7585" w:rsidRPr="00AE6EDB" w:rsidRDefault="000A7585" w:rsidP="00DE0EEC">
            <w:pPr>
              <w:ind w:right="213"/>
              <w:jc w:val="right"/>
            </w:pPr>
            <w:r w:rsidRPr="00AE6EDB">
              <w:t>48</w:t>
            </w:r>
          </w:p>
        </w:tc>
        <w:tc>
          <w:tcPr>
            <w:tcW w:w="1276" w:type="dxa"/>
            <w:tcBorders>
              <w:left w:val="single" w:sz="4" w:space="0" w:color="auto"/>
              <w:bottom w:val="single" w:sz="4" w:space="0" w:color="auto"/>
              <w:right w:val="single" w:sz="4" w:space="0" w:color="auto"/>
            </w:tcBorders>
            <w:shd w:val="pct25" w:color="FFFFFF" w:fill="FFFFFF"/>
            <w:noWrap/>
            <w:vAlign w:val="center"/>
          </w:tcPr>
          <w:p w:rsidR="000A7585" w:rsidRPr="00AE6EDB" w:rsidRDefault="000A7585" w:rsidP="00DE0EEC">
            <w:pPr>
              <w:ind w:right="213"/>
              <w:jc w:val="right"/>
            </w:pPr>
            <w:r w:rsidRPr="00AE6EDB">
              <w:t>38</w:t>
            </w:r>
          </w:p>
        </w:tc>
        <w:tc>
          <w:tcPr>
            <w:tcW w:w="1794" w:type="dxa"/>
            <w:tcBorders>
              <w:left w:val="single" w:sz="4" w:space="0" w:color="auto"/>
              <w:bottom w:val="single" w:sz="4" w:space="0" w:color="auto"/>
              <w:right w:val="single" w:sz="4" w:space="0" w:color="auto"/>
            </w:tcBorders>
            <w:shd w:val="pct25" w:color="FFFFFF" w:fill="FFFFFF"/>
            <w:noWrap/>
            <w:vAlign w:val="center"/>
          </w:tcPr>
          <w:p w:rsidR="000A7585" w:rsidRPr="00AE6EDB" w:rsidRDefault="000A7585" w:rsidP="00DE0EEC">
            <w:pPr>
              <w:ind w:right="213"/>
              <w:jc w:val="right"/>
              <w:rPr>
                <w:b/>
              </w:rPr>
            </w:pPr>
            <w:r w:rsidRPr="00AE6EDB">
              <w:rPr>
                <w:b/>
              </w:rPr>
              <w:t>86</w:t>
            </w:r>
          </w:p>
        </w:tc>
      </w:tr>
      <w:tr w:rsidR="000A7585" w:rsidRPr="00AE6EDB" w:rsidTr="00DE0EEC">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0A7585" w:rsidP="00DE0EEC">
            <w:pPr>
              <w:rPr>
                <w:b/>
                <w:bCs/>
              </w:rPr>
            </w:pPr>
            <w:r w:rsidRPr="00AE6EDB">
              <w:rPr>
                <w:b/>
                <w:bCs/>
                <w:szCs w:val="22"/>
              </w:rPr>
              <w:t>Spolu</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5</w:t>
            </w:r>
            <w:r w:rsidR="00AC44CB">
              <w:rPr>
                <w:b/>
              </w:rPr>
              <w:t>9 2</w:t>
            </w:r>
            <w:r w:rsidRPr="00AE6EDB">
              <w:rPr>
                <w:b/>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6</w:t>
            </w:r>
            <w:r w:rsidR="0054295F">
              <w:rPr>
                <w:b/>
              </w:rPr>
              <w:t>1 4</w:t>
            </w:r>
            <w:r w:rsidRPr="00AE6EDB">
              <w:rPr>
                <w:b/>
              </w:rPr>
              <w:t>53</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85" w:rsidRPr="00AE6EDB" w:rsidRDefault="000A7585" w:rsidP="00DE0EEC">
            <w:pPr>
              <w:ind w:right="213"/>
              <w:jc w:val="right"/>
              <w:rPr>
                <w:b/>
              </w:rPr>
            </w:pPr>
            <w:r w:rsidRPr="00AE6EDB">
              <w:rPr>
                <w:b/>
              </w:rPr>
              <w:t>12</w:t>
            </w:r>
            <w:r w:rsidR="0054295F">
              <w:rPr>
                <w:b/>
              </w:rPr>
              <w:t>0 6</w:t>
            </w:r>
            <w:r w:rsidRPr="00AE6EDB">
              <w:rPr>
                <w:b/>
              </w:rPr>
              <w:t>63</w:t>
            </w:r>
          </w:p>
        </w:tc>
      </w:tr>
    </w:tbl>
    <w:p w:rsidR="000A7585" w:rsidRPr="00AE6EDB" w:rsidRDefault="000A7585" w:rsidP="000A7585">
      <w:pPr>
        <w:pStyle w:val="zdroj"/>
        <w:ind w:firstLine="1418"/>
      </w:pPr>
      <w:r w:rsidRPr="00AE6EDB">
        <w:t>Zdroj : Sociálna poisťovňa</w:t>
      </w:r>
    </w:p>
    <w:p w:rsidR="000A7585" w:rsidRPr="00AE6EDB" w:rsidRDefault="000A7585" w:rsidP="000A7585">
      <w:pPr>
        <w:pStyle w:val="zdroj"/>
        <w:spacing w:before="0" w:after="0"/>
        <w:ind w:firstLine="573"/>
        <w:rPr>
          <w:color w:val="auto"/>
          <w:highlight w:val="cyan"/>
        </w:rPr>
      </w:pPr>
    </w:p>
    <w:p w:rsidR="000A7585" w:rsidRPr="00AE6EDB" w:rsidRDefault="000A7585" w:rsidP="000A7585">
      <w:pPr>
        <w:pStyle w:val="Nadpis7"/>
      </w:pPr>
      <w:r w:rsidRPr="00AE6EDB">
        <w:t>Graf 1 Rozdelenie sporiteľov v II. pilieri podľa veku k 31. 12. 2015</w:t>
      </w:r>
    </w:p>
    <w:p w:rsidR="000A7585" w:rsidRPr="00AE6EDB" w:rsidRDefault="000A7585" w:rsidP="000A7585">
      <w:pPr>
        <w:jc w:val="right"/>
        <w:rPr>
          <w:lang w:eastAsia="cs-CZ"/>
        </w:rPr>
      </w:pPr>
      <w:r w:rsidRPr="00AE6EDB">
        <w:rPr>
          <w:rFonts w:ascii="Arial Narrow" w:hAnsi="Arial Narrow"/>
          <w:b/>
          <w:noProof/>
          <w:sz w:val="20"/>
          <w:szCs w:val="20"/>
        </w:rPr>
        <w:drawing>
          <wp:inline distT="0" distB="0" distL="0" distR="0" wp14:anchorId="6F102061" wp14:editId="58B70CAB">
            <wp:extent cx="5380074" cy="1977656"/>
            <wp:effectExtent l="0" t="0" r="0" b="381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A7585" w:rsidRPr="00AE6EDB" w:rsidRDefault="000A7585" w:rsidP="000A7585">
      <w:pPr>
        <w:pStyle w:val="zdroj"/>
        <w:ind w:firstLine="851"/>
        <w:jc w:val="left"/>
        <w:rPr>
          <w:noProof/>
          <w:color w:val="auto"/>
        </w:rPr>
      </w:pPr>
      <w:r w:rsidRPr="00AE6EDB">
        <w:rPr>
          <w:color w:val="auto"/>
        </w:rPr>
        <w:t xml:space="preserve">Zdroj : Sociálna poisťovňa ; </w:t>
      </w:r>
      <w:r w:rsidRPr="00AE6EDB">
        <w:rPr>
          <w:noProof/>
          <w:color w:val="auto"/>
        </w:rPr>
        <w:t>spracovanie: MPSVR SR</w:t>
      </w:r>
    </w:p>
    <w:p w:rsidR="000A7585" w:rsidRPr="00AE6EDB" w:rsidRDefault="000A7585" w:rsidP="000A7585">
      <w:pPr>
        <w:pStyle w:val="Nadpis7"/>
        <w:rPr>
          <w:noProof/>
        </w:rPr>
      </w:pPr>
      <w:r w:rsidRPr="00AE6EDB">
        <w:rPr>
          <w:noProof/>
        </w:rPr>
        <w:t>Graf 2 Veková štruktúra sporiteľov v II. pilieri k 31. 12. 2015</w:t>
      </w:r>
    </w:p>
    <w:p w:rsidR="000A7585" w:rsidRPr="00AE6EDB" w:rsidRDefault="000A7585" w:rsidP="000A7585">
      <w:pPr>
        <w:rPr>
          <w:lang w:eastAsia="cs-CZ"/>
        </w:rPr>
      </w:pPr>
      <w:r w:rsidRPr="00AE6EDB">
        <w:rPr>
          <w:b/>
          <w:noProof/>
          <w:szCs w:val="22"/>
        </w:rPr>
        <w:drawing>
          <wp:inline distT="0" distB="0" distL="0" distR="0" wp14:anchorId="016DD776" wp14:editId="6DEF8D73">
            <wp:extent cx="5114261" cy="2158409"/>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A7585" w:rsidRPr="00AE6EDB" w:rsidRDefault="000A7585" w:rsidP="000A7585">
      <w:pPr>
        <w:pStyle w:val="zdroj"/>
        <w:ind w:firstLine="993"/>
        <w:rPr>
          <w:b/>
          <w:szCs w:val="22"/>
          <w:lang w:eastAsia="cs-CZ"/>
        </w:rPr>
      </w:pPr>
      <w:r w:rsidRPr="00AE6EDB">
        <w:rPr>
          <w:color w:val="auto"/>
        </w:rPr>
        <w:t xml:space="preserve">Zdroj : Sociálna poisťovňa ; </w:t>
      </w:r>
      <w:r w:rsidRPr="00AE6EDB">
        <w:rPr>
          <w:noProof/>
          <w:color w:val="auto"/>
        </w:rPr>
        <w:t>spracovanie: MPSVR SR</w:t>
      </w:r>
    </w:p>
    <w:p w:rsidR="000A7585" w:rsidRPr="00AE6EDB" w:rsidRDefault="000A7585" w:rsidP="000A7585">
      <w:pPr>
        <w:pStyle w:val="Nadpis7"/>
        <w:rPr>
          <w:rFonts w:eastAsia="Calibri"/>
        </w:rPr>
      </w:pPr>
      <w:r w:rsidRPr="00AE6EDB">
        <w:rPr>
          <w:rFonts w:eastAsia="Calibri"/>
        </w:rPr>
        <w:t>Tabuľka 12</w:t>
      </w:r>
      <w:r w:rsidRPr="00AE6EDB">
        <w:rPr>
          <w:rFonts w:eastAsia="Calibri"/>
          <w:i/>
          <w:iCs/>
        </w:rPr>
        <w:t xml:space="preserve"> </w:t>
      </w:r>
      <w:r w:rsidRPr="00AE6EDB">
        <w:rPr>
          <w:rFonts w:eastAsia="Calibri"/>
        </w:rPr>
        <w:t>Vývoj počtu poberateľov resocializačného príspevku v rok</w:t>
      </w:r>
      <w:r w:rsidR="000C264A" w:rsidRPr="00AE6EDB">
        <w:rPr>
          <w:rFonts w:eastAsia="Calibri"/>
        </w:rPr>
        <w:t>och</w:t>
      </w:r>
      <w:r w:rsidRPr="00AE6EDB">
        <w:rPr>
          <w:rFonts w:eastAsia="Calibri"/>
        </w:rPr>
        <w:t xml:space="preserve"> 2014 a 2015</w:t>
      </w:r>
    </w:p>
    <w:tbl>
      <w:tblPr>
        <w:tblW w:w="978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4"/>
        <w:gridCol w:w="568"/>
        <w:gridCol w:w="568"/>
        <w:gridCol w:w="567"/>
        <w:gridCol w:w="567"/>
        <w:gridCol w:w="567"/>
        <w:gridCol w:w="567"/>
        <w:gridCol w:w="567"/>
        <w:gridCol w:w="709"/>
        <w:gridCol w:w="567"/>
        <w:gridCol w:w="567"/>
        <w:gridCol w:w="567"/>
        <w:gridCol w:w="567"/>
        <w:gridCol w:w="962"/>
      </w:tblGrid>
      <w:tr w:rsidR="000A7585" w:rsidRPr="00AE6EDB" w:rsidTr="00DE0EEC">
        <w:trPr>
          <w:trHeight w:val="683"/>
        </w:trPr>
        <w:tc>
          <w:tcPr>
            <w:tcW w:w="1874"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rPr>
            </w:pPr>
            <w:r w:rsidRPr="00AE6EDB">
              <w:rPr>
                <w:rFonts w:eastAsia="Calibri"/>
                <w:b/>
                <w:bCs/>
              </w:rPr>
              <w:t>mesiac</w:t>
            </w:r>
          </w:p>
        </w:tc>
        <w:tc>
          <w:tcPr>
            <w:tcW w:w="568"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I.</w:t>
            </w:r>
          </w:p>
        </w:tc>
        <w:tc>
          <w:tcPr>
            <w:tcW w:w="568"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II</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III.</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IV.</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V.</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VI.</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VII.</w:t>
            </w:r>
          </w:p>
        </w:tc>
        <w:tc>
          <w:tcPr>
            <w:tcW w:w="709"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VIII.</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IX.</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X.</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XI.</w:t>
            </w:r>
          </w:p>
        </w:tc>
        <w:tc>
          <w:tcPr>
            <w:tcW w:w="567"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XII.</w:t>
            </w:r>
          </w:p>
        </w:tc>
        <w:tc>
          <w:tcPr>
            <w:tcW w:w="962"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rPr>
            </w:pPr>
            <w:r w:rsidRPr="00AE6EDB">
              <w:rPr>
                <w:rFonts w:eastAsia="Calibri"/>
                <w:b/>
              </w:rPr>
              <w:t>SPOLU</w:t>
            </w:r>
          </w:p>
        </w:tc>
      </w:tr>
      <w:tr w:rsidR="000A7585" w:rsidRPr="00AE6EDB" w:rsidTr="00DE0EEC">
        <w:trPr>
          <w:trHeight w:val="545"/>
        </w:trPr>
        <w:tc>
          <w:tcPr>
            <w:tcW w:w="1874" w:type="dxa"/>
            <w:shd w:val="clear" w:color="auto" w:fill="auto"/>
            <w:vAlign w:val="center"/>
          </w:tcPr>
          <w:p w:rsidR="000A7585" w:rsidRPr="00AE6EDB" w:rsidRDefault="000A7585" w:rsidP="00DE0EEC">
            <w:pPr>
              <w:keepNext/>
              <w:autoSpaceDE w:val="0"/>
              <w:autoSpaceDN w:val="0"/>
              <w:ind w:right="75"/>
              <w:jc w:val="center"/>
              <w:rPr>
                <w:rFonts w:eastAsia="Calibri"/>
                <w:bCs/>
              </w:rPr>
            </w:pPr>
            <w:r w:rsidRPr="00AE6EDB">
              <w:rPr>
                <w:rFonts w:eastAsia="Calibri"/>
                <w:bCs/>
              </w:rPr>
              <w:t>počet poberateľov</w:t>
            </w:r>
          </w:p>
          <w:p w:rsidR="000A7585" w:rsidRPr="00AE6EDB" w:rsidRDefault="000A7585" w:rsidP="00421822">
            <w:pPr>
              <w:keepNext/>
              <w:autoSpaceDE w:val="0"/>
              <w:autoSpaceDN w:val="0"/>
              <w:ind w:right="75"/>
              <w:jc w:val="center"/>
              <w:rPr>
                <w:rFonts w:eastAsia="Calibri"/>
                <w:bCs/>
              </w:rPr>
            </w:pPr>
            <w:r w:rsidRPr="00AE6EDB">
              <w:rPr>
                <w:rFonts w:eastAsia="Calibri"/>
                <w:bCs/>
              </w:rPr>
              <w:t>2014</w:t>
            </w:r>
          </w:p>
        </w:tc>
        <w:tc>
          <w:tcPr>
            <w:tcW w:w="568" w:type="dxa"/>
            <w:shd w:val="clear" w:color="auto" w:fill="auto"/>
            <w:vAlign w:val="center"/>
          </w:tcPr>
          <w:p w:rsidR="000A7585" w:rsidRPr="00AE6EDB" w:rsidRDefault="00421822" w:rsidP="00DE0EEC">
            <w:pPr>
              <w:jc w:val="center"/>
              <w:rPr>
                <w:color w:val="000000"/>
              </w:rPr>
            </w:pPr>
            <w:r w:rsidRPr="00AE6EDB">
              <w:rPr>
                <w:color w:val="000000"/>
              </w:rPr>
              <w:t>232</w:t>
            </w:r>
          </w:p>
        </w:tc>
        <w:tc>
          <w:tcPr>
            <w:tcW w:w="568" w:type="dxa"/>
            <w:shd w:val="clear" w:color="auto" w:fill="auto"/>
            <w:vAlign w:val="center"/>
          </w:tcPr>
          <w:p w:rsidR="000A7585" w:rsidRPr="00AE6EDB" w:rsidRDefault="00421822" w:rsidP="00DE0EEC">
            <w:pPr>
              <w:jc w:val="center"/>
              <w:rPr>
                <w:color w:val="000000"/>
              </w:rPr>
            </w:pPr>
            <w:r w:rsidRPr="00AE6EDB">
              <w:rPr>
                <w:color w:val="000000"/>
              </w:rPr>
              <w:t>210</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224</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219</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235</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202</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267</w:t>
            </w:r>
          </w:p>
        </w:tc>
        <w:tc>
          <w:tcPr>
            <w:tcW w:w="709" w:type="dxa"/>
            <w:shd w:val="clear" w:color="auto" w:fill="auto"/>
            <w:vAlign w:val="center"/>
          </w:tcPr>
          <w:p w:rsidR="000A7585" w:rsidRPr="00AE6EDB" w:rsidRDefault="00421822" w:rsidP="00DE0EEC">
            <w:pPr>
              <w:jc w:val="center"/>
              <w:rPr>
                <w:color w:val="000000"/>
              </w:rPr>
            </w:pPr>
            <w:r w:rsidRPr="00AE6EDB">
              <w:rPr>
                <w:color w:val="000000"/>
              </w:rPr>
              <w:t>178</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262</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263</w:t>
            </w:r>
          </w:p>
        </w:tc>
        <w:tc>
          <w:tcPr>
            <w:tcW w:w="567" w:type="dxa"/>
            <w:shd w:val="clear" w:color="auto" w:fill="auto"/>
            <w:vAlign w:val="center"/>
          </w:tcPr>
          <w:p w:rsidR="000A7585" w:rsidRPr="00AE6EDB" w:rsidRDefault="00421822" w:rsidP="00DE0EEC">
            <w:pPr>
              <w:jc w:val="center"/>
              <w:rPr>
                <w:color w:val="000000"/>
              </w:rPr>
            </w:pPr>
            <w:r w:rsidRPr="00AE6EDB">
              <w:rPr>
                <w:color w:val="000000"/>
              </w:rPr>
              <w:t>265</w:t>
            </w:r>
          </w:p>
        </w:tc>
        <w:tc>
          <w:tcPr>
            <w:tcW w:w="567" w:type="dxa"/>
            <w:shd w:val="clear" w:color="auto" w:fill="auto"/>
            <w:vAlign w:val="center"/>
          </w:tcPr>
          <w:p w:rsidR="000A7585" w:rsidRPr="00AE6EDB" w:rsidRDefault="00421822" w:rsidP="00DE0EEC">
            <w:pPr>
              <w:jc w:val="center"/>
              <w:rPr>
                <w:color w:val="000000"/>
              </w:rPr>
            </w:pPr>
            <w:r w:rsidRPr="00AE6EDB">
              <w:rPr>
                <w:color w:val="000000"/>
              </w:rPr>
              <w:t>325</w:t>
            </w:r>
          </w:p>
        </w:tc>
        <w:tc>
          <w:tcPr>
            <w:tcW w:w="962" w:type="dxa"/>
            <w:shd w:val="clear" w:color="auto" w:fill="auto"/>
            <w:vAlign w:val="center"/>
          </w:tcPr>
          <w:p w:rsidR="000A7585" w:rsidRPr="00AE6EDB" w:rsidRDefault="0054295F" w:rsidP="00DE0EEC">
            <w:pPr>
              <w:jc w:val="center"/>
              <w:rPr>
                <w:sz w:val="20"/>
                <w:szCs w:val="20"/>
              </w:rPr>
            </w:pPr>
            <w:r>
              <w:rPr>
                <w:sz w:val="20"/>
                <w:szCs w:val="20"/>
              </w:rPr>
              <w:t>2 8</w:t>
            </w:r>
            <w:r w:rsidR="00421822" w:rsidRPr="00AE6EDB">
              <w:rPr>
                <w:sz w:val="20"/>
                <w:szCs w:val="20"/>
              </w:rPr>
              <w:t>82</w:t>
            </w:r>
          </w:p>
        </w:tc>
      </w:tr>
      <w:tr w:rsidR="000A7585" w:rsidRPr="00AE6EDB" w:rsidTr="00DE0EEC">
        <w:trPr>
          <w:trHeight w:val="545"/>
        </w:trPr>
        <w:tc>
          <w:tcPr>
            <w:tcW w:w="1874" w:type="dxa"/>
            <w:shd w:val="clear" w:color="auto" w:fill="auto"/>
            <w:vAlign w:val="center"/>
          </w:tcPr>
          <w:p w:rsidR="000A7585" w:rsidRPr="00AE6EDB" w:rsidRDefault="000A7585" w:rsidP="00421822">
            <w:pPr>
              <w:keepNext/>
              <w:autoSpaceDE w:val="0"/>
              <w:autoSpaceDN w:val="0"/>
              <w:ind w:right="75"/>
              <w:jc w:val="center"/>
              <w:rPr>
                <w:rFonts w:eastAsia="Calibri"/>
                <w:bCs/>
              </w:rPr>
            </w:pPr>
            <w:r w:rsidRPr="00AE6EDB">
              <w:rPr>
                <w:rFonts w:eastAsia="Calibri"/>
                <w:bCs/>
              </w:rPr>
              <w:t>počet poberateľov 2015</w:t>
            </w:r>
          </w:p>
        </w:tc>
        <w:tc>
          <w:tcPr>
            <w:tcW w:w="568" w:type="dxa"/>
            <w:shd w:val="clear" w:color="auto" w:fill="auto"/>
            <w:vAlign w:val="center"/>
          </w:tcPr>
          <w:p w:rsidR="000A7585" w:rsidRPr="00AE6EDB" w:rsidRDefault="000A7585" w:rsidP="00DE0EEC">
            <w:pPr>
              <w:jc w:val="center"/>
              <w:rPr>
                <w:sz w:val="20"/>
                <w:szCs w:val="20"/>
              </w:rPr>
            </w:pPr>
            <w:r w:rsidRPr="00AE6EDB">
              <w:rPr>
                <w:sz w:val="20"/>
                <w:szCs w:val="20"/>
              </w:rPr>
              <w:t>218</w:t>
            </w:r>
          </w:p>
        </w:tc>
        <w:tc>
          <w:tcPr>
            <w:tcW w:w="568" w:type="dxa"/>
            <w:shd w:val="clear" w:color="auto" w:fill="auto"/>
            <w:vAlign w:val="center"/>
          </w:tcPr>
          <w:p w:rsidR="000A7585" w:rsidRPr="00AE6EDB" w:rsidRDefault="000A7585" w:rsidP="00DE0EEC">
            <w:pPr>
              <w:jc w:val="center"/>
              <w:rPr>
                <w:sz w:val="20"/>
                <w:szCs w:val="20"/>
              </w:rPr>
            </w:pPr>
            <w:r w:rsidRPr="00AE6EDB">
              <w:rPr>
                <w:sz w:val="20"/>
                <w:szCs w:val="20"/>
              </w:rPr>
              <w:t>287</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545</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292</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374</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273</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406</w:t>
            </w:r>
          </w:p>
        </w:tc>
        <w:tc>
          <w:tcPr>
            <w:tcW w:w="709" w:type="dxa"/>
            <w:shd w:val="clear" w:color="auto" w:fill="auto"/>
            <w:vAlign w:val="center"/>
          </w:tcPr>
          <w:p w:rsidR="000A7585" w:rsidRPr="00AE6EDB" w:rsidRDefault="000A7585" w:rsidP="00DE0EEC">
            <w:pPr>
              <w:jc w:val="center"/>
              <w:rPr>
                <w:sz w:val="20"/>
                <w:szCs w:val="20"/>
              </w:rPr>
            </w:pPr>
            <w:r w:rsidRPr="00AE6EDB">
              <w:rPr>
                <w:sz w:val="20"/>
                <w:szCs w:val="20"/>
              </w:rPr>
              <w:t>271</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253</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303</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324</w:t>
            </w:r>
          </w:p>
        </w:tc>
        <w:tc>
          <w:tcPr>
            <w:tcW w:w="567" w:type="dxa"/>
            <w:shd w:val="clear" w:color="auto" w:fill="auto"/>
            <w:vAlign w:val="center"/>
          </w:tcPr>
          <w:p w:rsidR="000A7585" w:rsidRPr="00AE6EDB" w:rsidRDefault="000A7585" w:rsidP="00DE0EEC">
            <w:pPr>
              <w:jc w:val="center"/>
              <w:rPr>
                <w:sz w:val="20"/>
                <w:szCs w:val="20"/>
              </w:rPr>
            </w:pPr>
            <w:r w:rsidRPr="00AE6EDB">
              <w:rPr>
                <w:sz w:val="20"/>
                <w:szCs w:val="20"/>
              </w:rPr>
              <w:t>324</w:t>
            </w:r>
          </w:p>
        </w:tc>
        <w:tc>
          <w:tcPr>
            <w:tcW w:w="962" w:type="dxa"/>
            <w:shd w:val="clear" w:color="auto" w:fill="auto"/>
            <w:vAlign w:val="center"/>
          </w:tcPr>
          <w:p w:rsidR="000A7585" w:rsidRPr="00AE6EDB" w:rsidRDefault="000A7585" w:rsidP="00DE0EEC">
            <w:pPr>
              <w:jc w:val="center"/>
              <w:rPr>
                <w:sz w:val="20"/>
                <w:szCs w:val="20"/>
              </w:rPr>
            </w:pPr>
          </w:p>
          <w:p w:rsidR="000A7585" w:rsidRPr="00AE6EDB" w:rsidRDefault="0054295F" w:rsidP="00DE0EEC">
            <w:pPr>
              <w:jc w:val="center"/>
              <w:rPr>
                <w:sz w:val="20"/>
                <w:szCs w:val="20"/>
              </w:rPr>
            </w:pPr>
            <w:r>
              <w:rPr>
                <w:sz w:val="20"/>
                <w:szCs w:val="20"/>
              </w:rPr>
              <w:t>3 8</w:t>
            </w:r>
            <w:r w:rsidR="000A7585" w:rsidRPr="00AE6EDB">
              <w:rPr>
                <w:sz w:val="20"/>
                <w:szCs w:val="20"/>
              </w:rPr>
              <w:t>70</w:t>
            </w:r>
          </w:p>
          <w:p w:rsidR="000A7585" w:rsidRPr="00AE6EDB" w:rsidRDefault="000A7585" w:rsidP="00DE0EEC">
            <w:pPr>
              <w:keepNext/>
              <w:autoSpaceDE w:val="0"/>
              <w:autoSpaceDN w:val="0"/>
              <w:ind w:right="75"/>
              <w:jc w:val="center"/>
              <w:rPr>
                <w:rFonts w:eastAsia="Calibri"/>
                <w:b/>
              </w:rPr>
            </w:pPr>
          </w:p>
        </w:tc>
      </w:tr>
    </w:tbl>
    <w:p w:rsidR="000A7585" w:rsidRPr="00AE6EDB" w:rsidRDefault="000A7585" w:rsidP="00421822">
      <w:pPr>
        <w:pStyle w:val="zdroj"/>
        <w:rPr>
          <w:rFonts w:eastAsia="Calibri"/>
          <w:color w:val="auto"/>
        </w:rPr>
      </w:pPr>
      <w:r w:rsidRPr="00AE6EDB">
        <w:rPr>
          <w:rFonts w:eastAsia="Calibri"/>
        </w:rPr>
        <w:t>Zdroj: RSD MIS</w:t>
      </w:r>
    </w:p>
    <w:p w:rsidR="000A7585" w:rsidRPr="00AE6EDB" w:rsidRDefault="000A7585" w:rsidP="000A7585">
      <w:pPr>
        <w:rPr>
          <w:rFonts w:eastAsia="Calibri"/>
          <w:bCs/>
          <w:sz w:val="24"/>
        </w:rPr>
      </w:pPr>
    </w:p>
    <w:p w:rsidR="000A7585" w:rsidRPr="00AE6EDB" w:rsidRDefault="000A7585" w:rsidP="000A7585">
      <w:pPr>
        <w:pStyle w:val="Nadpis7"/>
        <w:spacing w:before="120"/>
        <w:rPr>
          <w:rFonts w:eastAsia="Calibri"/>
        </w:rPr>
      </w:pPr>
      <w:r w:rsidRPr="00AE6EDB">
        <w:rPr>
          <w:rFonts w:eastAsia="Calibri"/>
        </w:rPr>
        <w:t xml:space="preserve">Tabuľka 13 Vývoj čerpania finančných prostriedkov na resocializačný príspevok </w:t>
      </w:r>
      <w:r w:rsidRPr="00AE6EDB">
        <w:rPr>
          <w:rFonts w:eastAsia="Calibri"/>
        </w:rPr>
        <w:br/>
        <w:t>za roky 2014 a 2015 (v €)</w:t>
      </w:r>
    </w:p>
    <w:tbl>
      <w:tblPr>
        <w:tblW w:w="10305"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6"/>
        <w:gridCol w:w="695"/>
        <w:gridCol w:w="694"/>
        <w:gridCol w:w="795"/>
        <w:gridCol w:w="721"/>
        <w:gridCol w:w="616"/>
        <w:gridCol w:w="695"/>
        <w:gridCol w:w="695"/>
        <w:gridCol w:w="694"/>
        <w:gridCol w:w="695"/>
        <w:gridCol w:w="695"/>
        <w:gridCol w:w="695"/>
        <w:gridCol w:w="694"/>
        <w:gridCol w:w="815"/>
      </w:tblGrid>
      <w:tr w:rsidR="000A7585" w:rsidRPr="00AE6EDB" w:rsidTr="00DE0EEC">
        <w:trPr>
          <w:trHeight w:val="558"/>
        </w:trPr>
        <w:tc>
          <w:tcPr>
            <w:tcW w:w="1106" w:type="dxa"/>
            <w:shd w:val="clear" w:color="auto" w:fill="FF9999" w:themeFill="accent3" w:themeFillTint="66"/>
            <w:vAlign w:val="center"/>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mesiac</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I.</w:t>
            </w:r>
          </w:p>
        </w:tc>
        <w:tc>
          <w:tcPr>
            <w:tcW w:w="694"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II.</w:t>
            </w:r>
          </w:p>
        </w:tc>
        <w:tc>
          <w:tcPr>
            <w:tcW w:w="7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III.</w:t>
            </w:r>
          </w:p>
        </w:tc>
        <w:tc>
          <w:tcPr>
            <w:tcW w:w="721"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IV.</w:t>
            </w:r>
          </w:p>
        </w:tc>
        <w:tc>
          <w:tcPr>
            <w:tcW w:w="616"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V.</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VI.</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VII.</w:t>
            </w:r>
          </w:p>
        </w:tc>
        <w:tc>
          <w:tcPr>
            <w:tcW w:w="694"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VIII.</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IX.</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X.</w:t>
            </w:r>
          </w:p>
        </w:tc>
        <w:tc>
          <w:tcPr>
            <w:tcW w:w="69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XI.</w:t>
            </w:r>
          </w:p>
        </w:tc>
        <w:tc>
          <w:tcPr>
            <w:tcW w:w="694"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XII.</w:t>
            </w:r>
          </w:p>
        </w:tc>
        <w:tc>
          <w:tcPr>
            <w:tcW w:w="815" w:type="dxa"/>
            <w:shd w:val="clear" w:color="auto" w:fill="FF9999" w:themeFill="accent3" w:themeFillTint="66"/>
            <w:vAlign w:val="center"/>
            <w:hideMark/>
          </w:tcPr>
          <w:p w:rsidR="000A7585" w:rsidRPr="00AE6EDB" w:rsidRDefault="000A7585" w:rsidP="00DE0EEC">
            <w:pPr>
              <w:keepNext/>
              <w:autoSpaceDE w:val="0"/>
              <w:autoSpaceDN w:val="0"/>
              <w:ind w:right="75"/>
              <w:jc w:val="center"/>
              <w:rPr>
                <w:rFonts w:eastAsia="Calibri"/>
                <w:b/>
                <w:bCs/>
                <w:sz w:val="20"/>
                <w:szCs w:val="20"/>
              </w:rPr>
            </w:pPr>
            <w:r w:rsidRPr="00AE6EDB">
              <w:rPr>
                <w:rFonts w:eastAsia="Calibri"/>
                <w:b/>
                <w:bCs/>
                <w:sz w:val="20"/>
                <w:szCs w:val="20"/>
              </w:rPr>
              <w:t>SPOLU</w:t>
            </w:r>
          </w:p>
        </w:tc>
      </w:tr>
      <w:tr w:rsidR="000A7585" w:rsidRPr="00AE6EDB" w:rsidTr="00DE0EEC">
        <w:trPr>
          <w:trHeight w:val="937"/>
        </w:trPr>
        <w:tc>
          <w:tcPr>
            <w:tcW w:w="1106" w:type="dxa"/>
            <w:shd w:val="clear" w:color="auto" w:fill="auto"/>
            <w:vAlign w:val="center"/>
          </w:tcPr>
          <w:p w:rsidR="000A7585" w:rsidRPr="00AE6EDB" w:rsidRDefault="000A7585" w:rsidP="00421822">
            <w:pPr>
              <w:keepNext/>
              <w:autoSpaceDE w:val="0"/>
              <w:autoSpaceDN w:val="0"/>
              <w:ind w:right="75"/>
              <w:jc w:val="center"/>
              <w:rPr>
                <w:rFonts w:eastAsia="Calibri"/>
                <w:bCs/>
                <w:sz w:val="20"/>
                <w:szCs w:val="20"/>
              </w:rPr>
            </w:pPr>
            <w:r w:rsidRPr="00AE6EDB">
              <w:rPr>
                <w:rFonts w:eastAsia="Calibri"/>
                <w:bCs/>
                <w:sz w:val="20"/>
                <w:szCs w:val="20"/>
              </w:rPr>
              <w:t>výška finančných prostriedkov 2014</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2 7</w:t>
            </w:r>
            <w:r w:rsidRPr="00AE6EDB">
              <w:rPr>
                <w:color w:val="000000"/>
                <w:sz w:val="18"/>
                <w:szCs w:val="18"/>
              </w:rPr>
              <w:t>14</w:t>
            </w:r>
          </w:p>
        </w:tc>
        <w:tc>
          <w:tcPr>
            <w:tcW w:w="694"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1 6</w:t>
            </w:r>
            <w:r w:rsidRPr="00AE6EDB">
              <w:rPr>
                <w:color w:val="000000"/>
                <w:sz w:val="18"/>
                <w:szCs w:val="18"/>
              </w:rPr>
              <w:t>98</w:t>
            </w:r>
          </w:p>
        </w:tc>
        <w:tc>
          <w:tcPr>
            <w:tcW w:w="7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2 2</w:t>
            </w:r>
            <w:r w:rsidRPr="00AE6EDB">
              <w:rPr>
                <w:color w:val="000000"/>
                <w:sz w:val="18"/>
                <w:szCs w:val="18"/>
              </w:rPr>
              <w:t>09</w:t>
            </w:r>
          </w:p>
        </w:tc>
        <w:tc>
          <w:tcPr>
            <w:tcW w:w="721"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2 3</w:t>
            </w:r>
            <w:r w:rsidRPr="00AE6EDB">
              <w:rPr>
                <w:color w:val="000000"/>
                <w:sz w:val="18"/>
                <w:szCs w:val="18"/>
              </w:rPr>
              <w:t>89</w:t>
            </w:r>
          </w:p>
        </w:tc>
        <w:tc>
          <w:tcPr>
            <w:tcW w:w="616"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3 1</w:t>
            </w:r>
            <w:r w:rsidRPr="00AE6EDB">
              <w:rPr>
                <w:color w:val="000000"/>
                <w:sz w:val="18"/>
                <w:szCs w:val="18"/>
              </w:rPr>
              <w:t>76</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1 3</w:t>
            </w:r>
            <w:r w:rsidRPr="00AE6EDB">
              <w:rPr>
                <w:color w:val="000000"/>
                <w:sz w:val="18"/>
                <w:szCs w:val="18"/>
              </w:rPr>
              <w:t>36</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AC44CB">
              <w:rPr>
                <w:color w:val="000000"/>
                <w:sz w:val="18"/>
                <w:szCs w:val="18"/>
              </w:rPr>
              <w:t>5 9</w:t>
            </w:r>
            <w:r w:rsidRPr="00AE6EDB">
              <w:rPr>
                <w:color w:val="000000"/>
                <w:sz w:val="18"/>
                <w:szCs w:val="18"/>
              </w:rPr>
              <w:t>97</w:t>
            </w:r>
          </w:p>
        </w:tc>
        <w:tc>
          <w:tcPr>
            <w:tcW w:w="694" w:type="dxa"/>
            <w:shd w:val="clear" w:color="auto" w:fill="auto"/>
            <w:vAlign w:val="center"/>
          </w:tcPr>
          <w:p w:rsidR="000A7585" w:rsidRPr="00AE6EDB" w:rsidRDefault="00AC44CB" w:rsidP="00DE0EEC">
            <w:pPr>
              <w:jc w:val="center"/>
              <w:rPr>
                <w:color w:val="000000"/>
                <w:sz w:val="18"/>
                <w:szCs w:val="18"/>
              </w:rPr>
            </w:pPr>
            <w:r>
              <w:rPr>
                <w:color w:val="000000"/>
                <w:sz w:val="18"/>
                <w:szCs w:val="18"/>
              </w:rPr>
              <w:t>9 6</w:t>
            </w:r>
            <w:r w:rsidR="00421822" w:rsidRPr="00AE6EDB">
              <w:rPr>
                <w:color w:val="000000"/>
                <w:sz w:val="18"/>
                <w:szCs w:val="18"/>
              </w:rPr>
              <w:t>54</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AC44CB">
              <w:rPr>
                <w:color w:val="000000"/>
                <w:sz w:val="18"/>
                <w:szCs w:val="18"/>
              </w:rPr>
              <w:t>4 9</w:t>
            </w:r>
            <w:r w:rsidRPr="00AE6EDB">
              <w:rPr>
                <w:color w:val="000000"/>
                <w:sz w:val="18"/>
                <w:szCs w:val="18"/>
              </w:rPr>
              <w:t>56</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54295F">
              <w:rPr>
                <w:color w:val="000000"/>
                <w:sz w:val="18"/>
                <w:szCs w:val="18"/>
              </w:rPr>
              <w:t>3 7</w:t>
            </w:r>
            <w:r w:rsidRPr="00AE6EDB">
              <w:rPr>
                <w:color w:val="000000"/>
                <w:sz w:val="18"/>
                <w:szCs w:val="18"/>
              </w:rPr>
              <w:t>93</w:t>
            </w:r>
          </w:p>
        </w:tc>
        <w:tc>
          <w:tcPr>
            <w:tcW w:w="695"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AC44CB">
              <w:rPr>
                <w:color w:val="000000"/>
                <w:sz w:val="18"/>
                <w:szCs w:val="18"/>
              </w:rPr>
              <w:t>5 0</w:t>
            </w:r>
            <w:r w:rsidRPr="00AE6EDB">
              <w:rPr>
                <w:color w:val="000000"/>
                <w:sz w:val="18"/>
                <w:szCs w:val="18"/>
              </w:rPr>
              <w:t>85</w:t>
            </w:r>
          </w:p>
        </w:tc>
        <w:tc>
          <w:tcPr>
            <w:tcW w:w="694" w:type="dxa"/>
            <w:shd w:val="clear" w:color="auto" w:fill="auto"/>
            <w:vAlign w:val="center"/>
          </w:tcPr>
          <w:p w:rsidR="000A7585" w:rsidRPr="00AE6EDB" w:rsidRDefault="00421822" w:rsidP="00DE0EEC">
            <w:pPr>
              <w:jc w:val="center"/>
              <w:rPr>
                <w:color w:val="000000"/>
                <w:sz w:val="18"/>
                <w:szCs w:val="18"/>
              </w:rPr>
            </w:pPr>
            <w:r w:rsidRPr="00AE6EDB">
              <w:rPr>
                <w:color w:val="000000"/>
                <w:sz w:val="18"/>
                <w:szCs w:val="18"/>
              </w:rPr>
              <w:t>1</w:t>
            </w:r>
            <w:r w:rsidR="00AC44CB">
              <w:rPr>
                <w:color w:val="000000"/>
                <w:sz w:val="18"/>
                <w:szCs w:val="18"/>
              </w:rPr>
              <w:t>9 4</w:t>
            </w:r>
            <w:r w:rsidRPr="00AE6EDB">
              <w:rPr>
                <w:color w:val="000000"/>
                <w:sz w:val="18"/>
                <w:szCs w:val="18"/>
              </w:rPr>
              <w:t>92</w:t>
            </w:r>
          </w:p>
        </w:tc>
        <w:tc>
          <w:tcPr>
            <w:tcW w:w="815" w:type="dxa"/>
            <w:shd w:val="clear" w:color="auto" w:fill="auto"/>
            <w:vAlign w:val="center"/>
          </w:tcPr>
          <w:p w:rsidR="000A7585" w:rsidRPr="00AE6EDB" w:rsidRDefault="00421822" w:rsidP="00DE0EEC">
            <w:pPr>
              <w:jc w:val="center"/>
              <w:rPr>
                <w:sz w:val="18"/>
                <w:szCs w:val="18"/>
              </w:rPr>
            </w:pPr>
            <w:r w:rsidRPr="00AE6EDB">
              <w:rPr>
                <w:sz w:val="18"/>
                <w:szCs w:val="18"/>
              </w:rPr>
              <w:t>16</w:t>
            </w:r>
            <w:r w:rsidR="0054295F">
              <w:rPr>
                <w:sz w:val="18"/>
                <w:szCs w:val="18"/>
              </w:rPr>
              <w:t>2 4</w:t>
            </w:r>
            <w:r w:rsidRPr="00AE6EDB">
              <w:rPr>
                <w:sz w:val="18"/>
                <w:szCs w:val="18"/>
              </w:rPr>
              <w:t>79</w:t>
            </w:r>
          </w:p>
        </w:tc>
      </w:tr>
      <w:tr w:rsidR="000A7585" w:rsidRPr="00AE6EDB" w:rsidTr="00DE0EEC">
        <w:trPr>
          <w:trHeight w:val="937"/>
        </w:trPr>
        <w:tc>
          <w:tcPr>
            <w:tcW w:w="1106" w:type="dxa"/>
            <w:shd w:val="clear" w:color="auto" w:fill="auto"/>
            <w:vAlign w:val="center"/>
          </w:tcPr>
          <w:p w:rsidR="000A7585" w:rsidRPr="00AE6EDB" w:rsidRDefault="000A7585" w:rsidP="00421822">
            <w:pPr>
              <w:keepNext/>
              <w:autoSpaceDE w:val="0"/>
              <w:autoSpaceDN w:val="0"/>
              <w:ind w:right="75"/>
              <w:jc w:val="center"/>
              <w:rPr>
                <w:rFonts w:eastAsia="Calibri"/>
                <w:bCs/>
                <w:sz w:val="20"/>
                <w:szCs w:val="20"/>
              </w:rPr>
            </w:pPr>
            <w:r w:rsidRPr="00AE6EDB">
              <w:rPr>
                <w:rFonts w:eastAsia="Calibri"/>
                <w:bCs/>
                <w:sz w:val="20"/>
                <w:szCs w:val="20"/>
              </w:rPr>
              <w:t>Výška finančných prostriedkov 2015</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1</w:t>
            </w:r>
            <w:r w:rsidR="0054295F">
              <w:rPr>
                <w:sz w:val="20"/>
                <w:szCs w:val="20"/>
              </w:rPr>
              <w:t>3 1</w:t>
            </w:r>
            <w:r w:rsidRPr="00AE6EDB">
              <w:rPr>
                <w:sz w:val="20"/>
                <w:szCs w:val="20"/>
              </w:rPr>
              <w:t>08</w:t>
            </w:r>
          </w:p>
        </w:tc>
        <w:tc>
          <w:tcPr>
            <w:tcW w:w="694"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6 5</w:t>
            </w:r>
            <w:r w:rsidRPr="00AE6EDB">
              <w:rPr>
                <w:sz w:val="20"/>
                <w:szCs w:val="20"/>
              </w:rPr>
              <w:t>14</w:t>
            </w:r>
          </w:p>
        </w:tc>
        <w:tc>
          <w:tcPr>
            <w:tcW w:w="795" w:type="dxa"/>
            <w:shd w:val="clear" w:color="auto" w:fill="auto"/>
            <w:vAlign w:val="center"/>
          </w:tcPr>
          <w:p w:rsidR="000A7585" w:rsidRPr="00AE6EDB" w:rsidRDefault="000A7585" w:rsidP="00DE0EEC">
            <w:pPr>
              <w:jc w:val="center"/>
              <w:rPr>
                <w:sz w:val="20"/>
                <w:szCs w:val="20"/>
              </w:rPr>
            </w:pPr>
            <w:r w:rsidRPr="00AE6EDB">
              <w:rPr>
                <w:sz w:val="20"/>
                <w:szCs w:val="20"/>
              </w:rPr>
              <w:t>3</w:t>
            </w:r>
            <w:r w:rsidR="0054295F">
              <w:rPr>
                <w:sz w:val="20"/>
                <w:szCs w:val="20"/>
              </w:rPr>
              <w:t>2 4</w:t>
            </w:r>
            <w:r w:rsidRPr="00AE6EDB">
              <w:rPr>
                <w:sz w:val="20"/>
                <w:szCs w:val="20"/>
              </w:rPr>
              <w:t>62</w:t>
            </w:r>
          </w:p>
        </w:tc>
        <w:tc>
          <w:tcPr>
            <w:tcW w:w="721"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6 3</w:t>
            </w:r>
            <w:r w:rsidRPr="00AE6EDB">
              <w:rPr>
                <w:sz w:val="20"/>
                <w:szCs w:val="20"/>
              </w:rPr>
              <w:t>23</w:t>
            </w:r>
          </w:p>
        </w:tc>
        <w:tc>
          <w:tcPr>
            <w:tcW w:w="616" w:type="dxa"/>
            <w:shd w:val="clear" w:color="auto" w:fill="auto"/>
            <w:vAlign w:val="center"/>
          </w:tcPr>
          <w:p w:rsidR="000A7585" w:rsidRPr="00AE6EDB" w:rsidRDefault="000A7585" w:rsidP="00DE0EEC">
            <w:pPr>
              <w:jc w:val="center"/>
              <w:rPr>
                <w:sz w:val="20"/>
                <w:szCs w:val="20"/>
              </w:rPr>
            </w:pPr>
            <w:r w:rsidRPr="00AE6EDB">
              <w:rPr>
                <w:sz w:val="20"/>
                <w:szCs w:val="20"/>
              </w:rPr>
              <w:t>2</w:t>
            </w:r>
            <w:r w:rsidR="0054295F">
              <w:rPr>
                <w:sz w:val="20"/>
                <w:szCs w:val="20"/>
              </w:rPr>
              <w:t>0 9</w:t>
            </w:r>
            <w:r w:rsidRPr="00AE6EDB">
              <w:rPr>
                <w:sz w:val="20"/>
                <w:szCs w:val="20"/>
              </w:rPr>
              <w:t>93</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1</w:t>
            </w:r>
            <w:r w:rsidR="0054295F">
              <w:rPr>
                <w:sz w:val="20"/>
                <w:szCs w:val="20"/>
              </w:rPr>
              <w:t>4 8</w:t>
            </w:r>
            <w:r w:rsidRPr="00AE6EDB">
              <w:rPr>
                <w:sz w:val="20"/>
                <w:szCs w:val="20"/>
              </w:rPr>
              <w:t>32</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2</w:t>
            </w:r>
            <w:r w:rsidR="0054295F">
              <w:rPr>
                <w:sz w:val="20"/>
                <w:szCs w:val="20"/>
              </w:rPr>
              <w:t>4 3</w:t>
            </w:r>
            <w:r w:rsidRPr="00AE6EDB">
              <w:rPr>
                <w:sz w:val="20"/>
                <w:szCs w:val="20"/>
              </w:rPr>
              <w:t>36</w:t>
            </w:r>
          </w:p>
        </w:tc>
        <w:tc>
          <w:tcPr>
            <w:tcW w:w="694"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5 2</w:t>
            </w:r>
            <w:r w:rsidRPr="00AE6EDB">
              <w:rPr>
                <w:sz w:val="20"/>
                <w:szCs w:val="20"/>
              </w:rPr>
              <w:t>85</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1</w:t>
            </w:r>
            <w:r w:rsidR="0054295F">
              <w:rPr>
                <w:sz w:val="20"/>
                <w:szCs w:val="20"/>
              </w:rPr>
              <w:t>4 6</w:t>
            </w:r>
            <w:r w:rsidRPr="00AE6EDB">
              <w:rPr>
                <w:sz w:val="20"/>
                <w:szCs w:val="20"/>
              </w:rPr>
              <w:t>55</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7 6</w:t>
            </w:r>
            <w:r w:rsidRPr="00AE6EDB">
              <w:rPr>
                <w:sz w:val="20"/>
                <w:szCs w:val="20"/>
              </w:rPr>
              <w:t>48</w:t>
            </w:r>
          </w:p>
        </w:tc>
        <w:tc>
          <w:tcPr>
            <w:tcW w:w="695"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9 1</w:t>
            </w:r>
            <w:r w:rsidRPr="00AE6EDB">
              <w:rPr>
                <w:sz w:val="20"/>
                <w:szCs w:val="20"/>
              </w:rPr>
              <w:t>57</w:t>
            </w:r>
          </w:p>
        </w:tc>
        <w:tc>
          <w:tcPr>
            <w:tcW w:w="694" w:type="dxa"/>
            <w:shd w:val="clear" w:color="auto" w:fill="auto"/>
            <w:vAlign w:val="center"/>
          </w:tcPr>
          <w:p w:rsidR="000A7585" w:rsidRPr="00AE6EDB" w:rsidRDefault="000A7585" w:rsidP="00DE0EEC">
            <w:pPr>
              <w:jc w:val="center"/>
              <w:rPr>
                <w:sz w:val="20"/>
                <w:szCs w:val="20"/>
              </w:rPr>
            </w:pPr>
            <w:r w:rsidRPr="00AE6EDB">
              <w:rPr>
                <w:sz w:val="20"/>
                <w:szCs w:val="20"/>
              </w:rPr>
              <w:t>1</w:t>
            </w:r>
            <w:r w:rsidR="00AC44CB">
              <w:rPr>
                <w:sz w:val="20"/>
                <w:szCs w:val="20"/>
              </w:rPr>
              <w:t>8 8</w:t>
            </w:r>
            <w:r w:rsidRPr="00AE6EDB">
              <w:rPr>
                <w:sz w:val="20"/>
                <w:szCs w:val="20"/>
              </w:rPr>
              <w:t>99</w:t>
            </w:r>
          </w:p>
        </w:tc>
        <w:tc>
          <w:tcPr>
            <w:tcW w:w="815" w:type="dxa"/>
            <w:shd w:val="clear" w:color="auto" w:fill="auto"/>
            <w:vAlign w:val="center"/>
          </w:tcPr>
          <w:p w:rsidR="000A7585" w:rsidRPr="00AE6EDB" w:rsidRDefault="000A7585" w:rsidP="00DE0EEC">
            <w:pPr>
              <w:jc w:val="center"/>
              <w:rPr>
                <w:sz w:val="18"/>
                <w:szCs w:val="18"/>
              </w:rPr>
            </w:pPr>
            <w:r w:rsidRPr="00AE6EDB">
              <w:rPr>
                <w:sz w:val="18"/>
                <w:szCs w:val="18"/>
              </w:rPr>
              <w:t>22</w:t>
            </w:r>
            <w:r w:rsidR="0054295F">
              <w:rPr>
                <w:sz w:val="18"/>
                <w:szCs w:val="18"/>
              </w:rPr>
              <w:t>4 2</w:t>
            </w:r>
            <w:r w:rsidRPr="00AE6EDB">
              <w:rPr>
                <w:sz w:val="18"/>
                <w:szCs w:val="18"/>
              </w:rPr>
              <w:t>13</w:t>
            </w:r>
          </w:p>
        </w:tc>
      </w:tr>
    </w:tbl>
    <w:p w:rsidR="000A7585" w:rsidRPr="00AE6EDB" w:rsidRDefault="000A7585" w:rsidP="00421822">
      <w:pPr>
        <w:pStyle w:val="zdroj"/>
        <w:rPr>
          <w:rFonts w:eastAsia="Calibri"/>
        </w:rPr>
      </w:pPr>
      <w:r w:rsidRPr="00AE6EDB">
        <w:rPr>
          <w:rFonts w:eastAsia="Calibri"/>
        </w:rPr>
        <w:t>Zdroj: RSD MIS</w:t>
      </w:r>
    </w:p>
    <w:p w:rsidR="000A7585" w:rsidRPr="00AE6EDB" w:rsidRDefault="000A7585" w:rsidP="000A7585"/>
    <w:p w:rsidR="000A7585" w:rsidRPr="00AE6EDB" w:rsidRDefault="000A7585" w:rsidP="000A7585">
      <w:pPr>
        <w:pStyle w:val="Nadpis7"/>
        <w:spacing w:before="120"/>
      </w:pPr>
      <w:r w:rsidRPr="00AE6EDB">
        <w:t>Tabuľka 14 Pomoc deťom týraným, sexuálne zneužívaným a šikanovaným v roku 2015</w:t>
      </w:r>
    </w:p>
    <w:tbl>
      <w:tblPr>
        <w:tblStyle w:val="Mkatabulky1"/>
        <w:tblW w:w="9189" w:type="dxa"/>
        <w:tblLook w:val="04A0" w:firstRow="1" w:lastRow="0" w:firstColumn="1" w:lastColumn="0" w:noHBand="0" w:noVBand="1"/>
      </w:tblPr>
      <w:tblGrid>
        <w:gridCol w:w="1342"/>
        <w:gridCol w:w="623"/>
        <w:gridCol w:w="1058"/>
        <w:gridCol w:w="937"/>
        <w:gridCol w:w="1145"/>
        <w:gridCol w:w="1316"/>
        <w:gridCol w:w="524"/>
        <w:gridCol w:w="1469"/>
        <w:gridCol w:w="775"/>
      </w:tblGrid>
      <w:tr w:rsidR="000A7585" w:rsidRPr="00AE6EDB" w:rsidTr="00DE0EEC">
        <w:trPr>
          <w:trHeight w:val="1413"/>
        </w:trPr>
        <w:tc>
          <w:tcPr>
            <w:tcW w:w="3023" w:type="dxa"/>
            <w:gridSpan w:val="3"/>
            <w:shd w:val="clear" w:color="auto" w:fill="FF9999" w:themeFill="accent3" w:themeFillTint="66"/>
            <w:vAlign w:val="center"/>
            <w:hideMark/>
          </w:tcPr>
          <w:p w:rsidR="000A7585" w:rsidRPr="00AE6EDB" w:rsidRDefault="000A7585" w:rsidP="00DE0EEC">
            <w:pPr>
              <w:jc w:val="center"/>
              <w:rPr>
                <w:b/>
                <w:bCs/>
              </w:rPr>
            </w:pPr>
            <w:r w:rsidRPr="00AE6EDB">
              <w:rPr>
                <w:b/>
                <w:bCs/>
              </w:rPr>
              <w:t>Pomoc deťom týraným, sexuálne zneužívaným a šikanovaným</w:t>
            </w:r>
          </w:p>
        </w:tc>
        <w:tc>
          <w:tcPr>
            <w:tcW w:w="937" w:type="dxa"/>
            <w:shd w:val="clear" w:color="auto" w:fill="FF9999" w:themeFill="accent3" w:themeFillTint="66"/>
            <w:vAlign w:val="center"/>
            <w:hideMark/>
          </w:tcPr>
          <w:p w:rsidR="000A7585" w:rsidRPr="00AE6EDB" w:rsidRDefault="000A7585" w:rsidP="00DE0EEC">
            <w:pPr>
              <w:jc w:val="center"/>
              <w:rPr>
                <w:b/>
              </w:rPr>
            </w:pPr>
            <w:r w:rsidRPr="00AE6EDB">
              <w:rPr>
                <w:b/>
              </w:rPr>
              <w:t>Fyzické týranie</w:t>
            </w:r>
          </w:p>
        </w:tc>
        <w:tc>
          <w:tcPr>
            <w:tcW w:w="1145" w:type="dxa"/>
            <w:shd w:val="clear" w:color="auto" w:fill="FF9999" w:themeFill="accent3" w:themeFillTint="66"/>
            <w:vAlign w:val="center"/>
            <w:hideMark/>
          </w:tcPr>
          <w:p w:rsidR="000A7585" w:rsidRPr="00AE6EDB" w:rsidRDefault="000A7585" w:rsidP="00DE0EEC">
            <w:pPr>
              <w:jc w:val="center"/>
              <w:rPr>
                <w:b/>
              </w:rPr>
            </w:pPr>
            <w:r w:rsidRPr="00AE6EDB">
              <w:rPr>
                <w:b/>
              </w:rPr>
              <w:t>Psychické týranie</w:t>
            </w:r>
          </w:p>
        </w:tc>
        <w:tc>
          <w:tcPr>
            <w:tcW w:w="1316" w:type="dxa"/>
            <w:shd w:val="clear" w:color="auto" w:fill="FF9999" w:themeFill="accent3" w:themeFillTint="66"/>
            <w:vAlign w:val="center"/>
            <w:hideMark/>
          </w:tcPr>
          <w:p w:rsidR="000A7585" w:rsidRPr="00AE6EDB" w:rsidRDefault="000A7585" w:rsidP="00DE0EEC">
            <w:pPr>
              <w:jc w:val="center"/>
              <w:rPr>
                <w:b/>
              </w:rPr>
            </w:pPr>
            <w:r w:rsidRPr="00AE6EDB">
              <w:rPr>
                <w:b/>
              </w:rPr>
              <w:t>Sexuálne zneužívanie</w:t>
            </w:r>
          </w:p>
        </w:tc>
        <w:tc>
          <w:tcPr>
            <w:tcW w:w="524" w:type="dxa"/>
            <w:shd w:val="clear" w:color="auto" w:fill="FF9999" w:themeFill="accent3" w:themeFillTint="66"/>
            <w:textDirection w:val="btLr"/>
            <w:vAlign w:val="center"/>
            <w:hideMark/>
          </w:tcPr>
          <w:p w:rsidR="000A7585" w:rsidRPr="00AE6EDB" w:rsidRDefault="000A7585" w:rsidP="00DE0EEC">
            <w:pPr>
              <w:jc w:val="center"/>
              <w:rPr>
                <w:b/>
              </w:rPr>
            </w:pPr>
            <w:r w:rsidRPr="00AE6EDB">
              <w:rPr>
                <w:b/>
              </w:rPr>
              <w:t>Šikanovanie</w:t>
            </w:r>
          </w:p>
        </w:tc>
        <w:tc>
          <w:tcPr>
            <w:tcW w:w="1469" w:type="dxa"/>
            <w:shd w:val="clear" w:color="auto" w:fill="FF9999" w:themeFill="accent3" w:themeFillTint="66"/>
            <w:vAlign w:val="center"/>
            <w:hideMark/>
          </w:tcPr>
          <w:p w:rsidR="000A7585" w:rsidRPr="00AE6EDB" w:rsidRDefault="000A7585" w:rsidP="00DE0EEC">
            <w:pPr>
              <w:jc w:val="center"/>
              <w:rPr>
                <w:b/>
              </w:rPr>
            </w:pPr>
            <w:r w:rsidRPr="00AE6EDB">
              <w:rPr>
                <w:b/>
              </w:rPr>
              <w:t>Využívanie na komerčné účely (pornografia, prostitúcia)</w:t>
            </w:r>
          </w:p>
        </w:tc>
        <w:tc>
          <w:tcPr>
            <w:tcW w:w="775" w:type="dxa"/>
            <w:shd w:val="clear" w:color="auto" w:fill="FF9999" w:themeFill="accent3" w:themeFillTint="66"/>
            <w:vAlign w:val="center"/>
            <w:hideMark/>
          </w:tcPr>
          <w:p w:rsidR="000A7585" w:rsidRPr="00AE6EDB" w:rsidRDefault="000A7585" w:rsidP="00DE0EEC">
            <w:pPr>
              <w:jc w:val="center"/>
              <w:rPr>
                <w:b/>
              </w:rPr>
            </w:pPr>
            <w:r w:rsidRPr="00AE6EDB">
              <w:rPr>
                <w:b/>
              </w:rPr>
              <w:t>Spolu</w:t>
            </w:r>
          </w:p>
        </w:tc>
      </w:tr>
      <w:tr w:rsidR="000A7585" w:rsidRPr="00AE6EDB" w:rsidTr="00DE0EEC">
        <w:trPr>
          <w:trHeight w:val="385"/>
        </w:trPr>
        <w:tc>
          <w:tcPr>
            <w:tcW w:w="1342" w:type="dxa"/>
            <w:vMerge w:val="restart"/>
            <w:hideMark/>
          </w:tcPr>
          <w:p w:rsidR="000A7585" w:rsidRPr="00AE6EDB" w:rsidRDefault="000A7585" w:rsidP="00DE0EEC">
            <w:r w:rsidRPr="00AE6EDB">
              <w:t xml:space="preserve">Počet evidovaných detí </w:t>
            </w:r>
          </w:p>
        </w:tc>
        <w:tc>
          <w:tcPr>
            <w:tcW w:w="1681" w:type="dxa"/>
            <w:gridSpan w:val="2"/>
            <w:hideMark/>
          </w:tcPr>
          <w:p w:rsidR="000A7585" w:rsidRPr="00AE6EDB" w:rsidRDefault="000A7585" w:rsidP="00DE0EEC">
            <w:pPr>
              <w:rPr>
                <w:b/>
                <w:bCs/>
              </w:rPr>
            </w:pPr>
            <w:r w:rsidRPr="00AE6EDB">
              <w:rPr>
                <w:b/>
                <w:bCs/>
              </w:rPr>
              <w:t>Spolu</w:t>
            </w:r>
          </w:p>
        </w:tc>
        <w:tc>
          <w:tcPr>
            <w:tcW w:w="937" w:type="dxa"/>
            <w:hideMark/>
          </w:tcPr>
          <w:p w:rsidR="000A7585" w:rsidRPr="00AE6EDB" w:rsidRDefault="000A7585" w:rsidP="00DE0EEC">
            <w:pPr>
              <w:jc w:val="right"/>
              <w:rPr>
                <w:b/>
                <w:bCs/>
              </w:rPr>
            </w:pPr>
            <w:r w:rsidRPr="00AE6EDB">
              <w:rPr>
                <w:b/>
                <w:bCs/>
              </w:rPr>
              <w:t>127</w:t>
            </w:r>
          </w:p>
        </w:tc>
        <w:tc>
          <w:tcPr>
            <w:tcW w:w="1145" w:type="dxa"/>
            <w:hideMark/>
          </w:tcPr>
          <w:p w:rsidR="000A7585" w:rsidRPr="00AE6EDB" w:rsidRDefault="000A7585" w:rsidP="00DE0EEC">
            <w:pPr>
              <w:jc w:val="right"/>
              <w:rPr>
                <w:b/>
                <w:bCs/>
              </w:rPr>
            </w:pPr>
            <w:r w:rsidRPr="00AE6EDB">
              <w:rPr>
                <w:b/>
                <w:bCs/>
              </w:rPr>
              <w:t>29</w:t>
            </w:r>
          </w:p>
        </w:tc>
        <w:tc>
          <w:tcPr>
            <w:tcW w:w="1316" w:type="dxa"/>
            <w:hideMark/>
          </w:tcPr>
          <w:p w:rsidR="000A7585" w:rsidRPr="00AE6EDB" w:rsidRDefault="000A7585" w:rsidP="00DE0EEC">
            <w:pPr>
              <w:jc w:val="right"/>
              <w:rPr>
                <w:b/>
                <w:bCs/>
              </w:rPr>
            </w:pPr>
            <w:r w:rsidRPr="00AE6EDB">
              <w:rPr>
                <w:b/>
                <w:bCs/>
              </w:rPr>
              <w:t>88</w:t>
            </w:r>
          </w:p>
        </w:tc>
        <w:tc>
          <w:tcPr>
            <w:tcW w:w="524" w:type="dxa"/>
            <w:hideMark/>
          </w:tcPr>
          <w:p w:rsidR="000A7585" w:rsidRPr="00AE6EDB" w:rsidRDefault="000A7585" w:rsidP="00DE0EEC">
            <w:pPr>
              <w:jc w:val="right"/>
              <w:rPr>
                <w:b/>
                <w:bCs/>
              </w:rPr>
            </w:pPr>
            <w:r w:rsidRPr="00AE6EDB">
              <w:rPr>
                <w:b/>
                <w:bCs/>
              </w:rPr>
              <w:t>6</w:t>
            </w:r>
          </w:p>
        </w:tc>
        <w:tc>
          <w:tcPr>
            <w:tcW w:w="1469" w:type="dxa"/>
            <w:hideMark/>
          </w:tcPr>
          <w:p w:rsidR="000A7585" w:rsidRPr="00AE6EDB" w:rsidRDefault="000A7585" w:rsidP="00DE0EEC">
            <w:pPr>
              <w:jc w:val="right"/>
              <w:rPr>
                <w:b/>
                <w:bCs/>
              </w:rPr>
            </w:pPr>
            <w:r w:rsidRPr="00AE6EDB">
              <w:rPr>
                <w:b/>
                <w:bCs/>
              </w:rPr>
              <w:t>3</w:t>
            </w:r>
          </w:p>
        </w:tc>
        <w:tc>
          <w:tcPr>
            <w:tcW w:w="775" w:type="dxa"/>
            <w:hideMark/>
          </w:tcPr>
          <w:p w:rsidR="000A7585" w:rsidRPr="00AE6EDB" w:rsidRDefault="000A7585" w:rsidP="00DE0EEC">
            <w:pPr>
              <w:jc w:val="right"/>
              <w:rPr>
                <w:b/>
                <w:bCs/>
              </w:rPr>
            </w:pPr>
            <w:r w:rsidRPr="00AE6EDB">
              <w:rPr>
                <w:b/>
                <w:bCs/>
              </w:rPr>
              <w:t>49</w:t>
            </w:r>
          </w:p>
        </w:tc>
      </w:tr>
      <w:tr w:rsidR="000A7585" w:rsidRPr="00AE6EDB" w:rsidTr="00DE0EEC">
        <w:trPr>
          <w:trHeight w:val="385"/>
        </w:trPr>
        <w:tc>
          <w:tcPr>
            <w:tcW w:w="0" w:type="auto"/>
            <w:vMerge/>
            <w:hideMark/>
          </w:tcPr>
          <w:p w:rsidR="000A7585" w:rsidRPr="00AE6EDB" w:rsidRDefault="000A7585" w:rsidP="00DE0EEC">
            <w:pPr>
              <w:jc w:val="left"/>
            </w:pPr>
          </w:p>
        </w:tc>
        <w:tc>
          <w:tcPr>
            <w:tcW w:w="623" w:type="dxa"/>
            <w:vMerge w:val="restart"/>
            <w:hideMark/>
          </w:tcPr>
          <w:p w:rsidR="000A7585" w:rsidRPr="00AE6EDB" w:rsidRDefault="000A7585" w:rsidP="00DE0EEC">
            <w:pPr>
              <w:jc w:val="left"/>
            </w:pPr>
            <w:r w:rsidRPr="00AE6EDB">
              <w:t>v tom</w:t>
            </w:r>
          </w:p>
        </w:tc>
        <w:tc>
          <w:tcPr>
            <w:tcW w:w="1058" w:type="dxa"/>
            <w:hideMark/>
          </w:tcPr>
          <w:p w:rsidR="000A7585" w:rsidRPr="00AE6EDB" w:rsidRDefault="000A7585" w:rsidP="00DE0EEC">
            <w:r w:rsidRPr="00AE6EDB">
              <w:t>do 6</w:t>
            </w:r>
          </w:p>
          <w:p w:rsidR="000A7585" w:rsidRPr="00AE6EDB" w:rsidRDefault="000A7585" w:rsidP="00DE0EEC">
            <w:pPr>
              <w:jc w:val="left"/>
            </w:pPr>
            <w:r w:rsidRPr="00AE6EDB">
              <w:t>rokov</w:t>
            </w:r>
          </w:p>
        </w:tc>
        <w:tc>
          <w:tcPr>
            <w:tcW w:w="937" w:type="dxa"/>
            <w:hideMark/>
          </w:tcPr>
          <w:p w:rsidR="000A7585" w:rsidRPr="00AE6EDB" w:rsidRDefault="000A7585" w:rsidP="00DE0EEC">
            <w:pPr>
              <w:jc w:val="right"/>
            </w:pPr>
            <w:r w:rsidRPr="00AE6EDB">
              <w:t>34</w:t>
            </w:r>
          </w:p>
        </w:tc>
        <w:tc>
          <w:tcPr>
            <w:tcW w:w="1145" w:type="dxa"/>
            <w:hideMark/>
          </w:tcPr>
          <w:p w:rsidR="000A7585" w:rsidRPr="00AE6EDB" w:rsidRDefault="000A7585" w:rsidP="00DE0EEC">
            <w:pPr>
              <w:jc w:val="right"/>
            </w:pPr>
            <w:r w:rsidRPr="00AE6EDB">
              <w:t>3</w:t>
            </w:r>
          </w:p>
        </w:tc>
        <w:tc>
          <w:tcPr>
            <w:tcW w:w="1316" w:type="dxa"/>
            <w:hideMark/>
          </w:tcPr>
          <w:p w:rsidR="000A7585" w:rsidRPr="00AE6EDB" w:rsidRDefault="000A7585" w:rsidP="00DE0EEC">
            <w:pPr>
              <w:jc w:val="right"/>
            </w:pPr>
            <w:r w:rsidRPr="00AE6EDB">
              <w:t>5</w:t>
            </w:r>
          </w:p>
        </w:tc>
        <w:tc>
          <w:tcPr>
            <w:tcW w:w="524" w:type="dxa"/>
            <w:hideMark/>
          </w:tcPr>
          <w:p w:rsidR="000A7585" w:rsidRPr="00AE6EDB" w:rsidRDefault="000A7585" w:rsidP="00DE0EEC">
            <w:pPr>
              <w:jc w:val="right"/>
            </w:pPr>
            <w:r w:rsidRPr="00AE6EDB">
              <w:t>0</w:t>
            </w:r>
          </w:p>
        </w:tc>
        <w:tc>
          <w:tcPr>
            <w:tcW w:w="1469" w:type="dxa"/>
            <w:hideMark/>
          </w:tcPr>
          <w:p w:rsidR="000A7585" w:rsidRPr="00AE6EDB" w:rsidRDefault="000A7585" w:rsidP="00DE0EEC">
            <w:pPr>
              <w:jc w:val="right"/>
            </w:pPr>
            <w:r w:rsidRPr="00AE6EDB">
              <w:t>0</w:t>
            </w:r>
          </w:p>
        </w:tc>
        <w:tc>
          <w:tcPr>
            <w:tcW w:w="775" w:type="dxa"/>
            <w:hideMark/>
          </w:tcPr>
          <w:p w:rsidR="000A7585" w:rsidRPr="00AE6EDB" w:rsidRDefault="000A7585" w:rsidP="00DE0EEC">
            <w:pPr>
              <w:jc w:val="right"/>
              <w:rPr>
                <w:b/>
                <w:bCs/>
              </w:rPr>
            </w:pPr>
            <w:r w:rsidRPr="00AE6EDB">
              <w:t>21</w:t>
            </w:r>
          </w:p>
        </w:tc>
      </w:tr>
      <w:tr w:rsidR="000A7585" w:rsidRPr="00AE6EDB" w:rsidTr="00DE0EEC">
        <w:trPr>
          <w:trHeight w:val="385"/>
        </w:trPr>
        <w:tc>
          <w:tcPr>
            <w:tcW w:w="0" w:type="auto"/>
            <w:vMerge/>
            <w:hideMark/>
          </w:tcPr>
          <w:p w:rsidR="000A7585" w:rsidRPr="00AE6EDB" w:rsidRDefault="000A7585" w:rsidP="00DE0EEC">
            <w:pPr>
              <w:jc w:val="left"/>
            </w:pPr>
          </w:p>
        </w:tc>
        <w:tc>
          <w:tcPr>
            <w:tcW w:w="0" w:type="auto"/>
            <w:vMerge/>
            <w:hideMark/>
          </w:tcPr>
          <w:p w:rsidR="000A7585" w:rsidRPr="00AE6EDB" w:rsidRDefault="000A7585" w:rsidP="00DE0EEC">
            <w:pPr>
              <w:jc w:val="left"/>
            </w:pPr>
          </w:p>
        </w:tc>
        <w:tc>
          <w:tcPr>
            <w:tcW w:w="1058" w:type="dxa"/>
            <w:hideMark/>
          </w:tcPr>
          <w:p w:rsidR="000A7585" w:rsidRPr="00AE6EDB" w:rsidRDefault="000A7585" w:rsidP="00DE0EEC">
            <w:r w:rsidRPr="00AE6EDB">
              <w:t xml:space="preserve">do 15 </w:t>
            </w:r>
          </w:p>
          <w:p w:rsidR="000A7585" w:rsidRPr="00AE6EDB" w:rsidRDefault="000A7585" w:rsidP="00DE0EEC">
            <w:pPr>
              <w:jc w:val="left"/>
            </w:pPr>
            <w:r w:rsidRPr="00AE6EDB">
              <w:t>rokov</w:t>
            </w:r>
          </w:p>
        </w:tc>
        <w:tc>
          <w:tcPr>
            <w:tcW w:w="937" w:type="dxa"/>
          </w:tcPr>
          <w:p w:rsidR="000A7585" w:rsidRPr="00AE6EDB" w:rsidRDefault="000A7585" w:rsidP="00DE0EEC">
            <w:pPr>
              <w:jc w:val="right"/>
            </w:pPr>
            <w:r w:rsidRPr="00AE6EDB">
              <w:t>72</w:t>
            </w:r>
          </w:p>
        </w:tc>
        <w:tc>
          <w:tcPr>
            <w:tcW w:w="1145" w:type="dxa"/>
          </w:tcPr>
          <w:p w:rsidR="000A7585" w:rsidRPr="00AE6EDB" w:rsidRDefault="000A7585" w:rsidP="00DE0EEC">
            <w:pPr>
              <w:jc w:val="right"/>
            </w:pPr>
            <w:r w:rsidRPr="00AE6EDB">
              <w:t>13</w:t>
            </w:r>
          </w:p>
        </w:tc>
        <w:tc>
          <w:tcPr>
            <w:tcW w:w="1316" w:type="dxa"/>
          </w:tcPr>
          <w:p w:rsidR="000A7585" w:rsidRPr="00AE6EDB" w:rsidRDefault="000A7585" w:rsidP="00DE0EEC">
            <w:pPr>
              <w:jc w:val="right"/>
            </w:pPr>
            <w:r w:rsidRPr="00AE6EDB">
              <w:t>46</w:t>
            </w:r>
          </w:p>
        </w:tc>
        <w:tc>
          <w:tcPr>
            <w:tcW w:w="524" w:type="dxa"/>
          </w:tcPr>
          <w:p w:rsidR="000A7585" w:rsidRPr="00AE6EDB" w:rsidRDefault="000A7585" w:rsidP="00DE0EEC">
            <w:pPr>
              <w:jc w:val="right"/>
            </w:pPr>
            <w:r w:rsidRPr="00AE6EDB">
              <w:t>3</w:t>
            </w:r>
          </w:p>
        </w:tc>
        <w:tc>
          <w:tcPr>
            <w:tcW w:w="1469" w:type="dxa"/>
          </w:tcPr>
          <w:p w:rsidR="000A7585" w:rsidRPr="00AE6EDB" w:rsidRDefault="000A7585" w:rsidP="00DE0EEC">
            <w:pPr>
              <w:jc w:val="right"/>
            </w:pPr>
            <w:r w:rsidRPr="00AE6EDB">
              <w:t>0</w:t>
            </w:r>
          </w:p>
        </w:tc>
        <w:tc>
          <w:tcPr>
            <w:tcW w:w="775" w:type="dxa"/>
          </w:tcPr>
          <w:p w:rsidR="000A7585" w:rsidRPr="00AE6EDB" w:rsidRDefault="000A7585" w:rsidP="00DE0EEC">
            <w:pPr>
              <w:jc w:val="right"/>
              <w:rPr>
                <w:b/>
                <w:bCs/>
              </w:rPr>
            </w:pPr>
            <w:r w:rsidRPr="00AE6EDB">
              <w:t>22</w:t>
            </w:r>
          </w:p>
        </w:tc>
      </w:tr>
      <w:tr w:rsidR="000A7585" w:rsidRPr="00AE6EDB" w:rsidTr="00DE0EEC">
        <w:trPr>
          <w:trHeight w:val="385"/>
        </w:trPr>
        <w:tc>
          <w:tcPr>
            <w:tcW w:w="0" w:type="auto"/>
            <w:vMerge/>
            <w:hideMark/>
          </w:tcPr>
          <w:p w:rsidR="000A7585" w:rsidRPr="00AE6EDB" w:rsidRDefault="000A7585" w:rsidP="00DE0EEC">
            <w:pPr>
              <w:jc w:val="left"/>
            </w:pPr>
          </w:p>
        </w:tc>
        <w:tc>
          <w:tcPr>
            <w:tcW w:w="0" w:type="auto"/>
            <w:vMerge/>
            <w:hideMark/>
          </w:tcPr>
          <w:p w:rsidR="000A7585" w:rsidRPr="00AE6EDB" w:rsidRDefault="000A7585" w:rsidP="00DE0EEC">
            <w:pPr>
              <w:jc w:val="left"/>
            </w:pPr>
          </w:p>
        </w:tc>
        <w:tc>
          <w:tcPr>
            <w:tcW w:w="1058" w:type="dxa"/>
            <w:hideMark/>
          </w:tcPr>
          <w:p w:rsidR="000A7585" w:rsidRPr="00AE6EDB" w:rsidRDefault="000A7585" w:rsidP="00DE0EEC">
            <w:r w:rsidRPr="00AE6EDB">
              <w:t xml:space="preserve">do 18 </w:t>
            </w:r>
          </w:p>
          <w:p w:rsidR="000A7585" w:rsidRPr="00AE6EDB" w:rsidRDefault="000A7585" w:rsidP="00DE0EEC">
            <w:pPr>
              <w:jc w:val="left"/>
            </w:pPr>
            <w:r w:rsidRPr="00AE6EDB">
              <w:t>rokov</w:t>
            </w:r>
          </w:p>
        </w:tc>
        <w:tc>
          <w:tcPr>
            <w:tcW w:w="937" w:type="dxa"/>
          </w:tcPr>
          <w:p w:rsidR="000A7585" w:rsidRPr="00AE6EDB" w:rsidRDefault="000A7585" w:rsidP="00DE0EEC">
            <w:pPr>
              <w:jc w:val="right"/>
            </w:pPr>
            <w:r w:rsidRPr="00AE6EDB">
              <w:t>21</w:t>
            </w:r>
          </w:p>
        </w:tc>
        <w:tc>
          <w:tcPr>
            <w:tcW w:w="1145" w:type="dxa"/>
          </w:tcPr>
          <w:p w:rsidR="000A7585" w:rsidRPr="00AE6EDB" w:rsidRDefault="000A7585" w:rsidP="00DE0EEC">
            <w:pPr>
              <w:jc w:val="right"/>
            </w:pPr>
            <w:r w:rsidRPr="00AE6EDB">
              <w:t>13</w:t>
            </w:r>
          </w:p>
        </w:tc>
        <w:tc>
          <w:tcPr>
            <w:tcW w:w="1316" w:type="dxa"/>
          </w:tcPr>
          <w:p w:rsidR="000A7585" w:rsidRPr="00AE6EDB" w:rsidRDefault="000A7585" w:rsidP="00DE0EEC">
            <w:pPr>
              <w:jc w:val="right"/>
            </w:pPr>
            <w:r w:rsidRPr="00AE6EDB">
              <w:t>37</w:t>
            </w:r>
          </w:p>
        </w:tc>
        <w:tc>
          <w:tcPr>
            <w:tcW w:w="524" w:type="dxa"/>
          </w:tcPr>
          <w:p w:rsidR="000A7585" w:rsidRPr="00AE6EDB" w:rsidRDefault="000A7585" w:rsidP="00DE0EEC">
            <w:pPr>
              <w:jc w:val="right"/>
            </w:pPr>
            <w:r w:rsidRPr="00AE6EDB">
              <w:t>3</w:t>
            </w:r>
          </w:p>
        </w:tc>
        <w:tc>
          <w:tcPr>
            <w:tcW w:w="1469" w:type="dxa"/>
          </w:tcPr>
          <w:p w:rsidR="000A7585" w:rsidRPr="00AE6EDB" w:rsidRDefault="000A7585" w:rsidP="00DE0EEC">
            <w:pPr>
              <w:jc w:val="right"/>
            </w:pPr>
            <w:r w:rsidRPr="00AE6EDB">
              <w:t>3</w:t>
            </w:r>
          </w:p>
        </w:tc>
        <w:tc>
          <w:tcPr>
            <w:tcW w:w="775" w:type="dxa"/>
          </w:tcPr>
          <w:p w:rsidR="000A7585" w:rsidRPr="00AE6EDB" w:rsidRDefault="000A7585" w:rsidP="00DE0EEC">
            <w:pPr>
              <w:jc w:val="right"/>
            </w:pPr>
            <w:r w:rsidRPr="00AE6EDB">
              <w:t>6</w:t>
            </w:r>
          </w:p>
          <w:p w:rsidR="000A7585" w:rsidRPr="00AE6EDB" w:rsidRDefault="000A7585" w:rsidP="00DE0EEC">
            <w:pPr>
              <w:jc w:val="right"/>
              <w:rPr>
                <w:b/>
                <w:bCs/>
              </w:rPr>
            </w:pPr>
          </w:p>
        </w:tc>
      </w:tr>
      <w:tr w:rsidR="000A7585" w:rsidRPr="00AE6EDB" w:rsidTr="00DE0EEC">
        <w:trPr>
          <w:trHeight w:val="914"/>
        </w:trPr>
        <w:tc>
          <w:tcPr>
            <w:tcW w:w="1965" w:type="dxa"/>
            <w:gridSpan w:val="2"/>
            <w:hideMark/>
          </w:tcPr>
          <w:p w:rsidR="000A7585" w:rsidRPr="00AE6EDB" w:rsidRDefault="000A7585" w:rsidP="00DE0EEC">
            <w:pPr>
              <w:jc w:val="left"/>
            </w:pPr>
            <w:r w:rsidRPr="00AE6EDB">
              <w:t xml:space="preserve">Počet návrhov orgánu na začatie trestného stíhania </w:t>
            </w:r>
          </w:p>
        </w:tc>
        <w:tc>
          <w:tcPr>
            <w:tcW w:w="1058" w:type="dxa"/>
            <w:hideMark/>
          </w:tcPr>
          <w:p w:rsidR="000A7585" w:rsidRPr="00AE6EDB" w:rsidRDefault="000A7585" w:rsidP="00DE0EEC">
            <w:pPr>
              <w:jc w:val="center"/>
            </w:pPr>
            <w:r w:rsidRPr="00AE6EDB">
              <w:t>celkovo</w:t>
            </w:r>
          </w:p>
        </w:tc>
        <w:tc>
          <w:tcPr>
            <w:tcW w:w="937" w:type="dxa"/>
            <w:hideMark/>
          </w:tcPr>
          <w:p w:rsidR="000A7585" w:rsidRPr="00AE6EDB" w:rsidRDefault="000A7585" w:rsidP="00DE0EEC">
            <w:pPr>
              <w:tabs>
                <w:tab w:val="center" w:pos="360"/>
                <w:tab w:val="right" w:pos="721"/>
              </w:tabs>
              <w:jc w:val="left"/>
            </w:pPr>
            <w:r w:rsidRPr="00AE6EDB">
              <w:tab/>
            </w:r>
            <w:r w:rsidRPr="00AE6EDB">
              <w:tab/>
              <w:t>17</w:t>
            </w:r>
          </w:p>
        </w:tc>
        <w:tc>
          <w:tcPr>
            <w:tcW w:w="1145" w:type="dxa"/>
            <w:hideMark/>
          </w:tcPr>
          <w:p w:rsidR="000A7585" w:rsidRPr="00AE6EDB" w:rsidRDefault="000A7585" w:rsidP="00DE0EEC">
            <w:pPr>
              <w:jc w:val="right"/>
            </w:pPr>
            <w:r w:rsidRPr="00AE6EDB">
              <w:t>1</w:t>
            </w:r>
          </w:p>
        </w:tc>
        <w:tc>
          <w:tcPr>
            <w:tcW w:w="1316" w:type="dxa"/>
            <w:hideMark/>
          </w:tcPr>
          <w:p w:rsidR="000A7585" w:rsidRPr="00AE6EDB" w:rsidRDefault="000A7585" w:rsidP="00DE0EEC">
            <w:pPr>
              <w:jc w:val="right"/>
            </w:pPr>
            <w:r w:rsidRPr="00AE6EDB">
              <w:t>4</w:t>
            </w:r>
          </w:p>
        </w:tc>
        <w:tc>
          <w:tcPr>
            <w:tcW w:w="524" w:type="dxa"/>
            <w:hideMark/>
          </w:tcPr>
          <w:p w:rsidR="000A7585" w:rsidRPr="00AE6EDB" w:rsidRDefault="000A7585" w:rsidP="00DE0EEC">
            <w:pPr>
              <w:jc w:val="right"/>
            </w:pPr>
            <w:r w:rsidRPr="00AE6EDB">
              <w:t>0</w:t>
            </w:r>
          </w:p>
        </w:tc>
        <w:tc>
          <w:tcPr>
            <w:tcW w:w="1469" w:type="dxa"/>
            <w:hideMark/>
          </w:tcPr>
          <w:p w:rsidR="000A7585" w:rsidRPr="00AE6EDB" w:rsidRDefault="000A7585" w:rsidP="00DE0EEC">
            <w:pPr>
              <w:jc w:val="right"/>
            </w:pPr>
            <w:r w:rsidRPr="00AE6EDB">
              <w:t>1</w:t>
            </w:r>
          </w:p>
        </w:tc>
        <w:tc>
          <w:tcPr>
            <w:tcW w:w="775" w:type="dxa"/>
            <w:hideMark/>
          </w:tcPr>
          <w:p w:rsidR="000A7585" w:rsidRPr="00AE6EDB" w:rsidRDefault="000A7585" w:rsidP="00DE0EEC">
            <w:pPr>
              <w:jc w:val="right"/>
            </w:pPr>
            <w:r w:rsidRPr="00AE6EDB">
              <w:t>5</w:t>
            </w:r>
          </w:p>
          <w:p w:rsidR="000A7585" w:rsidRPr="00AE6EDB" w:rsidRDefault="000A7585" w:rsidP="00DE0EEC">
            <w:pPr>
              <w:jc w:val="right"/>
            </w:pPr>
          </w:p>
        </w:tc>
      </w:tr>
    </w:tbl>
    <w:p w:rsidR="000A7585" w:rsidRPr="00AE6EDB" w:rsidRDefault="000A7585" w:rsidP="000A7585">
      <w:pPr>
        <w:pStyle w:val="zdroj"/>
      </w:pPr>
      <w:r w:rsidRPr="00AE6EDB">
        <w:t xml:space="preserve">Zdroj: </w:t>
      </w:r>
      <w:r w:rsidR="001D024E" w:rsidRPr="00AE6EDB">
        <w:t>V (MPSVR SR) 12-01</w:t>
      </w:r>
    </w:p>
    <w:p w:rsidR="000A7585" w:rsidRPr="00AE6EDB" w:rsidRDefault="000A7585" w:rsidP="000A7585">
      <w:pPr>
        <w:rPr>
          <w:b/>
          <w:highlight w:val="cyan"/>
        </w:rPr>
      </w:pPr>
    </w:p>
    <w:p w:rsidR="000A7585" w:rsidRPr="00AE6EDB" w:rsidRDefault="000A7585" w:rsidP="000A7585">
      <w:pPr>
        <w:jc w:val="left"/>
        <w:rPr>
          <w:b/>
          <w:highlight w:val="cyan"/>
        </w:rPr>
      </w:pPr>
      <w:r w:rsidRPr="00AE6EDB">
        <w:rPr>
          <w:highlight w:val="cyan"/>
        </w:rPr>
        <w:br w:type="page"/>
      </w:r>
    </w:p>
    <w:p w:rsidR="000A7585" w:rsidRPr="00AE6EDB" w:rsidRDefault="000A7585" w:rsidP="000A7585">
      <w:pPr>
        <w:pStyle w:val="Nadpis7"/>
      </w:pPr>
      <w:r w:rsidRPr="00AE6EDB">
        <w:t>Tabuľka 15 Deti umiestnené na základe rozhodnutia súdu do zariadení na výkon rozhodnutia súdu /predbežné opatrenie, výchovné opatrenie, ústavná starostlivosť a ochranná výchova/</w:t>
      </w:r>
    </w:p>
    <w:tbl>
      <w:tblPr>
        <w:tblStyle w:val="Mkatabulky1"/>
        <w:tblW w:w="7510" w:type="dxa"/>
        <w:jc w:val="center"/>
        <w:tblLook w:val="04A0" w:firstRow="1" w:lastRow="0" w:firstColumn="1" w:lastColumn="0" w:noHBand="0" w:noVBand="1"/>
      </w:tblPr>
      <w:tblGrid>
        <w:gridCol w:w="3119"/>
        <w:gridCol w:w="735"/>
        <w:gridCol w:w="1809"/>
        <w:gridCol w:w="1847"/>
      </w:tblGrid>
      <w:tr w:rsidR="000A7585" w:rsidRPr="00AE6EDB" w:rsidTr="00DE0EEC">
        <w:trPr>
          <w:trHeight w:val="290"/>
          <w:jc w:val="center"/>
        </w:trPr>
        <w:tc>
          <w:tcPr>
            <w:tcW w:w="3854" w:type="dxa"/>
            <w:gridSpan w:val="2"/>
            <w:shd w:val="clear" w:color="auto" w:fill="FF9999" w:themeFill="accent3" w:themeFillTint="66"/>
          </w:tcPr>
          <w:p w:rsidR="000A7585" w:rsidRPr="00AE6EDB" w:rsidRDefault="000A7585" w:rsidP="00DE0EEC">
            <w:pPr>
              <w:jc w:val="center"/>
              <w:rPr>
                <w:b/>
              </w:rPr>
            </w:pPr>
            <w:r w:rsidRPr="00AE6EDB">
              <w:rPr>
                <w:b/>
              </w:rPr>
              <w:t>Zariadenia na výkon rozhodnutia súdu</w:t>
            </w:r>
          </w:p>
        </w:tc>
        <w:tc>
          <w:tcPr>
            <w:tcW w:w="1809" w:type="dxa"/>
            <w:shd w:val="clear" w:color="auto" w:fill="FF9999" w:themeFill="accent3" w:themeFillTint="66"/>
            <w:vAlign w:val="center"/>
          </w:tcPr>
          <w:p w:rsidR="000A7585" w:rsidRPr="00AE6EDB" w:rsidRDefault="000A7585" w:rsidP="00DE0EEC">
            <w:pPr>
              <w:jc w:val="center"/>
              <w:rPr>
                <w:b/>
              </w:rPr>
            </w:pPr>
            <w:r w:rsidRPr="00AE6EDB">
              <w:rPr>
                <w:b/>
              </w:rPr>
              <w:t>2014</w:t>
            </w:r>
          </w:p>
        </w:tc>
        <w:tc>
          <w:tcPr>
            <w:tcW w:w="1847" w:type="dxa"/>
            <w:shd w:val="clear" w:color="auto" w:fill="FF9999" w:themeFill="accent3" w:themeFillTint="66"/>
            <w:vAlign w:val="center"/>
          </w:tcPr>
          <w:p w:rsidR="000A7585" w:rsidRPr="00AE6EDB" w:rsidRDefault="000A7585" w:rsidP="00DE0EEC">
            <w:pPr>
              <w:jc w:val="center"/>
              <w:rPr>
                <w:b/>
              </w:rPr>
            </w:pPr>
            <w:r w:rsidRPr="00AE6EDB">
              <w:rPr>
                <w:b/>
              </w:rPr>
              <w:t>2015</w:t>
            </w:r>
          </w:p>
        </w:tc>
      </w:tr>
      <w:tr w:rsidR="000A7585" w:rsidRPr="00AE6EDB" w:rsidTr="00DE0EEC">
        <w:trPr>
          <w:trHeight w:val="282"/>
          <w:jc w:val="center"/>
        </w:trPr>
        <w:tc>
          <w:tcPr>
            <w:tcW w:w="3854" w:type="dxa"/>
            <w:gridSpan w:val="2"/>
            <w:hideMark/>
          </w:tcPr>
          <w:p w:rsidR="000A7585" w:rsidRPr="00AE6EDB" w:rsidRDefault="000A7585" w:rsidP="00DE0EEC">
            <w:r w:rsidRPr="00AE6EDB">
              <w:t xml:space="preserve">Krízové strediská </w:t>
            </w:r>
          </w:p>
        </w:tc>
        <w:tc>
          <w:tcPr>
            <w:tcW w:w="1809" w:type="dxa"/>
            <w:noWrap/>
            <w:vAlign w:val="center"/>
          </w:tcPr>
          <w:p w:rsidR="000A7585" w:rsidRPr="00AE6EDB" w:rsidRDefault="000A7585" w:rsidP="00DE0EEC">
            <w:pPr>
              <w:ind w:right="525"/>
              <w:jc w:val="right"/>
            </w:pPr>
            <w:r w:rsidRPr="00AE6EDB">
              <w:t>258</w:t>
            </w:r>
          </w:p>
        </w:tc>
        <w:tc>
          <w:tcPr>
            <w:tcW w:w="1847" w:type="dxa"/>
            <w:noWrap/>
            <w:vAlign w:val="center"/>
          </w:tcPr>
          <w:p w:rsidR="000A7585" w:rsidRPr="00AE6EDB" w:rsidRDefault="000A7585" w:rsidP="00DE0EEC">
            <w:pPr>
              <w:ind w:right="525"/>
              <w:jc w:val="right"/>
            </w:pPr>
            <w:r w:rsidRPr="00AE6EDB">
              <w:t>235</w:t>
            </w:r>
          </w:p>
        </w:tc>
      </w:tr>
      <w:tr w:rsidR="000A7585" w:rsidRPr="00AE6EDB" w:rsidTr="00DE0EEC">
        <w:trPr>
          <w:trHeight w:val="282"/>
          <w:jc w:val="center"/>
        </w:trPr>
        <w:tc>
          <w:tcPr>
            <w:tcW w:w="3854" w:type="dxa"/>
            <w:gridSpan w:val="2"/>
            <w:hideMark/>
          </w:tcPr>
          <w:p w:rsidR="000A7585" w:rsidRPr="00AE6EDB" w:rsidRDefault="000A7585" w:rsidP="00DE0EEC">
            <w:r w:rsidRPr="00AE6EDB">
              <w:t>Resocializačné strediská</w:t>
            </w:r>
          </w:p>
        </w:tc>
        <w:tc>
          <w:tcPr>
            <w:tcW w:w="1809" w:type="dxa"/>
            <w:noWrap/>
            <w:vAlign w:val="center"/>
          </w:tcPr>
          <w:p w:rsidR="000A7585" w:rsidRPr="00AE6EDB" w:rsidRDefault="000A7585" w:rsidP="00DE0EEC">
            <w:pPr>
              <w:ind w:right="525"/>
              <w:jc w:val="right"/>
            </w:pPr>
            <w:r w:rsidRPr="00AE6EDB">
              <w:t>59</w:t>
            </w:r>
          </w:p>
        </w:tc>
        <w:tc>
          <w:tcPr>
            <w:tcW w:w="1847" w:type="dxa"/>
            <w:noWrap/>
            <w:vAlign w:val="center"/>
          </w:tcPr>
          <w:p w:rsidR="000A7585" w:rsidRPr="00AE6EDB" w:rsidRDefault="000A7585" w:rsidP="00DE0EEC">
            <w:pPr>
              <w:ind w:right="525"/>
              <w:jc w:val="right"/>
            </w:pPr>
            <w:r w:rsidRPr="00AE6EDB">
              <w:t>76</w:t>
            </w:r>
          </w:p>
        </w:tc>
      </w:tr>
      <w:tr w:rsidR="000A7585" w:rsidRPr="00AE6EDB" w:rsidTr="00DE0EEC">
        <w:trPr>
          <w:trHeight w:val="282"/>
          <w:jc w:val="center"/>
        </w:trPr>
        <w:tc>
          <w:tcPr>
            <w:tcW w:w="3854" w:type="dxa"/>
            <w:gridSpan w:val="2"/>
            <w:hideMark/>
          </w:tcPr>
          <w:p w:rsidR="000A7585" w:rsidRPr="00AE6EDB" w:rsidRDefault="000A7585" w:rsidP="00DE0EEC">
            <w:r w:rsidRPr="00AE6EDB">
              <w:t>Diagnostické centrá</w:t>
            </w:r>
          </w:p>
        </w:tc>
        <w:tc>
          <w:tcPr>
            <w:tcW w:w="1809" w:type="dxa"/>
            <w:noWrap/>
            <w:vAlign w:val="center"/>
          </w:tcPr>
          <w:p w:rsidR="000A7585" w:rsidRPr="00AE6EDB" w:rsidRDefault="000A7585" w:rsidP="00DE0EEC">
            <w:pPr>
              <w:ind w:right="525"/>
              <w:jc w:val="right"/>
            </w:pPr>
            <w:r w:rsidRPr="00AE6EDB">
              <w:t>38</w:t>
            </w:r>
          </w:p>
        </w:tc>
        <w:tc>
          <w:tcPr>
            <w:tcW w:w="1847" w:type="dxa"/>
            <w:noWrap/>
            <w:vAlign w:val="center"/>
          </w:tcPr>
          <w:p w:rsidR="000A7585" w:rsidRPr="00AE6EDB" w:rsidRDefault="000A7585" w:rsidP="00DE0EEC">
            <w:pPr>
              <w:ind w:right="525"/>
              <w:jc w:val="right"/>
            </w:pPr>
            <w:r w:rsidRPr="00AE6EDB">
              <w:t>45</w:t>
            </w:r>
          </w:p>
        </w:tc>
      </w:tr>
      <w:tr w:rsidR="000A7585" w:rsidRPr="00AE6EDB" w:rsidTr="00DE0EEC">
        <w:trPr>
          <w:trHeight w:val="282"/>
          <w:jc w:val="center"/>
        </w:trPr>
        <w:tc>
          <w:tcPr>
            <w:tcW w:w="3854" w:type="dxa"/>
            <w:gridSpan w:val="2"/>
            <w:hideMark/>
          </w:tcPr>
          <w:p w:rsidR="000A7585" w:rsidRPr="00AE6EDB" w:rsidRDefault="000A7585" w:rsidP="00DE0EEC">
            <w:r w:rsidRPr="00AE6EDB">
              <w:t>Domovy sociálnych služieb</w:t>
            </w:r>
          </w:p>
        </w:tc>
        <w:tc>
          <w:tcPr>
            <w:tcW w:w="1809" w:type="dxa"/>
            <w:noWrap/>
            <w:vAlign w:val="center"/>
          </w:tcPr>
          <w:p w:rsidR="000A7585" w:rsidRPr="00AE6EDB" w:rsidRDefault="000A7585" w:rsidP="00DE0EEC">
            <w:pPr>
              <w:ind w:right="525"/>
              <w:jc w:val="right"/>
            </w:pPr>
            <w:r w:rsidRPr="00AE6EDB">
              <w:t>109</w:t>
            </w:r>
          </w:p>
        </w:tc>
        <w:tc>
          <w:tcPr>
            <w:tcW w:w="1847" w:type="dxa"/>
            <w:noWrap/>
            <w:vAlign w:val="center"/>
          </w:tcPr>
          <w:p w:rsidR="000A7585" w:rsidRPr="00AE6EDB" w:rsidRDefault="000A7585" w:rsidP="00DE0EEC">
            <w:pPr>
              <w:ind w:right="525"/>
              <w:jc w:val="right"/>
            </w:pPr>
            <w:r w:rsidRPr="00AE6EDB">
              <w:t>83</w:t>
            </w:r>
          </w:p>
        </w:tc>
      </w:tr>
      <w:tr w:rsidR="000A7585" w:rsidRPr="00AE6EDB" w:rsidTr="00DE0EEC">
        <w:trPr>
          <w:trHeight w:val="282"/>
          <w:jc w:val="center"/>
        </w:trPr>
        <w:tc>
          <w:tcPr>
            <w:tcW w:w="3854" w:type="dxa"/>
            <w:gridSpan w:val="2"/>
            <w:hideMark/>
          </w:tcPr>
          <w:p w:rsidR="000A7585" w:rsidRPr="00AE6EDB" w:rsidRDefault="000A7585" w:rsidP="00DE0EEC">
            <w:r w:rsidRPr="00AE6EDB">
              <w:t>Detské domovy</w:t>
            </w:r>
          </w:p>
        </w:tc>
        <w:tc>
          <w:tcPr>
            <w:tcW w:w="1809" w:type="dxa"/>
            <w:noWrap/>
            <w:vAlign w:val="center"/>
          </w:tcPr>
          <w:p w:rsidR="000A7585" w:rsidRPr="00AE6EDB" w:rsidRDefault="0054295F" w:rsidP="00DE0EEC">
            <w:pPr>
              <w:ind w:right="525"/>
              <w:jc w:val="right"/>
            </w:pPr>
            <w:r>
              <w:t>4 3</w:t>
            </w:r>
            <w:r w:rsidR="000A7585" w:rsidRPr="00AE6EDB">
              <w:t>03</w:t>
            </w:r>
          </w:p>
        </w:tc>
        <w:tc>
          <w:tcPr>
            <w:tcW w:w="1847" w:type="dxa"/>
            <w:noWrap/>
            <w:vAlign w:val="center"/>
          </w:tcPr>
          <w:p w:rsidR="000A7585" w:rsidRPr="00AE6EDB" w:rsidRDefault="0054295F" w:rsidP="00DE0EEC">
            <w:pPr>
              <w:ind w:right="525"/>
              <w:jc w:val="right"/>
            </w:pPr>
            <w:r>
              <w:t>4 2</w:t>
            </w:r>
            <w:r w:rsidR="000A7585" w:rsidRPr="00AE6EDB">
              <w:t>88</w:t>
            </w:r>
          </w:p>
        </w:tc>
      </w:tr>
      <w:tr w:rsidR="000A7585" w:rsidRPr="00AE6EDB" w:rsidTr="00DE0EEC">
        <w:trPr>
          <w:trHeight w:val="282"/>
          <w:jc w:val="center"/>
        </w:trPr>
        <w:tc>
          <w:tcPr>
            <w:tcW w:w="3119" w:type="dxa"/>
            <w:vMerge w:val="restart"/>
            <w:hideMark/>
          </w:tcPr>
          <w:p w:rsidR="000A7585" w:rsidRPr="00AE6EDB" w:rsidRDefault="000A7585" w:rsidP="00DE0EEC">
            <w:r w:rsidRPr="00AE6EDB">
              <w:t>Reedukačné domovy</w:t>
            </w:r>
          </w:p>
        </w:tc>
        <w:tc>
          <w:tcPr>
            <w:tcW w:w="735" w:type="dxa"/>
            <w:hideMark/>
          </w:tcPr>
          <w:p w:rsidR="000A7585" w:rsidRPr="00AE6EDB" w:rsidRDefault="000A7585" w:rsidP="00DE0EEC">
            <w:r w:rsidRPr="00AE6EDB">
              <w:t>ÚS</w:t>
            </w:r>
          </w:p>
        </w:tc>
        <w:tc>
          <w:tcPr>
            <w:tcW w:w="1809" w:type="dxa"/>
            <w:noWrap/>
            <w:vAlign w:val="center"/>
          </w:tcPr>
          <w:p w:rsidR="000A7585" w:rsidRPr="00AE6EDB" w:rsidRDefault="000A7585" w:rsidP="00DE0EEC">
            <w:pPr>
              <w:ind w:right="525"/>
              <w:jc w:val="right"/>
            </w:pPr>
            <w:r w:rsidRPr="00AE6EDB">
              <w:t>439</w:t>
            </w:r>
          </w:p>
        </w:tc>
        <w:tc>
          <w:tcPr>
            <w:tcW w:w="1847" w:type="dxa"/>
            <w:noWrap/>
            <w:vAlign w:val="center"/>
          </w:tcPr>
          <w:p w:rsidR="000A7585" w:rsidRPr="00AE6EDB" w:rsidRDefault="000A7585" w:rsidP="00DE0EEC">
            <w:pPr>
              <w:ind w:right="525"/>
              <w:jc w:val="right"/>
            </w:pPr>
            <w:r w:rsidRPr="00AE6EDB">
              <w:t>412</w:t>
            </w:r>
          </w:p>
        </w:tc>
      </w:tr>
      <w:tr w:rsidR="000A7585" w:rsidRPr="00AE6EDB" w:rsidTr="00DE0EEC">
        <w:trPr>
          <w:trHeight w:val="282"/>
          <w:jc w:val="center"/>
        </w:trPr>
        <w:tc>
          <w:tcPr>
            <w:tcW w:w="0" w:type="auto"/>
            <w:vMerge/>
            <w:hideMark/>
          </w:tcPr>
          <w:p w:rsidR="000A7585" w:rsidRPr="00AE6EDB" w:rsidRDefault="000A7585" w:rsidP="00DE0EEC"/>
        </w:tc>
        <w:tc>
          <w:tcPr>
            <w:tcW w:w="735" w:type="dxa"/>
            <w:hideMark/>
          </w:tcPr>
          <w:p w:rsidR="000A7585" w:rsidRPr="00AE6EDB" w:rsidRDefault="000A7585" w:rsidP="00DE0EEC">
            <w:r w:rsidRPr="00AE6EDB">
              <w:t>OV</w:t>
            </w:r>
          </w:p>
        </w:tc>
        <w:tc>
          <w:tcPr>
            <w:tcW w:w="1809" w:type="dxa"/>
            <w:noWrap/>
            <w:vAlign w:val="center"/>
          </w:tcPr>
          <w:p w:rsidR="000A7585" w:rsidRPr="00AE6EDB" w:rsidRDefault="000A7585" w:rsidP="00DE0EEC">
            <w:pPr>
              <w:ind w:right="525"/>
              <w:jc w:val="right"/>
            </w:pPr>
            <w:r w:rsidRPr="00AE6EDB">
              <w:t>39</w:t>
            </w:r>
          </w:p>
        </w:tc>
        <w:tc>
          <w:tcPr>
            <w:tcW w:w="1847" w:type="dxa"/>
            <w:noWrap/>
            <w:vAlign w:val="center"/>
          </w:tcPr>
          <w:p w:rsidR="000A7585" w:rsidRPr="00AE6EDB" w:rsidRDefault="000A7585" w:rsidP="00DE0EEC">
            <w:pPr>
              <w:ind w:right="525"/>
              <w:jc w:val="right"/>
            </w:pPr>
            <w:r w:rsidRPr="00AE6EDB">
              <w:t>23</w:t>
            </w:r>
          </w:p>
        </w:tc>
      </w:tr>
    </w:tbl>
    <w:p w:rsidR="000A7585" w:rsidRPr="00AE6EDB" w:rsidRDefault="000A7585" w:rsidP="000A7585">
      <w:pPr>
        <w:pStyle w:val="zdroj"/>
        <w:spacing w:after="0"/>
        <w:ind w:left="564" w:firstLine="570"/>
      </w:pPr>
      <w:r w:rsidRPr="00AE6EDB">
        <w:t xml:space="preserve">Zdroj: </w:t>
      </w:r>
      <w:r w:rsidR="001D024E" w:rsidRPr="00AE6EDB">
        <w:t>V(MPSVR SR) 13-01</w:t>
      </w:r>
    </w:p>
    <w:p w:rsidR="000A7585" w:rsidRPr="00AE6EDB" w:rsidRDefault="000A7585" w:rsidP="000A7585">
      <w:pPr>
        <w:pStyle w:val="zdroj"/>
        <w:spacing w:before="0"/>
        <w:ind w:left="564" w:firstLine="570"/>
      </w:pPr>
      <w:r w:rsidRPr="00AE6EDB">
        <w:t>Poznámka: ÚS – ústavná starostlivosť, OV – ochranná výchova</w:t>
      </w:r>
    </w:p>
    <w:p w:rsidR="000A7585" w:rsidRPr="00AE6EDB" w:rsidRDefault="000A7585" w:rsidP="000A7585">
      <w:pPr>
        <w:rPr>
          <w:b/>
          <w:sz w:val="20"/>
          <w:szCs w:val="20"/>
          <w:highlight w:val="cyan"/>
        </w:rPr>
      </w:pPr>
    </w:p>
    <w:p w:rsidR="000A7585" w:rsidRPr="00AE6EDB" w:rsidRDefault="000A7585" w:rsidP="000A7585">
      <w:pPr>
        <w:pStyle w:val="Nadpis7"/>
        <w:spacing w:before="120"/>
      </w:pPr>
      <w:r w:rsidRPr="00AE6EDB">
        <w:t>Tabuľka 16 Jednotlivé formy starostlivosti v detských domovoch</w:t>
      </w:r>
    </w:p>
    <w:tbl>
      <w:tblPr>
        <w:tblW w:w="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80" w:type="dxa"/>
        </w:tblCellMar>
        <w:tblLook w:val="04A0" w:firstRow="1" w:lastRow="0" w:firstColumn="1" w:lastColumn="0" w:noHBand="0" w:noVBand="1"/>
      </w:tblPr>
      <w:tblGrid>
        <w:gridCol w:w="3049"/>
        <w:gridCol w:w="1204"/>
        <w:gridCol w:w="1202"/>
      </w:tblGrid>
      <w:tr w:rsidR="000A7585" w:rsidRPr="00AE6EDB" w:rsidTr="00DE0EEC">
        <w:trPr>
          <w:trHeight w:val="429"/>
          <w:jc w:val="center"/>
        </w:trPr>
        <w:tc>
          <w:tcPr>
            <w:tcW w:w="3049" w:type="dxa"/>
            <w:shd w:val="clear" w:color="auto" w:fill="FF9999" w:themeFill="accent3" w:themeFillTint="66"/>
            <w:vAlign w:val="center"/>
            <w:hideMark/>
          </w:tcPr>
          <w:p w:rsidR="000A7585" w:rsidRPr="00AE6EDB" w:rsidRDefault="000A7585" w:rsidP="00DE0EEC">
            <w:pPr>
              <w:spacing w:line="276" w:lineRule="auto"/>
              <w:jc w:val="center"/>
              <w:rPr>
                <w:b/>
                <w:lang w:eastAsia="en-US"/>
              </w:rPr>
            </w:pPr>
            <w:r w:rsidRPr="00AE6EDB">
              <w:rPr>
                <w:b/>
                <w:szCs w:val="22"/>
                <w:lang w:eastAsia="en-US"/>
              </w:rPr>
              <w:t>Forma starostlivosti</w:t>
            </w:r>
          </w:p>
        </w:tc>
        <w:tc>
          <w:tcPr>
            <w:tcW w:w="1204" w:type="dxa"/>
            <w:shd w:val="clear" w:color="auto" w:fill="FF9999" w:themeFill="accent3" w:themeFillTint="66"/>
            <w:vAlign w:val="center"/>
          </w:tcPr>
          <w:p w:rsidR="000A7585" w:rsidRPr="00AE6EDB" w:rsidRDefault="000A7585" w:rsidP="00DE0EEC">
            <w:pPr>
              <w:spacing w:line="276" w:lineRule="auto"/>
              <w:jc w:val="center"/>
              <w:rPr>
                <w:b/>
                <w:lang w:eastAsia="en-US"/>
              </w:rPr>
            </w:pPr>
            <w:r w:rsidRPr="00AE6EDB">
              <w:rPr>
                <w:b/>
                <w:szCs w:val="22"/>
                <w:lang w:eastAsia="en-US"/>
              </w:rPr>
              <w:t>2014</w:t>
            </w:r>
          </w:p>
        </w:tc>
        <w:tc>
          <w:tcPr>
            <w:tcW w:w="1202" w:type="dxa"/>
            <w:shd w:val="clear" w:color="auto" w:fill="FF9999" w:themeFill="accent3" w:themeFillTint="66"/>
            <w:vAlign w:val="center"/>
          </w:tcPr>
          <w:p w:rsidR="000A7585" w:rsidRPr="00AE6EDB" w:rsidRDefault="000A7585" w:rsidP="00DE0EEC">
            <w:pPr>
              <w:spacing w:line="276" w:lineRule="auto"/>
              <w:jc w:val="center"/>
              <w:rPr>
                <w:b/>
                <w:lang w:eastAsia="en-US"/>
              </w:rPr>
            </w:pPr>
            <w:r w:rsidRPr="00AE6EDB">
              <w:rPr>
                <w:b/>
                <w:szCs w:val="22"/>
                <w:lang w:eastAsia="en-US"/>
              </w:rPr>
              <w:t>2015</w:t>
            </w:r>
          </w:p>
        </w:tc>
      </w:tr>
      <w:tr w:rsidR="000A7585" w:rsidRPr="00AE6EDB" w:rsidTr="00DE0EEC">
        <w:trPr>
          <w:cantSplit/>
          <w:trHeight w:val="435"/>
          <w:jc w:val="center"/>
        </w:trPr>
        <w:tc>
          <w:tcPr>
            <w:tcW w:w="3049" w:type="dxa"/>
            <w:vAlign w:val="center"/>
          </w:tcPr>
          <w:p w:rsidR="000A7585" w:rsidRPr="00AE6EDB" w:rsidRDefault="000A7585" w:rsidP="00DE0EEC">
            <w:pPr>
              <w:spacing w:line="276" w:lineRule="auto"/>
              <w:jc w:val="left"/>
              <w:rPr>
                <w:lang w:eastAsia="en-US"/>
              </w:rPr>
            </w:pPr>
            <w:r w:rsidRPr="00AE6EDB">
              <w:rPr>
                <w:szCs w:val="22"/>
                <w:lang w:eastAsia="en-US"/>
              </w:rPr>
              <w:t>Profesionálne rodiny</w:t>
            </w:r>
          </w:p>
        </w:tc>
        <w:tc>
          <w:tcPr>
            <w:tcW w:w="1204" w:type="dxa"/>
            <w:vAlign w:val="center"/>
          </w:tcPr>
          <w:p w:rsidR="000A7585" w:rsidRPr="00AE6EDB" w:rsidRDefault="000A7585" w:rsidP="00DE0EEC">
            <w:pPr>
              <w:spacing w:line="276" w:lineRule="auto"/>
              <w:jc w:val="right"/>
              <w:rPr>
                <w:lang w:eastAsia="en-US"/>
              </w:rPr>
            </w:pPr>
            <w:r w:rsidRPr="00AE6EDB">
              <w:rPr>
                <w:szCs w:val="22"/>
                <w:lang w:eastAsia="en-US"/>
              </w:rPr>
              <w:t>752</w:t>
            </w:r>
          </w:p>
        </w:tc>
        <w:tc>
          <w:tcPr>
            <w:tcW w:w="1202" w:type="dxa"/>
            <w:vAlign w:val="center"/>
          </w:tcPr>
          <w:p w:rsidR="000A7585" w:rsidRPr="00AE6EDB" w:rsidRDefault="000A7585" w:rsidP="00DE0EEC">
            <w:pPr>
              <w:spacing w:line="276" w:lineRule="auto"/>
              <w:jc w:val="right"/>
              <w:rPr>
                <w:lang w:eastAsia="en-US"/>
              </w:rPr>
            </w:pPr>
            <w:r w:rsidRPr="00AE6EDB">
              <w:rPr>
                <w:lang w:eastAsia="en-US"/>
              </w:rPr>
              <w:t>739</w:t>
            </w:r>
          </w:p>
        </w:tc>
      </w:tr>
      <w:tr w:rsidR="000A7585" w:rsidRPr="00AE6EDB" w:rsidTr="00DE0EEC">
        <w:trPr>
          <w:cantSplit/>
          <w:trHeight w:val="435"/>
          <w:jc w:val="center"/>
        </w:trPr>
        <w:tc>
          <w:tcPr>
            <w:tcW w:w="3049" w:type="dxa"/>
            <w:vAlign w:val="center"/>
            <w:hideMark/>
          </w:tcPr>
          <w:p w:rsidR="000A7585" w:rsidRPr="00AE6EDB" w:rsidRDefault="000A7585" w:rsidP="00DE0EEC">
            <w:pPr>
              <w:spacing w:line="276" w:lineRule="auto"/>
              <w:jc w:val="left"/>
              <w:rPr>
                <w:lang w:eastAsia="en-US"/>
              </w:rPr>
            </w:pPr>
            <w:r w:rsidRPr="00AE6EDB">
              <w:rPr>
                <w:szCs w:val="22"/>
                <w:lang w:eastAsia="en-US"/>
              </w:rPr>
              <w:t>Samostatné skupiny</w:t>
            </w:r>
          </w:p>
        </w:tc>
        <w:tc>
          <w:tcPr>
            <w:tcW w:w="1204" w:type="dxa"/>
            <w:vAlign w:val="center"/>
          </w:tcPr>
          <w:p w:rsidR="000A7585" w:rsidRPr="00AE6EDB" w:rsidRDefault="000A7585" w:rsidP="00DE0EEC">
            <w:pPr>
              <w:spacing w:line="276" w:lineRule="auto"/>
              <w:jc w:val="right"/>
              <w:rPr>
                <w:lang w:eastAsia="en-US"/>
              </w:rPr>
            </w:pPr>
            <w:r w:rsidRPr="00AE6EDB">
              <w:rPr>
                <w:szCs w:val="22"/>
                <w:lang w:eastAsia="en-US"/>
              </w:rPr>
              <w:t>267</w:t>
            </w:r>
          </w:p>
        </w:tc>
        <w:tc>
          <w:tcPr>
            <w:tcW w:w="1202" w:type="dxa"/>
            <w:vAlign w:val="center"/>
          </w:tcPr>
          <w:p w:rsidR="000A7585" w:rsidRPr="00AE6EDB" w:rsidRDefault="000A7585" w:rsidP="00DE0EEC">
            <w:pPr>
              <w:spacing w:line="276" w:lineRule="auto"/>
              <w:jc w:val="right"/>
              <w:rPr>
                <w:lang w:eastAsia="en-US"/>
              </w:rPr>
            </w:pPr>
            <w:r w:rsidRPr="00AE6EDB">
              <w:rPr>
                <w:szCs w:val="22"/>
                <w:lang w:eastAsia="en-US"/>
              </w:rPr>
              <w:t>268</w:t>
            </w:r>
          </w:p>
        </w:tc>
      </w:tr>
      <w:tr w:rsidR="000A7585" w:rsidRPr="00AE6EDB" w:rsidTr="00DE0EEC">
        <w:trPr>
          <w:cantSplit/>
          <w:trHeight w:val="435"/>
          <w:jc w:val="center"/>
        </w:trPr>
        <w:tc>
          <w:tcPr>
            <w:tcW w:w="3049" w:type="dxa"/>
            <w:vAlign w:val="center"/>
            <w:hideMark/>
          </w:tcPr>
          <w:p w:rsidR="000A7585" w:rsidRPr="00AE6EDB" w:rsidRDefault="000A7585" w:rsidP="00DE0EEC">
            <w:pPr>
              <w:spacing w:line="276" w:lineRule="auto"/>
              <w:jc w:val="left"/>
              <w:rPr>
                <w:lang w:eastAsia="en-US"/>
              </w:rPr>
            </w:pPr>
            <w:r w:rsidRPr="00AE6EDB">
              <w:rPr>
                <w:szCs w:val="22"/>
                <w:lang w:eastAsia="en-US"/>
              </w:rPr>
              <w:t>Iné skupiny</w:t>
            </w:r>
          </w:p>
        </w:tc>
        <w:tc>
          <w:tcPr>
            <w:tcW w:w="1204" w:type="dxa"/>
            <w:vAlign w:val="center"/>
          </w:tcPr>
          <w:p w:rsidR="000A7585" w:rsidRPr="00AE6EDB" w:rsidRDefault="000A7585" w:rsidP="00DE0EEC">
            <w:pPr>
              <w:spacing w:line="276" w:lineRule="auto"/>
              <w:jc w:val="right"/>
              <w:rPr>
                <w:lang w:eastAsia="en-US"/>
              </w:rPr>
            </w:pPr>
            <w:r w:rsidRPr="00AE6EDB">
              <w:rPr>
                <w:szCs w:val="22"/>
                <w:lang w:eastAsia="en-US"/>
              </w:rPr>
              <w:t>155</w:t>
            </w:r>
          </w:p>
        </w:tc>
        <w:tc>
          <w:tcPr>
            <w:tcW w:w="1202" w:type="dxa"/>
            <w:vAlign w:val="center"/>
          </w:tcPr>
          <w:p w:rsidR="000A7585" w:rsidRPr="00AE6EDB" w:rsidRDefault="000A7585" w:rsidP="00DE0EEC">
            <w:pPr>
              <w:spacing w:line="276" w:lineRule="auto"/>
              <w:jc w:val="right"/>
              <w:rPr>
                <w:lang w:eastAsia="en-US"/>
              </w:rPr>
            </w:pPr>
            <w:r w:rsidRPr="00AE6EDB">
              <w:rPr>
                <w:szCs w:val="22"/>
                <w:lang w:eastAsia="en-US"/>
              </w:rPr>
              <w:t>148</w:t>
            </w:r>
          </w:p>
        </w:tc>
      </w:tr>
    </w:tbl>
    <w:p w:rsidR="000A7585" w:rsidRPr="00AE6EDB" w:rsidRDefault="000A7585" w:rsidP="001D024E">
      <w:pPr>
        <w:pStyle w:val="zdroj"/>
        <w:ind w:firstLine="1701"/>
      </w:pPr>
      <w:r w:rsidRPr="00AE6EDB">
        <w:t xml:space="preserve">Zdroj: </w:t>
      </w:r>
      <w:r w:rsidR="001D024E" w:rsidRPr="00AE6EDB">
        <w:t>V(MPSVR SR) 5-01</w:t>
      </w:r>
    </w:p>
    <w:p w:rsidR="000A7585" w:rsidRPr="00AE6EDB" w:rsidRDefault="000A7585" w:rsidP="000A7585">
      <w:pPr>
        <w:rPr>
          <w:i/>
          <w:szCs w:val="22"/>
          <w:highlight w:val="cyan"/>
        </w:rPr>
      </w:pPr>
    </w:p>
    <w:p w:rsidR="000A7585" w:rsidRPr="00AE6EDB" w:rsidRDefault="000A7585" w:rsidP="000A7585">
      <w:pPr>
        <w:pStyle w:val="Nadpis7"/>
        <w:spacing w:before="120"/>
      </w:pPr>
      <w:r w:rsidRPr="00AE6EDB">
        <w:t>Tabuľka 17 Počty umiestnených detí a mladých dospelých v jednotlivých formách starostlivosti v detských domovoch k 31.12. za roky 2014 a 2015</w:t>
      </w:r>
    </w:p>
    <w:tbl>
      <w:tblPr>
        <w:tblW w:w="7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5"/>
        <w:gridCol w:w="1751"/>
        <w:gridCol w:w="1751"/>
      </w:tblGrid>
      <w:tr w:rsidR="000A7585" w:rsidRPr="00AE6EDB" w:rsidTr="00DE0EEC">
        <w:trPr>
          <w:trHeight w:val="661"/>
          <w:jc w:val="center"/>
        </w:trPr>
        <w:tc>
          <w:tcPr>
            <w:tcW w:w="3575"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rPr>
              <w:t>Počet umiestnených detí v jednotlivých formách</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2014</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2015</w:t>
            </w:r>
          </w:p>
        </w:tc>
      </w:tr>
      <w:tr w:rsidR="000A7585" w:rsidRPr="00AE6EDB" w:rsidTr="00DE0EEC">
        <w:trPr>
          <w:cantSplit/>
          <w:trHeight w:val="350"/>
          <w:jc w:val="center"/>
        </w:trPr>
        <w:tc>
          <w:tcPr>
            <w:tcW w:w="3575" w:type="dxa"/>
            <w:tcBorders>
              <w:top w:val="single" w:sz="4" w:space="0" w:color="auto"/>
              <w:left w:val="single" w:sz="4" w:space="0" w:color="auto"/>
              <w:bottom w:val="single" w:sz="4" w:space="0" w:color="auto"/>
              <w:right w:val="single" w:sz="4" w:space="0" w:color="auto"/>
            </w:tcBorders>
            <w:hideMark/>
          </w:tcPr>
          <w:p w:rsidR="000A7585" w:rsidRPr="00AE6EDB" w:rsidRDefault="000A7585" w:rsidP="00DE0EEC">
            <w:pPr>
              <w:rPr>
                <w:sz w:val="24"/>
              </w:rPr>
            </w:pPr>
            <w:r w:rsidRPr="00AE6EDB">
              <w:t>v profesionálnej rodine</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tabs>
                <w:tab w:val="right" w:pos="1103"/>
              </w:tabs>
              <w:ind w:right="455"/>
              <w:jc w:val="right"/>
            </w:pPr>
            <w:r>
              <w:t>1 4</w:t>
            </w:r>
            <w:r w:rsidR="000A7585" w:rsidRPr="00AE6EDB">
              <w:t>80</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tabs>
                <w:tab w:val="right" w:pos="1103"/>
              </w:tabs>
              <w:ind w:right="455"/>
              <w:jc w:val="right"/>
            </w:pPr>
            <w:r>
              <w:t>1 4</w:t>
            </w:r>
            <w:r w:rsidR="000A7585" w:rsidRPr="00AE6EDB">
              <w:t>53</w:t>
            </w:r>
          </w:p>
        </w:tc>
      </w:tr>
      <w:tr w:rsidR="000A7585" w:rsidRPr="00AE6EDB" w:rsidTr="00DE0EEC">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0A7585" w:rsidRPr="00AE6EDB" w:rsidRDefault="000A7585" w:rsidP="00DE0EEC">
            <w:pPr>
              <w:rPr>
                <w:sz w:val="24"/>
              </w:rPr>
            </w:pPr>
            <w:r w:rsidRPr="00AE6EDB">
              <w:t>v samostatnej skupine</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tabs>
                <w:tab w:val="right" w:pos="1103"/>
              </w:tabs>
              <w:ind w:right="455"/>
              <w:jc w:val="right"/>
            </w:pPr>
            <w:r>
              <w:t>2 3</w:t>
            </w:r>
            <w:r w:rsidR="000A7585" w:rsidRPr="00AE6EDB">
              <w:t>99</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tabs>
                <w:tab w:val="right" w:pos="1103"/>
              </w:tabs>
              <w:ind w:right="455"/>
              <w:jc w:val="right"/>
            </w:pPr>
            <w:r>
              <w:t>2 3</w:t>
            </w:r>
            <w:r w:rsidR="000A7585" w:rsidRPr="00AE6EDB">
              <w:t>37</w:t>
            </w:r>
          </w:p>
        </w:tc>
      </w:tr>
      <w:tr w:rsidR="000A7585" w:rsidRPr="00AE6EDB" w:rsidTr="00DE0EEC">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0A7585" w:rsidRPr="00AE6EDB" w:rsidRDefault="000A7585" w:rsidP="00DE0EEC">
            <w:pPr>
              <w:rPr>
                <w:sz w:val="24"/>
              </w:rPr>
            </w:pPr>
            <w:r w:rsidRPr="00AE6EDB">
              <w:t>v iných skupinách</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tabs>
                <w:tab w:val="right" w:pos="1103"/>
              </w:tabs>
              <w:ind w:right="455"/>
              <w:jc w:val="right"/>
            </w:pPr>
            <w:r w:rsidRPr="00AE6EDB">
              <w:t>842</w:t>
            </w:r>
          </w:p>
        </w:tc>
        <w:tc>
          <w:tcPr>
            <w:tcW w:w="1751"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tabs>
                <w:tab w:val="right" w:pos="1103"/>
              </w:tabs>
              <w:ind w:right="455"/>
              <w:jc w:val="right"/>
            </w:pPr>
            <w:r w:rsidRPr="00AE6EDB">
              <w:t>832</w:t>
            </w:r>
          </w:p>
        </w:tc>
      </w:tr>
    </w:tbl>
    <w:p w:rsidR="000A7585" w:rsidRPr="00AE6EDB" w:rsidRDefault="000A7585" w:rsidP="000A7585">
      <w:pPr>
        <w:pStyle w:val="zdroj"/>
        <w:ind w:left="567"/>
      </w:pPr>
      <w:r w:rsidRPr="00AE6EDB">
        <w:t xml:space="preserve">Zdroj: </w:t>
      </w:r>
      <w:r w:rsidR="001D024E" w:rsidRPr="00AE6EDB">
        <w:t>V(MPSVR SR) 5-01</w:t>
      </w:r>
    </w:p>
    <w:p w:rsidR="000A7585" w:rsidRPr="00AE6EDB" w:rsidRDefault="000A7585" w:rsidP="000A7585">
      <w:pPr>
        <w:rPr>
          <w:b/>
          <w:sz w:val="18"/>
          <w:highlight w:val="cyan"/>
        </w:rPr>
      </w:pPr>
    </w:p>
    <w:p w:rsidR="000A7585" w:rsidRPr="00AE6EDB" w:rsidRDefault="000A7585" w:rsidP="000A7585">
      <w:pPr>
        <w:pStyle w:val="Nadpis7"/>
        <w:spacing w:before="120"/>
      </w:pPr>
      <w:r w:rsidRPr="00AE6EDB">
        <w:t>Tabuľka 18 Celkový počet detí zverených do jednotlivých foriem náhradnej rodinnej starostlivosti v</w:t>
      </w:r>
      <w:r w:rsidR="000C264A" w:rsidRPr="00AE6EDB">
        <w:t> </w:t>
      </w:r>
      <w:r w:rsidRPr="00AE6EDB">
        <w:t>rokoch</w:t>
      </w:r>
      <w:r w:rsidR="000C264A" w:rsidRPr="00AE6EDB">
        <w:t xml:space="preserve"> 2014 a 2015</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52"/>
        <w:gridCol w:w="1621"/>
        <w:gridCol w:w="1621"/>
        <w:gridCol w:w="1388"/>
        <w:gridCol w:w="1722"/>
      </w:tblGrid>
      <w:tr w:rsidR="000A7585" w:rsidRPr="00AE6EDB" w:rsidTr="00DE0EEC">
        <w:trPr>
          <w:trHeight w:val="965"/>
          <w:jc w:val="center"/>
        </w:trPr>
        <w:tc>
          <w:tcPr>
            <w:tcW w:w="195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rok</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Náhradná osobná starostlivosť</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Pestúnska starostlivosť</w:t>
            </w:r>
          </w:p>
        </w:tc>
        <w:tc>
          <w:tcPr>
            <w:tcW w:w="1388"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Poručníctvo</w:t>
            </w:r>
          </w:p>
        </w:tc>
        <w:tc>
          <w:tcPr>
            <w:tcW w:w="172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AE6EDB" w:rsidRDefault="000A7585" w:rsidP="00DE0EEC">
            <w:pPr>
              <w:jc w:val="center"/>
              <w:rPr>
                <w:b/>
              </w:rPr>
            </w:pPr>
            <w:r w:rsidRPr="00AE6EDB">
              <w:rPr>
                <w:b/>
              </w:rPr>
              <w:t>Spolu</w:t>
            </w:r>
          </w:p>
        </w:tc>
      </w:tr>
      <w:tr w:rsidR="000A7585" w:rsidRPr="00AE6EDB" w:rsidTr="00DE0EEC">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jc w:val="center"/>
              <w:rPr>
                <w:b/>
              </w:rPr>
            </w:pPr>
            <w:r w:rsidRPr="00AE6EDB">
              <w:rPr>
                <w:b/>
              </w:rPr>
              <w:t>2014</w:t>
            </w:r>
          </w:p>
        </w:tc>
        <w:tc>
          <w:tcPr>
            <w:tcW w:w="1621" w:type="dxa"/>
            <w:tcBorders>
              <w:top w:val="single" w:sz="4" w:space="0" w:color="auto"/>
              <w:left w:val="single" w:sz="4" w:space="0" w:color="auto"/>
              <w:bottom w:val="single" w:sz="4" w:space="0" w:color="auto"/>
              <w:right w:val="single" w:sz="4" w:space="0" w:color="auto"/>
            </w:tcBorders>
            <w:vAlign w:val="center"/>
          </w:tcPr>
          <w:p w:rsidR="000A7585" w:rsidRPr="00AE6EDB" w:rsidRDefault="00AC44CB" w:rsidP="00DE0EEC">
            <w:pPr>
              <w:ind w:right="384"/>
              <w:jc w:val="right"/>
            </w:pPr>
            <w:r>
              <w:t>6 2</w:t>
            </w:r>
            <w:r w:rsidR="000A7585" w:rsidRPr="00AE6EDB">
              <w:t>77</w:t>
            </w:r>
          </w:p>
        </w:tc>
        <w:tc>
          <w:tcPr>
            <w:tcW w:w="162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ind w:right="384"/>
              <w:jc w:val="right"/>
            </w:pPr>
            <w:r>
              <w:t>1 9</w:t>
            </w:r>
            <w:r w:rsidR="000A7585" w:rsidRPr="00AE6EDB">
              <w:t>27</w:t>
            </w:r>
          </w:p>
        </w:tc>
        <w:tc>
          <w:tcPr>
            <w:tcW w:w="1388"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ind w:right="384"/>
              <w:jc w:val="right"/>
            </w:pPr>
            <w:r w:rsidRPr="00AE6EDB">
              <w:t>539</w:t>
            </w:r>
          </w:p>
        </w:tc>
        <w:tc>
          <w:tcPr>
            <w:tcW w:w="1722" w:type="dxa"/>
            <w:tcBorders>
              <w:top w:val="single" w:sz="4" w:space="0" w:color="auto"/>
              <w:left w:val="single" w:sz="4" w:space="0" w:color="auto"/>
              <w:bottom w:val="single" w:sz="4" w:space="0" w:color="auto"/>
              <w:right w:val="single" w:sz="4" w:space="0" w:color="auto"/>
            </w:tcBorders>
            <w:vAlign w:val="center"/>
          </w:tcPr>
          <w:p w:rsidR="000A7585" w:rsidRPr="00AE6EDB" w:rsidRDefault="00AC44CB" w:rsidP="00DE0EEC">
            <w:pPr>
              <w:ind w:right="384"/>
              <w:jc w:val="right"/>
              <w:rPr>
                <w:b/>
              </w:rPr>
            </w:pPr>
            <w:r>
              <w:rPr>
                <w:b/>
              </w:rPr>
              <w:t>8 7</w:t>
            </w:r>
            <w:r w:rsidR="000A7585" w:rsidRPr="00AE6EDB">
              <w:rPr>
                <w:b/>
              </w:rPr>
              <w:t>43</w:t>
            </w:r>
          </w:p>
        </w:tc>
      </w:tr>
      <w:tr w:rsidR="000A7585" w:rsidRPr="00AE6EDB" w:rsidTr="00DE0EEC">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jc w:val="center"/>
              <w:rPr>
                <w:b/>
              </w:rPr>
            </w:pPr>
            <w:r w:rsidRPr="00AE6EDB">
              <w:rPr>
                <w:b/>
              </w:rPr>
              <w:t>2015</w:t>
            </w:r>
          </w:p>
        </w:tc>
        <w:tc>
          <w:tcPr>
            <w:tcW w:w="1621" w:type="dxa"/>
            <w:tcBorders>
              <w:top w:val="single" w:sz="4" w:space="0" w:color="auto"/>
              <w:left w:val="single" w:sz="4" w:space="0" w:color="auto"/>
              <w:bottom w:val="single" w:sz="4" w:space="0" w:color="auto"/>
              <w:right w:val="single" w:sz="4" w:space="0" w:color="auto"/>
            </w:tcBorders>
            <w:vAlign w:val="center"/>
          </w:tcPr>
          <w:p w:rsidR="000A7585" w:rsidRPr="00AE6EDB" w:rsidRDefault="00AC44CB" w:rsidP="00DE0EEC">
            <w:pPr>
              <w:ind w:right="384"/>
              <w:jc w:val="right"/>
            </w:pPr>
            <w:r>
              <w:t>6 4</w:t>
            </w:r>
            <w:r w:rsidR="000A7585" w:rsidRPr="00AE6EDB">
              <w:t>84</w:t>
            </w:r>
          </w:p>
        </w:tc>
        <w:tc>
          <w:tcPr>
            <w:tcW w:w="1621" w:type="dxa"/>
            <w:tcBorders>
              <w:top w:val="single" w:sz="4" w:space="0" w:color="auto"/>
              <w:left w:val="single" w:sz="4" w:space="0" w:color="auto"/>
              <w:bottom w:val="single" w:sz="4" w:space="0" w:color="auto"/>
              <w:right w:val="single" w:sz="4" w:space="0" w:color="auto"/>
            </w:tcBorders>
            <w:vAlign w:val="center"/>
          </w:tcPr>
          <w:p w:rsidR="000A7585" w:rsidRPr="00AE6EDB" w:rsidRDefault="0054295F" w:rsidP="00DE0EEC">
            <w:pPr>
              <w:ind w:right="384"/>
              <w:jc w:val="right"/>
            </w:pPr>
            <w:r>
              <w:t>1 8</w:t>
            </w:r>
            <w:r w:rsidR="000A7585" w:rsidRPr="00AE6EDB">
              <w:t>47</w:t>
            </w:r>
          </w:p>
        </w:tc>
        <w:tc>
          <w:tcPr>
            <w:tcW w:w="1388" w:type="dxa"/>
            <w:tcBorders>
              <w:top w:val="single" w:sz="4" w:space="0" w:color="auto"/>
              <w:left w:val="single" w:sz="4" w:space="0" w:color="auto"/>
              <w:bottom w:val="single" w:sz="4" w:space="0" w:color="auto"/>
              <w:right w:val="single" w:sz="4" w:space="0" w:color="auto"/>
            </w:tcBorders>
            <w:vAlign w:val="center"/>
          </w:tcPr>
          <w:p w:rsidR="000A7585" w:rsidRPr="00AE6EDB" w:rsidRDefault="000A7585" w:rsidP="00DE0EEC">
            <w:pPr>
              <w:ind w:right="384"/>
              <w:jc w:val="right"/>
            </w:pPr>
            <w:r w:rsidRPr="00AE6EDB">
              <w:t>571</w:t>
            </w:r>
          </w:p>
        </w:tc>
        <w:tc>
          <w:tcPr>
            <w:tcW w:w="1722" w:type="dxa"/>
            <w:tcBorders>
              <w:top w:val="single" w:sz="4" w:space="0" w:color="auto"/>
              <w:left w:val="single" w:sz="4" w:space="0" w:color="auto"/>
              <w:bottom w:val="single" w:sz="4" w:space="0" w:color="auto"/>
              <w:right w:val="single" w:sz="4" w:space="0" w:color="auto"/>
            </w:tcBorders>
            <w:vAlign w:val="center"/>
          </w:tcPr>
          <w:p w:rsidR="000A7585" w:rsidRPr="00AE6EDB" w:rsidRDefault="00AC44CB" w:rsidP="00DE0EEC">
            <w:pPr>
              <w:ind w:right="384"/>
              <w:jc w:val="right"/>
              <w:rPr>
                <w:b/>
              </w:rPr>
            </w:pPr>
            <w:r>
              <w:rPr>
                <w:b/>
              </w:rPr>
              <w:t>8 9</w:t>
            </w:r>
            <w:r w:rsidR="000A7585" w:rsidRPr="00AE6EDB">
              <w:rPr>
                <w:b/>
              </w:rPr>
              <w:t>02</w:t>
            </w:r>
          </w:p>
        </w:tc>
      </w:tr>
    </w:tbl>
    <w:p w:rsidR="000A7585" w:rsidRPr="00AE6EDB" w:rsidRDefault="000A7585" w:rsidP="000A7585">
      <w:pPr>
        <w:pStyle w:val="zdroj"/>
      </w:pPr>
      <w:r w:rsidRPr="00AE6EDB">
        <w:t xml:space="preserve">Zdroj: </w:t>
      </w:r>
      <w:r w:rsidR="001D024E" w:rsidRPr="00AE6EDB">
        <w:t>V(MPSVR SR) 12-01</w:t>
      </w:r>
    </w:p>
    <w:p w:rsidR="000A7585" w:rsidRPr="00AE6EDB" w:rsidRDefault="000A7585" w:rsidP="000A7585">
      <w:pPr>
        <w:rPr>
          <w:highlight w:val="cyan"/>
        </w:rPr>
      </w:pPr>
    </w:p>
    <w:p w:rsidR="000A7585" w:rsidRPr="00AE6EDB" w:rsidRDefault="000A7585" w:rsidP="000A7585">
      <w:pPr>
        <w:jc w:val="left"/>
        <w:rPr>
          <w:rFonts w:eastAsia="Calibri"/>
          <w:b/>
          <w:highlight w:val="cyan"/>
        </w:rPr>
      </w:pPr>
      <w:r w:rsidRPr="00AE6EDB">
        <w:rPr>
          <w:rFonts w:eastAsia="Calibri"/>
          <w:highlight w:val="cyan"/>
        </w:rPr>
        <w:br w:type="page"/>
      </w:r>
    </w:p>
    <w:p w:rsidR="000A7585" w:rsidRPr="00AE6EDB" w:rsidRDefault="000A7585" w:rsidP="000A7585">
      <w:pPr>
        <w:pStyle w:val="Nadpis7"/>
        <w:spacing w:before="120"/>
        <w:rPr>
          <w:rFonts w:eastAsia="Calibri"/>
        </w:rPr>
      </w:pPr>
      <w:r w:rsidRPr="00AE6EDB">
        <w:rPr>
          <w:rFonts w:eastAsia="Calibri"/>
        </w:rPr>
        <w:t>Tabuľka 19 Základné štatistické údaje o činnosti RPPS za roky 2014 a 2015</w:t>
      </w:r>
    </w:p>
    <w:tbl>
      <w:tblPr>
        <w:tblW w:w="63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1"/>
        <w:gridCol w:w="1496"/>
        <w:gridCol w:w="1310"/>
        <w:gridCol w:w="1610"/>
        <w:gridCol w:w="1136"/>
      </w:tblGrid>
      <w:tr w:rsidR="000A7585" w:rsidRPr="00AE6EDB" w:rsidTr="00DE0EEC">
        <w:trPr>
          <w:trHeight w:val="1333"/>
          <w:jc w:val="center"/>
        </w:trPr>
        <w:tc>
          <w:tcPr>
            <w:tcW w:w="84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spacing w:line="276" w:lineRule="auto"/>
              <w:jc w:val="center"/>
              <w:rPr>
                <w:rFonts w:eastAsia="Calibri"/>
                <w:b/>
                <w:bCs/>
              </w:rPr>
            </w:pPr>
            <w:r w:rsidRPr="00AE6EDB">
              <w:rPr>
                <w:rFonts w:eastAsia="Calibri"/>
                <w:b/>
                <w:bCs/>
                <w:szCs w:val="22"/>
              </w:rPr>
              <w:t>rok</w:t>
            </w:r>
          </w:p>
        </w:tc>
        <w:tc>
          <w:tcPr>
            <w:tcW w:w="149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spacing w:line="276" w:lineRule="auto"/>
              <w:jc w:val="center"/>
              <w:rPr>
                <w:rFonts w:eastAsia="Calibri"/>
                <w:b/>
                <w:bCs/>
              </w:rPr>
            </w:pPr>
            <w:r w:rsidRPr="00AE6EDB">
              <w:rPr>
                <w:rFonts w:eastAsia="Calibri"/>
                <w:b/>
                <w:bCs/>
                <w:szCs w:val="22"/>
              </w:rPr>
              <w:t>Počet prípadov</w:t>
            </w:r>
          </w:p>
        </w:tc>
        <w:tc>
          <w:tcPr>
            <w:tcW w:w="13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spacing w:line="276" w:lineRule="auto"/>
              <w:jc w:val="center"/>
              <w:rPr>
                <w:rFonts w:eastAsia="Calibri"/>
                <w:b/>
                <w:bCs/>
              </w:rPr>
            </w:pPr>
            <w:r w:rsidRPr="00AE6EDB">
              <w:rPr>
                <w:rFonts w:eastAsia="Calibri"/>
                <w:b/>
                <w:bCs/>
                <w:szCs w:val="22"/>
              </w:rPr>
              <w:t>Počet klientov</w:t>
            </w:r>
          </w:p>
        </w:tc>
        <w:tc>
          <w:tcPr>
            <w:tcW w:w="16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spacing w:line="276" w:lineRule="auto"/>
              <w:jc w:val="center"/>
              <w:rPr>
                <w:rFonts w:eastAsia="Calibri"/>
                <w:b/>
                <w:bCs/>
              </w:rPr>
            </w:pPr>
            <w:r w:rsidRPr="00AE6EDB">
              <w:rPr>
                <w:rFonts w:eastAsia="Calibri"/>
                <w:b/>
                <w:bCs/>
                <w:szCs w:val="22"/>
              </w:rPr>
              <w:t>Počet konzultácií</w:t>
            </w:r>
          </w:p>
        </w:tc>
        <w:tc>
          <w:tcPr>
            <w:tcW w:w="113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spacing w:line="276" w:lineRule="auto"/>
              <w:jc w:val="center"/>
              <w:rPr>
                <w:rFonts w:eastAsia="Calibri"/>
                <w:b/>
                <w:bCs/>
              </w:rPr>
            </w:pPr>
            <w:r w:rsidRPr="00AE6EDB">
              <w:rPr>
                <w:rFonts w:eastAsia="Calibri"/>
                <w:b/>
                <w:bCs/>
                <w:szCs w:val="22"/>
              </w:rPr>
              <w:t>Počet zamest</w:t>
            </w:r>
            <w:r w:rsidRPr="00AE6EDB">
              <w:rPr>
                <w:rFonts w:eastAsia="Calibri"/>
                <w:b/>
                <w:bCs/>
                <w:szCs w:val="22"/>
              </w:rPr>
              <w:softHyphen/>
              <w:t>nancov</w:t>
            </w:r>
          </w:p>
        </w:tc>
      </w:tr>
      <w:tr w:rsidR="000A7585" w:rsidRPr="00AE6EDB" w:rsidTr="00DE0EEC">
        <w:trPr>
          <w:trHeight w:val="340"/>
          <w:jc w:val="center"/>
        </w:trPr>
        <w:tc>
          <w:tcPr>
            <w:tcW w:w="841" w:type="dxa"/>
            <w:tcBorders>
              <w:top w:val="single" w:sz="4" w:space="0" w:color="auto"/>
            </w:tcBorders>
            <w:noWrap/>
            <w:tcMar>
              <w:top w:w="0" w:type="dxa"/>
              <w:left w:w="70" w:type="dxa"/>
              <w:bottom w:w="0" w:type="dxa"/>
              <w:right w:w="70" w:type="dxa"/>
            </w:tcMar>
            <w:vAlign w:val="bottom"/>
            <w:hideMark/>
          </w:tcPr>
          <w:p w:rsidR="000A7585" w:rsidRPr="00AE6EDB" w:rsidRDefault="000A7585" w:rsidP="00DE0EEC">
            <w:pPr>
              <w:spacing w:line="276" w:lineRule="auto"/>
              <w:jc w:val="center"/>
              <w:rPr>
                <w:rFonts w:eastAsia="Calibri"/>
                <w:b/>
                <w:bCs/>
              </w:rPr>
            </w:pPr>
            <w:r w:rsidRPr="00AE6EDB">
              <w:rPr>
                <w:rFonts w:eastAsia="Calibri"/>
                <w:b/>
                <w:bCs/>
                <w:szCs w:val="22"/>
              </w:rPr>
              <w:t>2014</w:t>
            </w:r>
          </w:p>
        </w:tc>
        <w:tc>
          <w:tcPr>
            <w:tcW w:w="1496" w:type="dxa"/>
            <w:tcBorders>
              <w:top w:val="single" w:sz="4" w:space="0" w:color="auto"/>
            </w:tcBorders>
            <w:noWrap/>
            <w:tcMar>
              <w:top w:w="0" w:type="dxa"/>
              <w:left w:w="70" w:type="dxa"/>
              <w:bottom w:w="0" w:type="dxa"/>
              <w:right w:w="70" w:type="dxa"/>
            </w:tcMar>
            <w:vAlign w:val="bottom"/>
            <w:hideMark/>
          </w:tcPr>
          <w:p w:rsidR="000A7585" w:rsidRPr="00AE6EDB" w:rsidRDefault="00AC44CB" w:rsidP="00DE0EEC">
            <w:pPr>
              <w:spacing w:line="276" w:lineRule="auto"/>
              <w:jc w:val="center"/>
              <w:rPr>
                <w:rFonts w:eastAsia="Calibri"/>
              </w:rPr>
            </w:pPr>
            <w:r>
              <w:rPr>
                <w:rFonts w:eastAsia="Calibri"/>
                <w:szCs w:val="22"/>
              </w:rPr>
              <w:t>8 8</w:t>
            </w:r>
            <w:r w:rsidR="000A7585" w:rsidRPr="00AE6EDB">
              <w:rPr>
                <w:rFonts w:eastAsia="Calibri"/>
                <w:szCs w:val="22"/>
              </w:rPr>
              <w:t>71</w:t>
            </w:r>
          </w:p>
        </w:tc>
        <w:tc>
          <w:tcPr>
            <w:tcW w:w="1310" w:type="dxa"/>
            <w:tcBorders>
              <w:top w:val="single" w:sz="4" w:space="0" w:color="auto"/>
            </w:tcBorders>
            <w:noWrap/>
            <w:tcMar>
              <w:top w:w="0" w:type="dxa"/>
              <w:left w:w="70" w:type="dxa"/>
              <w:bottom w:w="0" w:type="dxa"/>
              <w:right w:w="70" w:type="dxa"/>
            </w:tcMar>
            <w:vAlign w:val="bottom"/>
            <w:hideMark/>
          </w:tcPr>
          <w:p w:rsidR="000A7585" w:rsidRPr="00AE6EDB" w:rsidRDefault="000A7585" w:rsidP="00DE0EEC">
            <w:pPr>
              <w:spacing w:line="276" w:lineRule="auto"/>
              <w:jc w:val="center"/>
              <w:rPr>
                <w:rFonts w:eastAsia="Calibri"/>
              </w:rPr>
            </w:pPr>
            <w:r w:rsidRPr="00AE6EDB">
              <w:rPr>
                <w:rFonts w:eastAsia="Calibri"/>
                <w:szCs w:val="22"/>
              </w:rPr>
              <w:t>1</w:t>
            </w:r>
            <w:r w:rsidR="00AC44CB">
              <w:rPr>
                <w:rFonts w:eastAsia="Calibri"/>
                <w:szCs w:val="22"/>
              </w:rPr>
              <w:t>7 9</w:t>
            </w:r>
            <w:r w:rsidRPr="00AE6EDB">
              <w:rPr>
                <w:rFonts w:eastAsia="Calibri"/>
                <w:szCs w:val="22"/>
              </w:rPr>
              <w:t>06</w:t>
            </w:r>
          </w:p>
        </w:tc>
        <w:tc>
          <w:tcPr>
            <w:tcW w:w="1610" w:type="dxa"/>
            <w:tcBorders>
              <w:top w:val="single" w:sz="4" w:space="0" w:color="auto"/>
            </w:tcBorders>
            <w:noWrap/>
            <w:tcMar>
              <w:top w:w="0" w:type="dxa"/>
              <w:left w:w="70" w:type="dxa"/>
              <w:bottom w:w="0" w:type="dxa"/>
              <w:right w:w="70" w:type="dxa"/>
            </w:tcMar>
            <w:vAlign w:val="bottom"/>
            <w:hideMark/>
          </w:tcPr>
          <w:p w:rsidR="000A7585" w:rsidRPr="00AE6EDB" w:rsidRDefault="000A7585" w:rsidP="00DE0EEC">
            <w:pPr>
              <w:spacing w:line="276" w:lineRule="auto"/>
              <w:jc w:val="center"/>
              <w:rPr>
                <w:rFonts w:eastAsia="Calibri"/>
              </w:rPr>
            </w:pPr>
            <w:r w:rsidRPr="00AE6EDB">
              <w:rPr>
                <w:rFonts w:eastAsia="Calibri"/>
                <w:szCs w:val="22"/>
              </w:rPr>
              <w:t>5</w:t>
            </w:r>
            <w:r w:rsidR="0054295F">
              <w:rPr>
                <w:rFonts w:eastAsia="Calibri"/>
                <w:szCs w:val="22"/>
              </w:rPr>
              <w:t>2 0</w:t>
            </w:r>
            <w:r w:rsidRPr="00AE6EDB">
              <w:rPr>
                <w:rFonts w:eastAsia="Calibri"/>
                <w:szCs w:val="22"/>
              </w:rPr>
              <w:t>48</w:t>
            </w:r>
          </w:p>
        </w:tc>
        <w:tc>
          <w:tcPr>
            <w:tcW w:w="1136" w:type="dxa"/>
            <w:tcBorders>
              <w:top w:val="single" w:sz="4" w:space="0" w:color="auto"/>
            </w:tcBorders>
            <w:noWrap/>
            <w:tcMar>
              <w:top w:w="0" w:type="dxa"/>
              <w:left w:w="70" w:type="dxa"/>
              <w:bottom w:w="0" w:type="dxa"/>
              <w:right w:w="70" w:type="dxa"/>
            </w:tcMar>
            <w:vAlign w:val="bottom"/>
            <w:hideMark/>
          </w:tcPr>
          <w:p w:rsidR="000A7585" w:rsidRPr="00AE6EDB" w:rsidRDefault="000A7585" w:rsidP="00DE0EEC">
            <w:pPr>
              <w:spacing w:line="276" w:lineRule="auto"/>
              <w:jc w:val="center"/>
              <w:rPr>
                <w:rFonts w:eastAsia="Calibri"/>
              </w:rPr>
            </w:pPr>
            <w:r w:rsidRPr="00AE6EDB">
              <w:rPr>
                <w:rFonts w:eastAsia="Calibri"/>
                <w:szCs w:val="22"/>
              </w:rPr>
              <w:t>84</w:t>
            </w:r>
          </w:p>
        </w:tc>
      </w:tr>
      <w:tr w:rsidR="000A7585" w:rsidRPr="00AE6EDB" w:rsidTr="00DE0EEC">
        <w:trPr>
          <w:trHeight w:val="340"/>
          <w:jc w:val="center"/>
        </w:trPr>
        <w:tc>
          <w:tcPr>
            <w:tcW w:w="841" w:type="dxa"/>
            <w:noWrap/>
            <w:tcMar>
              <w:top w:w="0" w:type="dxa"/>
              <w:left w:w="70" w:type="dxa"/>
              <w:bottom w:w="0" w:type="dxa"/>
              <w:right w:w="70" w:type="dxa"/>
            </w:tcMar>
            <w:vAlign w:val="bottom"/>
          </w:tcPr>
          <w:p w:rsidR="000A7585" w:rsidRPr="00AE6EDB" w:rsidRDefault="000A7585" w:rsidP="00DE0EEC">
            <w:pPr>
              <w:spacing w:line="276" w:lineRule="auto"/>
              <w:jc w:val="center"/>
              <w:rPr>
                <w:rFonts w:eastAsia="Calibri"/>
                <w:b/>
                <w:bCs/>
              </w:rPr>
            </w:pPr>
            <w:r w:rsidRPr="00AE6EDB">
              <w:rPr>
                <w:rFonts w:eastAsia="Calibri"/>
                <w:b/>
                <w:bCs/>
                <w:szCs w:val="22"/>
              </w:rPr>
              <w:t>2015</w:t>
            </w:r>
          </w:p>
        </w:tc>
        <w:tc>
          <w:tcPr>
            <w:tcW w:w="1496" w:type="dxa"/>
            <w:noWrap/>
            <w:tcMar>
              <w:top w:w="0" w:type="dxa"/>
              <w:left w:w="70" w:type="dxa"/>
              <w:bottom w:w="0" w:type="dxa"/>
              <w:right w:w="70" w:type="dxa"/>
            </w:tcMar>
            <w:vAlign w:val="bottom"/>
          </w:tcPr>
          <w:p w:rsidR="000A7585" w:rsidRPr="00AE6EDB" w:rsidRDefault="00AC44CB" w:rsidP="00DE0EEC">
            <w:pPr>
              <w:spacing w:line="276" w:lineRule="auto"/>
              <w:jc w:val="center"/>
              <w:rPr>
                <w:rFonts w:eastAsia="Calibri"/>
              </w:rPr>
            </w:pPr>
            <w:r>
              <w:rPr>
                <w:rFonts w:eastAsia="Calibri"/>
              </w:rPr>
              <w:t>8 2</w:t>
            </w:r>
            <w:r w:rsidR="000A7585" w:rsidRPr="00AE6EDB">
              <w:rPr>
                <w:rFonts w:eastAsia="Calibri"/>
              </w:rPr>
              <w:t>74</w:t>
            </w:r>
          </w:p>
        </w:tc>
        <w:tc>
          <w:tcPr>
            <w:tcW w:w="1310" w:type="dxa"/>
            <w:noWrap/>
            <w:tcMar>
              <w:top w:w="0" w:type="dxa"/>
              <w:left w:w="70" w:type="dxa"/>
              <w:bottom w:w="0" w:type="dxa"/>
              <w:right w:w="70" w:type="dxa"/>
            </w:tcMar>
            <w:vAlign w:val="bottom"/>
          </w:tcPr>
          <w:p w:rsidR="000A7585" w:rsidRPr="00AE6EDB" w:rsidRDefault="000A7585" w:rsidP="00DE0EEC">
            <w:pPr>
              <w:spacing w:line="276" w:lineRule="auto"/>
              <w:jc w:val="center"/>
              <w:rPr>
                <w:rFonts w:eastAsia="Calibri"/>
              </w:rPr>
            </w:pPr>
            <w:r w:rsidRPr="00AE6EDB">
              <w:rPr>
                <w:rFonts w:eastAsia="Calibri"/>
              </w:rPr>
              <w:t>1</w:t>
            </w:r>
            <w:r w:rsidR="00AC44CB">
              <w:rPr>
                <w:rFonts w:eastAsia="Calibri"/>
              </w:rPr>
              <w:t>7 1</w:t>
            </w:r>
            <w:r w:rsidRPr="00AE6EDB">
              <w:rPr>
                <w:rFonts w:eastAsia="Calibri"/>
              </w:rPr>
              <w:t>07</w:t>
            </w:r>
          </w:p>
        </w:tc>
        <w:tc>
          <w:tcPr>
            <w:tcW w:w="1610" w:type="dxa"/>
            <w:noWrap/>
            <w:tcMar>
              <w:top w:w="0" w:type="dxa"/>
              <w:left w:w="70" w:type="dxa"/>
              <w:bottom w:w="0" w:type="dxa"/>
              <w:right w:w="70" w:type="dxa"/>
            </w:tcMar>
            <w:vAlign w:val="bottom"/>
          </w:tcPr>
          <w:p w:rsidR="000A7585" w:rsidRPr="00AE6EDB" w:rsidRDefault="000A7585" w:rsidP="00DE0EEC">
            <w:pPr>
              <w:spacing w:line="276" w:lineRule="auto"/>
              <w:jc w:val="center"/>
              <w:rPr>
                <w:rFonts w:eastAsia="Calibri"/>
              </w:rPr>
            </w:pPr>
            <w:r w:rsidRPr="00AE6EDB">
              <w:rPr>
                <w:rFonts w:eastAsia="Calibri"/>
              </w:rPr>
              <w:t>4</w:t>
            </w:r>
            <w:r w:rsidR="00AC44CB">
              <w:rPr>
                <w:rFonts w:eastAsia="Calibri"/>
              </w:rPr>
              <w:t>7 0</w:t>
            </w:r>
            <w:r w:rsidRPr="00AE6EDB">
              <w:rPr>
                <w:rFonts w:eastAsia="Calibri"/>
              </w:rPr>
              <w:t>42</w:t>
            </w:r>
          </w:p>
        </w:tc>
        <w:tc>
          <w:tcPr>
            <w:tcW w:w="1136" w:type="dxa"/>
            <w:noWrap/>
            <w:tcMar>
              <w:top w:w="0" w:type="dxa"/>
              <w:left w:w="70" w:type="dxa"/>
              <w:bottom w:w="0" w:type="dxa"/>
              <w:right w:w="70" w:type="dxa"/>
            </w:tcMar>
            <w:vAlign w:val="bottom"/>
          </w:tcPr>
          <w:p w:rsidR="000A7585" w:rsidRPr="00AE6EDB" w:rsidRDefault="000A7585" w:rsidP="00DE0EEC">
            <w:pPr>
              <w:spacing w:line="276" w:lineRule="auto"/>
              <w:jc w:val="center"/>
              <w:rPr>
                <w:rFonts w:eastAsia="Calibri"/>
              </w:rPr>
            </w:pPr>
            <w:r w:rsidRPr="00AE6EDB">
              <w:rPr>
                <w:rFonts w:eastAsia="Calibri"/>
              </w:rPr>
              <w:t>91</w:t>
            </w:r>
          </w:p>
        </w:tc>
      </w:tr>
    </w:tbl>
    <w:p w:rsidR="000A7585" w:rsidRPr="00AE6EDB" w:rsidRDefault="000A7585" w:rsidP="000A7585">
      <w:pPr>
        <w:ind w:left="425" w:firstLine="1276"/>
        <w:rPr>
          <w:rFonts w:eastAsia="Calibri"/>
          <w:b/>
          <w:bCs/>
          <w:sz w:val="20"/>
          <w:szCs w:val="22"/>
        </w:rPr>
      </w:pPr>
      <w:r w:rsidRPr="00AE6EDB">
        <w:rPr>
          <w:rFonts w:eastAsia="Calibri"/>
          <w:i/>
          <w:iCs/>
          <w:sz w:val="20"/>
          <w:szCs w:val="22"/>
        </w:rPr>
        <w:t xml:space="preserve">Zdroj: </w:t>
      </w:r>
      <w:r w:rsidR="001D024E" w:rsidRPr="00AE6EDB">
        <w:rPr>
          <w:rFonts w:eastAsia="Calibri"/>
          <w:i/>
          <w:iCs/>
          <w:szCs w:val="22"/>
        </w:rPr>
        <w:t>Ročný výkaz o vykonávaní poradensko-psychologických služieb</w:t>
      </w:r>
    </w:p>
    <w:p w:rsidR="000A7585" w:rsidRPr="00AE6EDB" w:rsidRDefault="000A7585" w:rsidP="000A7585">
      <w:pPr>
        <w:rPr>
          <w:rFonts w:eastAsia="Calibri"/>
          <w:b/>
          <w:bCs/>
          <w:sz w:val="18"/>
          <w:szCs w:val="22"/>
          <w:highlight w:val="cyan"/>
        </w:rPr>
      </w:pPr>
    </w:p>
    <w:p w:rsidR="000A7585" w:rsidRPr="00AE6EDB" w:rsidRDefault="000A7585" w:rsidP="000A7585">
      <w:pPr>
        <w:rPr>
          <w:rFonts w:eastAsia="Calibri"/>
          <w:b/>
          <w:bCs/>
          <w:sz w:val="18"/>
          <w:szCs w:val="22"/>
          <w:highlight w:val="cyan"/>
        </w:rPr>
      </w:pPr>
    </w:p>
    <w:p w:rsidR="000A7585" w:rsidRPr="00AE6EDB" w:rsidRDefault="000A7585" w:rsidP="000A7585">
      <w:pPr>
        <w:pStyle w:val="Nadpis7"/>
        <w:spacing w:before="120"/>
        <w:rPr>
          <w:rFonts w:eastAsia="Calibri"/>
        </w:rPr>
      </w:pPr>
      <w:r w:rsidRPr="00AE6EDB">
        <w:rPr>
          <w:rFonts w:eastAsia="Calibri"/>
        </w:rPr>
        <w:t>Tabuľka 20 Činnosť referátov poradensko-psychologických služieb v roku 2014 a 2015</w:t>
      </w:r>
    </w:p>
    <w:tbl>
      <w:tblPr>
        <w:tblW w:w="87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11"/>
        <w:gridCol w:w="1560"/>
        <w:gridCol w:w="1417"/>
        <w:gridCol w:w="1416"/>
        <w:gridCol w:w="1417"/>
      </w:tblGrid>
      <w:tr w:rsidR="000A7585" w:rsidRPr="00AE6EDB" w:rsidTr="00DE0EEC">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AE6EDB" w:rsidRDefault="000A7585" w:rsidP="00DE0EEC">
            <w:pPr>
              <w:jc w:val="center"/>
              <w:rPr>
                <w:rFonts w:eastAsia="Calibri"/>
                <w:b/>
                <w:bCs/>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Rok 2014</w:t>
            </w:r>
          </w:p>
        </w:tc>
        <w:tc>
          <w:tcPr>
            <w:tcW w:w="283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tcPr>
          <w:p w:rsidR="000A7585" w:rsidRPr="00AE6EDB" w:rsidRDefault="000A7585" w:rsidP="00DE0EEC">
            <w:pPr>
              <w:jc w:val="center"/>
              <w:rPr>
                <w:rFonts w:eastAsia="Calibri"/>
                <w:b/>
                <w:bCs/>
              </w:rPr>
            </w:pPr>
            <w:r w:rsidRPr="00AE6EDB">
              <w:rPr>
                <w:rFonts w:eastAsia="Calibri"/>
                <w:b/>
                <w:bCs/>
                <w:szCs w:val="22"/>
              </w:rPr>
              <w:t>Rok 2015</w:t>
            </w:r>
          </w:p>
        </w:tc>
      </w:tr>
      <w:tr w:rsidR="000A7585" w:rsidRPr="00AE6EDB" w:rsidTr="00DE0EEC">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Problematika</w:t>
            </w:r>
          </w:p>
        </w:tc>
        <w:tc>
          <w:tcPr>
            <w:tcW w:w="156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Počet konzultácií</w:t>
            </w:r>
          </w:p>
        </w:tc>
        <w:tc>
          <w:tcPr>
            <w:tcW w:w="1416"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0A7585" w:rsidRPr="00AE6EDB" w:rsidRDefault="000A7585" w:rsidP="00DE0EEC">
            <w:pPr>
              <w:jc w:val="center"/>
              <w:rPr>
                <w:rFonts w:eastAsia="Calibri"/>
                <w:b/>
                <w:bCs/>
              </w:rPr>
            </w:pPr>
            <w:r w:rsidRPr="00AE6EDB">
              <w:rPr>
                <w:rFonts w:eastAsia="Calibri"/>
                <w:b/>
                <w:bCs/>
                <w:szCs w:val="22"/>
              </w:rPr>
              <w:t>Počet konzultácií</w:t>
            </w:r>
          </w:p>
        </w:tc>
      </w:tr>
      <w:tr w:rsidR="000A7585" w:rsidRPr="00AE6EDB" w:rsidTr="00DE0EEC">
        <w:trPr>
          <w:trHeight w:val="340"/>
          <w:jc w:val="center"/>
        </w:trPr>
        <w:tc>
          <w:tcPr>
            <w:tcW w:w="2911" w:type="dxa"/>
            <w:tcBorders>
              <w:top w:val="single" w:sz="4" w:space="0" w:color="auto"/>
            </w:tcBorders>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 xml:space="preserve">Rodinná </w:t>
            </w:r>
          </w:p>
        </w:tc>
        <w:tc>
          <w:tcPr>
            <w:tcW w:w="1560" w:type="dxa"/>
            <w:tcBorders>
              <w:top w:val="single" w:sz="4" w:space="0" w:color="auto"/>
            </w:tcBorders>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2 6</w:t>
            </w:r>
            <w:r w:rsidR="000A7585" w:rsidRPr="00AE6EDB">
              <w:rPr>
                <w:rFonts w:eastAsia="Calibri"/>
                <w:szCs w:val="22"/>
              </w:rPr>
              <w:t>30</w:t>
            </w:r>
          </w:p>
        </w:tc>
        <w:tc>
          <w:tcPr>
            <w:tcW w:w="1417" w:type="dxa"/>
            <w:tcBorders>
              <w:top w:val="single" w:sz="4" w:space="0" w:color="auto"/>
            </w:tcBorders>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1</w:t>
            </w:r>
            <w:r w:rsidR="0054295F">
              <w:rPr>
                <w:rFonts w:eastAsia="Calibri"/>
                <w:szCs w:val="22"/>
              </w:rPr>
              <w:t>1 6</w:t>
            </w:r>
            <w:r w:rsidRPr="00AE6EDB">
              <w:rPr>
                <w:rFonts w:eastAsia="Calibri"/>
                <w:szCs w:val="22"/>
              </w:rPr>
              <w:t>21</w:t>
            </w:r>
          </w:p>
        </w:tc>
        <w:tc>
          <w:tcPr>
            <w:tcW w:w="1416" w:type="dxa"/>
            <w:tcBorders>
              <w:top w:val="single" w:sz="4" w:space="0" w:color="auto"/>
            </w:tcBorders>
            <w:tcMar>
              <w:top w:w="0" w:type="dxa"/>
              <w:left w:w="70" w:type="dxa"/>
              <w:bottom w:w="0" w:type="dxa"/>
              <w:right w:w="70" w:type="dxa"/>
            </w:tcMar>
          </w:tcPr>
          <w:p w:rsidR="000A7585" w:rsidRPr="00AE6EDB" w:rsidRDefault="0054295F" w:rsidP="00DE0EEC">
            <w:pPr>
              <w:ind w:right="356"/>
              <w:jc w:val="right"/>
              <w:rPr>
                <w:rFonts w:eastAsia="Calibri"/>
              </w:rPr>
            </w:pPr>
            <w:r>
              <w:rPr>
                <w:rFonts w:eastAsia="Calibri"/>
              </w:rPr>
              <w:t>2 5</w:t>
            </w:r>
            <w:r w:rsidR="000A7585" w:rsidRPr="00AE6EDB">
              <w:rPr>
                <w:rFonts w:eastAsia="Calibri"/>
              </w:rPr>
              <w:t>73</w:t>
            </w:r>
          </w:p>
        </w:tc>
        <w:tc>
          <w:tcPr>
            <w:tcW w:w="1417" w:type="dxa"/>
            <w:tcBorders>
              <w:top w:val="single" w:sz="4" w:space="0" w:color="auto"/>
            </w:tcBorders>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1</w:t>
            </w:r>
            <w:r w:rsidR="0054295F">
              <w:rPr>
                <w:rFonts w:eastAsia="Calibri"/>
              </w:rPr>
              <w:t>1 8</w:t>
            </w:r>
            <w:r w:rsidRPr="00AE6EDB">
              <w:rPr>
                <w:rFonts w:eastAsia="Calibri"/>
              </w:rPr>
              <w:t>24</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Rozvodová, porozvodová</w:t>
            </w:r>
          </w:p>
        </w:tc>
        <w:tc>
          <w:tcPr>
            <w:tcW w:w="1560" w:type="dxa"/>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2 6</w:t>
            </w:r>
            <w:r w:rsidR="000A7585" w:rsidRPr="00AE6EDB">
              <w:rPr>
                <w:rFonts w:eastAsia="Calibri"/>
                <w:szCs w:val="22"/>
              </w:rPr>
              <w:t>20</w:t>
            </w:r>
          </w:p>
        </w:tc>
        <w:tc>
          <w:tcPr>
            <w:tcW w:w="1417"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1</w:t>
            </w:r>
            <w:r w:rsidR="0054295F">
              <w:rPr>
                <w:rFonts w:eastAsia="Calibri"/>
                <w:szCs w:val="22"/>
              </w:rPr>
              <w:t>1 5</w:t>
            </w:r>
            <w:r w:rsidRPr="00AE6EDB">
              <w:rPr>
                <w:rFonts w:eastAsia="Calibri"/>
                <w:szCs w:val="22"/>
              </w:rPr>
              <w:t>09</w:t>
            </w:r>
          </w:p>
        </w:tc>
        <w:tc>
          <w:tcPr>
            <w:tcW w:w="1416" w:type="dxa"/>
            <w:tcMar>
              <w:top w:w="0" w:type="dxa"/>
              <w:left w:w="70" w:type="dxa"/>
              <w:bottom w:w="0" w:type="dxa"/>
              <w:right w:w="70" w:type="dxa"/>
            </w:tcMar>
          </w:tcPr>
          <w:p w:rsidR="000A7585" w:rsidRPr="00AE6EDB" w:rsidRDefault="0054295F" w:rsidP="00DE0EEC">
            <w:pPr>
              <w:ind w:right="356"/>
              <w:jc w:val="right"/>
              <w:rPr>
                <w:rFonts w:eastAsia="Calibri"/>
              </w:rPr>
            </w:pPr>
            <w:r>
              <w:rPr>
                <w:rFonts w:eastAsia="Calibri"/>
              </w:rPr>
              <w:t>2 4</w:t>
            </w:r>
            <w:r w:rsidR="000A7585" w:rsidRPr="00AE6EDB">
              <w:rPr>
                <w:rFonts w:eastAsia="Calibri"/>
              </w:rPr>
              <w:t>44</w:t>
            </w:r>
          </w:p>
        </w:tc>
        <w:tc>
          <w:tcPr>
            <w:tcW w:w="1417"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1</w:t>
            </w:r>
            <w:r w:rsidR="0054295F">
              <w:rPr>
                <w:rFonts w:eastAsia="Calibri"/>
              </w:rPr>
              <w:t>1 7</w:t>
            </w:r>
            <w:r w:rsidRPr="00AE6EDB">
              <w:rPr>
                <w:rFonts w:eastAsia="Calibri"/>
              </w:rPr>
              <w:t>63</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Partnerská, manželská</w:t>
            </w:r>
          </w:p>
        </w:tc>
        <w:tc>
          <w:tcPr>
            <w:tcW w:w="1560" w:type="dxa"/>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1 0</w:t>
            </w:r>
            <w:r w:rsidR="000A7585" w:rsidRPr="00AE6EDB">
              <w:rPr>
                <w:rFonts w:eastAsia="Calibri"/>
                <w:szCs w:val="22"/>
              </w:rPr>
              <w:t>00</w:t>
            </w:r>
          </w:p>
        </w:tc>
        <w:tc>
          <w:tcPr>
            <w:tcW w:w="1417" w:type="dxa"/>
            <w:noWrap/>
            <w:tcMar>
              <w:top w:w="0" w:type="dxa"/>
              <w:left w:w="70" w:type="dxa"/>
              <w:bottom w:w="0" w:type="dxa"/>
              <w:right w:w="70" w:type="dxa"/>
            </w:tcMar>
            <w:hideMark/>
          </w:tcPr>
          <w:p w:rsidR="000A7585" w:rsidRPr="00AE6EDB" w:rsidRDefault="00AC44CB" w:rsidP="00DE0EEC">
            <w:pPr>
              <w:ind w:right="356"/>
              <w:jc w:val="right"/>
              <w:rPr>
                <w:rFonts w:eastAsia="Calibri"/>
              </w:rPr>
            </w:pPr>
            <w:r>
              <w:rPr>
                <w:rFonts w:eastAsia="Calibri"/>
                <w:szCs w:val="22"/>
              </w:rPr>
              <w:t>4 9</w:t>
            </w:r>
            <w:r w:rsidR="000A7585" w:rsidRPr="00AE6EDB">
              <w:rPr>
                <w:rFonts w:eastAsia="Calibri"/>
                <w:szCs w:val="22"/>
              </w:rPr>
              <w:t>99</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879</w:t>
            </w:r>
          </w:p>
        </w:tc>
        <w:tc>
          <w:tcPr>
            <w:tcW w:w="1417" w:type="dxa"/>
            <w:tcMar>
              <w:top w:w="0" w:type="dxa"/>
              <w:left w:w="70" w:type="dxa"/>
              <w:bottom w:w="0" w:type="dxa"/>
              <w:right w:w="70" w:type="dxa"/>
            </w:tcMar>
          </w:tcPr>
          <w:p w:rsidR="000A7585" w:rsidRPr="00AE6EDB" w:rsidRDefault="0054295F" w:rsidP="00DE0EEC">
            <w:pPr>
              <w:ind w:right="356"/>
              <w:jc w:val="right"/>
              <w:rPr>
                <w:rFonts w:eastAsia="Calibri"/>
              </w:rPr>
            </w:pPr>
            <w:r>
              <w:rPr>
                <w:rFonts w:eastAsia="Calibri"/>
              </w:rPr>
              <w:t>4 5</w:t>
            </w:r>
            <w:r w:rsidR="000A7585" w:rsidRPr="00AE6EDB">
              <w:rPr>
                <w:rFonts w:eastAsia="Calibri"/>
              </w:rPr>
              <w:t>17</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Osobnostná</w:t>
            </w:r>
          </w:p>
        </w:tc>
        <w:tc>
          <w:tcPr>
            <w:tcW w:w="1560"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697</w:t>
            </w:r>
          </w:p>
        </w:tc>
        <w:tc>
          <w:tcPr>
            <w:tcW w:w="1417" w:type="dxa"/>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3 6</w:t>
            </w:r>
            <w:r w:rsidR="000A7585" w:rsidRPr="00AE6EDB">
              <w:rPr>
                <w:rFonts w:eastAsia="Calibri"/>
                <w:szCs w:val="22"/>
              </w:rPr>
              <w:t>24</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625</w:t>
            </w:r>
          </w:p>
        </w:tc>
        <w:tc>
          <w:tcPr>
            <w:tcW w:w="1417" w:type="dxa"/>
            <w:tcMar>
              <w:top w:w="0" w:type="dxa"/>
              <w:left w:w="70" w:type="dxa"/>
              <w:bottom w:w="0" w:type="dxa"/>
              <w:right w:w="70" w:type="dxa"/>
            </w:tcMar>
          </w:tcPr>
          <w:p w:rsidR="000A7585" w:rsidRPr="00AE6EDB" w:rsidRDefault="0054295F" w:rsidP="00DE0EEC">
            <w:pPr>
              <w:ind w:right="356"/>
              <w:jc w:val="right"/>
              <w:rPr>
                <w:rFonts w:eastAsia="Calibri"/>
              </w:rPr>
            </w:pPr>
            <w:r>
              <w:rPr>
                <w:rFonts w:eastAsia="Calibri"/>
              </w:rPr>
              <w:t>3 3</w:t>
            </w:r>
            <w:r w:rsidR="000A7585" w:rsidRPr="00AE6EDB">
              <w:rPr>
                <w:rFonts w:eastAsia="Calibri"/>
              </w:rPr>
              <w:t>06</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Náhradná rodinná starostlivosť</w:t>
            </w:r>
          </w:p>
        </w:tc>
        <w:tc>
          <w:tcPr>
            <w:tcW w:w="1560" w:type="dxa"/>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1 0</w:t>
            </w:r>
            <w:r w:rsidR="000A7585" w:rsidRPr="00AE6EDB">
              <w:rPr>
                <w:rFonts w:eastAsia="Calibri"/>
                <w:szCs w:val="22"/>
              </w:rPr>
              <w:t>12</w:t>
            </w:r>
          </w:p>
        </w:tc>
        <w:tc>
          <w:tcPr>
            <w:tcW w:w="1417" w:type="dxa"/>
            <w:noWrap/>
            <w:tcMar>
              <w:top w:w="0" w:type="dxa"/>
              <w:left w:w="70" w:type="dxa"/>
              <w:bottom w:w="0" w:type="dxa"/>
              <w:right w:w="70" w:type="dxa"/>
            </w:tcMar>
            <w:hideMark/>
          </w:tcPr>
          <w:p w:rsidR="000A7585" w:rsidRPr="00AE6EDB" w:rsidRDefault="00AC44CB" w:rsidP="00DE0EEC">
            <w:pPr>
              <w:ind w:right="356"/>
              <w:jc w:val="right"/>
              <w:rPr>
                <w:rFonts w:eastAsia="Calibri"/>
              </w:rPr>
            </w:pPr>
            <w:r>
              <w:rPr>
                <w:rFonts w:eastAsia="Calibri"/>
                <w:szCs w:val="22"/>
              </w:rPr>
              <w:t>9 2</w:t>
            </w:r>
            <w:r w:rsidR="000A7585" w:rsidRPr="00AE6EDB">
              <w:rPr>
                <w:rFonts w:eastAsia="Calibri"/>
                <w:szCs w:val="22"/>
              </w:rPr>
              <w:t>77</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959</w:t>
            </w:r>
          </w:p>
        </w:tc>
        <w:tc>
          <w:tcPr>
            <w:tcW w:w="1417" w:type="dxa"/>
            <w:tcMar>
              <w:top w:w="0" w:type="dxa"/>
              <w:left w:w="70" w:type="dxa"/>
              <w:bottom w:w="0" w:type="dxa"/>
              <w:right w:w="70" w:type="dxa"/>
            </w:tcMar>
          </w:tcPr>
          <w:p w:rsidR="000A7585" w:rsidRPr="00AE6EDB" w:rsidRDefault="00AC44CB" w:rsidP="00DE0EEC">
            <w:pPr>
              <w:ind w:right="356"/>
              <w:jc w:val="right"/>
              <w:rPr>
                <w:rFonts w:eastAsia="Calibri"/>
              </w:rPr>
            </w:pPr>
            <w:r>
              <w:rPr>
                <w:rFonts w:eastAsia="Calibri"/>
              </w:rPr>
              <w:t>8 4</w:t>
            </w:r>
            <w:r w:rsidR="000A7585" w:rsidRPr="00AE6EDB">
              <w:rPr>
                <w:rFonts w:eastAsia="Calibri"/>
              </w:rPr>
              <w:t>13</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Iná/Rôzne</w:t>
            </w:r>
          </w:p>
        </w:tc>
        <w:tc>
          <w:tcPr>
            <w:tcW w:w="1560"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368</w:t>
            </w:r>
          </w:p>
        </w:tc>
        <w:tc>
          <w:tcPr>
            <w:tcW w:w="1417" w:type="dxa"/>
            <w:noWrap/>
            <w:tcMar>
              <w:top w:w="0" w:type="dxa"/>
              <w:left w:w="70" w:type="dxa"/>
              <w:bottom w:w="0" w:type="dxa"/>
              <w:right w:w="70" w:type="dxa"/>
            </w:tcMar>
            <w:hideMark/>
          </w:tcPr>
          <w:p w:rsidR="000A7585" w:rsidRPr="00AE6EDB" w:rsidRDefault="0054295F" w:rsidP="00DE0EEC">
            <w:pPr>
              <w:ind w:right="356"/>
              <w:jc w:val="right"/>
              <w:rPr>
                <w:rFonts w:eastAsia="Calibri"/>
              </w:rPr>
            </w:pPr>
            <w:r>
              <w:rPr>
                <w:rFonts w:eastAsia="Calibri"/>
                <w:szCs w:val="22"/>
              </w:rPr>
              <w:t>1 1</w:t>
            </w:r>
            <w:r w:rsidR="000A7585" w:rsidRPr="00AE6EDB">
              <w:rPr>
                <w:rFonts w:eastAsia="Calibri"/>
                <w:szCs w:val="22"/>
              </w:rPr>
              <w:t>86</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410</w:t>
            </w:r>
          </w:p>
        </w:tc>
        <w:tc>
          <w:tcPr>
            <w:tcW w:w="1417" w:type="dxa"/>
            <w:tcMar>
              <w:top w:w="0" w:type="dxa"/>
              <w:left w:w="70" w:type="dxa"/>
              <w:bottom w:w="0" w:type="dxa"/>
              <w:right w:w="70" w:type="dxa"/>
            </w:tcMar>
          </w:tcPr>
          <w:p w:rsidR="000A7585" w:rsidRPr="00AE6EDB" w:rsidRDefault="0054295F" w:rsidP="00DE0EEC">
            <w:pPr>
              <w:ind w:right="356"/>
              <w:jc w:val="right"/>
              <w:rPr>
                <w:rFonts w:eastAsia="Calibri"/>
              </w:rPr>
            </w:pPr>
            <w:r>
              <w:rPr>
                <w:rFonts w:eastAsia="Calibri"/>
              </w:rPr>
              <w:t>1 2</w:t>
            </w:r>
            <w:r w:rsidR="000A7585" w:rsidRPr="00AE6EDB">
              <w:rPr>
                <w:rFonts w:eastAsia="Calibri"/>
              </w:rPr>
              <w:t>49</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Drogové a iné závislosti</w:t>
            </w:r>
          </w:p>
        </w:tc>
        <w:tc>
          <w:tcPr>
            <w:tcW w:w="1560"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187</w:t>
            </w:r>
          </w:p>
        </w:tc>
        <w:tc>
          <w:tcPr>
            <w:tcW w:w="1417"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rPr>
              <w:t>910</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144</w:t>
            </w:r>
          </w:p>
        </w:tc>
        <w:tc>
          <w:tcPr>
            <w:tcW w:w="1417"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852</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Profesionálna rodina</w:t>
            </w:r>
          </w:p>
        </w:tc>
        <w:tc>
          <w:tcPr>
            <w:tcW w:w="1560"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322</w:t>
            </w:r>
          </w:p>
        </w:tc>
        <w:tc>
          <w:tcPr>
            <w:tcW w:w="1417" w:type="dxa"/>
            <w:noWrap/>
            <w:tcMar>
              <w:top w:w="0" w:type="dxa"/>
              <w:left w:w="70" w:type="dxa"/>
              <w:bottom w:w="0" w:type="dxa"/>
              <w:right w:w="70" w:type="dxa"/>
            </w:tcMar>
            <w:hideMark/>
          </w:tcPr>
          <w:p w:rsidR="000A7585" w:rsidRPr="00AE6EDB" w:rsidRDefault="00AC44CB" w:rsidP="00DE0EEC">
            <w:pPr>
              <w:ind w:right="356"/>
              <w:jc w:val="right"/>
              <w:rPr>
                <w:rFonts w:eastAsia="Calibri"/>
              </w:rPr>
            </w:pPr>
            <w:r>
              <w:rPr>
                <w:rFonts w:eastAsia="Calibri"/>
              </w:rPr>
              <w:t>8 7</w:t>
            </w:r>
            <w:r w:rsidR="000A7585" w:rsidRPr="00AE6EDB">
              <w:rPr>
                <w:rFonts w:eastAsia="Calibri"/>
              </w:rPr>
              <w:t>87</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223</w:t>
            </w:r>
          </w:p>
        </w:tc>
        <w:tc>
          <w:tcPr>
            <w:tcW w:w="1417" w:type="dxa"/>
            <w:tcMar>
              <w:top w:w="0" w:type="dxa"/>
              <w:left w:w="70" w:type="dxa"/>
              <w:bottom w:w="0" w:type="dxa"/>
              <w:right w:w="70" w:type="dxa"/>
            </w:tcMar>
          </w:tcPr>
          <w:p w:rsidR="000A7585" w:rsidRPr="00AE6EDB" w:rsidRDefault="00AC44CB" w:rsidP="00DE0EEC">
            <w:pPr>
              <w:ind w:right="356"/>
              <w:jc w:val="right"/>
              <w:rPr>
                <w:rFonts w:eastAsia="Calibri"/>
              </w:rPr>
            </w:pPr>
            <w:r>
              <w:rPr>
                <w:rFonts w:eastAsia="Calibri"/>
              </w:rPr>
              <w:t>5 0</w:t>
            </w:r>
            <w:r w:rsidR="000A7585" w:rsidRPr="00AE6EDB">
              <w:rPr>
                <w:rFonts w:eastAsia="Calibri"/>
              </w:rPr>
              <w:t>77</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rPr>
            </w:pPr>
            <w:r w:rsidRPr="00AE6EDB">
              <w:rPr>
                <w:rFonts w:eastAsia="Calibri"/>
                <w:szCs w:val="22"/>
              </w:rPr>
              <w:t>Krízová intervencia</w:t>
            </w:r>
          </w:p>
        </w:tc>
        <w:tc>
          <w:tcPr>
            <w:tcW w:w="1560"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szCs w:val="22"/>
              </w:rPr>
              <w:t>35</w:t>
            </w:r>
          </w:p>
        </w:tc>
        <w:tc>
          <w:tcPr>
            <w:tcW w:w="1417" w:type="dxa"/>
            <w:noWrap/>
            <w:tcMar>
              <w:top w:w="0" w:type="dxa"/>
              <w:left w:w="70" w:type="dxa"/>
              <w:bottom w:w="0" w:type="dxa"/>
              <w:right w:w="70" w:type="dxa"/>
            </w:tcMar>
            <w:hideMark/>
          </w:tcPr>
          <w:p w:rsidR="000A7585" w:rsidRPr="00AE6EDB" w:rsidRDefault="000A7585" w:rsidP="00DE0EEC">
            <w:pPr>
              <w:ind w:right="356"/>
              <w:jc w:val="right"/>
              <w:rPr>
                <w:rFonts w:eastAsia="Calibri"/>
              </w:rPr>
            </w:pPr>
            <w:r w:rsidRPr="00AE6EDB">
              <w:rPr>
                <w:rFonts w:eastAsia="Calibri"/>
              </w:rPr>
              <w:t>135</w:t>
            </w:r>
          </w:p>
        </w:tc>
        <w:tc>
          <w:tcPr>
            <w:tcW w:w="1416"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17</w:t>
            </w:r>
          </w:p>
        </w:tc>
        <w:tc>
          <w:tcPr>
            <w:tcW w:w="1417" w:type="dxa"/>
            <w:tcMar>
              <w:top w:w="0" w:type="dxa"/>
              <w:left w:w="70" w:type="dxa"/>
              <w:bottom w:w="0" w:type="dxa"/>
              <w:right w:w="70" w:type="dxa"/>
            </w:tcMar>
          </w:tcPr>
          <w:p w:rsidR="000A7585" w:rsidRPr="00AE6EDB" w:rsidRDefault="000A7585" w:rsidP="00DE0EEC">
            <w:pPr>
              <w:ind w:right="356"/>
              <w:jc w:val="right"/>
              <w:rPr>
                <w:rFonts w:eastAsia="Calibri"/>
              </w:rPr>
            </w:pPr>
            <w:r w:rsidRPr="00AE6EDB">
              <w:rPr>
                <w:rFonts w:eastAsia="Calibri"/>
              </w:rPr>
              <w:t>41</w:t>
            </w:r>
          </w:p>
        </w:tc>
      </w:tr>
      <w:tr w:rsidR="000A7585" w:rsidRPr="00AE6EDB" w:rsidTr="00DE0EEC">
        <w:trPr>
          <w:trHeight w:val="340"/>
          <w:jc w:val="center"/>
        </w:trPr>
        <w:tc>
          <w:tcPr>
            <w:tcW w:w="2911" w:type="dxa"/>
            <w:noWrap/>
            <w:tcMar>
              <w:top w:w="0" w:type="dxa"/>
              <w:left w:w="70" w:type="dxa"/>
              <w:bottom w:w="0" w:type="dxa"/>
              <w:right w:w="70" w:type="dxa"/>
            </w:tcMar>
            <w:vAlign w:val="bottom"/>
            <w:hideMark/>
          </w:tcPr>
          <w:p w:rsidR="000A7585" w:rsidRPr="00AE6EDB" w:rsidRDefault="000A7585" w:rsidP="00DE0EEC">
            <w:pPr>
              <w:jc w:val="left"/>
              <w:rPr>
                <w:rFonts w:eastAsia="Calibri"/>
                <w:b/>
                <w:bCs/>
              </w:rPr>
            </w:pPr>
            <w:r w:rsidRPr="00AE6EDB">
              <w:rPr>
                <w:rFonts w:eastAsia="Calibri"/>
                <w:b/>
                <w:bCs/>
                <w:szCs w:val="22"/>
              </w:rPr>
              <w:t xml:space="preserve">Spolu </w:t>
            </w:r>
          </w:p>
        </w:tc>
        <w:tc>
          <w:tcPr>
            <w:tcW w:w="1560" w:type="dxa"/>
            <w:noWrap/>
            <w:tcMar>
              <w:top w:w="0" w:type="dxa"/>
              <w:left w:w="70" w:type="dxa"/>
              <w:bottom w:w="0" w:type="dxa"/>
              <w:right w:w="70" w:type="dxa"/>
            </w:tcMar>
            <w:hideMark/>
          </w:tcPr>
          <w:p w:rsidR="000A7585" w:rsidRPr="00AE6EDB" w:rsidRDefault="00AC44CB" w:rsidP="00DE0EEC">
            <w:pPr>
              <w:ind w:right="356"/>
              <w:jc w:val="right"/>
              <w:rPr>
                <w:rFonts w:eastAsia="Calibri"/>
                <w:b/>
                <w:bCs/>
              </w:rPr>
            </w:pPr>
            <w:r>
              <w:rPr>
                <w:rFonts w:eastAsia="Calibri"/>
                <w:b/>
                <w:bCs/>
                <w:szCs w:val="22"/>
              </w:rPr>
              <w:t>8 8</w:t>
            </w:r>
            <w:r w:rsidR="000A7585" w:rsidRPr="00AE6EDB">
              <w:rPr>
                <w:rFonts w:eastAsia="Calibri"/>
                <w:b/>
                <w:bCs/>
                <w:szCs w:val="22"/>
              </w:rPr>
              <w:t>71</w:t>
            </w:r>
          </w:p>
        </w:tc>
        <w:tc>
          <w:tcPr>
            <w:tcW w:w="1417" w:type="dxa"/>
            <w:noWrap/>
            <w:tcMar>
              <w:top w:w="0" w:type="dxa"/>
              <w:left w:w="70" w:type="dxa"/>
              <w:bottom w:w="0" w:type="dxa"/>
              <w:right w:w="70" w:type="dxa"/>
            </w:tcMar>
            <w:hideMark/>
          </w:tcPr>
          <w:p w:rsidR="000A7585" w:rsidRPr="00AE6EDB" w:rsidRDefault="000A7585" w:rsidP="00DE0EEC">
            <w:pPr>
              <w:ind w:right="356"/>
              <w:jc w:val="right"/>
              <w:rPr>
                <w:rFonts w:eastAsia="Calibri"/>
                <w:b/>
                <w:bCs/>
              </w:rPr>
            </w:pPr>
            <w:r w:rsidRPr="00AE6EDB">
              <w:rPr>
                <w:rFonts w:eastAsia="Calibri"/>
                <w:b/>
                <w:bCs/>
                <w:szCs w:val="22"/>
              </w:rPr>
              <w:t>5</w:t>
            </w:r>
            <w:r w:rsidR="0054295F">
              <w:rPr>
                <w:rFonts w:eastAsia="Calibri"/>
                <w:b/>
                <w:bCs/>
                <w:szCs w:val="22"/>
              </w:rPr>
              <w:t>2 0</w:t>
            </w:r>
            <w:r w:rsidRPr="00AE6EDB">
              <w:rPr>
                <w:rFonts w:eastAsia="Calibri"/>
                <w:b/>
                <w:bCs/>
                <w:szCs w:val="22"/>
              </w:rPr>
              <w:t>48</w:t>
            </w:r>
          </w:p>
        </w:tc>
        <w:tc>
          <w:tcPr>
            <w:tcW w:w="1416" w:type="dxa"/>
            <w:tcMar>
              <w:top w:w="0" w:type="dxa"/>
              <w:left w:w="70" w:type="dxa"/>
              <w:bottom w:w="0" w:type="dxa"/>
              <w:right w:w="70" w:type="dxa"/>
            </w:tcMar>
          </w:tcPr>
          <w:p w:rsidR="000A7585" w:rsidRPr="00AE6EDB" w:rsidRDefault="00AC44CB" w:rsidP="00DE0EEC">
            <w:pPr>
              <w:ind w:right="356"/>
              <w:jc w:val="right"/>
              <w:rPr>
                <w:rFonts w:eastAsia="Calibri"/>
                <w:b/>
                <w:bCs/>
              </w:rPr>
            </w:pPr>
            <w:r>
              <w:rPr>
                <w:rFonts w:eastAsia="Calibri"/>
                <w:b/>
                <w:bCs/>
              </w:rPr>
              <w:t>8 2</w:t>
            </w:r>
            <w:r w:rsidR="000A7585" w:rsidRPr="00AE6EDB">
              <w:rPr>
                <w:rFonts w:eastAsia="Calibri"/>
                <w:b/>
                <w:bCs/>
              </w:rPr>
              <w:t>74</w:t>
            </w:r>
          </w:p>
        </w:tc>
        <w:tc>
          <w:tcPr>
            <w:tcW w:w="1417" w:type="dxa"/>
            <w:tcMar>
              <w:top w:w="0" w:type="dxa"/>
              <w:left w:w="70" w:type="dxa"/>
              <w:bottom w:w="0" w:type="dxa"/>
              <w:right w:w="70" w:type="dxa"/>
            </w:tcMar>
          </w:tcPr>
          <w:p w:rsidR="000A7585" w:rsidRPr="00AE6EDB" w:rsidRDefault="000A7585" w:rsidP="00DE0EEC">
            <w:pPr>
              <w:ind w:right="356"/>
              <w:jc w:val="right"/>
              <w:rPr>
                <w:rFonts w:eastAsia="Calibri"/>
                <w:b/>
                <w:bCs/>
              </w:rPr>
            </w:pPr>
            <w:r w:rsidRPr="00AE6EDB">
              <w:rPr>
                <w:rFonts w:eastAsia="Calibri"/>
                <w:b/>
                <w:bCs/>
              </w:rPr>
              <w:t>4</w:t>
            </w:r>
            <w:r w:rsidR="00AC44CB">
              <w:rPr>
                <w:rFonts w:eastAsia="Calibri"/>
                <w:b/>
                <w:bCs/>
              </w:rPr>
              <w:t>7 0</w:t>
            </w:r>
            <w:r w:rsidRPr="00AE6EDB">
              <w:rPr>
                <w:rFonts w:eastAsia="Calibri"/>
                <w:b/>
                <w:bCs/>
              </w:rPr>
              <w:t>42</w:t>
            </w:r>
          </w:p>
        </w:tc>
      </w:tr>
    </w:tbl>
    <w:p w:rsidR="000A7585" w:rsidRPr="00AE6EDB" w:rsidRDefault="000A7585" w:rsidP="000A7585">
      <w:pPr>
        <w:spacing w:before="30" w:after="120" w:line="276" w:lineRule="auto"/>
        <w:ind w:firstLine="570"/>
        <w:rPr>
          <w:rFonts w:eastAsia="Calibri"/>
          <w:i/>
          <w:iCs/>
          <w:sz w:val="20"/>
          <w:szCs w:val="22"/>
        </w:rPr>
      </w:pPr>
      <w:r w:rsidRPr="00AE6EDB">
        <w:rPr>
          <w:rFonts w:eastAsia="Calibri"/>
          <w:i/>
          <w:iCs/>
          <w:sz w:val="20"/>
          <w:szCs w:val="22"/>
        </w:rPr>
        <w:t xml:space="preserve">Zdroj: </w:t>
      </w:r>
      <w:r w:rsidR="001D024E" w:rsidRPr="00AE6EDB">
        <w:rPr>
          <w:rFonts w:eastAsia="Calibri"/>
          <w:i/>
          <w:iCs/>
          <w:szCs w:val="22"/>
        </w:rPr>
        <w:t>Ročný výkaz o vykonávaní poradensko-psychologických služieb</w:t>
      </w:r>
    </w:p>
    <w:p w:rsidR="000A7585" w:rsidRPr="00AE6EDB" w:rsidRDefault="000A7585" w:rsidP="000A7585">
      <w:pPr>
        <w:jc w:val="left"/>
        <w:rPr>
          <w:rFonts w:eastAsia="Calibri"/>
          <w:b/>
          <w:highlight w:val="cyan"/>
        </w:rPr>
      </w:pPr>
    </w:p>
    <w:p w:rsidR="00C459CC" w:rsidRPr="00AE6EDB" w:rsidRDefault="00C459CC">
      <w:pPr>
        <w:jc w:val="left"/>
        <w:rPr>
          <w:rFonts w:eastAsia="Calibri"/>
          <w:b/>
          <w:highlight w:val="cyan"/>
        </w:rPr>
      </w:pPr>
      <w:r w:rsidRPr="00AE6EDB">
        <w:rPr>
          <w:rFonts w:eastAsia="Calibri"/>
          <w:highlight w:val="cyan"/>
        </w:rPr>
        <w:br w:type="page"/>
      </w:r>
    </w:p>
    <w:p w:rsidR="000A7585" w:rsidRPr="00AE6EDB" w:rsidRDefault="000A7585" w:rsidP="000A7585">
      <w:pPr>
        <w:pStyle w:val="Nadpis7"/>
        <w:spacing w:before="120"/>
        <w:rPr>
          <w:rFonts w:eastAsia="Calibri"/>
        </w:rPr>
      </w:pPr>
      <w:r w:rsidRPr="00AE6EDB">
        <w:rPr>
          <w:rFonts w:eastAsia="Calibri"/>
        </w:rPr>
        <w:t>Tabuľka 21 Opatrovateľská služba poskytovaná obcami</w:t>
      </w:r>
    </w:p>
    <w:tbl>
      <w:tblPr>
        <w:tblW w:w="7554" w:type="dxa"/>
        <w:jc w:val="center"/>
        <w:tblCellMar>
          <w:left w:w="70" w:type="dxa"/>
          <w:right w:w="70" w:type="dxa"/>
        </w:tblCellMar>
        <w:tblLook w:val="04A0" w:firstRow="1" w:lastRow="0" w:firstColumn="1" w:lastColumn="0" w:noHBand="0" w:noVBand="1"/>
      </w:tblPr>
      <w:tblGrid>
        <w:gridCol w:w="4243"/>
        <w:gridCol w:w="1658"/>
        <w:gridCol w:w="1653"/>
      </w:tblGrid>
      <w:tr w:rsidR="00AF1BDF" w:rsidRPr="00AE6EDB" w:rsidTr="00AF1BDF">
        <w:trPr>
          <w:trHeight w:val="272"/>
          <w:jc w:val="center"/>
        </w:trPr>
        <w:tc>
          <w:tcPr>
            <w:tcW w:w="4243"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bottom"/>
            <w:hideMark/>
          </w:tcPr>
          <w:p w:rsidR="00AF1BDF" w:rsidRPr="00AE6EDB" w:rsidRDefault="00AF1BDF" w:rsidP="00DE0EEC">
            <w:pPr>
              <w:rPr>
                <w:b/>
              </w:rPr>
            </w:pPr>
            <w:r w:rsidRPr="00AE6EDB">
              <w:rPr>
                <w:b/>
              </w:rPr>
              <w:t> </w:t>
            </w:r>
          </w:p>
        </w:tc>
        <w:tc>
          <w:tcPr>
            <w:tcW w:w="1658"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AF1BDF" w:rsidRPr="00AE6EDB" w:rsidDel="007B3CD5" w:rsidRDefault="00AF1BDF" w:rsidP="00DE0EEC">
            <w:pPr>
              <w:jc w:val="center"/>
              <w:rPr>
                <w:b/>
              </w:rPr>
            </w:pPr>
            <w:r w:rsidRPr="00AE6EDB">
              <w:rPr>
                <w:b/>
              </w:rPr>
              <w:t>2014</w:t>
            </w:r>
          </w:p>
        </w:tc>
        <w:tc>
          <w:tcPr>
            <w:tcW w:w="1653"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AF1BDF" w:rsidRPr="00AE6EDB" w:rsidRDefault="00AF1BDF" w:rsidP="00DE0EEC">
            <w:pPr>
              <w:jc w:val="center"/>
              <w:rPr>
                <w:b/>
              </w:rPr>
            </w:pPr>
            <w:r w:rsidRPr="00AE6EDB">
              <w:rPr>
                <w:b/>
              </w:rPr>
              <w:t>2015</w:t>
            </w:r>
          </w:p>
        </w:tc>
      </w:tr>
      <w:tr w:rsidR="00AF1BDF" w:rsidRPr="00AE6EDB" w:rsidTr="00AF1BDF">
        <w:trPr>
          <w:trHeight w:val="570"/>
          <w:jc w:val="center"/>
        </w:trPr>
        <w:tc>
          <w:tcPr>
            <w:tcW w:w="4243" w:type="dxa"/>
            <w:tcBorders>
              <w:top w:val="nil"/>
              <w:left w:val="single" w:sz="4" w:space="0" w:color="auto"/>
              <w:bottom w:val="single" w:sz="4" w:space="0" w:color="auto"/>
              <w:right w:val="single" w:sz="4" w:space="0" w:color="auto"/>
            </w:tcBorders>
            <w:vAlign w:val="center"/>
            <w:hideMark/>
          </w:tcPr>
          <w:p w:rsidR="00AF1BDF" w:rsidRPr="00AE6EDB" w:rsidRDefault="00AF1BDF" w:rsidP="00DE0EEC">
            <w:pPr>
              <w:jc w:val="left"/>
            </w:pPr>
            <w:r w:rsidRPr="00AE6EDB">
              <w:t>Počet občanov, ktorým bola poskytnutá opatrovateľská služba</w:t>
            </w:r>
          </w:p>
        </w:tc>
        <w:tc>
          <w:tcPr>
            <w:tcW w:w="1658" w:type="dxa"/>
            <w:tcBorders>
              <w:top w:val="single" w:sz="4" w:space="0" w:color="auto"/>
              <w:left w:val="single" w:sz="4" w:space="0" w:color="auto"/>
              <w:bottom w:val="single" w:sz="4" w:space="0" w:color="auto"/>
              <w:right w:val="single" w:sz="4" w:space="0" w:color="auto"/>
            </w:tcBorders>
            <w:vAlign w:val="center"/>
          </w:tcPr>
          <w:p w:rsidR="00AF1BDF" w:rsidRPr="00AE6EDB" w:rsidDel="007B3CD5" w:rsidRDefault="00AF1BDF" w:rsidP="00DE0EEC">
            <w:pPr>
              <w:ind w:right="108"/>
              <w:jc w:val="right"/>
              <w:rPr>
                <w:color w:val="000000"/>
                <w:szCs w:val="22"/>
              </w:rPr>
            </w:pPr>
            <w:r w:rsidRPr="00AE6EDB">
              <w:rPr>
                <w:color w:val="000000"/>
                <w:szCs w:val="22"/>
              </w:rPr>
              <w:t>1</w:t>
            </w:r>
            <w:r w:rsidR="0054295F">
              <w:rPr>
                <w:color w:val="000000"/>
                <w:szCs w:val="22"/>
              </w:rPr>
              <w:t>2 1</w:t>
            </w:r>
            <w:r w:rsidRPr="00AE6EDB">
              <w:rPr>
                <w:color w:val="000000"/>
                <w:szCs w:val="22"/>
              </w:rPr>
              <w:t>52</w:t>
            </w:r>
          </w:p>
        </w:tc>
        <w:tc>
          <w:tcPr>
            <w:tcW w:w="1653" w:type="dxa"/>
            <w:tcBorders>
              <w:top w:val="single" w:sz="4" w:space="0" w:color="auto"/>
              <w:left w:val="single" w:sz="4" w:space="0" w:color="auto"/>
              <w:bottom w:val="single" w:sz="4" w:space="0" w:color="auto"/>
              <w:right w:val="single" w:sz="4" w:space="0" w:color="auto"/>
            </w:tcBorders>
            <w:vAlign w:val="center"/>
          </w:tcPr>
          <w:p w:rsidR="00AF1BDF" w:rsidRPr="00AE6EDB" w:rsidRDefault="00AF1BDF" w:rsidP="00AF1BDF">
            <w:pPr>
              <w:ind w:right="108"/>
              <w:jc w:val="right"/>
              <w:rPr>
                <w:color w:val="000000"/>
                <w:szCs w:val="22"/>
              </w:rPr>
            </w:pPr>
            <w:r w:rsidRPr="00AE6EDB">
              <w:rPr>
                <w:color w:val="000000"/>
                <w:szCs w:val="22"/>
              </w:rPr>
              <w:t>1</w:t>
            </w:r>
            <w:r w:rsidR="0054295F">
              <w:rPr>
                <w:color w:val="000000"/>
                <w:szCs w:val="22"/>
              </w:rPr>
              <w:t>2 3</w:t>
            </w:r>
            <w:r w:rsidRPr="00AE6EDB">
              <w:rPr>
                <w:color w:val="000000"/>
                <w:szCs w:val="22"/>
              </w:rPr>
              <w:t>32</w:t>
            </w:r>
          </w:p>
        </w:tc>
      </w:tr>
      <w:tr w:rsidR="00AF1BDF" w:rsidRPr="00AE6EDB" w:rsidTr="00AF1BDF">
        <w:trPr>
          <w:trHeight w:val="342"/>
          <w:jc w:val="center"/>
        </w:trPr>
        <w:tc>
          <w:tcPr>
            <w:tcW w:w="4243" w:type="dxa"/>
            <w:tcBorders>
              <w:top w:val="nil"/>
              <w:left w:val="single" w:sz="4" w:space="0" w:color="auto"/>
              <w:bottom w:val="single" w:sz="4" w:space="0" w:color="auto"/>
              <w:right w:val="single" w:sz="4" w:space="0" w:color="auto"/>
            </w:tcBorders>
            <w:vAlign w:val="center"/>
            <w:hideMark/>
          </w:tcPr>
          <w:p w:rsidR="00AF1BDF" w:rsidRPr="00AE6EDB" w:rsidRDefault="00AF1BDF" w:rsidP="00DE0EEC">
            <w:pPr>
              <w:jc w:val="left"/>
            </w:pPr>
            <w:r w:rsidRPr="00AE6EDB">
              <w:t>Počet zamestnancov opatrovateľskej služby</w:t>
            </w:r>
          </w:p>
        </w:tc>
        <w:tc>
          <w:tcPr>
            <w:tcW w:w="1658" w:type="dxa"/>
            <w:tcBorders>
              <w:top w:val="single" w:sz="4" w:space="0" w:color="auto"/>
              <w:left w:val="single" w:sz="4" w:space="0" w:color="auto"/>
              <w:bottom w:val="single" w:sz="4" w:space="0" w:color="auto"/>
              <w:right w:val="single" w:sz="4" w:space="0" w:color="auto"/>
            </w:tcBorders>
            <w:vAlign w:val="center"/>
          </w:tcPr>
          <w:p w:rsidR="00AF1BDF" w:rsidRPr="00AE6EDB" w:rsidDel="007B3CD5" w:rsidRDefault="00AC44CB" w:rsidP="00DE0EEC">
            <w:pPr>
              <w:ind w:right="108"/>
              <w:jc w:val="right"/>
              <w:rPr>
                <w:color w:val="000000"/>
                <w:szCs w:val="22"/>
              </w:rPr>
            </w:pPr>
            <w:r>
              <w:rPr>
                <w:color w:val="000000"/>
                <w:szCs w:val="22"/>
              </w:rPr>
              <w:t>4 9</w:t>
            </w:r>
            <w:r w:rsidR="00AF1BDF" w:rsidRPr="00AE6EDB">
              <w:rPr>
                <w:color w:val="000000"/>
                <w:szCs w:val="22"/>
              </w:rPr>
              <w:t>35</w:t>
            </w:r>
          </w:p>
        </w:tc>
        <w:tc>
          <w:tcPr>
            <w:tcW w:w="1653" w:type="dxa"/>
            <w:tcBorders>
              <w:top w:val="single" w:sz="4" w:space="0" w:color="auto"/>
              <w:left w:val="single" w:sz="4" w:space="0" w:color="auto"/>
              <w:bottom w:val="single" w:sz="4" w:space="0" w:color="auto"/>
              <w:right w:val="single" w:sz="4" w:space="0" w:color="auto"/>
            </w:tcBorders>
            <w:vAlign w:val="center"/>
          </w:tcPr>
          <w:p w:rsidR="00AF1BDF" w:rsidRPr="00AE6EDB" w:rsidRDefault="0054295F" w:rsidP="00AF1BDF">
            <w:pPr>
              <w:ind w:right="108"/>
              <w:jc w:val="right"/>
              <w:rPr>
                <w:color w:val="000000"/>
                <w:szCs w:val="22"/>
              </w:rPr>
            </w:pPr>
            <w:r>
              <w:rPr>
                <w:color w:val="000000"/>
                <w:szCs w:val="22"/>
              </w:rPr>
              <w:t>4 8</w:t>
            </w:r>
            <w:r w:rsidR="00AF1BDF" w:rsidRPr="00AE6EDB">
              <w:rPr>
                <w:color w:val="000000"/>
                <w:szCs w:val="22"/>
              </w:rPr>
              <w:t>67</w:t>
            </w:r>
          </w:p>
        </w:tc>
      </w:tr>
      <w:tr w:rsidR="00AF1BDF" w:rsidRPr="00AE6EDB" w:rsidTr="00AF1BDF">
        <w:trPr>
          <w:trHeight w:val="570"/>
          <w:jc w:val="center"/>
        </w:trPr>
        <w:tc>
          <w:tcPr>
            <w:tcW w:w="4243" w:type="dxa"/>
            <w:tcBorders>
              <w:top w:val="nil"/>
              <w:left w:val="single" w:sz="4" w:space="0" w:color="auto"/>
              <w:bottom w:val="single" w:sz="4" w:space="0" w:color="auto"/>
              <w:right w:val="single" w:sz="4" w:space="0" w:color="auto"/>
            </w:tcBorders>
            <w:vAlign w:val="center"/>
            <w:hideMark/>
          </w:tcPr>
          <w:p w:rsidR="00AF1BDF" w:rsidRPr="00AE6EDB" w:rsidRDefault="00AF1BDF" w:rsidP="00DE0EEC">
            <w:pPr>
              <w:jc w:val="left"/>
            </w:pPr>
            <w:r w:rsidRPr="00AE6EDB">
              <w:t>Bežné výdavky na poskytovanie opatrovateľskej služby v eurách</w:t>
            </w:r>
          </w:p>
        </w:tc>
        <w:tc>
          <w:tcPr>
            <w:tcW w:w="1658" w:type="dxa"/>
            <w:tcBorders>
              <w:top w:val="single" w:sz="4" w:space="0" w:color="auto"/>
              <w:left w:val="single" w:sz="4" w:space="0" w:color="auto"/>
              <w:bottom w:val="single" w:sz="4" w:space="0" w:color="auto"/>
              <w:right w:val="single" w:sz="4" w:space="0" w:color="auto"/>
            </w:tcBorders>
            <w:vAlign w:val="center"/>
          </w:tcPr>
          <w:p w:rsidR="00AF1BDF" w:rsidRPr="00AE6EDB" w:rsidDel="007B3CD5" w:rsidRDefault="00AF1BDF" w:rsidP="00DE0EEC">
            <w:pPr>
              <w:ind w:right="108"/>
              <w:jc w:val="right"/>
              <w:rPr>
                <w:color w:val="000000"/>
                <w:szCs w:val="22"/>
              </w:rPr>
            </w:pPr>
            <w:r w:rsidRPr="00AE6EDB">
              <w:rPr>
                <w:color w:val="000000"/>
                <w:szCs w:val="22"/>
              </w:rPr>
              <w:t>2</w:t>
            </w:r>
            <w:r w:rsidR="00AC44CB">
              <w:rPr>
                <w:color w:val="000000"/>
                <w:szCs w:val="22"/>
              </w:rPr>
              <w:t>8 1</w:t>
            </w:r>
            <w:r w:rsidRPr="00AE6EDB">
              <w:rPr>
                <w:color w:val="000000"/>
                <w:szCs w:val="22"/>
              </w:rPr>
              <w:t>8</w:t>
            </w:r>
            <w:r w:rsidR="00AC44CB">
              <w:rPr>
                <w:color w:val="000000"/>
                <w:szCs w:val="22"/>
              </w:rPr>
              <w:t>4 9</w:t>
            </w:r>
            <w:r w:rsidRPr="00AE6EDB">
              <w:rPr>
                <w:color w:val="000000"/>
                <w:szCs w:val="22"/>
              </w:rPr>
              <w:t>27</w:t>
            </w:r>
          </w:p>
        </w:tc>
        <w:tc>
          <w:tcPr>
            <w:tcW w:w="1653" w:type="dxa"/>
            <w:tcBorders>
              <w:top w:val="single" w:sz="4" w:space="0" w:color="auto"/>
              <w:left w:val="single" w:sz="4" w:space="0" w:color="auto"/>
              <w:bottom w:val="single" w:sz="4" w:space="0" w:color="auto"/>
              <w:right w:val="single" w:sz="4" w:space="0" w:color="auto"/>
            </w:tcBorders>
            <w:vAlign w:val="center"/>
          </w:tcPr>
          <w:p w:rsidR="00AF1BDF" w:rsidRPr="00AE6EDB" w:rsidRDefault="00AF1BDF" w:rsidP="00AF1BDF">
            <w:pPr>
              <w:ind w:right="108"/>
              <w:jc w:val="right"/>
              <w:rPr>
                <w:color w:val="000000"/>
                <w:szCs w:val="22"/>
              </w:rPr>
            </w:pPr>
            <w:r w:rsidRPr="00AE6EDB">
              <w:rPr>
                <w:color w:val="000000"/>
                <w:szCs w:val="22"/>
              </w:rPr>
              <w:t>3</w:t>
            </w:r>
            <w:r w:rsidR="0054295F">
              <w:rPr>
                <w:color w:val="000000"/>
                <w:szCs w:val="22"/>
              </w:rPr>
              <w:t>0 1</w:t>
            </w:r>
            <w:r w:rsidRPr="00AE6EDB">
              <w:rPr>
                <w:color w:val="000000"/>
                <w:szCs w:val="22"/>
              </w:rPr>
              <w:t>6</w:t>
            </w:r>
            <w:r w:rsidR="0054295F">
              <w:rPr>
                <w:color w:val="000000"/>
                <w:szCs w:val="22"/>
              </w:rPr>
              <w:t>1 0</w:t>
            </w:r>
            <w:r w:rsidRPr="00AE6EDB">
              <w:rPr>
                <w:color w:val="000000"/>
                <w:szCs w:val="22"/>
              </w:rPr>
              <w:t>91</w:t>
            </w:r>
          </w:p>
        </w:tc>
      </w:tr>
      <w:tr w:rsidR="00AF1BDF" w:rsidRPr="00AE6EDB" w:rsidTr="00AF1BDF">
        <w:trPr>
          <w:trHeight w:val="570"/>
          <w:jc w:val="center"/>
        </w:trPr>
        <w:tc>
          <w:tcPr>
            <w:tcW w:w="4243" w:type="dxa"/>
            <w:tcBorders>
              <w:top w:val="nil"/>
              <w:left w:val="single" w:sz="4" w:space="0" w:color="auto"/>
              <w:bottom w:val="single" w:sz="4" w:space="0" w:color="auto"/>
              <w:right w:val="single" w:sz="4" w:space="0" w:color="auto"/>
            </w:tcBorders>
            <w:vAlign w:val="center"/>
            <w:hideMark/>
          </w:tcPr>
          <w:p w:rsidR="00AF1BDF" w:rsidRPr="00AE6EDB" w:rsidRDefault="00AF1BDF" w:rsidP="00DE0EEC">
            <w:pPr>
              <w:jc w:val="left"/>
            </w:pPr>
            <w:r w:rsidRPr="00AE6EDB">
              <w:t>Výška príjmu z úhrad za opatrovateľskú službu v eurách</w:t>
            </w:r>
          </w:p>
        </w:tc>
        <w:tc>
          <w:tcPr>
            <w:tcW w:w="1658" w:type="dxa"/>
            <w:tcBorders>
              <w:top w:val="single" w:sz="4" w:space="0" w:color="auto"/>
              <w:left w:val="single" w:sz="4" w:space="0" w:color="auto"/>
              <w:bottom w:val="single" w:sz="4" w:space="0" w:color="auto"/>
              <w:right w:val="single" w:sz="4" w:space="0" w:color="auto"/>
            </w:tcBorders>
            <w:vAlign w:val="center"/>
          </w:tcPr>
          <w:p w:rsidR="00AF1BDF" w:rsidRPr="00AE6EDB" w:rsidDel="007B3CD5" w:rsidRDefault="00AC44CB" w:rsidP="00DE0EEC">
            <w:pPr>
              <w:ind w:right="108"/>
              <w:jc w:val="right"/>
              <w:rPr>
                <w:color w:val="000000"/>
                <w:szCs w:val="22"/>
              </w:rPr>
            </w:pPr>
            <w:r>
              <w:rPr>
                <w:color w:val="000000"/>
                <w:szCs w:val="22"/>
              </w:rPr>
              <w:t>5 1</w:t>
            </w:r>
            <w:r w:rsidR="00AF1BDF" w:rsidRPr="00AE6EDB">
              <w:rPr>
                <w:color w:val="000000"/>
                <w:szCs w:val="22"/>
              </w:rPr>
              <w:t>0</w:t>
            </w:r>
            <w:r>
              <w:rPr>
                <w:color w:val="000000"/>
                <w:szCs w:val="22"/>
              </w:rPr>
              <w:t>5 4</w:t>
            </w:r>
            <w:r w:rsidR="00AF1BDF" w:rsidRPr="00AE6EDB">
              <w:rPr>
                <w:color w:val="000000"/>
                <w:szCs w:val="22"/>
              </w:rPr>
              <w:t>42</w:t>
            </w:r>
          </w:p>
        </w:tc>
        <w:tc>
          <w:tcPr>
            <w:tcW w:w="1653" w:type="dxa"/>
            <w:tcBorders>
              <w:top w:val="single" w:sz="4" w:space="0" w:color="auto"/>
              <w:left w:val="single" w:sz="4" w:space="0" w:color="auto"/>
              <w:bottom w:val="single" w:sz="4" w:space="0" w:color="auto"/>
              <w:right w:val="single" w:sz="4" w:space="0" w:color="auto"/>
            </w:tcBorders>
            <w:vAlign w:val="center"/>
          </w:tcPr>
          <w:p w:rsidR="00AF1BDF" w:rsidRPr="00AE6EDB" w:rsidRDefault="00AC44CB" w:rsidP="00AF1BDF">
            <w:pPr>
              <w:ind w:right="108"/>
              <w:jc w:val="right"/>
              <w:rPr>
                <w:color w:val="000000"/>
                <w:szCs w:val="22"/>
              </w:rPr>
            </w:pPr>
            <w:r>
              <w:rPr>
                <w:color w:val="000000"/>
                <w:szCs w:val="22"/>
              </w:rPr>
              <w:t>5 3</w:t>
            </w:r>
            <w:r w:rsidR="00AF1BDF" w:rsidRPr="00AE6EDB">
              <w:rPr>
                <w:color w:val="000000"/>
                <w:szCs w:val="22"/>
              </w:rPr>
              <w:t>3</w:t>
            </w:r>
            <w:r>
              <w:rPr>
                <w:color w:val="000000"/>
                <w:szCs w:val="22"/>
              </w:rPr>
              <w:t>7 6</w:t>
            </w:r>
            <w:r w:rsidR="00AF1BDF" w:rsidRPr="00AE6EDB">
              <w:rPr>
                <w:color w:val="000000"/>
                <w:szCs w:val="22"/>
              </w:rPr>
              <w:t>56</w:t>
            </w:r>
          </w:p>
        </w:tc>
      </w:tr>
      <w:tr w:rsidR="00AF1BDF" w:rsidRPr="00AE6EDB" w:rsidTr="00AF1BDF">
        <w:trPr>
          <w:trHeight w:val="911"/>
          <w:jc w:val="center"/>
        </w:trPr>
        <w:tc>
          <w:tcPr>
            <w:tcW w:w="4243" w:type="dxa"/>
            <w:tcBorders>
              <w:top w:val="nil"/>
              <w:left w:val="single" w:sz="4" w:space="0" w:color="auto"/>
              <w:bottom w:val="single" w:sz="4" w:space="0" w:color="auto"/>
              <w:right w:val="single" w:sz="4" w:space="0" w:color="auto"/>
            </w:tcBorders>
            <w:vAlign w:val="center"/>
            <w:hideMark/>
          </w:tcPr>
          <w:p w:rsidR="00AF1BDF" w:rsidRPr="00AE6EDB" w:rsidRDefault="00AF1BDF" w:rsidP="00DE0EEC">
            <w:pPr>
              <w:jc w:val="left"/>
            </w:pPr>
            <w:r w:rsidRPr="00AE6EDB">
              <w:t>Rozdiel medzi výdavkami na poskytovanie opatrovateľskej služby a príjmami za jej poskytovanie v eurách</w:t>
            </w:r>
          </w:p>
        </w:tc>
        <w:tc>
          <w:tcPr>
            <w:tcW w:w="1658" w:type="dxa"/>
            <w:tcBorders>
              <w:top w:val="single" w:sz="4" w:space="0" w:color="auto"/>
              <w:left w:val="single" w:sz="4" w:space="0" w:color="auto"/>
              <w:bottom w:val="single" w:sz="4" w:space="0" w:color="auto"/>
              <w:right w:val="single" w:sz="4" w:space="0" w:color="auto"/>
            </w:tcBorders>
            <w:vAlign w:val="center"/>
          </w:tcPr>
          <w:p w:rsidR="00AF1BDF" w:rsidRPr="00AE6EDB" w:rsidDel="007B3CD5" w:rsidRDefault="00AF1BDF" w:rsidP="00DE0EEC">
            <w:pPr>
              <w:ind w:right="108"/>
              <w:jc w:val="right"/>
              <w:rPr>
                <w:color w:val="000000"/>
                <w:szCs w:val="22"/>
              </w:rPr>
            </w:pPr>
            <w:r w:rsidRPr="00AE6EDB">
              <w:rPr>
                <w:color w:val="000000"/>
                <w:szCs w:val="22"/>
              </w:rPr>
              <w:t>-2</w:t>
            </w:r>
            <w:r w:rsidR="0054295F">
              <w:rPr>
                <w:color w:val="000000"/>
                <w:szCs w:val="22"/>
              </w:rPr>
              <w:t>3 0</w:t>
            </w:r>
            <w:r w:rsidRPr="00AE6EDB">
              <w:rPr>
                <w:color w:val="000000"/>
                <w:szCs w:val="22"/>
              </w:rPr>
              <w:t>7</w:t>
            </w:r>
            <w:r w:rsidR="00AC44CB">
              <w:rPr>
                <w:color w:val="000000"/>
                <w:szCs w:val="22"/>
              </w:rPr>
              <w:t>9 4</w:t>
            </w:r>
            <w:r w:rsidRPr="00AE6EDB">
              <w:rPr>
                <w:color w:val="000000"/>
                <w:szCs w:val="22"/>
              </w:rPr>
              <w:t>85</w:t>
            </w:r>
          </w:p>
        </w:tc>
        <w:tc>
          <w:tcPr>
            <w:tcW w:w="1653" w:type="dxa"/>
            <w:tcBorders>
              <w:top w:val="single" w:sz="4" w:space="0" w:color="auto"/>
              <w:left w:val="single" w:sz="4" w:space="0" w:color="auto"/>
              <w:bottom w:val="single" w:sz="4" w:space="0" w:color="auto"/>
              <w:right w:val="single" w:sz="4" w:space="0" w:color="auto"/>
            </w:tcBorders>
            <w:vAlign w:val="center"/>
          </w:tcPr>
          <w:p w:rsidR="00AF1BDF" w:rsidRPr="00AE6EDB" w:rsidRDefault="00AF1BDF" w:rsidP="00AF1BDF">
            <w:pPr>
              <w:ind w:right="108"/>
              <w:jc w:val="right"/>
              <w:rPr>
                <w:color w:val="000000"/>
                <w:szCs w:val="22"/>
              </w:rPr>
            </w:pPr>
            <w:r w:rsidRPr="00AE6EDB">
              <w:rPr>
                <w:color w:val="000000"/>
                <w:szCs w:val="22"/>
              </w:rPr>
              <w:t>-2</w:t>
            </w:r>
            <w:r w:rsidR="0054295F">
              <w:rPr>
                <w:color w:val="000000"/>
                <w:szCs w:val="22"/>
              </w:rPr>
              <w:t>4 8</w:t>
            </w:r>
            <w:r w:rsidRPr="00AE6EDB">
              <w:rPr>
                <w:color w:val="000000"/>
                <w:szCs w:val="22"/>
              </w:rPr>
              <w:t>2</w:t>
            </w:r>
            <w:r w:rsidR="0054295F">
              <w:rPr>
                <w:color w:val="000000"/>
                <w:szCs w:val="22"/>
              </w:rPr>
              <w:t>3 4</w:t>
            </w:r>
            <w:r w:rsidRPr="00AE6EDB">
              <w:rPr>
                <w:color w:val="000000"/>
                <w:szCs w:val="22"/>
              </w:rPr>
              <w:t>35</w:t>
            </w:r>
          </w:p>
        </w:tc>
      </w:tr>
    </w:tbl>
    <w:p w:rsidR="000A7585" w:rsidRPr="00AE6EDB" w:rsidRDefault="000A7585" w:rsidP="000A7585">
      <w:pPr>
        <w:pStyle w:val="zdroj"/>
        <w:spacing w:after="60"/>
        <w:ind w:left="570" w:firstLine="570"/>
        <w:rPr>
          <w:rFonts w:eastAsia="Calibri"/>
        </w:rPr>
      </w:pPr>
      <w:r w:rsidRPr="00AE6EDB">
        <w:rPr>
          <w:rFonts w:eastAsia="Calibri"/>
        </w:rPr>
        <w:t>Zdroj: V(MPSVR SR) 11-01</w:t>
      </w:r>
    </w:p>
    <w:p w:rsidR="000A7585" w:rsidRPr="00AE6EDB" w:rsidRDefault="000A7585" w:rsidP="000A7585">
      <w:pPr>
        <w:spacing w:after="200" w:line="276" w:lineRule="auto"/>
        <w:jc w:val="left"/>
        <w:rPr>
          <w:b/>
          <w:highlight w:val="cyan"/>
        </w:rPr>
      </w:pPr>
    </w:p>
    <w:p w:rsidR="000A7585" w:rsidRPr="00AE6EDB" w:rsidRDefault="000A7585" w:rsidP="000A7585">
      <w:pPr>
        <w:pStyle w:val="Nadpis7"/>
        <w:spacing w:before="120"/>
      </w:pPr>
      <w:r w:rsidRPr="00AE6EDB">
        <w:t>Tabuľka 22 Prepravná služba poskytovaná obcami</w:t>
      </w:r>
    </w:p>
    <w:tbl>
      <w:tblPr>
        <w:tblW w:w="8103" w:type="dxa"/>
        <w:jc w:val="center"/>
        <w:tblLayout w:type="fixed"/>
        <w:tblCellMar>
          <w:left w:w="70" w:type="dxa"/>
          <w:right w:w="70" w:type="dxa"/>
        </w:tblCellMar>
        <w:tblLook w:val="04A0" w:firstRow="1" w:lastRow="0" w:firstColumn="1" w:lastColumn="0" w:noHBand="0" w:noVBand="1"/>
      </w:tblPr>
      <w:tblGrid>
        <w:gridCol w:w="1571"/>
        <w:gridCol w:w="2563"/>
        <w:gridCol w:w="1984"/>
        <w:gridCol w:w="1985"/>
      </w:tblGrid>
      <w:tr w:rsidR="00AF1BDF" w:rsidRPr="00AE6EDB" w:rsidTr="00AF1BDF">
        <w:trPr>
          <w:trHeight w:val="620"/>
          <w:jc w:val="center"/>
        </w:trPr>
        <w:tc>
          <w:tcPr>
            <w:tcW w:w="157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AF1BDF" w:rsidRPr="00AE6EDB" w:rsidRDefault="00AF1BDF" w:rsidP="00DE0EEC">
            <w:pPr>
              <w:jc w:val="center"/>
              <w:rPr>
                <w:b/>
                <w:bCs/>
              </w:rPr>
            </w:pPr>
            <w:r w:rsidRPr="00AE6EDB">
              <w:rPr>
                <w:b/>
                <w:bCs/>
              </w:rPr>
              <w:t>rok</w:t>
            </w:r>
          </w:p>
        </w:tc>
        <w:tc>
          <w:tcPr>
            <w:tcW w:w="2563"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AF1BDF" w:rsidRPr="00AE6EDB" w:rsidRDefault="00AF1BDF" w:rsidP="00DE0EEC">
            <w:pPr>
              <w:jc w:val="center"/>
              <w:rPr>
                <w:b/>
                <w:bCs/>
              </w:rPr>
            </w:pPr>
            <w:r w:rsidRPr="00AE6EDB">
              <w:rPr>
                <w:b/>
                <w:bCs/>
              </w:rPr>
              <w:t>Počet klientov prepravnej služby</w:t>
            </w:r>
          </w:p>
        </w:tc>
        <w:tc>
          <w:tcPr>
            <w:tcW w:w="1984"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AF1BDF" w:rsidRPr="00AE6EDB" w:rsidRDefault="00AF1BDF" w:rsidP="00DE0EEC">
            <w:pPr>
              <w:jc w:val="center"/>
              <w:rPr>
                <w:b/>
                <w:bCs/>
              </w:rPr>
            </w:pPr>
            <w:r w:rsidRPr="00AE6EDB">
              <w:rPr>
                <w:b/>
                <w:bCs/>
              </w:rPr>
              <w:t xml:space="preserve">Bežné výdavky </w:t>
            </w:r>
            <w:r w:rsidRPr="00AE6EDB">
              <w:rPr>
                <w:b/>
                <w:bCs/>
              </w:rPr>
              <w:br/>
              <w:t>(v €)</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AF1BDF" w:rsidRPr="00AE6EDB" w:rsidRDefault="00AF1BDF" w:rsidP="00AF1BDF">
            <w:pPr>
              <w:jc w:val="center"/>
              <w:rPr>
                <w:b/>
                <w:bCs/>
              </w:rPr>
            </w:pPr>
            <w:r w:rsidRPr="00AE6EDB">
              <w:rPr>
                <w:b/>
                <w:bCs/>
              </w:rPr>
              <w:t>Príjmy z úhrad</w:t>
            </w:r>
          </w:p>
          <w:p w:rsidR="00AF1BDF" w:rsidRPr="00AE6EDB" w:rsidRDefault="00AF1BDF" w:rsidP="00AF1BDF">
            <w:pPr>
              <w:jc w:val="center"/>
              <w:rPr>
                <w:b/>
                <w:bCs/>
              </w:rPr>
            </w:pPr>
            <w:r w:rsidRPr="00AE6EDB">
              <w:rPr>
                <w:b/>
                <w:bCs/>
              </w:rPr>
              <w:t>(v €)</w:t>
            </w:r>
          </w:p>
        </w:tc>
      </w:tr>
      <w:tr w:rsidR="00AF1BDF" w:rsidRPr="00AE6EDB" w:rsidTr="00AF1BDF">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AF1BDF" w:rsidRPr="00AE6EDB" w:rsidRDefault="00AF1BDF" w:rsidP="00AF1BDF">
            <w:pPr>
              <w:jc w:val="center"/>
              <w:rPr>
                <w:b/>
              </w:rPr>
            </w:pPr>
            <w:r w:rsidRPr="00AE6EDB">
              <w:rPr>
                <w:b/>
              </w:rPr>
              <w:t>2014</w:t>
            </w:r>
          </w:p>
        </w:tc>
        <w:tc>
          <w:tcPr>
            <w:tcW w:w="2563" w:type="dxa"/>
            <w:tcBorders>
              <w:top w:val="nil"/>
              <w:left w:val="nil"/>
              <w:bottom w:val="single" w:sz="4" w:space="0" w:color="auto"/>
              <w:right w:val="single" w:sz="4" w:space="0" w:color="auto"/>
            </w:tcBorders>
            <w:noWrap/>
            <w:vAlign w:val="center"/>
          </w:tcPr>
          <w:p w:rsidR="00AF1BDF" w:rsidRPr="00AE6EDB" w:rsidRDefault="0054295F" w:rsidP="00AF1BDF">
            <w:pPr>
              <w:ind w:right="862"/>
              <w:jc w:val="right"/>
            </w:pPr>
            <w:r>
              <w:t>2 8</w:t>
            </w:r>
            <w:r w:rsidR="00AF1BDF" w:rsidRPr="00AE6EDB">
              <w:t>87</w:t>
            </w:r>
          </w:p>
        </w:tc>
        <w:tc>
          <w:tcPr>
            <w:tcW w:w="1984" w:type="dxa"/>
            <w:tcBorders>
              <w:top w:val="nil"/>
              <w:left w:val="nil"/>
              <w:bottom w:val="single" w:sz="4" w:space="0" w:color="auto"/>
              <w:right w:val="single" w:sz="4" w:space="0" w:color="auto"/>
            </w:tcBorders>
            <w:noWrap/>
            <w:vAlign w:val="center"/>
          </w:tcPr>
          <w:p w:rsidR="00AF1BDF" w:rsidRPr="00AE6EDB" w:rsidRDefault="00AF1BDF" w:rsidP="00AF1BDF">
            <w:pPr>
              <w:ind w:right="629"/>
              <w:jc w:val="right"/>
            </w:pPr>
            <w:r w:rsidRPr="00AE6EDB">
              <w:t>24</w:t>
            </w:r>
            <w:r w:rsidR="0054295F">
              <w:t>3 8</w:t>
            </w:r>
            <w:r w:rsidRPr="00AE6EDB">
              <w:t>84</w:t>
            </w:r>
          </w:p>
        </w:tc>
        <w:tc>
          <w:tcPr>
            <w:tcW w:w="1985" w:type="dxa"/>
            <w:tcBorders>
              <w:top w:val="nil"/>
              <w:left w:val="nil"/>
              <w:bottom w:val="single" w:sz="4" w:space="0" w:color="auto"/>
              <w:right w:val="single" w:sz="4" w:space="0" w:color="auto"/>
            </w:tcBorders>
            <w:vAlign w:val="center"/>
          </w:tcPr>
          <w:p w:rsidR="00AF1BDF" w:rsidRPr="00AE6EDB" w:rsidRDefault="00AF1BDF" w:rsidP="00AF1BDF">
            <w:pPr>
              <w:ind w:right="629"/>
              <w:jc w:val="right"/>
            </w:pPr>
            <w:r w:rsidRPr="00AE6EDB">
              <w:t>2</w:t>
            </w:r>
            <w:r w:rsidR="0054295F">
              <w:t>4 5</w:t>
            </w:r>
            <w:r w:rsidRPr="00AE6EDB">
              <w:t>56</w:t>
            </w:r>
          </w:p>
        </w:tc>
      </w:tr>
      <w:tr w:rsidR="00AF1BDF" w:rsidRPr="00AE6EDB" w:rsidTr="00AF1BDF">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AF1BDF" w:rsidRPr="00AE6EDB" w:rsidRDefault="00AF1BDF" w:rsidP="00AF1BDF">
            <w:pPr>
              <w:jc w:val="center"/>
              <w:rPr>
                <w:b/>
              </w:rPr>
            </w:pPr>
            <w:r w:rsidRPr="00AE6EDB">
              <w:rPr>
                <w:b/>
              </w:rPr>
              <w:t>2015</w:t>
            </w:r>
          </w:p>
        </w:tc>
        <w:tc>
          <w:tcPr>
            <w:tcW w:w="2563" w:type="dxa"/>
            <w:tcBorders>
              <w:top w:val="nil"/>
              <w:left w:val="nil"/>
              <w:bottom w:val="single" w:sz="4" w:space="0" w:color="auto"/>
              <w:right w:val="single" w:sz="4" w:space="0" w:color="auto"/>
            </w:tcBorders>
            <w:noWrap/>
            <w:vAlign w:val="center"/>
          </w:tcPr>
          <w:p w:rsidR="00AF1BDF" w:rsidRPr="00AE6EDB" w:rsidRDefault="0054295F" w:rsidP="00AF1BDF">
            <w:pPr>
              <w:ind w:right="862"/>
              <w:jc w:val="right"/>
            </w:pPr>
            <w:r>
              <w:t>3 0</w:t>
            </w:r>
            <w:r w:rsidR="00AF1BDF" w:rsidRPr="00AE6EDB">
              <w:t>32</w:t>
            </w:r>
          </w:p>
        </w:tc>
        <w:tc>
          <w:tcPr>
            <w:tcW w:w="1984" w:type="dxa"/>
            <w:tcBorders>
              <w:top w:val="nil"/>
              <w:left w:val="nil"/>
              <w:bottom w:val="single" w:sz="4" w:space="0" w:color="auto"/>
              <w:right w:val="single" w:sz="4" w:space="0" w:color="auto"/>
            </w:tcBorders>
            <w:noWrap/>
            <w:vAlign w:val="center"/>
          </w:tcPr>
          <w:p w:rsidR="00AF1BDF" w:rsidRPr="00AE6EDB" w:rsidRDefault="00AF1BDF" w:rsidP="00AF1BDF">
            <w:pPr>
              <w:ind w:right="629"/>
              <w:jc w:val="right"/>
            </w:pPr>
            <w:r w:rsidRPr="00AE6EDB">
              <w:t>24</w:t>
            </w:r>
            <w:r w:rsidR="0054295F">
              <w:t>1 0</w:t>
            </w:r>
            <w:r w:rsidRPr="00AE6EDB">
              <w:t>22</w:t>
            </w:r>
          </w:p>
        </w:tc>
        <w:tc>
          <w:tcPr>
            <w:tcW w:w="1985" w:type="dxa"/>
            <w:tcBorders>
              <w:top w:val="nil"/>
              <w:left w:val="nil"/>
              <w:bottom w:val="single" w:sz="4" w:space="0" w:color="auto"/>
              <w:right w:val="single" w:sz="4" w:space="0" w:color="auto"/>
            </w:tcBorders>
            <w:vAlign w:val="center"/>
          </w:tcPr>
          <w:p w:rsidR="00AF1BDF" w:rsidRPr="00AE6EDB" w:rsidRDefault="00AF1BDF" w:rsidP="00AF1BDF">
            <w:pPr>
              <w:ind w:right="629"/>
              <w:jc w:val="right"/>
            </w:pPr>
            <w:r w:rsidRPr="00AE6EDB">
              <w:t>2</w:t>
            </w:r>
            <w:r w:rsidR="0054295F">
              <w:t>4 6</w:t>
            </w:r>
            <w:r w:rsidRPr="00AE6EDB">
              <w:t>71</w:t>
            </w:r>
          </w:p>
        </w:tc>
      </w:tr>
    </w:tbl>
    <w:p w:rsidR="000A7585" w:rsidRPr="00AE6EDB" w:rsidRDefault="000A7585" w:rsidP="000A7585">
      <w:pPr>
        <w:pStyle w:val="zdroj"/>
        <w:spacing w:before="30"/>
        <w:ind w:firstLine="1710"/>
        <w:rPr>
          <w:color w:val="auto"/>
          <w:lang w:eastAsia="cs-CZ"/>
        </w:rPr>
      </w:pPr>
      <w:r w:rsidRPr="00AE6EDB">
        <w:rPr>
          <w:rFonts w:eastAsia="Calibri"/>
        </w:rPr>
        <w:t>Zdroj: V(MPSVR SR) 11-01</w:t>
      </w:r>
    </w:p>
    <w:p w:rsidR="000A7585" w:rsidRPr="00AE6EDB" w:rsidRDefault="000A7585" w:rsidP="000A7585">
      <w:pPr>
        <w:pStyle w:val="Nadpis7"/>
        <w:rPr>
          <w:highlight w:val="cyan"/>
        </w:rPr>
        <w:sectPr w:rsidR="000A7585" w:rsidRPr="00AE6EDB" w:rsidSect="004F3C97">
          <w:headerReference w:type="even" r:id="rId115"/>
          <w:headerReference w:type="default" r:id="rId116"/>
          <w:headerReference w:type="first" r:id="rId117"/>
          <w:pgSz w:w="11906" w:h="16838"/>
          <w:pgMar w:top="1417" w:right="1417" w:bottom="1417" w:left="1417" w:header="708" w:footer="708" w:gutter="0"/>
          <w:cols w:space="708"/>
          <w:titlePg/>
          <w:docGrid w:linePitch="360"/>
        </w:sectPr>
      </w:pPr>
    </w:p>
    <w:p w:rsidR="000A7585" w:rsidRPr="00AE6EDB" w:rsidRDefault="000A7585" w:rsidP="000A7585">
      <w:pPr>
        <w:pStyle w:val="Nadpis7"/>
        <w:spacing w:before="0"/>
      </w:pPr>
      <w:r w:rsidRPr="00AE6EDB">
        <w:t>Tabuľka 23 Počet zariadení sociálnych služieb a ich kapacita</w:t>
      </w:r>
    </w:p>
    <w:tbl>
      <w:tblPr>
        <w:tblW w:w="1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609"/>
        <w:gridCol w:w="586"/>
        <w:gridCol w:w="709"/>
        <w:gridCol w:w="964"/>
        <w:gridCol w:w="850"/>
        <w:gridCol w:w="709"/>
        <w:gridCol w:w="988"/>
        <w:gridCol w:w="571"/>
        <w:gridCol w:w="563"/>
        <w:gridCol w:w="851"/>
        <w:gridCol w:w="850"/>
        <w:gridCol w:w="567"/>
        <w:gridCol w:w="1138"/>
      </w:tblGrid>
      <w:tr w:rsidR="000A7585" w:rsidRPr="00AE6EDB" w:rsidTr="00DE0EEC">
        <w:trPr>
          <w:trHeight w:val="283"/>
          <w:tblHeader/>
          <w:jc w:val="center"/>
        </w:trPr>
        <w:tc>
          <w:tcPr>
            <w:tcW w:w="4609" w:type="dxa"/>
            <w:vMerge w:val="restart"/>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Druh zariadenia</w:t>
            </w:r>
          </w:p>
        </w:tc>
        <w:tc>
          <w:tcPr>
            <w:tcW w:w="586" w:type="dxa"/>
            <w:vMerge w:val="restart"/>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Počet ZSS k 31.12.</w:t>
            </w:r>
          </w:p>
          <w:p w:rsidR="000A7585" w:rsidRPr="00AE6EDB" w:rsidRDefault="000A7585" w:rsidP="00AF1BDF">
            <w:pPr>
              <w:jc w:val="center"/>
              <w:rPr>
                <w:b/>
                <w:bCs/>
                <w:sz w:val="18"/>
                <w:szCs w:val="18"/>
              </w:rPr>
            </w:pPr>
            <w:r w:rsidRPr="00AE6EDB">
              <w:rPr>
                <w:b/>
                <w:bCs/>
                <w:sz w:val="16"/>
                <w:szCs w:val="16"/>
              </w:rPr>
              <w:t>201</w:t>
            </w:r>
            <w:r w:rsidR="00AF1BDF" w:rsidRPr="00AE6EDB">
              <w:rPr>
                <w:b/>
                <w:bCs/>
                <w:sz w:val="16"/>
                <w:szCs w:val="16"/>
              </w:rPr>
              <w:t>3</w:t>
            </w:r>
          </w:p>
        </w:tc>
        <w:tc>
          <w:tcPr>
            <w:tcW w:w="4220" w:type="dxa"/>
            <w:gridSpan w:val="5"/>
            <w:shd w:val="clear" w:color="auto" w:fill="FF9999" w:themeFill="accent3" w:themeFillTint="66"/>
            <w:noWrap/>
            <w:vAlign w:val="center"/>
            <w:hideMark/>
          </w:tcPr>
          <w:p w:rsidR="000A7585" w:rsidRPr="00AE6EDB" w:rsidRDefault="00AF1BDF" w:rsidP="00DE0EEC">
            <w:pPr>
              <w:jc w:val="center"/>
              <w:rPr>
                <w:b/>
                <w:bCs/>
                <w:sz w:val="18"/>
                <w:szCs w:val="18"/>
              </w:rPr>
            </w:pPr>
            <w:r w:rsidRPr="00AE6EDB">
              <w:rPr>
                <w:b/>
                <w:bCs/>
                <w:sz w:val="18"/>
                <w:szCs w:val="18"/>
              </w:rPr>
              <w:t>Počet miest k 31.12.2013</w:t>
            </w:r>
          </w:p>
        </w:tc>
        <w:tc>
          <w:tcPr>
            <w:tcW w:w="571" w:type="dxa"/>
            <w:vMerge w:val="restart"/>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Počet ZSS k 31.12.</w:t>
            </w:r>
          </w:p>
          <w:p w:rsidR="000A7585" w:rsidRPr="00AE6EDB" w:rsidRDefault="000A7585" w:rsidP="00AF1BDF">
            <w:pPr>
              <w:jc w:val="center"/>
              <w:rPr>
                <w:b/>
                <w:bCs/>
                <w:sz w:val="18"/>
                <w:szCs w:val="18"/>
              </w:rPr>
            </w:pPr>
            <w:r w:rsidRPr="00AE6EDB">
              <w:rPr>
                <w:b/>
                <w:bCs/>
                <w:sz w:val="16"/>
                <w:szCs w:val="16"/>
              </w:rPr>
              <w:t>201</w:t>
            </w:r>
            <w:r w:rsidR="00AF1BDF" w:rsidRPr="00AE6EDB">
              <w:rPr>
                <w:b/>
                <w:bCs/>
                <w:sz w:val="16"/>
                <w:szCs w:val="16"/>
              </w:rPr>
              <w:t>4</w:t>
            </w:r>
          </w:p>
        </w:tc>
        <w:tc>
          <w:tcPr>
            <w:tcW w:w="3969" w:type="dxa"/>
            <w:gridSpan w:val="5"/>
            <w:shd w:val="clear" w:color="auto" w:fill="FF9999" w:themeFill="accent3" w:themeFillTint="66"/>
            <w:noWrap/>
            <w:vAlign w:val="center"/>
            <w:hideMark/>
          </w:tcPr>
          <w:p w:rsidR="000A7585" w:rsidRPr="00AE6EDB" w:rsidRDefault="00AF1BDF" w:rsidP="00DE0EEC">
            <w:pPr>
              <w:jc w:val="center"/>
              <w:rPr>
                <w:b/>
                <w:bCs/>
                <w:sz w:val="18"/>
                <w:szCs w:val="18"/>
              </w:rPr>
            </w:pPr>
            <w:r w:rsidRPr="00AE6EDB">
              <w:rPr>
                <w:b/>
                <w:bCs/>
                <w:sz w:val="18"/>
                <w:szCs w:val="18"/>
              </w:rPr>
              <w:t>Počet miest k 31.12.2014</w:t>
            </w:r>
          </w:p>
        </w:tc>
      </w:tr>
      <w:tr w:rsidR="000A7585" w:rsidRPr="00AE6EDB" w:rsidTr="00DE0EEC">
        <w:trPr>
          <w:trHeight w:val="283"/>
          <w:tblHeader/>
          <w:jc w:val="center"/>
        </w:trPr>
        <w:tc>
          <w:tcPr>
            <w:tcW w:w="4609"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586"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709" w:type="dxa"/>
            <w:vMerge w:val="restart"/>
            <w:shd w:val="clear" w:color="auto" w:fill="FF9999" w:themeFill="accent3" w:themeFillTint="66"/>
            <w:noWrap/>
            <w:vAlign w:val="center"/>
            <w:hideMark/>
          </w:tcPr>
          <w:p w:rsidR="000A7585" w:rsidRPr="00AE6EDB" w:rsidRDefault="000A7585" w:rsidP="00DE0EEC">
            <w:pPr>
              <w:jc w:val="center"/>
              <w:rPr>
                <w:b/>
                <w:bCs/>
                <w:sz w:val="18"/>
                <w:szCs w:val="18"/>
              </w:rPr>
            </w:pPr>
            <w:r w:rsidRPr="00AE6EDB">
              <w:rPr>
                <w:b/>
                <w:bCs/>
                <w:sz w:val="18"/>
                <w:szCs w:val="18"/>
              </w:rPr>
              <w:t>Spolu</w:t>
            </w:r>
          </w:p>
        </w:tc>
        <w:tc>
          <w:tcPr>
            <w:tcW w:w="3511" w:type="dxa"/>
            <w:gridSpan w:val="4"/>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z toho starostlivosť poskytovaná</w:t>
            </w:r>
          </w:p>
        </w:tc>
        <w:tc>
          <w:tcPr>
            <w:tcW w:w="571"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563" w:type="dxa"/>
            <w:vMerge w:val="restart"/>
            <w:shd w:val="clear" w:color="auto" w:fill="FF9999" w:themeFill="accent3" w:themeFillTint="66"/>
            <w:noWrap/>
            <w:vAlign w:val="center"/>
            <w:hideMark/>
          </w:tcPr>
          <w:p w:rsidR="000A7585" w:rsidRPr="00AE6EDB" w:rsidRDefault="000A7585" w:rsidP="00DE0EEC">
            <w:pPr>
              <w:jc w:val="center"/>
              <w:rPr>
                <w:b/>
                <w:bCs/>
                <w:sz w:val="18"/>
                <w:szCs w:val="18"/>
              </w:rPr>
            </w:pPr>
            <w:r w:rsidRPr="00AE6EDB">
              <w:rPr>
                <w:b/>
                <w:bCs/>
                <w:sz w:val="18"/>
                <w:szCs w:val="18"/>
              </w:rPr>
              <w:t>Spolu</w:t>
            </w:r>
          </w:p>
        </w:tc>
        <w:tc>
          <w:tcPr>
            <w:tcW w:w="3406" w:type="dxa"/>
            <w:gridSpan w:val="4"/>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z toho starostlivosť poskytovaná</w:t>
            </w:r>
          </w:p>
        </w:tc>
      </w:tr>
      <w:tr w:rsidR="000A7585" w:rsidRPr="00AE6EDB" w:rsidTr="00DE0EEC">
        <w:trPr>
          <w:trHeight w:val="283"/>
          <w:tblHeader/>
          <w:jc w:val="center"/>
        </w:trPr>
        <w:tc>
          <w:tcPr>
            <w:tcW w:w="4609"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586"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709"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964"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celoročne</w:t>
            </w:r>
          </w:p>
        </w:tc>
        <w:tc>
          <w:tcPr>
            <w:tcW w:w="850"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týždenne</w:t>
            </w:r>
          </w:p>
        </w:tc>
        <w:tc>
          <w:tcPr>
            <w:tcW w:w="709"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denne</w:t>
            </w:r>
          </w:p>
        </w:tc>
        <w:tc>
          <w:tcPr>
            <w:tcW w:w="988"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prechodne</w:t>
            </w:r>
          </w:p>
        </w:tc>
        <w:tc>
          <w:tcPr>
            <w:tcW w:w="571"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563" w:type="dxa"/>
            <w:vMerge/>
            <w:shd w:val="clear" w:color="auto" w:fill="FF9999" w:themeFill="accent3" w:themeFillTint="66"/>
            <w:vAlign w:val="center"/>
            <w:hideMark/>
          </w:tcPr>
          <w:p w:rsidR="000A7585" w:rsidRPr="00AE6EDB" w:rsidRDefault="000A7585" w:rsidP="00DE0EEC">
            <w:pPr>
              <w:jc w:val="center"/>
              <w:rPr>
                <w:b/>
                <w:bCs/>
                <w:sz w:val="18"/>
                <w:szCs w:val="18"/>
              </w:rPr>
            </w:pPr>
          </w:p>
        </w:tc>
        <w:tc>
          <w:tcPr>
            <w:tcW w:w="851"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celoročne</w:t>
            </w:r>
          </w:p>
        </w:tc>
        <w:tc>
          <w:tcPr>
            <w:tcW w:w="850"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týždenne</w:t>
            </w:r>
          </w:p>
        </w:tc>
        <w:tc>
          <w:tcPr>
            <w:tcW w:w="567"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denne</w:t>
            </w:r>
          </w:p>
        </w:tc>
        <w:tc>
          <w:tcPr>
            <w:tcW w:w="1138" w:type="dxa"/>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prechodne</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b/>
                <w:bCs/>
                <w:sz w:val="16"/>
                <w:szCs w:val="16"/>
              </w:rPr>
            </w:pPr>
            <w:r w:rsidRPr="00AE6EDB">
              <w:rPr>
                <w:b/>
                <w:bCs/>
                <w:sz w:val="16"/>
                <w:szCs w:val="16"/>
              </w:rPr>
              <w:t>Zariadenia sociálnych služieb spolu</w:t>
            </w:r>
          </w:p>
        </w:tc>
        <w:tc>
          <w:tcPr>
            <w:tcW w:w="586" w:type="dxa"/>
            <w:shd w:val="clear" w:color="auto" w:fill="auto"/>
            <w:noWrap/>
            <w:vAlign w:val="bottom"/>
          </w:tcPr>
          <w:p w:rsidR="00484117" w:rsidRPr="00AE6EDB" w:rsidRDefault="0054295F" w:rsidP="00DE0EEC">
            <w:pPr>
              <w:jc w:val="right"/>
              <w:rPr>
                <w:b/>
                <w:bCs/>
                <w:sz w:val="16"/>
                <w:szCs w:val="16"/>
              </w:rPr>
            </w:pPr>
            <w:r>
              <w:rPr>
                <w:b/>
                <w:bCs/>
                <w:sz w:val="16"/>
                <w:szCs w:val="16"/>
              </w:rPr>
              <w:t>1 1</w:t>
            </w:r>
            <w:r w:rsidR="00484117" w:rsidRPr="00AE6EDB">
              <w:rPr>
                <w:b/>
                <w:bCs/>
                <w:sz w:val="16"/>
                <w:szCs w:val="16"/>
              </w:rPr>
              <w:t>68</w:t>
            </w:r>
          </w:p>
        </w:tc>
        <w:tc>
          <w:tcPr>
            <w:tcW w:w="709" w:type="dxa"/>
            <w:shd w:val="clear" w:color="auto" w:fill="auto"/>
            <w:noWrap/>
            <w:vAlign w:val="bottom"/>
          </w:tcPr>
          <w:p w:rsidR="00484117" w:rsidRPr="00AE6EDB" w:rsidRDefault="00484117" w:rsidP="00DE0EEC">
            <w:pPr>
              <w:jc w:val="right"/>
              <w:rPr>
                <w:b/>
                <w:bCs/>
                <w:sz w:val="16"/>
                <w:szCs w:val="16"/>
              </w:rPr>
            </w:pPr>
            <w:r w:rsidRPr="00AE6EDB">
              <w:rPr>
                <w:b/>
                <w:bCs/>
                <w:sz w:val="16"/>
                <w:szCs w:val="16"/>
              </w:rPr>
              <w:t>4</w:t>
            </w:r>
            <w:r w:rsidR="0054295F">
              <w:rPr>
                <w:b/>
                <w:bCs/>
                <w:sz w:val="16"/>
                <w:szCs w:val="16"/>
              </w:rPr>
              <w:t>2 7</w:t>
            </w:r>
            <w:r w:rsidRPr="00AE6EDB">
              <w:rPr>
                <w:b/>
                <w:bCs/>
                <w:sz w:val="16"/>
                <w:szCs w:val="16"/>
              </w:rPr>
              <w:t>94</w:t>
            </w:r>
          </w:p>
        </w:tc>
        <w:tc>
          <w:tcPr>
            <w:tcW w:w="964" w:type="dxa"/>
            <w:shd w:val="clear" w:color="auto" w:fill="auto"/>
            <w:noWrap/>
            <w:vAlign w:val="bottom"/>
          </w:tcPr>
          <w:p w:rsidR="00484117" w:rsidRPr="00AE6EDB" w:rsidRDefault="00484117" w:rsidP="00DE0EEC">
            <w:pPr>
              <w:jc w:val="right"/>
              <w:rPr>
                <w:b/>
                <w:bCs/>
                <w:sz w:val="16"/>
                <w:szCs w:val="16"/>
              </w:rPr>
            </w:pPr>
            <w:r w:rsidRPr="00AE6EDB">
              <w:rPr>
                <w:b/>
                <w:bCs/>
                <w:sz w:val="16"/>
                <w:szCs w:val="16"/>
              </w:rPr>
              <w:t>3</w:t>
            </w:r>
            <w:r w:rsidR="00AC44CB">
              <w:rPr>
                <w:b/>
                <w:bCs/>
                <w:sz w:val="16"/>
                <w:szCs w:val="16"/>
              </w:rPr>
              <w:t>8 2</w:t>
            </w:r>
            <w:r w:rsidRPr="00AE6EDB">
              <w:rPr>
                <w:b/>
                <w:bCs/>
                <w:sz w:val="16"/>
                <w:szCs w:val="16"/>
              </w:rPr>
              <w:t>49</w:t>
            </w:r>
          </w:p>
        </w:tc>
        <w:tc>
          <w:tcPr>
            <w:tcW w:w="850" w:type="dxa"/>
            <w:shd w:val="clear" w:color="auto" w:fill="auto"/>
            <w:noWrap/>
            <w:vAlign w:val="bottom"/>
          </w:tcPr>
          <w:p w:rsidR="00484117" w:rsidRPr="00AE6EDB" w:rsidRDefault="00484117" w:rsidP="00DE0EEC">
            <w:pPr>
              <w:jc w:val="right"/>
              <w:rPr>
                <w:b/>
                <w:bCs/>
                <w:sz w:val="16"/>
                <w:szCs w:val="16"/>
              </w:rPr>
            </w:pPr>
            <w:r w:rsidRPr="00AE6EDB">
              <w:rPr>
                <w:b/>
                <w:bCs/>
                <w:sz w:val="16"/>
                <w:szCs w:val="16"/>
              </w:rPr>
              <w:t>654</w:t>
            </w:r>
          </w:p>
        </w:tc>
        <w:tc>
          <w:tcPr>
            <w:tcW w:w="709" w:type="dxa"/>
            <w:shd w:val="clear" w:color="auto" w:fill="auto"/>
            <w:noWrap/>
            <w:vAlign w:val="bottom"/>
          </w:tcPr>
          <w:p w:rsidR="00484117" w:rsidRPr="00AE6EDB" w:rsidRDefault="0054295F" w:rsidP="00DE0EEC">
            <w:pPr>
              <w:jc w:val="right"/>
              <w:rPr>
                <w:b/>
                <w:bCs/>
                <w:sz w:val="16"/>
                <w:szCs w:val="16"/>
              </w:rPr>
            </w:pPr>
            <w:r>
              <w:rPr>
                <w:b/>
                <w:bCs/>
                <w:sz w:val="16"/>
                <w:szCs w:val="16"/>
              </w:rPr>
              <w:t>2 7</w:t>
            </w:r>
            <w:r w:rsidR="00484117" w:rsidRPr="00AE6EDB">
              <w:rPr>
                <w:b/>
                <w:bCs/>
                <w:sz w:val="16"/>
                <w:szCs w:val="16"/>
              </w:rPr>
              <w:t>28</w:t>
            </w:r>
          </w:p>
        </w:tc>
        <w:tc>
          <w:tcPr>
            <w:tcW w:w="988" w:type="dxa"/>
            <w:shd w:val="clear" w:color="auto" w:fill="auto"/>
            <w:noWrap/>
            <w:vAlign w:val="bottom"/>
          </w:tcPr>
          <w:p w:rsidR="00484117" w:rsidRPr="00AE6EDB" w:rsidRDefault="0054295F" w:rsidP="00DE0EEC">
            <w:pPr>
              <w:jc w:val="right"/>
              <w:rPr>
                <w:b/>
                <w:bCs/>
                <w:sz w:val="16"/>
                <w:szCs w:val="16"/>
              </w:rPr>
            </w:pPr>
            <w:r>
              <w:rPr>
                <w:b/>
                <w:bCs/>
                <w:sz w:val="16"/>
                <w:szCs w:val="16"/>
              </w:rPr>
              <w:t>1 0</w:t>
            </w:r>
            <w:r w:rsidR="00484117" w:rsidRPr="00AE6EDB">
              <w:rPr>
                <w:b/>
                <w:bCs/>
                <w:sz w:val="16"/>
                <w:szCs w:val="16"/>
              </w:rPr>
              <w:t>72</w:t>
            </w:r>
          </w:p>
        </w:tc>
        <w:tc>
          <w:tcPr>
            <w:tcW w:w="571" w:type="dxa"/>
            <w:shd w:val="clear" w:color="auto" w:fill="auto"/>
            <w:noWrap/>
            <w:vAlign w:val="bottom"/>
          </w:tcPr>
          <w:p w:rsidR="00484117" w:rsidRPr="00AE6EDB" w:rsidRDefault="0054295F" w:rsidP="00DE0EEC">
            <w:pPr>
              <w:jc w:val="right"/>
              <w:rPr>
                <w:b/>
                <w:bCs/>
                <w:sz w:val="16"/>
                <w:szCs w:val="16"/>
              </w:rPr>
            </w:pPr>
            <w:r>
              <w:rPr>
                <w:b/>
                <w:bCs/>
                <w:sz w:val="16"/>
                <w:szCs w:val="16"/>
              </w:rPr>
              <w:t>1 1</w:t>
            </w:r>
            <w:r w:rsidR="00484117" w:rsidRPr="00AE6EDB">
              <w:rPr>
                <w:b/>
                <w:bCs/>
                <w:sz w:val="16"/>
                <w:szCs w:val="16"/>
              </w:rPr>
              <w:t>58</w:t>
            </w:r>
          </w:p>
        </w:tc>
        <w:tc>
          <w:tcPr>
            <w:tcW w:w="563" w:type="dxa"/>
            <w:shd w:val="clear" w:color="auto" w:fill="auto"/>
            <w:noWrap/>
            <w:vAlign w:val="bottom"/>
          </w:tcPr>
          <w:p w:rsidR="00484117" w:rsidRPr="00AE6EDB" w:rsidRDefault="00484117" w:rsidP="00DE0EEC">
            <w:pPr>
              <w:jc w:val="right"/>
              <w:rPr>
                <w:b/>
                <w:bCs/>
                <w:sz w:val="16"/>
                <w:szCs w:val="16"/>
              </w:rPr>
            </w:pPr>
            <w:r w:rsidRPr="00AE6EDB">
              <w:rPr>
                <w:b/>
                <w:bCs/>
                <w:sz w:val="16"/>
                <w:szCs w:val="16"/>
              </w:rPr>
              <w:t>4</w:t>
            </w:r>
            <w:r w:rsidR="00AC44CB">
              <w:rPr>
                <w:b/>
                <w:bCs/>
                <w:sz w:val="16"/>
                <w:szCs w:val="16"/>
              </w:rPr>
              <w:t>6 0</w:t>
            </w:r>
            <w:r w:rsidRPr="00AE6EDB">
              <w:rPr>
                <w:b/>
                <w:bCs/>
                <w:sz w:val="16"/>
                <w:szCs w:val="16"/>
              </w:rPr>
              <w:t>94</w:t>
            </w:r>
          </w:p>
        </w:tc>
        <w:tc>
          <w:tcPr>
            <w:tcW w:w="851" w:type="dxa"/>
            <w:shd w:val="clear" w:color="auto" w:fill="auto"/>
            <w:noWrap/>
            <w:vAlign w:val="bottom"/>
          </w:tcPr>
          <w:p w:rsidR="00484117" w:rsidRPr="00AE6EDB" w:rsidRDefault="00484117" w:rsidP="00DE0EEC">
            <w:pPr>
              <w:jc w:val="right"/>
              <w:rPr>
                <w:b/>
                <w:bCs/>
                <w:sz w:val="16"/>
                <w:szCs w:val="16"/>
              </w:rPr>
            </w:pPr>
            <w:r w:rsidRPr="00AE6EDB">
              <w:rPr>
                <w:b/>
                <w:bCs/>
                <w:sz w:val="16"/>
                <w:szCs w:val="16"/>
              </w:rPr>
              <w:t>3</w:t>
            </w:r>
            <w:r w:rsidR="00AC44CB">
              <w:rPr>
                <w:b/>
                <w:bCs/>
                <w:sz w:val="16"/>
                <w:szCs w:val="16"/>
              </w:rPr>
              <w:t>9 0</w:t>
            </w:r>
            <w:r w:rsidRPr="00AE6EDB">
              <w:rPr>
                <w:b/>
                <w:bCs/>
                <w:sz w:val="16"/>
                <w:szCs w:val="16"/>
              </w:rPr>
              <w:t>78</w:t>
            </w:r>
          </w:p>
        </w:tc>
        <w:tc>
          <w:tcPr>
            <w:tcW w:w="850" w:type="dxa"/>
            <w:shd w:val="clear" w:color="auto" w:fill="auto"/>
            <w:noWrap/>
            <w:vAlign w:val="bottom"/>
          </w:tcPr>
          <w:p w:rsidR="00484117" w:rsidRPr="00AE6EDB" w:rsidRDefault="0054295F" w:rsidP="00DE0EEC">
            <w:pPr>
              <w:jc w:val="right"/>
              <w:rPr>
                <w:b/>
                <w:bCs/>
                <w:sz w:val="16"/>
                <w:szCs w:val="16"/>
              </w:rPr>
            </w:pPr>
            <w:r>
              <w:rPr>
                <w:b/>
                <w:bCs/>
                <w:sz w:val="16"/>
                <w:szCs w:val="16"/>
              </w:rPr>
              <w:t>1 5</w:t>
            </w:r>
            <w:r w:rsidR="00484117" w:rsidRPr="00AE6EDB">
              <w:rPr>
                <w:b/>
                <w:bCs/>
                <w:sz w:val="16"/>
                <w:szCs w:val="16"/>
              </w:rPr>
              <w:t>44</w:t>
            </w:r>
          </w:p>
        </w:tc>
        <w:tc>
          <w:tcPr>
            <w:tcW w:w="567" w:type="dxa"/>
            <w:shd w:val="clear" w:color="auto" w:fill="auto"/>
            <w:noWrap/>
            <w:vAlign w:val="bottom"/>
          </w:tcPr>
          <w:p w:rsidR="00484117" w:rsidRPr="00AE6EDB" w:rsidRDefault="0054295F" w:rsidP="00DE0EEC">
            <w:pPr>
              <w:jc w:val="right"/>
              <w:rPr>
                <w:b/>
                <w:bCs/>
                <w:sz w:val="16"/>
                <w:szCs w:val="16"/>
              </w:rPr>
            </w:pPr>
            <w:r>
              <w:rPr>
                <w:b/>
                <w:bCs/>
                <w:sz w:val="16"/>
                <w:szCs w:val="16"/>
              </w:rPr>
              <w:t>3 4</w:t>
            </w:r>
            <w:r w:rsidR="00484117" w:rsidRPr="00AE6EDB">
              <w:rPr>
                <w:b/>
                <w:bCs/>
                <w:sz w:val="16"/>
                <w:szCs w:val="16"/>
              </w:rPr>
              <w:t>12</w:t>
            </w:r>
          </w:p>
        </w:tc>
        <w:tc>
          <w:tcPr>
            <w:tcW w:w="1138" w:type="dxa"/>
            <w:shd w:val="clear" w:color="auto" w:fill="auto"/>
            <w:noWrap/>
            <w:vAlign w:val="bottom"/>
          </w:tcPr>
          <w:p w:rsidR="00484117" w:rsidRPr="00AE6EDB" w:rsidRDefault="0054295F" w:rsidP="00DE0EEC">
            <w:pPr>
              <w:jc w:val="right"/>
              <w:rPr>
                <w:b/>
                <w:bCs/>
                <w:sz w:val="16"/>
                <w:szCs w:val="16"/>
              </w:rPr>
            </w:pPr>
            <w:r>
              <w:rPr>
                <w:b/>
                <w:bCs/>
                <w:sz w:val="16"/>
                <w:szCs w:val="16"/>
              </w:rPr>
              <w:t>1 9</w:t>
            </w:r>
            <w:r w:rsidR="00484117" w:rsidRPr="00AE6EDB">
              <w:rPr>
                <w:b/>
                <w:bCs/>
                <w:sz w:val="16"/>
                <w:szCs w:val="16"/>
              </w:rPr>
              <w:t>25</w:t>
            </w:r>
          </w:p>
        </w:tc>
      </w:tr>
      <w:tr w:rsidR="000A7585" w:rsidRPr="00AE6EDB" w:rsidTr="00DE0EEC">
        <w:trPr>
          <w:trHeight w:val="255"/>
          <w:jc w:val="center"/>
        </w:trPr>
        <w:tc>
          <w:tcPr>
            <w:tcW w:w="13955" w:type="dxa"/>
            <w:gridSpan w:val="13"/>
            <w:shd w:val="clear" w:color="auto" w:fill="auto"/>
            <w:vAlign w:val="center"/>
            <w:hideMark/>
          </w:tcPr>
          <w:p w:rsidR="000A7585" w:rsidRPr="00AE6EDB" w:rsidRDefault="000A7585" w:rsidP="00DE0EEC">
            <w:pPr>
              <w:jc w:val="left"/>
              <w:rPr>
                <w:sz w:val="16"/>
                <w:szCs w:val="16"/>
              </w:rPr>
            </w:pPr>
            <w:r w:rsidRPr="00AE6EDB">
              <w:rPr>
                <w:b/>
                <w:bCs/>
                <w:sz w:val="16"/>
                <w:szCs w:val="16"/>
              </w:rPr>
              <w:t>z toho</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zariadenie pre seniorov</w:t>
            </w:r>
          </w:p>
        </w:tc>
        <w:tc>
          <w:tcPr>
            <w:tcW w:w="586" w:type="dxa"/>
            <w:shd w:val="clear" w:color="auto" w:fill="auto"/>
            <w:noWrap/>
            <w:vAlign w:val="bottom"/>
          </w:tcPr>
          <w:p w:rsidR="00484117" w:rsidRPr="00AE6EDB" w:rsidRDefault="00484117" w:rsidP="00DE0EEC">
            <w:pPr>
              <w:jc w:val="right"/>
              <w:rPr>
                <w:bCs/>
                <w:sz w:val="16"/>
                <w:szCs w:val="16"/>
              </w:rPr>
            </w:pPr>
            <w:r w:rsidRPr="00AE6EDB">
              <w:rPr>
                <w:bCs/>
                <w:sz w:val="16"/>
                <w:szCs w:val="16"/>
              </w:rPr>
              <w:t>300</w:t>
            </w:r>
          </w:p>
        </w:tc>
        <w:tc>
          <w:tcPr>
            <w:tcW w:w="709" w:type="dxa"/>
            <w:shd w:val="clear" w:color="auto" w:fill="auto"/>
            <w:noWrap/>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3 0</w:t>
            </w:r>
            <w:r w:rsidRPr="00AE6EDB">
              <w:rPr>
                <w:bCs/>
                <w:sz w:val="16"/>
                <w:szCs w:val="16"/>
              </w:rPr>
              <w:t>37</w:t>
            </w:r>
          </w:p>
        </w:tc>
        <w:tc>
          <w:tcPr>
            <w:tcW w:w="964" w:type="dxa"/>
            <w:shd w:val="clear" w:color="auto" w:fill="auto"/>
            <w:noWrap/>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2 9</w:t>
            </w:r>
            <w:r w:rsidRPr="00AE6EDB">
              <w:rPr>
                <w:bCs/>
                <w:sz w:val="16"/>
                <w:szCs w:val="16"/>
              </w:rPr>
              <w:t>74</w:t>
            </w:r>
          </w:p>
        </w:tc>
        <w:tc>
          <w:tcPr>
            <w:tcW w:w="850"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709" w:type="dxa"/>
            <w:shd w:val="clear" w:color="auto" w:fill="auto"/>
            <w:noWrap/>
            <w:vAlign w:val="bottom"/>
          </w:tcPr>
          <w:p w:rsidR="00484117" w:rsidRPr="00AE6EDB" w:rsidRDefault="00484117" w:rsidP="00DE0EEC">
            <w:pPr>
              <w:jc w:val="right"/>
              <w:rPr>
                <w:bCs/>
                <w:sz w:val="16"/>
                <w:szCs w:val="16"/>
              </w:rPr>
            </w:pPr>
            <w:r w:rsidRPr="00AE6EDB">
              <w:rPr>
                <w:bCs/>
                <w:sz w:val="16"/>
                <w:szCs w:val="16"/>
              </w:rPr>
              <w:t>60</w:t>
            </w:r>
          </w:p>
        </w:tc>
        <w:tc>
          <w:tcPr>
            <w:tcW w:w="988"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571" w:type="dxa"/>
            <w:shd w:val="clear" w:color="auto" w:fill="auto"/>
            <w:noWrap/>
            <w:vAlign w:val="bottom"/>
          </w:tcPr>
          <w:p w:rsidR="00484117" w:rsidRPr="00AE6EDB" w:rsidRDefault="00484117" w:rsidP="00DE0EEC">
            <w:pPr>
              <w:jc w:val="right"/>
              <w:rPr>
                <w:bCs/>
                <w:sz w:val="16"/>
                <w:szCs w:val="16"/>
              </w:rPr>
            </w:pPr>
            <w:r w:rsidRPr="00AE6EDB">
              <w:rPr>
                <w:bCs/>
                <w:sz w:val="16"/>
                <w:szCs w:val="16"/>
              </w:rPr>
              <w:t>302</w:t>
            </w:r>
          </w:p>
        </w:tc>
        <w:tc>
          <w:tcPr>
            <w:tcW w:w="563" w:type="dxa"/>
            <w:shd w:val="clear" w:color="auto" w:fill="auto"/>
            <w:noWrap/>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4 3</w:t>
            </w:r>
            <w:r w:rsidRPr="00AE6EDB">
              <w:rPr>
                <w:bCs/>
                <w:sz w:val="16"/>
                <w:szCs w:val="16"/>
              </w:rPr>
              <w:t>26</w:t>
            </w:r>
          </w:p>
        </w:tc>
        <w:tc>
          <w:tcPr>
            <w:tcW w:w="851" w:type="dxa"/>
            <w:shd w:val="clear" w:color="auto" w:fill="auto"/>
            <w:noWrap/>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4 2</w:t>
            </w:r>
            <w:r w:rsidRPr="00AE6EDB">
              <w:rPr>
                <w:bCs/>
                <w:sz w:val="16"/>
                <w:szCs w:val="16"/>
              </w:rPr>
              <w:t>60</w:t>
            </w:r>
          </w:p>
        </w:tc>
        <w:tc>
          <w:tcPr>
            <w:tcW w:w="850"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65</w:t>
            </w:r>
          </w:p>
        </w:tc>
        <w:tc>
          <w:tcPr>
            <w:tcW w:w="1138" w:type="dxa"/>
            <w:shd w:val="clear" w:color="auto" w:fill="auto"/>
            <w:noWrap/>
            <w:vAlign w:val="bottom"/>
          </w:tcPr>
          <w:p w:rsidR="00484117" w:rsidRPr="00AE6EDB" w:rsidRDefault="00484117" w:rsidP="00DE0EEC">
            <w:pPr>
              <w:jc w:val="right"/>
              <w:rPr>
                <w:bCs/>
                <w:sz w:val="16"/>
                <w:szCs w:val="16"/>
              </w:rPr>
            </w:pPr>
            <w:r w:rsidRPr="00AE6EDB">
              <w:rPr>
                <w:bCs/>
                <w:sz w:val="16"/>
                <w:szCs w:val="16"/>
              </w:rPr>
              <w:t>1</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DSS pre dospelých s telesným postihnutím</w:t>
            </w:r>
          </w:p>
        </w:tc>
        <w:tc>
          <w:tcPr>
            <w:tcW w:w="586" w:type="dxa"/>
            <w:shd w:val="clear" w:color="auto" w:fill="auto"/>
            <w:noWrap/>
            <w:vAlign w:val="bottom"/>
          </w:tcPr>
          <w:p w:rsidR="00484117" w:rsidRPr="00AE6EDB" w:rsidRDefault="00484117" w:rsidP="00DE0EEC">
            <w:pPr>
              <w:jc w:val="right"/>
              <w:rPr>
                <w:sz w:val="16"/>
                <w:szCs w:val="16"/>
              </w:rPr>
            </w:pPr>
            <w:r w:rsidRPr="00AE6EDB">
              <w:rPr>
                <w:bCs/>
                <w:sz w:val="16"/>
                <w:szCs w:val="16"/>
              </w:rPr>
              <w:t>33</w:t>
            </w:r>
          </w:p>
        </w:tc>
        <w:tc>
          <w:tcPr>
            <w:tcW w:w="709" w:type="dxa"/>
            <w:shd w:val="clear" w:color="auto" w:fill="auto"/>
            <w:noWrap/>
            <w:vAlign w:val="bottom"/>
          </w:tcPr>
          <w:p w:rsidR="00484117" w:rsidRPr="00AE6EDB" w:rsidRDefault="0054295F" w:rsidP="00DE0EEC">
            <w:pPr>
              <w:jc w:val="right"/>
              <w:rPr>
                <w:sz w:val="16"/>
                <w:szCs w:val="16"/>
              </w:rPr>
            </w:pPr>
            <w:r>
              <w:rPr>
                <w:bCs/>
                <w:sz w:val="16"/>
                <w:szCs w:val="16"/>
              </w:rPr>
              <w:t>1 2</w:t>
            </w:r>
            <w:r w:rsidR="00484117" w:rsidRPr="00AE6EDB">
              <w:rPr>
                <w:bCs/>
                <w:sz w:val="16"/>
                <w:szCs w:val="16"/>
              </w:rPr>
              <w:t>27</w:t>
            </w:r>
          </w:p>
        </w:tc>
        <w:tc>
          <w:tcPr>
            <w:tcW w:w="964" w:type="dxa"/>
            <w:shd w:val="clear" w:color="auto" w:fill="auto"/>
            <w:noWrap/>
            <w:vAlign w:val="bottom"/>
          </w:tcPr>
          <w:p w:rsidR="00484117" w:rsidRPr="00AE6EDB" w:rsidRDefault="0054295F" w:rsidP="00DE0EEC">
            <w:pPr>
              <w:jc w:val="right"/>
              <w:rPr>
                <w:sz w:val="16"/>
                <w:szCs w:val="16"/>
              </w:rPr>
            </w:pPr>
            <w:r>
              <w:rPr>
                <w:bCs/>
                <w:sz w:val="16"/>
                <w:szCs w:val="16"/>
              </w:rPr>
              <w:t>1 1</w:t>
            </w:r>
            <w:r w:rsidR="00484117" w:rsidRPr="00AE6EDB">
              <w:rPr>
                <w:bCs/>
                <w:sz w:val="16"/>
                <w:szCs w:val="16"/>
              </w:rPr>
              <w:t>79</w:t>
            </w:r>
          </w:p>
        </w:tc>
        <w:tc>
          <w:tcPr>
            <w:tcW w:w="850" w:type="dxa"/>
            <w:shd w:val="clear" w:color="auto" w:fill="auto"/>
            <w:noWrap/>
            <w:vAlign w:val="bottom"/>
          </w:tcPr>
          <w:p w:rsidR="00484117" w:rsidRPr="00AE6EDB" w:rsidRDefault="00484117" w:rsidP="00DE0EEC">
            <w:pPr>
              <w:jc w:val="right"/>
              <w:rPr>
                <w:sz w:val="16"/>
                <w:szCs w:val="16"/>
              </w:rPr>
            </w:pPr>
            <w:r w:rsidRPr="00AE6EDB">
              <w:rPr>
                <w:bCs/>
                <w:sz w:val="16"/>
                <w:szCs w:val="16"/>
              </w:rPr>
              <w:t>21</w:t>
            </w:r>
          </w:p>
        </w:tc>
        <w:tc>
          <w:tcPr>
            <w:tcW w:w="709" w:type="dxa"/>
            <w:shd w:val="clear" w:color="auto" w:fill="auto"/>
            <w:noWrap/>
            <w:vAlign w:val="bottom"/>
          </w:tcPr>
          <w:p w:rsidR="00484117" w:rsidRPr="00AE6EDB" w:rsidRDefault="00484117" w:rsidP="00DE0EEC">
            <w:pPr>
              <w:jc w:val="right"/>
              <w:rPr>
                <w:sz w:val="16"/>
                <w:szCs w:val="16"/>
              </w:rPr>
            </w:pPr>
            <w:r w:rsidRPr="00AE6EDB">
              <w:rPr>
                <w:bCs/>
                <w:sz w:val="16"/>
                <w:szCs w:val="16"/>
              </w:rPr>
              <w:t>27</w:t>
            </w:r>
          </w:p>
        </w:tc>
        <w:tc>
          <w:tcPr>
            <w:tcW w:w="988" w:type="dxa"/>
            <w:shd w:val="clear" w:color="auto" w:fill="auto"/>
            <w:noWrap/>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noWrap/>
            <w:vAlign w:val="bottom"/>
          </w:tcPr>
          <w:p w:rsidR="00484117" w:rsidRPr="00AE6EDB" w:rsidRDefault="00484117" w:rsidP="00DE0EEC">
            <w:pPr>
              <w:jc w:val="right"/>
              <w:rPr>
                <w:bCs/>
                <w:sz w:val="16"/>
                <w:szCs w:val="16"/>
              </w:rPr>
            </w:pPr>
            <w:r w:rsidRPr="00AE6EDB">
              <w:rPr>
                <w:bCs/>
                <w:sz w:val="16"/>
                <w:szCs w:val="16"/>
              </w:rPr>
              <w:t>24</w:t>
            </w:r>
          </w:p>
        </w:tc>
        <w:tc>
          <w:tcPr>
            <w:tcW w:w="563" w:type="dxa"/>
            <w:shd w:val="clear" w:color="auto" w:fill="auto"/>
            <w:noWrap/>
            <w:vAlign w:val="bottom"/>
          </w:tcPr>
          <w:p w:rsidR="00484117" w:rsidRPr="00AE6EDB" w:rsidRDefault="0054295F" w:rsidP="00DE0EEC">
            <w:pPr>
              <w:jc w:val="right"/>
              <w:rPr>
                <w:bCs/>
                <w:sz w:val="16"/>
                <w:szCs w:val="16"/>
              </w:rPr>
            </w:pPr>
            <w:r>
              <w:rPr>
                <w:bCs/>
                <w:sz w:val="16"/>
                <w:szCs w:val="16"/>
              </w:rPr>
              <w:t>1 9</w:t>
            </w:r>
            <w:r w:rsidR="00484117" w:rsidRPr="00AE6EDB">
              <w:rPr>
                <w:bCs/>
                <w:sz w:val="16"/>
                <w:szCs w:val="16"/>
              </w:rPr>
              <w:t>86</w:t>
            </w:r>
          </w:p>
        </w:tc>
        <w:tc>
          <w:tcPr>
            <w:tcW w:w="851" w:type="dxa"/>
            <w:shd w:val="clear" w:color="auto" w:fill="auto"/>
            <w:noWrap/>
            <w:vAlign w:val="bottom"/>
          </w:tcPr>
          <w:p w:rsidR="00484117" w:rsidRPr="00AE6EDB" w:rsidRDefault="00484117" w:rsidP="00DE0EEC">
            <w:pPr>
              <w:jc w:val="right"/>
              <w:rPr>
                <w:bCs/>
                <w:sz w:val="16"/>
                <w:szCs w:val="16"/>
              </w:rPr>
            </w:pPr>
            <w:r w:rsidRPr="00AE6EDB">
              <w:rPr>
                <w:bCs/>
                <w:sz w:val="16"/>
                <w:szCs w:val="16"/>
              </w:rPr>
              <w:t>993</w:t>
            </w:r>
          </w:p>
        </w:tc>
        <w:tc>
          <w:tcPr>
            <w:tcW w:w="850" w:type="dxa"/>
            <w:shd w:val="clear" w:color="auto" w:fill="auto"/>
            <w:noWrap/>
            <w:vAlign w:val="bottom"/>
          </w:tcPr>
          <w:p w:rsidR="00484117" w:rsidRPr="00AE6EDB" w:rsidRDefault="00484117" w:rsidP="00DE0EEC">
            <w:pPr>
              <w:jc w:val="right"/>
              <w:rPr>
                <w:bCs/>
                <w:sz w:val="16"/>
                <w:szCs w:val="16"/>
              </w:rPr>
            </w:pPr>
            <w:r w:rsidRPr="00AE6EDB">
              <w:rPr>
                <w:bCs/>
                <w:sz w:val="16"/>
                <w:szCs w:val="16"/>
              </w:rPr>
              <w:t>940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20</w:t>
            </w:r>
          </w:p>
        </w:tc>
        <w:tc>
          <w:tcPr>
            <w:tcW w:w="1138" w:type="dxa"/>
            <w:shd w:val="clear" w:color="auto" w:fill="auto"/>
            <w:noWrap/>
            <w:vAlign w:val="bottom"/>
          </w:tcPr>
          <w:p w:rsidR="00484117" w:rsidRPr="00AE6EDB" w:rsidRDefault="00484117" w:rsidP="00DE0EEC">
            <w:pPr>
              <w:jc w:val="right"/>
              <w:rPr>
                <w:bCs/>
                <w:sz w:val="16"/>
                <w:szCs w:val="16"/>
              </w:rPr>
            </w:pPr>
            <w:r w:rsidRPr="00AE6EDB">
              <w:rPr>
                <w:bCs/>
                <w:sz w:val="16"/>
                <w:szCs w:val="16"/>
              </w:rPr>
              <w:t>33</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DSS pre dospelých s kombináciou postihnutí</w:t>
            </w:r>
          </w:p>
        </w:tc>
        <w:tc>
          <w:tcPr>
            <w:tcW w:w="586" w:type="dxa"/>
            <w:shd w:val="clear" w:color="auto" w:fill="auto"/>
            <w:vAlign w:val="bottom"/>
          </w:tcPr>
          <w:p w:rsidR="00484117" w:rsidRPr="00AE6EDB" w:rsidRDefault="00484117" w:rsidP="00DE0EEC">
            <w:pPr>
              <w:jc w:val="right"/>
              <w:rPr>
                <w:sz w:val="16"/>
                <w:szCs w:val="16"/>
              </w:rPr>
            </w:pPr>
            <w:r w:rsidRPr="00AE6EDB">
              <w:rPr>
                <w:bCs/>
                <w:sz w:val="16"/>
                <w:szCs w:val="16"/>
              </w:rPr>
              <w:t>278</w:t>
            </w:r>
          </w:p>
        </w:tc>
        <w:tc>
          <w:tcPr>
            <w:tcW w:w="709" w:type="dxa"/>
            <w:shd w:val="clear" w:color="auto" w:fill="auto"/>
            <w:vAlign w:val="bottom"/>
          </w:tcPr>
          <w:p w:rsidR="00484117" w:rsidRPr="00AE6EDB" w:rsidRDefault="00484117" w:rsidP="00DE0EEC">
            <w:pPr>
              <w:jc w:val="right"/>
              <w:rPr>
                <w:sz w:val="16"/>
                <w:szCs w:val="16"/>
              </w:rPr>
            </w:pPr>
            <w:r w:rsidRPr="00AE6EDB">
              <w:rPr>
                <w:bCs/>
                <w:sz w:val="16"/>
                <w:szCs w:val="16"/>
              </w:rPr>
              <w:t>1</w:t>
            </w:r>
            <w:r w:rsidR="0054295F">
              <w:rPr>
                <w:bCs/>
                <w:sz w:val="16"/>
                <w:szCs w:val="16"/>
              </w:rPr>
              <w:t>3 8</w:t>
            </w:r>
            <w:r w:rsidRPr="00AE6EDB">
              <w:rPr>
                <w:bCs/>
                <w:sz w:val="16"/>
                <w:szCs w:val="16"/>
              </w:rPr>
              <w:t>38</w:t>
            </w:r>
          </w:p>
        </w:tc>
        <w:tc>
          <w:tcPr>
            <w:tcW w:w="964" w:type="dxa"/>
            <w:shd w:val="clear" w:color="auto" w:fill="auto"/>
            <w:vAlign w:val="bottom"/>
          </w:tcPr>
          <w:p w:rsidR="00484117" w:rsidRPr="00AE6EDB" w:rsidRDefault="00484117" w:rsidP="00DE0EEC">
            <w:pPr>
              <w:jc w:val="right"/>
              <w:rPr>
                <w:sz w:val="16"/>
                <w:szCs w:val="16"/>
              </w:rPr>
            </w:pPr>
            <w:r w:rsidRPr="00AE6EDB">
              <w:rPr>
                <w:bCs/>
                <w:sz w:val="16"/>
                <w:szCs w:val="16"/>
              </w:rPr>
              <w:t>1</w:t>
            </w:r>
            <w:r w:rsidR="0054295F">
              <w:rPr>
                <w:bCs/>
                <w:sz w:val="16"/>
                <w:szCs w:val="16"/>
              </w:rPr>
              <w:t>3 0</w:t>
            </w:r>
            <w:r w:rsidRPr="00AE6EDB">
              <w:rPr>
                <w:bCs/>
                <w:sz w:val="16"/>
                <w:szCs w:val="16"/>
              </w:rPr>
              <w:t>93</w:t>
            </w:r>
          </w:p>
        </w:tc>
        <w:tc>
          <w:tcPr>
            <w:tcW w:w="850" w:type="dxa"/>
            <w:shd w:val="clear" w:color="auto" w:fill="auto"/>
            <w:vAlign w:val="bottom"/>
          </w:tcPr>
          <w:p w:rsidR="00484117" w:rsidRPr="00AE6EDB" w:rsidRDefault="00484117" w:rsidP="00DE0EEC">
            <w:pPr>
              <w:jc w:val="right"/>
              <w:rPr>
                <w:sz w:val="16"/>
                <w:szCs w:val="16"/>
              </w:rPr>
            </w:pPr>
            <w:r w:rsidRPr="00AE6EDB">
              <w:rPr>
                <w:bCs/>
                <w:sz w:val="16"/>
                <w:szCs w:val="16"/>
              </w:rPr>
              <w:t>207</w:t>
            </w:r>
          </w:p>
        </w:tc>
        <w:tc>
          <w:tcPr>
            <w:tcW w:w="709" w:type="dxa"/>
            <w:shd w:val="clear" w:color="auto" w:fill="auto"/>
            <w:noWrap/>
            <w:vAlign w:val="bottom"/>
          </w:tcPr>
          <w:p w:rsidR="00484117" w:rsidRPr="00AE6EDB" w:rsidRDefault="00484117" w:rsidP="00DE0EEC">
            <w:pPr>
              <w:jc w:val="right"/>
              <w:rPr>
                <w:sz w:val="16"/>
                <w:szCs w:val="16"/>
              </w:rPr>
            </w:pPr>
            <w:r w:rsidRPr="00AE6EDB">
              <w:rPr>
                <w:bCs/>
                <w:sz w:val="16"/>
                <w:szCs w:val="16"/>
              </w:rPr>
              <w:t>538</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271</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3 2</w:t>
            </w:r>
            <w:r w:rsidRPr="00AE6EDB">
              <w:rPr>
                <w:bCs/>
                <w:sz w:val="16"/>
                <w:szCs w:val="16"/>
              </w:rPr>
              <w:t>16</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1</w:t>
            </w:r>
            <w:r w:rsidR="0054295F">
              <w:rPr>
                <w:bCs/>
                <w:sz w:val="16"/>
                <w:szCs w:val="16"/>
              </w:rPr>
              <w:t>2 2</w:t>
            </w:r>
            <w:r w:rsidRPr="00AE6EDB">
              <w:rPr>
                <w:bCs/>
                <w:sz w:val="16"/>
                <w:szCs w:val="16"/>
              </w:rPr>
              <w:t>69</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273</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674</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DSS pre dospelých so zmyslovým postihnutím</w:t>
            </w:r>
          </w:p>
        </w:tc>
        <w:tc>
          <w:tcPr>
            <w:tcW w:w="586" w:type="dxa"/>
            <w:shd w:val="clear" w:color="auto" w:fill="auto"/>
            <w:vAlign w:val="bottom"/>
          </w:tcPr>
          <w:p w:rsidR="00484117" w:rsidRPr="00AE6EDB" w:rsidRDefault="00484117" w:rsidP="00DE0EEC">
            <w:pPr>
              <w:jc w:val="right"/>
              <w:rPr>
                <w:sz w:val="16"/>
                <w:szCs w:val="16"/>
              </w:rPr>
            </w:pPr>
            <w:r w:rsidRPr="00AE6EDB">
              <w:rPr>
                <w:bCs/>
                <w:sz w:val="16"/>
                <w:szCs w:val="16"/>
              </w:rPr>
              <w:t> </w:t>
            </w:r>
          </w:p>
        </w:tc>
        <w:tc>
          <w:tcPr>
            <w:tcW w:w="709" w:type="dxa"/>
            <w:shd w:val="clear" w:color="auto" w:fill="auto"/>
            <w:vAlign w:val="bottom"/>
          </w:tcPr>
          <w:p w:rsidR="00484117" w:rsidRPr="00AE6EDB" w:rsidRDefault="00484117" w:rsidP="00DE0EEC">
            <w:pPr>
              <w:jc w:val="right"/>
              <w:rPr>
                <w:sz w:val="16"/>
                <w:szCs w:val="16"/>
              </w:rPr>
            </w:pPr>
            <w:r w:rsidRPr="00AE6EDB">
              <w:rPr>
                <w:bCs/>
                <w:sz w:val="16"/>
                <w:szCs w:val="16"/>
              </w:rPr>
              <w:t> </w:t>
            </w:r>
          </w:p>
        </w:tc>
        <w:tc>
          <w:tcPr>
            <w:tcW w:w="964" w:type="dxa"/>
            <w:shd w:val="clear" w:color="auto" w:fill="auto"/>
            <w:vAlign w:val="bottom"/>
          </w:tcPr>
          <w:p w:rsidR="00484117" w:rsidRPr="00AE6EDB" w:rsidRDefault="00484117" w:rsidP="00DE0EEC">
            <w:pPr>
              <w:jc w:val="right"/>
              <w:rPr>
                <w:sz w:val="16"/>
                <w:szCs w:val="16"/>
              </w:rPr>
            </w:pPr>
            <w:r w:rsidRPr="00AE6EDB">
              <w:rPr>
                <w:bCs/>
                <w:sz w:val="16"/>
                <w:szCs w:val="16"/>
              </w:rPr>
              <w:t> </w:t>
            </w:r>
          </w:p>
        </w:tc>
        <w:tc>
          <w:tcPr>
            <w:tcW w:w="850" w:type="dxa"/>
            <w:shd w:val="clear" w:color="auto" w:fill="auto"/>
            <w:vAlign w:val="bottom"/>
          </w:tcPr>
          <w:p w:rsidR="00484117" w:rsidRPr="00AE6EDB" w:rsidRDefault="00484117" w:rsidP="00DE0EEC">
            <w:pPr>
              <w:jc w:val="right"/>
              <w:rPr>
                <w:sz w:val="16"/>
                <w:szCs w:val="16"/>
              </w:rPr>
            </w:pPr>
            <w:r w:rsidRPr="00AE6EDB">
              <w:rPr>
                <w:bCs/>
                <w:sz w:val="16"/>
                <w:szCs w:val="16"/>
              </w:rPr>
              <w:t> </w:t>
            </w:r>
          </w:p>
        </w:tc>
        <w:tc>
          <w:tcPr>
            <w:tcW w:w="709" w:type="dxa"/>
            <w:shd w:val="clear" w:color="auto" w:fill="auto"/>
            <w:noWrap/>
            <w:vAlign w:val="bottom"/>
          </w:tcPr>
          <w:p w:rsidR="00484117" w:rsidRPr="00AE6EDB" w:rsidRDefault="00484117" w:rsidP="00DE0EEC">
            <w:pPr>
              <w:jc w:val="right"/>
              <w:rPr>
                <w:sz w:val="16"/>
                <w:szCs w:val="16"/>
              </w:rPr>
            </w:pPr>
            <w:r w:rsidRPr="00AE6EDB">
              <w:rPr>
                <w:bCs/>
                <w:sz w:val="16"/>
                <w:szCs w:val="16"/>
              </w:rPr>
              <w:t> </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 </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1</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20</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20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DSS pre dospelých s duševnými poruchami a poruchami správania</w:t>
            </w:r>
          </w:p>
        </w:tc>
        <w:tc>
          <w:tcPr>
            <w:tcW w:w="586" w:type="dxa"/>
            <w:shd w:val="clear" w:color="auto" w:fill="auto"/>
            <w:vAlign w:val="bottom"/>
          </w:tcPr>
          <w:p w:rsidR="00484117" w:rsidRPr="00AE6EDB" w:rsidRDefault="00484117" w:rsidP="00DE0EEC">
            <w:pPr>
              <w:jc w:val="right"/>
              <w:rPr>
                <w:sz w:val="16"/>
                <w:szCs w:val="16"/>
              </w:rPr>
            </w:pPr>
            <w:r w:rsidRPr="00AE6EDB">
              <w:rPr>
                <w:bCs/>
                <w:sz w:val="16"/>
                <w:szCs w:val="16"/>
              </w:rPr>
              <w:t>70</w:t>
            </w:r>
          </w:p>
        </w:tc>
        <w:tc>
          <w:tcPr>
            <w:tcW w:w="709" w:type="dxa"/>
            <w:shd w:val="clear" w:color="auto" w:fill="auto"/>
            <w:vAlign w:val="bottom"/>
          </w:tcPr>
          <w:p w:rsidR="00484117" w:rsidRPr="00AE6EDB" w:rsidRDefault="0054295F" w:rsidP="00DE0EEC">
            <w:pPr>
              <w:jc w:val="right"/>
              <w:rPr>
                <w:sz w:val="16"/>
                <w:szCs w:val="16"/>
              </w:rPr>
            </w:pPr>
            <w:r>
              <w:rPr>
                <w:bCs/>
                <w:sz w:val="16"/>
                <w:szCs w:val="16"/>
              </w:rPr>
              <w:t>4 0</w:t>
            </w:r>
            <w:r w:rsidR="00484117" w:rsidRPr="00AE6EDB">
              <w:rPr>
                <w:bCs/>
                <w:sz w:val="16"/>
                <w:szCs w:val="16"/>
              </w:rPr>
              <w:t>71</w:t>
            </w:r>
          </w:p>
        </w:tc>
        <w:tc>
          <w:tcPr>
            <w:tcW w:w="964" w:type="dxa"/>
            <w:shd w:val="clear" w:color="auto" w:fill="auto"/>
            <w:vAlign w:val="bottom"/>
          </w:tcPr>
          <w:p w:rsidR="00484117" w:rsidRPr="00AE6EDB" w:rsidRDefault="0054295F" w:rsidP="00DE0EEC">
            <w:pPr>
              <w:jc w:val="right"/>
              <w:rPr>
                <w:sz w:val="16"/>
                <w:szCs w:val="16"/>
              </w:rPr>
            </w:pPr>
            <w:r>
              <w:rPr>
                <w:bCs/>
                <w:sz w:val="16"/>
                <w:szCs w:val="16"/>
              </w:rPr>
              <w:t>3 6</w:t>
            </w:r>
            <w:r w:rsidR="00484117" w:rsidRPr="00AE6EDB">
              <w:rPr>
                <w:bCs/>
                <w:sz w:val="16"/>
                <w:szCs w:val="16"/>
              </w:rPr>
              <w:t>83</w:t>
            </w:r>
          </w:p>
        </w:tc>
        <w:tc>
          <w:tcPr>
            <w:tcW w:w="850" w:type="dxa"/>
            <w:shd w:val="clear" w:color="auto" w:fill="auto"/>
            <w:vAlign w:val="bottom"/>
          </w:tcPr>
          <w:p w:rsidR="00484117" w:rsidRPr="00AE6EDB" w:rsidRDefault="00484117" w:rsidP="00DE0EEC">
            <w:pPr>
              <w:jc w:val="right"/>
              <w:rPr>
                <w:sz w:val="16"/>
                <w:szCs w:val="16"/>
              </w:rPr>
            </w:pPr>
            <w:r w:rsidRPr="00AE6EDB">
              <w:rPr>
                <w:bCs/>
                <w:sz w:val="16"/>
                <w:szCs w:val="16"/>
              </w:rPr>
              <w:t>75</w:t>
            </w:r>
          </w:p>
        </w:tc>
        <w:tc>
          <w:tcPr>
            <w:tcW w:w="709" w:type="dxa"/>
            <w:shd w:val="clear" w:color="auto" w:fill="auto"/>
            <w:noWrap/>
            <w:vAlign w:val="bottom"/>
          </w:tcPr>
          <w:p w:rsidR="00484117" w:rsidRPr="00AE6EDB" w:rsidRDefault="00484117" w:rsidP="00DE0EEC">
            <w:pPr>
              <w:jc w:val="right"/>
              <w:rPr>
                <w:sz w:val="16"/>
                <w:szCs w:val="16"/>
              </w:rPr>
            </w:pPr>
            <w:r w:rsidRPr="00AE6EDB">
              <w:rPr>
                <w:bCs/>
                <w:sz w:val="16"/>
                <w:szCs w:val="16"/>
              </w:rPr>
              <w:t>313</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65</w:t>
            </w:r>
          </w:p>
        </w:tc>
        <w:tc>
          <w:tcPr>
            <w:tcW w:w="563" w:type="dxa"/>
            <w:shd w:val="clear" w:color="auto" w:fill="auto"/>
            <w:vAlign w:val="bottom"/>
          </w:tcPr>
          <w:p w:rsidR="00484117" w:rsidRPr="00AE6EDB" w:rsidRDefault="0054295F" w:rsidP="00DE0EEC">
            <w:pPr>
              <w:jc w:val="right"/>
              <w:rPr>
                <w:bCs/>
                <w:sz w:val="16"/>
                <w:szCs w:val="16"/>
              </w:rPr>
            </w:pPr>
            <w:r>
              <w:rPr>
                <w:bCs/>
                <w:sz w:val="16"/>
                <w:szCs w:val="16"/>
              </w:rPr>
              <w:t>3 7</w:t>
            </w:r>
            <w:r w:rsidR="00484117" w:rsidRPr="00AE6EDB">
              <w:rPr>
                <w:bCs/>
                <w:sz w:val="16"/>
                <w:szCs w:val="16"/>
              </w:rPr>
              <w:t>76</w:t>
            </w:r>
          </w:p>
        </w:tc>
        <w:tc>
          <w:tcPr>
            <w:tcW w:w="851" w:type="dxa"/>
            <w:shd w:val="clear" w:color="auto" w:fill="auto"/>
            <w:vAlign w:val="bottom"/>
          </w:tcPr>
          <w:p w:rsidR="00484117" w:rsidRPr="00AE6EDB" w:rsidRDefault="0054295F" w:rsidP="00DE0EEC">
            <w:pPr>
              <w:jc w:val="right"/>
              <w:rPr>
                <w:bCs/>
                <w:sz w:val="16"/>
                <w:szCs w:val="16"/>
              </w:rPr>
            </w:pPr>
            <w:r>
              <w:rPr>
                <w:bCs/>
                <w:sz w:val="16"/>
                <w:szCs w:val="16"/>
              </w:rPr>
              <w:t>3 3</w:t>
            </w:r>
            <w:r w:rsidR="00484117" w:rsidRPr="00AE6EDB">
              <w:rPr>
                <w:bCs/>
                <w:sz w:val="16"/>
                <w:szCs w:val="16"/>
              </w:rPr>
              <w:t>92</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67</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316</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1</w:t>
            </w:r>
          </w:p>
        </w:tc>
      </w:tr>
      <w:tr w:rsidR="00484117" w:rsidRPr="00AE6EDB" w:rsidTr="00484117">
        <w:trPr>
          <w:trHeight w:val="255"/>
          <w:jc w:val="center"/>
        </w:trPr>
        <w:tc>
          <w:tcPr>
            <w:tcW w:w="4609" w:type="dxa"/>
            <w:shd w:val="clear" w:color="auto" w:fill="auto"/>
            <w:vAlign w:val="bottom"/>
            <w:hideMark/>
          </w:tcPr>
          <w:p w:rsidR="00484117" w:rsidRPr="00AE6EDB" w:rsidRDefault="00484117" w:rsidP="00DE0EEC">
            <w:pPr>
              <w:jc w:val="left"/>
              <w:rPr>
                <w:sz w:val="16"/>
                <w:szCs w:val="16"/>
              </w:rPr>
            </w:pPr>
            <w:r w:rsidRPr="00AE6EDB">
              <w:rPr>
                <w:sz w:val="16"/>
                <w:szCs w:val="16"/>
              </w:rPr>
              <w:t>Špecializované zariadenie</w:t>
            </w:r>
          </w:p>
        </w:tc>
        <w:tc>
          <w:tcPr>
            <w:tcW w:w="586" w:type="dxa"/>
            <w:shd w:val="clear" w:color="auto" w:fill="auto"/>
            <w:vAlign w:val="bottom"/>
          </w:tcPr>
          <w:p w:rsidR="00484117" w:rsidRPr="00AE6EDB" w:rsidRDefault="00484117" w:rsidP="00DE0EEC">
            <w:pPr>
              <w:jc w:val="right"/>
              <w:rPr>
                <w:sz w:val="16"/>
                <w:szCs w:val="16"/>
              </w:rPr>
            </w:pPr>
            <w:r w:rsidRPr="00AE6EDB">
              <w:rPr>
                <w:bCs/>
                <w:sz w:val="16"/>
                <w:szCs w:val="16"/>
              </w:rPr>
              <w:t>70</w:t>
            </w:r>
          </w:p>
        </w:tc>
        <w:tc>
          <w:tcPr>
            <w:tcW w:w="709" w:type="dxa"/>
            <w:shd w:val="clear" w:color="auto" w:fill="auto"/>
            <w:vAlign w:val="bottom"/>
          </w:tcPr>
          <w:p w:rsidR="00484117" w:rsidRPr="00AE6EDB" w:rsidRDefault="0054295F" w:rsidP="00DE0EEC">
            <w:pPr>
              <w:jc w:val="right"/>
              <w:rPr>
                <w:sz w:val="16"/>
                <w:szCs w:val="16"/>
              </w:rPr>
            </w:pPr>
            <w:r>
              <w:rPr>
                <w:bCs/>
                <w:sz w:val="16"/>
                <w:szCs w:val="16"/>
              </w:rPr>
              <w:t>2 1</w:t>
            </w:r>
            <w:r w:rsidR="00484117" w:rsidRPr="00AE6EDB">
              <w:rPr>
                <w:bCs/>
                <w:sz w:val="16"/>
                <w:szCs w:val="16"/>
              </w:rPr>
              <w:t>80</w:t>
            </w:r>
          </w:p>
        </w:tc>
        <w:tc>
          <w:tcPr>
            <w:tcW w:w="964" w:type="dxa"/>
            <w:shd w:val="clear" w:color="auto" w:fill="auto"/>
            <w:vAlign w:val="bottom"/>
          </w:tcPr>
          <w:p w:rsidR="00484117" w:rsidRPr="00AE6EDB" w:rsidRDefault="0054295F" w:rsidP="00DE0EEC">
            <w:pPr>
              <w:jc w:val="right"/>
              <w:rPr>
                <w:sz w:val="16"/>
                <w:szCs w:val="16"/>
              </w:rPr>
            </w:pPr>
            <w:r>
              <w:rPr>
                <w:bCs/>
                <w:sz w:val="16"/>
                <w:szCs w:val="16"/>
              </w:rPr>
              <w:t>2 0</w:t>
            </w:r>
            <w:r w:rsidR="00484117" w:rsidRPr="00AE6EDB">
              <w:rPr>
                <w:bCs/>
                <w:sz w:val="16"/>
                <w:szCs w:val="16"/>
              </w:rPr>
              <w:t>35</w:t>
            </w:r>
          </w:p>
        </w:tc>
        <w:tc>
          <w:tcPr>
            <w:tcW w:w="850" w:type="dxa"/>
            <w:shd w:val="clear" w:color="auto" w:fill="auto"/>
            <w:vAlign w:val="bottom"/>
          </w:tcPr>
          <w:p w:rsidR="00484117" w:rsidRPr="00AE6EDB" w:rsidRDefault="00484117" w:rsidP="00DE0EEC">
            <w:pPr>
              <w:jc w:val="right"/>
              <w:rPr>
                <w:sz w:val="16"/>
                <w:szCs w:val="16"/>
              </w:rPr>
            </w:pPr>
            <w:r w:rsidRPr="00AE6EDB">
              <w:rPr>
                <w:bCs/>
                <w:sz w:val="16"/>
                <w:szCs w:val="16"/>
              </w:rPr>
              <w:t>7</w:t>
            </w:r>
          </w:p>
        </w:tc>
        <w:tc>
          <w:tcPr>
            <w:tcW w:w="709" w:type="dxa"/>
            <w:shd w:val="clear" w:color="auto" w:fill="auto"/>
            <w:noWrap/>
            <w:vAlign w:val="bottom"/>
          </w:tcPr>
          <w:p w:rsidR="00484117" w:rsidRPr="00AE6EDB" w:rsidRDefault="00484117" w:rsidP="00DE0EEC">
            <w:pPr>
              <w:jc w:val="right"/>
              <w:rPr>
                <w:sz w:val="16"/>
                <w:szCs w:val="16"/>
              </w:rPr>
            </w:pPr>
            <w:r w:rsidRPr="00AE6EDB">
              <w:rPr>
                <w:bCs/>
                <w:sz w:val="16"/>
                <w:szCs w:val="16"/>
              </w:rPr>
              <w:t>108</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89</w:t>
            </w:r>
          </w:p>
        </w:tc>
        <w:tc>
          <w:tcPr>
            <w:tcW w:w="563" w:type="dxa"/>
            <w:shd w:val="clear" w:color="auto" w:fill="auto"/>
            <w:vAlign w:val="bottom"/>
          </w:tcPr>
          <w:p w:rsidR="00484117" w:rsidRPr="00AE6EDB" w:rsidRDefault="0054295F" w:rsidP="00DE0EEC">
            <w:pPr>
              <w:jc w:val="right"/>
              <w:rPr>
                <w:bCs/>
                <w:sz w:val="16"/>
                <w:szCs w:val="16"/>
              </w:rPr>
            </w:pPr>
            <w:r>
              <w:rPr>
                <w:bCs/>
                <w:sz w:val="16"/>
                <w:szCs w:val="16"/>
              </w:rPr>
              <w:t>3 8</w:t>
            </w:r>
            <w:r w:rsidR="00484117" w:rsidRPr="00AE6EDB">
              <w:rPr>
                <w:bCs/>
                <w:sz w:val="16"/>
                <w:szCs w:val="16"/>
              </w:rPr>
              <w:t>31</w:t>
            </w:r>
          </w:p>
        </w:tc>
        <w:tc>
          <w:tcPr>
            <w:tcW w:w="851" w:type="dxa"/>
            <w:shd w:val="clear" w:color="auto" w:fill="auto"/>
            <w:vAlign w:val="bottom"/>
          </w:tcPr>
          <w:p w:rsidR="00484117" w:rsidRPr="00AE6EDB" w:rsidRDefault="0054295F" w:rsidP="00DE0EEC">
            <w:pPr>
              <w:jc w:val="right"/>
              <w:rPr>
                <w:bCs/>
                <w:sz w:val="16"/>
                <w:szCs w:val="16"/>
              </w:rPr>
            </w:pPr>
            <w:r>
              <w:rPr>
                <w:bCs/>
                <w:sz w:val="16"/>
                <w:szCs w:val="16"/>
              </w:rPr>
              <w:t>3 6</w:t>
            </w:r>
            <w:r w:rsidR="00484117" w:rsidRPr="00AE6EDB">
              <w:rPr>
                <w:bCs/>
                <w:sz w:val="16"/>
                <w:szCs w:val="16"/>
              </w:rPr>
              <w:t>74</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7</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150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vAlign w:val="bottom"/>
            <w:hideMark/>
          </w:tcPr>
          <w:p w:rsidR="00484117" w:rsidRPr="00AE6EDB" w:rsidRDefault="00484117" w:rsidP="00DE0EEC">
            <w:pPr>
              <w:jc w:val="left"/>
              <w:rPr>
                <w:sz w:val="16"/>
                <w:szCs w:val="16"/>
              </w:rPr>
            </w:pPr>
            <w:r w:rsidRPr="00AE6EDB">
              <w:rPr>
                <w:sz w:val="16"/>
                <w:szCs w:val="16"/>
              </w:rPr>
              <w:t>Denný stacionár</w:t>
            </w:r>
          </w:p>
        </w:tc>
        <w:tc>
          <w:tcPr>
            <w:tcW w:w="586" w:type="dxa"/>
            <w:vAlign w:val="bottom"/>
          </w:tcPr>
          <w:p w:rsidR="00484117" w:rsidRPr="00AE6EDB" w:rsidRDefault="00484117" w:rsidP="00DE0EEC">
            <w:pPr>
              <w:jc w:val="right"/>
              <w:rPr>
                <w:sz w:val="16"/>
                <w:szCs w:val="16"/>
              </w:rPr>
            </w:pPr>
            <w:r w:rsidRPr="00AE6EDB">
              <w:rPr>
                <w:bCs/>
                <w:sz w:val="16"/>
                <w:szCs w:val="16"/>
              </w:rPr>
              <w:t>36</w:t>
            </w:r>
          </w:p>
        </w:tc>
        <w:tc>
          <w:tcPr>
            <w:tcW w:w="709" w:type="dxa"/>
            <w:vAlign w:val="bottom"/>
          </w:tcPr>
          <w:p w:rsidR="00484117" w:rsidRPr="00AE6EDB" w:rsidRDefault="00484117" w:rsidP="00DE0EEC">
            <w:pPr>
              <w:jc w:val="right"/>
              <w:rPr>
                <w:sz w:val="16"/>
                <w:szCs w:val="16"/>
              </w:rPr>
            </w:pPr>
            <w:r w:rsidRPr="00AE6EDB">
              <w:rPr>
                <w:bCs/>
                <w:sz w:val="16"/>
                <w:szCs w:val="16"/>
              </w:rPr>
              <w:t>578</w:t>
            </w:r>
          </w:p>
        </w:tc>
        <w:tc>
          <w:tcPr>
            <w:tcW w:w="964" w:type="dxa"/>
            <w:vAlign w:val="bottom"/>
          </w:tcPr>
          <w:p w:rsidR="00484117" w:rsidRPr="00AE6EDB" w:rsidRDefault="00484117" w:rsidP="00DE0EEC">
            <w:pPr>
              <w:jc w:val="right"/>
              <w:rPr>
                <w:sz w:val="16"/>
                <w:szCs w:val="16"/>
              </w:rPr>
            </w:pPr>
            <w:r w:rsidRPr="00AE6EDB">
              <w:rPr>
                <w:bCs/>
                <w:sz w:val="16"/>
                <w:szCs w:val="16"/>
              </w:rPr>
              <w:t>4</w:t>
            </w:r>
          </w:p>
        </w:tc>
        <w:tc>
          <w:tcPr>
            <w:tcW w:w="850" w:type="dxa"/>
            <w:vAlign w:val="bottom"/>
          </w:tcPr>
          <w:p w:rsidR="00484117" w:rsidRPr="00AE6EDB" w:rsidRDefault="00484117" w:rsidP="00DE0EEC">
            <w:pPr>
              <w:jc w:val="right"/>
              <w:rPr>
                <w:sz w:val="16"/>
                <w:szCs w:val="16"/>
              </w:rPr>
            </w:pPr>
            <w:r w:rsidRPr="00AE6EDB">
              <w:rPr>
                <w:bCs/>
                <w:sz w:val="16"/>
                <w:szCs w:val="16"/>
              </w:rPr>
              <w:t>10</w:t>
            </w:r>
          </w:p>
        </w:tc>
        <w:tc>
          <w:tcPr>
            <w:tcW w:w="709" w:type="dxa"/>
            <w:noWrap/>
            <w:vAlign w:val="bottom"/>
          </w:tcPr>
          <w:p w:rsidR="00484117" w:rsidRPr="00AE6EDB" w:rsidRDefault="00484117" w:rsidP="00DE0EEC">
            <w:pPr>
              <w:jc w:val="right"/>
              <w:rPr>
                <w:sz w:val="16"/>
                <w:szCs w:val="16"/>
              </w:rPr>
            </w:pPr>
            <w:r w:rsidRPr="00AE6EDB">
              <w:rPr>
                <w:bCs/>
                <w:sz w:val="16"/>
                <w:szCs w:val="16"/>
              </w:rPr>
              <w:t>563</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68</w:t>
            </w:r>
          </w:p>
        </w:tc>
        <w:tc>
          <w:tcPr>
            <w:tcW w:w="563" w:type="dxa"/>
            <w:shd w:val="clear" w:color="auto" w:fill="auto"/>
            <w:vAlign w:val="bottom"/>
          </w:tcPr>
          <w:p w:rsidR="00484117" w:rsidRPr="00AE6EDB" w:rsidRDefault="0054295F" w:rsidP="00DE0EEC">
            <w:pPr>
              <w:jc w:val="right"/>
              <w:rPr>
                <w:bCs/>
                <w:sz w:val="16"/>
                <w:szCs w:val="16"/>
              </w:rPr>
            </w:pPr>
            <w:r>
              <w:rPr>
                <w:bCs/>
                <w:sz w:val="16"/>
                <w:szCs w:val="16"/>
              </w:rPr>
              <w:t>1 2</w:t>
            </w:r>
            <w:r w:rsidR="00484117" w:rsidRPr="00AE6EDB">
              <w:rPr>
                <w:bCs/>
                <w:sz w:val="16"/>
                <w:szCs w:val="16"/>
              </w:rPr>
              <w:t>34</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58</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49</w:t>
            </w:r>
          </w:p>
        </w:tc>
        <w:tc>
          <w:tcPr>
            <w:tcW w:w="567" w:type="dxa"/>
            <w:shd w:val="clear" w:color="auto" w:fill="auto"/>
            <w:noWrap/>
            <w:vAlign w:val="bottom"/>
          </w:tcPr>
          <w:p w:rsidR="00484117" w:rsidRPr="00AE6EDB" w:rsidRDefault="0054295F" w:rsidP="00DE0EEC">
            <w:pPr>
              <w:jc w:val="right"/>
              <w:rPr>
                <w:bCs/>
                <w:sz w:val="16"/>
                <w:szCs w:val="16"/>
              </w:rPr>
            </w:pPr>
            <w:r>
              <w:rPr>
                <w:bCs/>
                <w:sz w:val="16"/>
                <w:szCs w:val="16"/>
              </w:rPr>
              <w:t>1 0</w:t>
            </w:r>
            <w:r w:rsidR="00484117" w:rsidRPr="00AE6EDB">
              <w:rPr>
                <w:bCs/>
                <w:sz w:val="16"/>
                <w:szCs w:val="16"/>
              </w:rPr>
              <w:t>51</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76</w:t>
            </w:r>
          </w:p>
        </w:tc>
      </w:tr>
      <w:tr w:rsidR="00484117" w:rsidRPr="00AE6EDB" w:rsidTr="00484117">
        <w:trPr>
          <w:trHeight w:val="255"/>
          <w:jc w:val="center"/>
        </w:trPr>
        <w:tc>
          <w:tcPr>
            <w:tcW w:w="4609" w:type="dxa"/>
            <w:vAlign w:val="bottom"/>
            <w:hideMark/>
          </w:tcPr>
          <w:p w:rsidR="00484117" w:rsidRPr="00AE6EDB" w:rsidRDefault="00484117" w:rsidP="00DE0EEC">
            <w:pPr>
              <w:jc w:val="left"/>
              <w:rPr>
                <w:sz w:val="16"/>
                <w:szCs w:val="16"/>
              </w:rPr>
            </w:pPr>
            <w:r w:rsidRPr="00AE6EDB">
              <w:rPr>
                <w:sz w:val="16"/>
                <w:szCs w:val="16"/>
              </w:rPr>
              <w:t>DSS pre deti s telesným postihnutím</w:t>
            </w:r>
          </w:p>
        </w:tc>
        <w:tc>
          <w:tcPr>
            <w:tcW w:w="586" w:type="dxa"/>
            <w:vAlign w:val="bottom"/>
          </w:tcPr>
          <w:p w:rsidR="00484117" w:rsidRPr="00AE6EDB" w:rsidRDefault="00484117" w:rsidP="00DE0EEC">
            <w:pPr>
              <w:jc w:val="right"/>
              <w:rPr>
                <w:sz w:val="16"/>
                <w:szCs w:val="16"/>
              </w:rPr>
            </w:pPr>
            <w:r w:rsidRPr="00AE6EDB">
              <w:rPr>
                <w:bCs/>
                <w:sz w:val="16"/>
                <w:szCs w:val="16"/>
              </w:rPr>
              <w:t>3</w:t>
            </w:r>
          </w:p>
        </w:tc>
        <w:tc>
          <w:tcPr>
            <w:tcW w:w="709" w:type="dxa"/>
            <w:vAlign w:val="bottom"/>
          </w:tcPr>
          <w:p w:rsidR="00484117" w:rsidRPr="00AE6EDB" w:rsidRDefault="00484117" w:rsidP="00DE0EEC">
            <w:pPr>
              <w:jc w:val="right"/>
              <w:rPr>
                <w:sz w:val="16"/>
                <w:szCs w:val="16"/>
              </w:rPr>
            </w:pPr>
            <w:r w:rsidRPr="00AE6EDB">
              <w:rPr>
                <w:bCs/>
                <w:sz w:val="16"/>
                <w:szCs w:val="16"/>
              </w:rPr>
              <w:t>46</w:t>
            </w:r>
          </w:p>
        </w:tc>
        <w:tc>
          <w:tcPr>
            <w:tcW w:w="964" w:type="dxa"/>
            <w:vAlign w:val="bottom"/>
          </w:tcPr>
          <w:p w:rsidR="00484117" w:rsidRPr="00AE6EDB" w:rsidRDefault="00484117" w:rsidP="00DE0EEC">
            <w:pPr>
              <w:jc w:val="right"/>
              <w:rPr>
                <w:sz w:val="16"/>
                <w:szCs w:val="16"/>
              </w:rPr>
            </w:pPr>
            <w:r w:rsidRPr="00AE6EDB">
              <w:rPr>
                <w:bCs/>
                <w:sz w:val="16"/>
                <w:szCs w:val="16"/>
              </w:rPr>
              <w:t>2</w:t>
            </w:r>
          </w:p>
        </w:tc>
        <w:tc>
          <w:tcPr>
            <w:tcW w:w="850" w:type="dxa"/>
            <w:vAlign w:val="bottom"/>
          </w:tcPr>
          <w:p w:rsidR="00484117" w:rsidRPr="00AE6EDB" w:rsidRDefault="00484117" w:rsidP="00DE0EEC">
            <w:pPr>
              <w:jc w:val="right"/>
              <w:rPr>
                <w:sz w:val="16"/>
                <w:szCs w:val="16"/>
              </w:rPr>
            </w:pPr>
            <w:r w:rsidRPr="00AE6EDB">
              <w:rPr>
                <w:bCs/>
                <w:sz w:val="16"/>
                <w:szCs w:val="16"/>
              </w:rPr>
              <w:t>23</w:t>
            </w:r>
          </w:p>
        </w:tc>
        <w:tc>
          <w:tcPr>
            <w:tcW w:w="709" w:type="dxa"/>
            <w:noWrap/>
            <w:vAlign w:val="bottom"/>
          </w:tcPr>
          <w:p w:rsidR="00484117" w:rsidRPr="00AE6EDB" w:rsidRDefault="00484117" w:rsidP="00DE0EEC">
            <w:pPr>
              <w:jc w:val="right"/>
              <w:rPr>
                <w:sz w:val="16"/>
                <w:szCs w:val="16"/>
              </w:rPr>
            </w:pPr>
            <w:r w:rsidRPr="00AE6EDB">
              <w:rPr>
                <w:bCs/>
                <w:sz w:val="16"/>
                <w:szCs w:val="16"/>
              </w:rPr>
              <w:t>21</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3</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23</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3</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3</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17</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397"/>
          <w:jc w:val="center"/>
        </w:trPr>
        <w:tc>
          <w:tcPr>
            <w:tcW w:w="4609" w:type="dxa"/>
            <w:vAlign w:val="bottom"/>
            <w:hideMark/>
          </w:tcPr>
          <w:p w:rsidR="00484117" w:rsidRPr="00AE6EDB" w:rsidRDefault="00484117" w:rsidP="00DE0EEC">
            <w:pPr>
              <w:jc w:val="left"/>
              <w:rPr>
                <w:sz w:val="16"/>
                <w:szCs w:val="16"/>
              </w:rPr>
            </w:pPr>
            <w:r w:rsidRPr="00AE6EDB">
              <w:rPr>
                <w:sz w:val="16"/>
                <w:szCs w:val="16"/>
              </w:rPr>
              <w:t>DSS pre deti s telesným postihnutím a dušev</w:t>
            </w:r>
            <w:r w:rsidRPr="00AE6EDB">
              <w:rPr>
                <w:sz w:val="16"/>
                <w:szCs w:val="16"/>
              </w:rPr>
              <w:softHyphen/>
              <w:t>nými poruchami a poruchami správania</w:t>
            </w:r>
          </w:p>
        </w:tc>
        <w:tc>
          <w:tcPr>
            <w:tcW w:w="586" w:type="dxa"/>
            <w:vAlign w:val="bottom"/>
          </w:tcPr>
          <w:p w:rsidR="00484117" w:rsidRPr="00AE6EDB" w:rsidRDefault="00484117" w:rsidP="00DE0EEC">
            <w:pPr>
              <w:jc w:val="right"/>
              <w:rPr>
                <w:sz w:val="16"/>
                <w:szCs w:val="16"/>
              </w:rPr>
            </w:pPr>
            <w:r w:rsidRPr="00AE6EDB">
              <w:rPr>
                <w:bCs/>
                <w:sz w:val="16"/>
                <w:szCs w:val="16"/>
              </w:rPr>
              <w:t>36</w:t>
            </w:r>
          </w:p>
        </w:tc>
        <w:tc>
          <w:tcPr>
            <w:tcW w:w="709" w:type="dxa"/>
            <w:vAlign w:val="bottom"/>
          </w:tcPr>
          <w:p w:rsidR="00484117" w:rsidRPr="00AE6EDB" w:rsidRDefault="0054295F" w:rsidP="00DE0EEC">
            <w:pPr>
              <w:jc w:val="right"/>
              <w:rPr>
                <w:sz w:val="16"/>
                <w:szCs w:val="16"/>
              </w:rPr>
            </w:pPr>
            <w:r>
              <w:rPr>
                <w:bCs/>
                <w:sz w:val="16"/>
                <w:szCs w:val="16"/>
              </w:rPr>
              <w:t>1 0</w:t>
            </w:r>
            <w:r w:rsidR="00484117" w:rsidRPr="00AE6EDB">
              <w:rPr>
                <w:bCs/>
                <w:sz w:val="16"/>
                <w:szCs w:val="16"/>
              </w:rPr>
              <w:t>51</w:t>
            </w:r>
          </w:p>
        </w:tc>
        <w:tc>
          <w:tcPr>
            <w:tcW w:w="964" w:type="dxa"/>
            <w:vAlign w:val="bottom"/>
          </w:tcPr>
          <w:p w:rsidR="00484117" w:rsidRPr="00AE6EDB" w:rsidRDefault="00484117" w:rsidP="00DE0EEC">
            <w:pPr>
              <w:jc w:val="right"/>
              <w:rPr>
                <w:sz w:val="16"/>
                <w:szCs w:val="16"/>
              </w:rPr>
            </w:pPr>
            <w:r w:rsidRPr="00AE6EDB">
              <w:rPr>
                <w:bCs/>
                <w:sz w:val="16"/>
                <w:szCs w:val="16"/>
              </w:rPr>
              <w:t>321</w:t>
            </w:r>
          </w:p>
        </w:tc>
        <w:tc>
          <w:tcPr>
            <w:tcW w:w="850" w:type="dxa"/>
            <w:vAlign w:val="bottom"/>
          </w:tcPr>
          <w:p w:rsidR="00484117" w:rsidRPr="00AE6EDB" w:rsidRDefault="00484117" w:rsidP="00DE0EEC">
            <w:pPr>
              <w:jc w:val="right"/>
              <w:rPr>
                <w:sz w:val="16"/>
                <w:szCs w:val="16"/>
              </w:rPr>
            </w:pPr>
            <w:r w:rsidRPr="00AE6EDB">
              <w:rPr>
                <w:bCs/>
                <w:sz w:val="16"/>
                <w:szCs w:val="16"/>
              </w:rPr>
              <w:t>201</w:t>
            </w:r>
          </w:p>
        </w:tc>
        <w:tc>
          <w:tcPr>
            <w:tcW w:w="709" w:type="dxa"/>
            <w:noWrap/>
            <w:vAlign w:val="bottom"/>
          </w:tcPr>
          <w:p w:rsidR="00484117" w:rsidRPr="00AE6EDB" w:rsidRDefault="00484117" w:rsidP="00DE0EEC">
            <w:pPr>
              <w:jc w:val="right"/>
              <w:rPr>
                <w:sz w:val="16"/>
                <w:szCs w:val="16"/>
              </w:rPr>
            </w:pPr>
            <w:r w:rsidRPr="00AE6EDB">
              <w:rPr>
                <w:bCs/>
                <w:sz w:val="16"/>
                <w:szCs w:val="16"/>
              </w:rPr>
              <w:t>526</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26</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975</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345</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168</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451</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1</w:t>
            </w:r>
          </w:p>
        </w:tc>
      </w:tr>
      <w:tr w:rsidR="00484117" w:rsidRPr="00AE6EDB" w:rsidTr="00484117">
        <w:trPr>
          <w:trHeight w:val="255"/>
          <w:jc w:val="center"/>
        </w:trPr>
        <w:tc>
          <w:tcPr>
            <w:tcW w:w="4609" w:type="dxa"/>
            <w:vAlign w:val="bottom"/>
            <w:hideMark/>
          </w:tcPr>
          <w:p w:rsidR="00484117" w:rsidRPr="00AE6EDB" w:rsidRDefault="00484117" w:rsidP="00DE0EEC">
            <w:pPr>
              <w:jc w:val="left"/>
              <w:rPr>
                <w:sz w:val="16"/>
                <w:szCs w:val="16"/>
              </w:rPr>
            </w:pPr>
            <w:r w:rsidRPr="00AE6EDB">
              <w:rPr>
                <w:sz w:val="16"/>
                <w:szCs w:val="16"/>
              </w:rPr>
              <w:t>DSS pre deti s duševnými poru</w:t>
            </w:r>
            <w:r w:rsidRPr="00AE6EDB">
              <w:rPr>
                <w:sz w:val="16"/>
                <w:szCs w:val="16"/>
              </w:rPr>
              <w:softHyphen/>
              <w:t>chami a poruchami správania</w:t>
            </w:r>
          </w:p>
        </w:tc>
        <w:tc>
          <w:tcPr>
            <w:tcW w:w="586" w:type="dxa"/>
            <w:vAlign w:val="bottom"/>
          </w:tcPr>
          <w:p w:rsidR="00484117" w:rsidRPr="00AE6EDB" w:rsidRDefault="00484117" w:rsidP="00DE0EEC">
            <w:pPr>
              <w:jc w:val="right"/>
              <w:rPr>
                <w:sz w:val="16"/>
                <w:szCs w:val="16"/>
              </w:rPr>
            </w:pPr>
            <w:r w:rsidRPr="00AE6EDB">
              <w:rPr>
                <w:bCs/>
                <w:sz w:val="16"/>
                <w:szCs w:val="16"/>
              </w:rPr>
              <w:t>5</w:t>
            </w:r>
          </w:p>
        </w:tc>
        <w:tc>
          <w:tcPr>
            <w:tcW w:w="709" w:type="dxa"/>
            <w:vAlign w:val="bottom"/>
          </w:tcPr>
          <w:p w:rsidR="00484117" w:rsidRPr="00AE6EDB" w:rsidRDefault="00484117" w:rsidP="00DE0EEC">
            <w:pPr>
              <w:jc w:val="right"/>
              <w:rPr>
                <w:sz w:val="16"/>
                <w:szCs w:val="16"/>
              </w:rPr>
            </w:pPr>
            <w:r w:rsidRPr="00AE6EDB">
              <w:rPr>
                <w:bCs/>
                <w:sz w:val="16"/>
                <w:szCs w:val="16"/>
              </w:rPr>
              <w:t>196</w:t>
            </w:r>
          </w:p>
        </w:tc>
        <w:tc>
          <w:tcPr>
            <w:tcW w:w="964" w:type="dxa"/>
            <w:vAlign w:val="bottom"/>
          </w:tcPr>
          <w:p w:rsidR="00484117" w:rsidRPr="00AE6EDB" w:rsidRDefault="00484117" w:rsidP="00DE0EEC">
            <w:pPr>
              <w:jc w:val="right"/>
              <w:rPr>
                <w:sz w:val="16"/>
                <w:szCs w:val="16"/>
              </w:rPr>
            </w:pPr>
            <w:r w:rsidRPr="00AE6EDB">
              <w:rPr>
                <w:bCs/>
                <w:sz w:val="16"/>
                <w:szCs w:val="16"/>
              </w:rPr>
              <w:t>121</w:t>
            </w:r>
          </w:p>
        </w:tc>
        <w:tc>
          <w:tcPr>
            <w:tcW w:w="850" w:type="dxa"/>
            <w:vAlign w:val="bottom"/>
          </w:tcPr>
          <w:p w:rsidR="00484117" w:rsidRPr="00AE6EDB" w:rsidRDefault="00484117" w:rsidP="00DE0EEC">
            <w:pPr>
              <w:jc w:val="right"/>
              <w:rPr>
                <w:sz w:val="16"/>
                <w:szCs w:val="16"/>
              </w:rPr>
            </w:pPr>
            <w:r w:rsidRPr="00AE6EDB">
              <w:rPr>
                <w:bCs/>
                <w:sz w:val="16"/>
                <w:szCs w:val="16"/>
              </w:rPr>
              <w:t>27</w:t>
            </w:r>
          </w:p>
        </w:tc>
        <w:tc>
          <w:tcPr>
            <w:tcW w:w="709" w:type="dxa"/>
            <w:noWrap/>
            <w:vAlign w:val="bottom"/>
          </w:tcPr>
          <w:p w:rsidR="00484117" w:rsidRPr="00AE6EDB" w:rsidRDefault="00484117" w:rsidP="00DE0EEC">
            <w:pPr>
              <w:jc w:val="right"/>
              <w:rPr>
                <w:sz w:val="16"/>
                <w:szCs w:val="16"/>
              </w:rPr>
            </w:pPr>
            <w:r w:rsidRPr="00AE6EDB">
              <w:rPr>
                <w:bCs/>
                <w:sz w:val="16"/>
                <w:szCs w:val="16"/>
              </w:rPr>
              <w:t>48</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3</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63</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34</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6</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23</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zariadenie dočasnej starostlivosti o deti</w:t>
            </w:r>
          </w:p>
        </w:tc>
        <w:tc>
          <w:tcPr>
            <w:tcW w:w="586" w:type="dxa"/>
            <w:vAlign w:val="bottom"/>
          </w:tcPr>
          <w:p w:rsidR="00484117" w:rsidRPr="00AE6EDB" w:rsidRDefault="00484117" w:rsidP="00DE0EEC">
            <w:pPr>
              <w:jc w:val="right"/>
              <w:rPr>
                <w:sz w:val="16"/>
                <w:szCs w:val="16"/>
              </w:rPr>
            </w:pPr>
            <w:r w:rsidRPr="00AE6EDB">
              <w:rPr>
                <w:bCs/>
                <w:sz w:val="16"/>
                <w:szCs w:val="16"/>
              </w:rPr>
              <w:t>3</w:t>
            </w:r>
          </w:p>
        </w:tc>
        <w:tc>
          <w:tcPr>
            <w:tcW w:w="709" w:type="dxa"/>
            <w:vAlign w:val="bottom"/>
          </w:tcPr>
          <w:p w:rsidR="00484117" w:rsidRPr="00AE6EDB" w:rsidRDefault="00484117" w:rsidP="00DE0EEC">
            <w:pPr>
              <w:jc w:val="right"/>
              <w:rPr>
                <w:sz w:val="16"/>
                <w:szCs w:val="16"/>
              </w:rPr>
            </w:pPr>
            <w:r w:rsidRPr="00AE6EDB">
              <w:rPr>
                <w:bCs/>
                <w:sz w:val="16"/>
                <w:szCs w:val="16"/>
              </w:rPr>
              <w:t>48</w:t>
            </w:r>
          </w:p>
        </w:tc>
        <w:tc>
          <w:tcPr>
            <w:tcW w:w="964" w:type="dxa"/>
            <w:vAlign w:val="bottom"/>
          </w:tcPr>
          <w:p w:rsidR="00484117" w:rsidRPr="00AE6EDB" w:rsidRDefault="00484117" w:rsidP="00DE0EEC">
            <w:pPr>
              <w:jc w:val="right"/>
              <w:rPr>
                <w:sz w:val="16"/>
                <w:szCs w:val="16"/>
              </w:rPr>
            </w:pPr>
            <w:r w:rsidRPr="00AE6EDB">
              <w:rPr>
                <w:bCs/>
                <w:sz w:val="16"/>
                <w:szCs w:val="16"/>
              </w:rPr>
              <w:t>48</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0</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5</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5</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zariadenie podpo</w:t>
            </w:r>
            <w:r w:rsidRPr="00AE6EDB">
              <w:rPr>
                <w:sz w:val="16"/>
                <w:szCs w:val="16"/>
              </w:rPr>
              <w:softHyphen/>
              <w:t>rovaného bývania</w:t>
            </w:r>
          </w:p>
        </w:tc>
        <w:tc>
          <w:tcPr>
            <w:tcW w:w="586" w:type="dxa"/>
            <w:vAlign w:val="bottom"/>
          </w:tcPr>
          <w:p w:rsidR="00484117" w:rsidRPr="00AE6EDB" w:rsidRDefault="00484117" w:rsidP="00DE0EEC">
            <w:pPr>
              <w:jc w:val="right"/>
              <w:rPr>
                <w:sz w:val="16"/>
                <w:szCs w:val="16"/>
              </w:rPr>
            </w:pPr>
            <w:r w:rsidRPr="00AE6EDB">
              <w:rPr>
                <w:bCs/>
                <w:sz w:val="16"/>
                <w:szCs w:val="16"/>
              </w:rPr>
              <w:t>48</w:t>
            </w:r>
          </w:p>
        </w:tc>
        <w:tc>
          <w:tcPr>
            <w:tcW w:w="709" w:type="dxa"/>
            <w:vAlign w:val="bottom"/>
          </w:tcPr>
          <w:p w:rsidR="00484117" w:rsidRPr="00AE6EDB" w:rsidRDefault="00484117" w:rsidP="00DE0EEC">
            <w:pPr>
              <w:jc w:val="right"/>
              <w:rPr>
                <w:sz w:val="16"/>
                <w:szCs w:val="16"/>
              </w:rPr>
            </w:pPr>
            <w:r w:rsidRPr="00AE6EDB">
              <w:rPr>
                <w:bCs/>
                <w:sz w:val="16"/>
                <w:szCs w:val="16"/>
              </w:rPr>
              <w:t>466</w:t>
            </w:r>
          </w:p>
        </w:tc>
        <w:tc>
          <w:tcPr>
            <w:tcW w:w="964" w:type="dxa"/>
            <w:vAlign w:val="bottom"/>
          </w:tcPr>
          <w:p w:rsidR="00484117" w:rsidRPr="00AE6EDB" w:rsidRDefault="00484117" w:rsidP="00DE0EEC">
            <w:pPr>
              <w:jc w:val="right"/>
              <w:rPr>
                <w:sz w:val="16"/>
                <w:szCs w:val="16"/>
              </w:rPr>
            </w:pPr>
            <w:r w:rsidRPr="00AE6EDB">
              <w:rPr>
                <w:bCs/>
                <w:sz w:val="16"/>
                <w:szCs w:val="16"/>
              </w:rPr>
              <w:t>466</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0</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36</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531</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416</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zariadenie núdzového bývania</w:t>
            </w:r>
          </w:p>
        </w:tc>
        <w:tc>
          <w:tcPr>
            <w:tcW w:w="586" w:type="dxa"/>
            <w:vAlign w:val="bottom"/>
          </w:tcPr>
          <w:p w:rsidR="00484117" w:rsidRPr="00AE6EDB" w:rsidRDefault="00484117" w:rsidP="00DE0EEC">
            <w:pPr>
              <w:jc w:val="right"/>
              <w:rPr>
                <w:sz w:val="16"/>
                <w:szCs w:val="16"/>
              </w:rPr>
            </w:pPr>
            <w:r w:rsidRPr="00AE6EDB">
              <w:rPr>
                <w:bCs/>
                <w:sz w:val="16"/>
                <w:szCs w:val="16"/>
              </w:rPr>
              <w:t>44</w:t>
            </w:r>
          </w:p>
        </w:tc>
        <w:tc>
          <w:tcPr>
            <w:tcW w:w="709" w:type="dxa"/>
            <w:vAlign w:val="bottom"/>
          </w:tcPr>
          <w:p w:rsidR="00484117" w:rsidRPr="00AE6EDB" w:rsidRDefault="0054295F" w:rsidP="00DE0EEC">
            <w:pPr>
              <w:jc w:val="right"/>
              <w:rPr>
                <w:sz w:val="16"/>
                <w:szCs w:val="16"/>
              </w:rPr>
            </w:pPr>
            <w:r>
              <w:rPr>
                <w:bCs/>
                <w:sz w:val="16"/>
                <w:szCs w:val="16"/>
              </w:rPr>
              <w:t>1 0</w:t>
            </w:r>
            <w:r w:rsidR="00484117" w:rsidRPr="00AE6EDB">
              <w:rPr>
                <w:bCs/>
                <w:sz w:val="16"/>
                <w:szCs w:val="16"/>
              </w:rPr>
              <w:t>32</w:t>
            </w:r>
          </w:p>
        </w:tc>
        <w:tc>
          <w:tcPr>
            <w:tcW w:w="964" w:type="dxa"/>
            <w:vAlign w:val="bottom"/>
          </w:tcPr>
          <w:p w:rsidR="00484117" w:rsidRPr="00AE6EDB" w:rsidRDefault="0054295F" w:rsidP="00DE0EEC">
            <w:pPr>
              <w:jc w:val="right"/>
              <w:rPr>
                <w:sz w:val="16"/>
                <w:szCs w:val="16"/>
              </w:rPr>
            </w:pPr>
            <w:r>
              <w:rPr>
                <w:bCs/>
                <w:sz w:val="16"/>
                <w:szCs w:val="16"/>
              </w:rPr>
              <w:t>1 0</w:t>
            </w:r>
            <w:r w:rsidR="00484117" w:rsidRPr="00AE6EDB">
              <w:rPr>
                <w:bCs/>
                <w:sz w:val="16"/>
                <w:szCs w:val="16"/>
              </w:rPr>
              <w:t>32</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0</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39</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689</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511</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178</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útulky</w:t>
            </w:r>
          </w:p>
        </w:tc>
        <w:tc>
          <w:tcPr>
            <w:tcW w:w="586" w:type="dxa"/>
            <w:vAlign w:val="bottom"/>
          </w:tcPr>
          <w:p w:rsidR="00484117" w:rsidRPr="00AE6EDB" w:rsidRDefault="00484117" w:rsidP="00DE0EEC">
            <w:pPr>
              <w:jc w:val="right"/>
              <w:rPr>
                <w:sz w:val="16"/>
                <w:szCs w:val="16"/>
              </w:rPr>
            </w:pPr>
            <w:r w:rsidRPr="00AE6EDB">
              <w:rPr>
                <w:bCs/>
                <w:sz w:val="16"/>
                <w:szCs w:val="16"/>
              </w:rPr>
              <w:t>76</w:t>
            </w:r>
          </w:p>
        </w:tc>
        <w:tc>
          <w:tcPr>
            <w:tcW w:w="709" w:type="dxa"/>
            <w:vAlign w:val="bottom"/>
          </w:tcPr>
          <w:p w:rsidR="00484117" w:rsidRPr="00AE6EDB" w:rsidRDefault="0054295F" w:rsidP="00DE0EEC">
            <w:pPr>
              <w:jc w:val="right"/>
              <w:rPr>
                <w:sz w:val="16"/>
                <w:szCs w:val="16"/>
              </w:rPr>
            </w:pPr>
            <w:r>
              <w:rPr>
                <w:bCs/>
                <w:sz w:val="16"/>
                <w:szCs w:val="16"/>
              </w:rPr>
              <w:t>1 6</w:t>
            </w:r>
            <w:r w:rsidR="00484117" w:rsidRPr="00AE6EDB">
              <w:rPr>
                <w:bCs/>
                <w:sz w:val="16"/>
                <w:szCs w:val="16"/>
              </w:rPr>
              <w:t>51</w:t>
            </w:r>
          </w:p>
        </w:tc>
        <w:tc>
          <w:tcPr>
            <w:tcW w:w="964" w:type="dxa"/>
            <w:vAlign w:val="bottom"/>
          </w:tcPr>
          <w:p w:rsidR="00484117" w:rsidRPr="00AE6EDB" w:rsidRDefault="0054295F" w:rsidP="00DE0EEC">
            <w:pPr>
              <w:jc w:val="right"/>
              <w:rPr>
                <w:sz w:val="16"/>
                <w:szCs w:val="16"/>
              </w:rPr>
            </w:pPr>
            <w:r>
              <w:rPr>
                <w:bCs/>
                <w:sz w:val="16"/>
                <w:szCs w:val="16"/>
              </w:rPr>
              <w:t>1 2</w:t>
            </w:r>
            <w:r w:rsidR="00484117" w:rsidRPr="00AE6EDB">
              <w:rPr>
                <w:bCs/>
                <w:sz w:val="16"/>
                <w:szCs w:val="16"/>
              </w:rPr>
              <w:t>55</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37</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349</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70</w:t>
            </w:r>
          </w:p>
        </w:tc>
        <w:tc>
          <w:tcPr>
            <w:tcW w:w="563" w:type="dxa"/>
            <w:shd w:val="clear" w:color="auto" w:fill="auto"/>
            <w:vAlign w:val="bottom"/>
          </w:tcPr>
          <w:p w:rsidR="00484117" w:rsidRPr="00AE6EDB" w:rsidRDefault="0054295F" w:rsidP="00DE0EEC">
            <w:pPr>
              <w:jc w:val="right"/>
              <w:rPr>
                <w:bCs/>
                <w:sz w:val="16"/>
                <w:szCs w:val="16"/>
              </w:rPr>
            </w:pPr>
            <w:r>
              <w:rPr>
                <w:bCs/>
                <w:sz w:val="16"/>
                <w:szCs w:val="16"/>
              </w:rPr>
              <w:t>1 8</w:t>
            </w:r>
            <w:r w:rsidR="00484117" w:rsidRPr="00AE6EDB">
              <w:rPr>
                <w:bCs/>
                <w:sz w:val="16"/>
                <w:szCs w:val="16"/>
              </w:rPr>
              <w:t>69</w:t>
            </w:r>
          </w:p>
        </w:tc>
        <w:tc>
          <w:tcPr>
            <w:tcW w:w="851" w:type="dxa"/>
            <w:shd w:val="clear" w:color="auto" w:fill="auto"/>
            <w:vAlign w:val="bottom"/>
          </w:tcPr>
          <w:p w:rsidR="00484117" w:rsidRPr="00AE6EDB" w:rsidRDefault="0054295F" w:rsidP="00DE0EEC">
            <w:pPr>
              <w:jc w:val="right"/>
              <w:rPr>
                <w:bCs/>
                <w:sz w:val="16"/>
                <w:szCs w:val="16"/>
              </w:rPr>
            </w:pPr>
            <w:r>
              <w:rPr>
                <w:bCs/>
                <w:sz w:val="16"/>
                <w:szCs w:val="16"/>
              </w:rPr>
              <w:t>1 4</w:t>
            </w:r>
            <w:r w:rsidR="00484117" w:rsidRPr="00AE6EDB">
              <w:rPr>
                <w:bCs/>
                <w:sz w:val="16"/>
                <w:szCs w:val="16"/>
              </w:rPr>
              <w:t>14</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60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395</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rehabilitačné strediská</w:t>
            </w:r>
          </w:p>
        </w:tc>
        <w:tc>
          <w:tcPr>
            <w:tcW w:w="586" w:type="dxa"/>
            <w:vAlign w:val="bottom"/>
          </w:tcPr>
          <w:p w:rsidR="00484117" w:rsidRPr="00AE6EDB" w:rsidRDefault="00484117" w:rsidP="00DE0EEC">
            <w:pPr>
              <w:jc w:val="right"/>
              <w:rPr>
                <w:sz w:val="16"/>
                <w:szCs w:val="16"/>
              </w:rPr>
            </w:pPr>
            <w:r w:rsidRPr="00AE6EDB">
              <w:rPr>
                <w:bCs/>
                <w:sz w:val="16"/>
                <w:szCs w:val="16"/>
              </w:rPr>
              <w:t>17</w:t>
            </w:r>
          </w:p>
        </w:tc>
        <w:tc>
          <w:tcPr>
            <w:tcW w:w="709" w:type="dxa"/>
            <w:vAlign w:val="bottom"/>
          </w:tcPr>
          <w:p w:rsidR="00484117" w:rsidRPr="00AE6EDB" w:rsidRDefault="00484117" w:rsidP="00DE0EEC">
            <w:pPr>
              <w:jc w:val="right"/>
              <w:rPr>
                <w:sz w:val="16"/>
                <w:szCs w:val="16"/>
              </w:rPr>
            </w:pPr>
            <w:r w:rsidRPr="00AE6EDB">
              <w:rPr>
                <w:bCs/>
                <w:sz w:val="16"/>
                <w:szCs w:val="16"/>
              </w:rPr>
              <w:t>426</w:t>
            </w:r>
          </w:p>
        </w:tc>
        <w:tc>
          <w:tcPr>
            <w:tcW w:w="964" w:type="dxa"/>
            <w:vAlign w:val="bottom"/>
          </w:tcPr>
          <w:p w:rsidR="00484117" w:rsidRPr="00AE6EDB" w:rsidRDefault="00484117" w:rsidP="00DE0EEC">
            <w:pPr>
              <w:jc w:val="right"/>
              <w:rPr>
                <w:sz w:val="16"/>
                <w:szCs w:val="16"/>
              </w:rPr>
            </w:pPr>
            <w:r w:rsidRPr="00AE6EDB">
              <w:rPr>
                <w:bCs/>
                <w:sz w:val="16"/>
                <w:szCs w:val="16"/>
              </w:rPr>
              <w:t>74</w:t>
            </w:r>
          </w:p>
        </w:tc>
        <w:tc>
          <w:tcPr>
            <w:tcW w:w="850" w:type="dxa"/>
            <w:vAlign w:val="bottom"/>
          </w:tcPr>
          <w:p w:rsidR="00484117" w:rsidRPr="00AE6EDB" w:rsidRDefault="00484117" w:rsidP="00DE0EEC">
            <w:pPr>
              <w:jc w:val="right"/>
              <w:rPr>
                <w:sz w:val="16"/>
                <w:szCs w:val="16"/>
              </w:rPr>
            </w:pPr>
            <w:r w:rsidRPr="00AE6EDB">
              <w:rPr>
                <w:bCs/>
                <w:sz w:val="16"/>
                <w:szCs w:val="16"/>
              </w:rPr>
              <w:t>59</w:t>
            </w:r>
          </w:p>
        </w:tc>
        <w:tc>
          <w:tcPr>
            <w:tcW w:w="709" w:type="dxa"/>
            <w:noWrap/>
            <w:vAlign w:val="bottom"/>
          </w:tcPr>
          <w:p w:rsidR="00484117" w:rsidRPr="00AE6EDB" w:rsidRDefault="00484117" w:rsidP="00DE0EEC">
            <w:pPr>
              <w:jc w:val="right"/>
              <w:rPr>
                <w:sz w:val="16"/>
                <w:szCs w:val="16"/>
              </w:rPr>
            </w:pPr>
            <w:r w:rsidRPr="00AE6EDB">
              <w:rPr>
                <w:bCs/>
                <w:sz w:val="16"/>
                <w:szCs w:val="16"/>
              </w:rPr>
              <w:t>293</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20</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476</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72</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17</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383</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4</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zariadenia opatrovateľskej služby</w:t>
            </w:r>
          </w:p>
        </w:tc>
        <w:tc>
          <w:tcPr>
            <w:tcW w:w="586" w:type="dxa"/>
            <w:vAlign w:val="bottom"/>
          </w:tcPr>
          <w:p w:rsidR="00484117" w:rsidRPr="00AE6EDB" w:rsidRDefault="00484117" w:rsidP="00DE0EEC">
            <w:pPr>
              <w:jc w:val="right"/>
              <w:rPr>
                <w:sz w:val="16"/>
                <w:szCs w:val="16"/>
              </w:rPr>
            </w:pPr>
            <w:r w:rsidRPr="00AE6EDB">
              <w:rPr>
                <w:bCs/>
                <w:sz w:val="16"/>
                <w:szCs w:val="16"/>
              </w:rPr>
              <w:t>99</w:t>
            </w:r>
          </w:p>
        </w:tc>
        <w:tc>
          <w:tcPr>
            <w:tcW w:w="709" w:type="dxa"/>
            <w:vAlign w:val="bottom"/>
          </w:tcPr>
          <w:p w:rsidR="00484117" w:rsidRPr="00AE6EDB" w:rsidRDefault="0054295F" w:rsidP="00DE0EEC">
            <w:pPr>
              <w:jc w:val="right"/>
              <w:rPr>
                <w:sz w:val="16"/>
                <w:szCs w:val="16"/>
              </w:rPr>
            </w:pPr>
            <w:r>
              <w:rPr>
                <w:bCs/>
                <w:sz w:val="16"/>
                <w:szCs w:val="16"/>
              </w:rPr>
              <w:t>1 8</w:t>
            </w:r>
            <w:r w:rsidR="00484117" w:rsidRPr="00AE6EDB">
              <w:rPr>
                <w:bCs/>
                <w:sz w:val="16"/>
                <w:szCs w:val="16"/>
              </w:rPr>
              <w:t>88</w:t>
            </w:r>
          </w:p>
        </w:tc>
        <w:tc>
          <w:tcPr>
            <w:tcW w:w="964" w:type="dxa"/>
            <w:vAlign w:val="bottom"/>
          </w:tcPr>
          <w:p w:rsidR="00484117" w:rsidRPr="00AE6EDB" w:rsidRDefault="0054295F" w:rsidP="00DE0EEC">
            <w:pPr>
              <w:jc w:val="right"/>
              <w:rPr>
                <w:sz w:val="16"/>
                <w:szCs w:val="16"/>
              </w:rPr>
            </w:pPr>
            <w:r>
              <w:rPr>
                <w:bCs/>
                <w:sz w:val="16"/>
                <w:szCs w:val="16"/>
              </w:rPr>
              <w:t>1 4</w:t>
            </w:r>
            <w:r w:rsidR="00484117" w:rsidRPr="00AE6EDB">
              <w:rPr>
                <w:bCs/>
                <w:sz w:val="16"/>
                <w:szCs w:val="16"/>
              </w:rPr>
              <w:t>30</w:t>
            </w:r>
          </w:p>
        </w:tc>
        <w:tc>
          <w:tcPr>
            <w:tcW w:w="850" w:type="dxa"/>
            <w:vAlign w:val="bottom"/>
          </w:tcPr>
          <w:p w:rsidR="00484117" w:rsidRPr="00AE6EDB" w:rsidRDefault="00484117" w:rsidP="00DE0EEC">
            <w:pPr>
              <w:jc w:val="right"/>
              <w:rPr>
                <w:sz w:val="16"/>
                <w:szCs w:val="16"/>
              </w:rPr>
            </w:pPr>
            <w:r w:rsidRPr="00AE6EDB">
              <w:rPr>
                <w:bCs/>
                <w:sz w:val="16"/>
                <w:szCs w:val="16"/>
              </w:rPr>
              <w:t>24</w:t>
            </w:r>
          </w:p>
        </w:tc>
        <w:tc>
          <w:tcPr>
            <w:tcW w:w="709" w:type="dxa"/>
            <w:noWrap/>
            <w:vAlign w:val="bottom"/>
          </w:tcPr>
          <w:p w:rsidR="00484117" w:rsidRPr="00AE6EDB" w:rsidRDefault="00484117" w:rsidP="00DE0EEC">
            <w:pPr>
              <w:jc w:val="right"/>
              <w:rPr>
                <w:sz w:val="16"/>
                <w:szCs w:val="16"/>
              </w:rPr>
            </w:pPr>
            <w:r w:rsidRPr="00AE6EDB">
              <w:rPr>
                <w:bCs/>
                <w:sz w:val="16"/>
                <w:szCs w:val="16"/>
              </w:rPr>
              <w:t>74</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360</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89</w:t>
            </w:r>
          </w:p>
        </w:tc>
        <w:tc>
          <w:tcPr>
            <w:tcW w:w="563" w:type="dxa"/>
            <w:shd w:val="clear" w:color="auto" w:fill="auto"/>
            <w:vAlign w:val="bottom"/>
          </w:tcPr>
          <w:p w:rsidR="00484117" w:rsidRPr="00AE6EDB" w:rsidRDefault="0054295F" w:rsidP="00DE0EEC">
            <w:pPr>
              <w:jc w:val="right"/>
              <w:rPr>
                <w:bCs/>
                <w:sz w:val="16"/>
                <w:szCs w:val="16"/>
              </w:rPr>
            </w:pPr>
            <w:r>
              <w:rPr>
                <w:bCs/>
                <w:sz w:val="16"/>
                <w:szCs w:val="16"/>
              </w:rPr>
              <w:t>1 9</w:t>
            </w:r>
            <w:r w:rsidR="00484117" w:rsidRPr="00AE6EDB">
              <w:rPr>
                <w:bCs/>
                <w:sz w:val="16"/>
                <w:szCs w:val="16"/>
              </w:rPr>
              <w:t>17</w:t>
            </w:r>
          </w:p>
        </w:tc>
        <w:tc>
          <w:tcPr>
            <w:tcW w:w="851" w:type="dxa"/>
            <w:shd w:val="clear" w:color="auto" w:fill="auto"/>
            <w:vAlign w:val="bottom"/>
          </w:tcPr>
          <w:p w:rsidR="00484117" w:rsidRPr="00AE6EDB" w:rsidRDefault="0054295F" w:rsidP="00DE0EEC">
            <w:pPr>
              <w:jc w:val="right"/>
              <w:rPr>
                <w:bCs/>
                <w:sz w:val="16"/>
                <w:szCs w:val="16"/>
              </w:rPr>
            </w:pPr>
            <w:r>
              <w:rPr>
                <w:bCs/>
                <w:sz w:val="16"/>
                <w:szCs w:val="16"/>
              </w:rPr>
              <w:t>1 1</w:t>
            </w:r>
            <w:r w:rsidR="00484117" w:rsidRPr="00AE6EDB">
              <w:rPr>
                <w:bCs/>
                <w:sz w:val="16"/>
                <w:szCs w:val="16"/>
              </w:rPr>
              <w:t>73</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24</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70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650</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nocľaháreň</w:t>
            </w:r>
          </w:p>
        </w:tc>
        <w:tc>
          <w:tcPr>
            <w:tcW w:w="586" w:type="dxa"/>
            <w:vAlign w:val="bottom"/>
          </w:tcPr>
          <w:p w:rsidR="00484117" w:rsidRPr="00AE6EDB" w:rsidRDefault="00484117" w:rsidP="00DE0EEC">
            <w:pPr>
              <w:jc w:val="right"/>
              <w:rPr>
                <w:sz w:val="16"/>
                <w:szCs w:val="16"/>
              </w:rPr>
            </w:pPr>
            <w:r w:rsidRPr="00AE6EDB">
              <w:rPr>
                <w:bCs/>
                <w:sz w:val="16"/>
                <w:szCs w:val="16"/>
              </w:rPr>
              <w:t>30</w:t>
            </w:r>
          </w:p>
        </w:tc>
        <w:tc>
          <w:tcPr>
            <w:tcW w:w="709" w:type="dxa"/>
            <w:vAlign w:val="bottom"/>
          </w:tcPr>
          <w:p w:rsidR="00484117" w:rsidRPr="00AE6EDB" w:rsidRDefault="00484117" w:rsidP="00DE0EEC">
            <w:pPr>
              <w:jc w:val="right"/>
              <w:rPr>
                <w:sz w:val="16"/>
                <w:szCs w:val="16"/>
              </w:rPr>
            </w:pPr>
            <w:r w:rsidRPr="00AE6EDB">
              <w:rPr>
                <w:bCs/>
                <w:sz w:val="16"/>
                <w:szCs w:val="16"/>
              </w:rPr>
              <w:t>837</w:t>
            </w:r>
          </w:p>
        </w:tc>
        <w:tc>
          <w:tcPr>
            <w:tcW w:w="964" w:type="dxa"/>
            <w:vAlign w:val="bottom"/>
          </w:tcPr>
          <w:p w:rsidR="00484117" w:rsidRPr="00AE6EDB" w:rsidRDefault="00484117" w:rsidP="00DE0EEC">
            <w:pPr>
              <w:jc w:val="right"/>
              <w:rPr>
                <w:sz w:val="16"/>
                <w:szCs w:val="16"/>
              </w:rPr>
            </w:pPr>
            <w:r w:rsidRPr="00AE6EDB">
              <w:rPr>
                <w:bCs/>
                <w:sz w:val="16"/>
                <w:szCs w:val="16"/>
              </w:rPr>
              <w:t>368</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120</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305</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36</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923</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281</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112</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530</w:t>
            </w:r>
          </w:p>
        </w:tc>
      </w:tr>
      <w:tr w:rsidR="00484117" w:rsidRPr="00AE6EDB" w:rsidTr="00484117">
        <w:trPr>
          <w:trHeight w:val="255"/>
          <w:jc w:val="center"/>
        </w:trPr>
        <w:tc>
          <w:tcPr>
            <w:tcW w:w="4609" w:type="dxa"/>
            <w:vAlign w:val="bottom"/>
            <w:hideMark/>
          </w:tcPr>
          <w:p w:rsidR="00484117" w:rsidRPr="00AE6EDB" w:rsidRDefault="00484117" w:rsidP="00DE0EEC">
            <w:pPr>
              <w:rPr>
                <w:sz w:val="16"/>
                <w:szCs w:val="16"/>
              </w:rPr>
            </w:pPr>
            <w:r w:rsidRPr="00AE6EDB">
              <w:rPr>
                <w:sz w:val="16"/>
                <w:szCs w:val="16"/>
              </w:rPr>
              <w:t>domov na pol ceste</w:t>
            </w:r>
          </w:p>
        </w:tc>
        <w:tc>
          <w:tcPr>
            <w:tcW w:w="586" w:type="dxa"/>
            <w:vAlign w:val="bottom"/>
          </w:tcPr>
          <w:p w:rsidR="00484117" w:rsidRPr="00AE6EDB" w:rsidRDefault="00484117" w:rsidP="00DE0EEC">
            <w:pPr>
              <w:jc w:val="right"/>
              <w:rPr>
                <w:sz w:val="16"/>
                <w:szCs w:val="16"/>
              </w:rPr>
            </w:pPr>
            <w:r w:rsidRPr="00AE6EDB">
              <w:rPr>
                <w:bCs/>
                <w:sz w:val="16"/>
                <w:szCs w:val="16"/>
              </w:rPr>
              <w:t>20</w:t>
            </w:r>
          </w:p>
        </w:tc>
        <w:tc>
          <w:tcPr>
            <w:tcW w:w="709" w:type="dxa"/>
            <w:vAlign w:val="bottom"/>
          </w:tcPr>
          <w:p w:rsidR="00484117" w:rsidRPr="00AE6EDB" w:rsidRDefault="00484117" w:rsidP="00DE0EEC">
            <w:pPr>
              <w:jc w:val="right"/>
              <w:rPr>
                <w:sz w:val="16"/>
                <w:szCs w:val="16"/>
              </w:rPr>
            </w:pPr>
            <w:r w:rsidRPr="00AE6EDB">
              <w:rPr>
                <w:bCs/>
                <w:sz w:val="16"/>
                <w:szCs w:val="16"/>
              </w:rPr>
              <w:t>222</w:t>
            </w:r>
          </w:p>
        </w:tc>
        <w:tc>
          <w:tcPr>
            <w:tcW w:w="964" w:type="dxa"/>
            <w:vAlign w:val="bottom"/>
          </w:tcPr>
          <w:p w:rsidR="00484117" w:rsidRPr="00AE6EDB" w:rsidRDefault="00484117" w:rsidP="00DE0EEC">
            <w:pPr>
              <w:jc w:val="right"/>
              <w:rPr>
                <w:sz w:val="16"/>
                <w:szCs w:val="16"/>
              </w:rPr>
            </w:pPr>
            <w:r w:rsidRPr="00AE6EDB">
              <w:rPr>
                <w:bCs/>
                <w:sz w:val="16"/>
                <w:szCs w:val="16"/>
              </w:rPr>
              <w:t>164</w:t>
            </w:r>
          </w:p>
        </w:tc>
        <w:tc>
          <w:tcPr>
            <w:tcW w:w="850" w:type="dxa"/>
            <w:vAlign w:val="bottom"/>
          </w:tcPr>
          <w:p w:rsidR="00484117" w:rsidRPr="00AE6EDB" w:rsidRDefault="00484117" w:rsidP="00DE0EEC">
            <w:pPr>
              <w:jc w:val="right"/>
              <w:rPr>
                <w:sz w:val="16"/>
                <w:szCs w:val="16"/>
              </w:rPr>
            </w:pPr>
            <w:r w:rsidRPr="00AE6EDB">
              <w:rPr>
                <w:bCs/>
                <w:sz w:val="16"/>
                <w:szCs w:val="16"/>
              </w:rPr>
              <w:t>0</w:t>
            </w:r>
          </w:p>
        </w:tc>
        <w:tc>
          <w:tcPr>
            <w:tcW w:w="709" w:type="dxa"/>
            <w:noWrap/>
            <w:vAlign w:val="bottom"/>
          </w:tcPr>
          <w:p w:rsidR="00484117" w:rsidRPr="00AE6EDB" w:rsidRDefault="00484117" w:rsidP="00DE0EEC">
            <w:pPr>
              <w:jc w:val="right"/>
              <w:rPr>
                <w:sz w:val="16"/>
                <w:szCs w:val="16"/>
              </w:rPr>
            </w:pPr>
            <w:r w:rsidRPr="00AE6EDB">
              <w:rPr>
                <w:bCs/>
                <w:sz w:val="16"/>
                <w:szCs w:val="16"/>
              </w:rPr>
              <w:t>0</w:t>
            </w:r>
          </w:p>
        </w:tc>
        <w:tc>
          <w:tcPr>
            <w:tcW w:w="988" w:type="dxa"/>
            <w:shd w:val="clear" w:color="auto" w:fill="auto"/>
            <w:vAlign w:val="bottom"/>
          </w:tcPr>
          <w:p w:rsidR="00484117" w:rsidRPr="00AE6EDB" w:rsidRDefault="00484117" w:rsidP="00DE0EEC">
            <w:pPr>
              <w:jc w:val="right"/>
              <w:rPr>
                <w:sz w:val="16"/>
                <w:szCs w:val="16"/>
              </w:rPr>
            </w:pPr>
            <w:r w:rsidRPr="00AE6EDB">
              <w:rPr>
                <w:bCs/>
                <w:sz w:val="16"/>
                <w:szCs w:val="16"/>
              </w:rPr>
              <w:t>58</w:t>
            </w:r>
          </w:p>
        </w:tc>
        <w:tc>
          <w:tcPr>
            <w:tcW w:w="571" w:type="dxa"/>
            <w:shd w:val="clear" w:color="auto" w:fill="auto"/>
            <w:vAlign w:val="bottom"/>
          </w:tcPr>
          <w:p w:rsidR="00484117" w:rsidRPr="00AE6EDB" w:rsidRDefault="00484117" w:rsidP="00DE0EEC">
            <w:pPr>
              <w:jc w:val="right"/>
              <w:rPr>
                <w:bCs/>
                <w:sz w:val="16"/>
                <w:szCs w:val="16"/>
              </w:rPr>
            </w:pPr>
            <w:r w:rsidRPr="00AE6EDB">
              <w:rPr>
                <w:bCs/>
                <w:sz w:val="16"/>
                <w:szCs w:val="16"/>
              </w:rPr>
              <w:t>16</w:t>
            </w:r>
          </w:p>
        </w:tc>
        <w:tc>
          <w:tcPr>
            <w:tcW w:w="563" w:type="dxa"/>
            <w:shd w:val="clear" w:color="auto" w:fill="auto"/>
            <w:vAlign w:val="bottom"/>
          </w:tcPr>
          <w:p w:rsidR="00484117" w:rsidRPr="00AE6EDB" w:rsidRDefault="00484117" w:rsidP="00DE0EEC">
            <w:pPr>
              <w:jc w:val="right"/>
              <w:rPr>
                <w:bCs/>
                <w:sz w:val="16"/>
                <w:szCs w:val="16"/>
              </w:rPr>
            </w:pPr>
            <w:r w:rsidRPr="00AE6EDB">
              <w:rPr>
                <w:bCs/>
                <w:sz w:val="16"/>
                <w:szCs w:val="16"/>
              </w:rPr>
              <w:t>234</w:t>
            </w:r>
          </w:p>
        </w:tc>
        <w:tc>
          <w:tcPr>
            <w:tcW w:w="851" w:type="dxa"/>
            <w:shd w:val="clear" w:color="auto" w:fill="auto"/>
            <w:vAlign w:val="bottom"/>
          </w:tcPr>
          <w:p w:rsidR="00484117" w:rsidRPr="00AE6EDB" w:rsidRDefault="00484117" w:rsidP="00DE0EEC">
            <w:pPr>
              <w:jc w:val="right"/>
              <w:rPr>
                <w:bCs/>
                <w:sz w:val="16"/>
                <w:szCs w:val="16"/>
              </w:rPr>
            </w:pPr>
            <w:r w:rsidRPr="00AE6EDB">
              <w:rPr>
                <w:bCs/>
                <w:sz w:val="16"/>
                <w:szCs w:val="16"/>
              </w:rPr>
              <w:t>178</w:t>
            </w:r>
          </w:p>
        </w:tc>
        <w:tc>
          <w:tcPr>
            <w:tcW w:w="850" w:type="dxa"/>
            <w:shd w:val="clear" w:color="auto" w:fill="auto"/>
            <w:vAlign w:val="bottom"/>
          </w:tcPr>
          <w:p w:rsidR="00484117" w:rsidRPr="00AE6EDB" w:rsidRDefault="00484117" w:rsidP="00DE0EEC">
            <w:pPr>
              <w:jc w:val="right"/>
              <w:rPr>
                <w:bCs/>
                <w:sz w:val="16"/>
                <w:szCs w:val="16"/>
              </w:rPr>
            </w:pPr>
            <w:r w:rsidRPr="00AE6EDB">
              <w:rPr>
                <w:bCs/>
                <w:sz w:val="16"/>
                <w:szCs w:val="16"/>
              </w:rPr>
              <w:t>0</w:t>
            </w:r>
          </w:p>
        </w:tc>
        <w:tc>
          <w:tcPr>
            <w:tcW w:w="567" w:type="dxa"/>
            <w:shd w:val="clear" w:color="auto" w:fill="auto"/>
            <w:noWrap/>
            <w:vAlign w:val="bottom"/>
          </w:tcPr>
          <w:p w:rsidR="00484117" w:rsidRPr="00AE6EDB" w:rsidRDefault="00484117" w:rsidP="00DE0EEC">
            <w:pPr>
              <w:jc w:val="right"/>
              <w:rPr>
                <w:bCs/>
                <w:sz w:val="16"/>
                <w:szCs w:val="16"/>
              </w:rPr>
            </w:pPr>
            <w:r w:rsidRPr="00AE6EDB">
              <w:rPr>
                <w:bCs/>
                <w:sz w:val="16"/>
                <w:szCs w:val="16"/>
              </w:rPr>
              <w:t>0</w:t>
            </w:r>
          </w:p>
        </w:tc>
        <w:tc>
          <w:tcPr>
            <w:tcW w:w="1138" w:type="dxa"/>
            <w:shd w:val="clear" w:color="auto" w:fill="auto"/>
            <w:vAlign w:val="bottom"/>
          </w:tcPr>
          <w:p w:rsidR="00484117" w:rsidRPr="00AE6EDB" w:rsidRDefault="00484117" w:rsidP="00DE0EEC">
            <w:pPr>
              <w:jc w:val="right"/>
              <w:rPr>
                <w:bCs/>
                <w:sz w:val="16"/>
                <w:szCs w:val="16"/>
              </w:rPr>
            </w:pPr>
            <w:r w:rsidRPr="00AE6EDB">
              <w:rPr>
                <w:bCs/>
                <w:sz w:val="16"/>
                <w:szCs w:val="16"/>
              </w:rPr>
              <w:t>56</w:t>
            </w:r>
          </w:p>
        </w:tc>
      </w:tr>
    </w:tbl>
    <w:p w:rsidR="000A7585" w:rsidRPr="00AE6EDB" w:rsidRDefault="000A7585" w:rsidP="000A7585">
      <w:pPr>
        <w:pStyle w:val="zdroj"/>
        <w:spacing w:before="0" w:after="0"/>
        <w:ind w:firstLine="0"/>
        <w:rPr>
          <w:rFonts w:eastAsia="Calibri"/>
        </w:rPr>
      </w:pPr>
      <w:r w:rsidRPr="00AE6EDB">
        <w:rPr>
          <w:rFonts w:eastAsia="Calibri"/>
        </w:rPr>
        <w:t xml:space="preserve">Zdroj: Vybrané údaje ŠÚ SR </w:t>
      </w:r>
      <w:r w:rsidRPr="00AE6EDB">
        <w:rPr>
          <w:color w:val="000000" w:themeColor="text1"/>
        </w:rPr>
        <w:t>–</w:t>
      </w:r>
      <w:r w:rsidRPr="00AE6EDB">
        <w:rPr>
          <w:rFonts w:eastAsia="Calibri"/>
        </w:rPr>
        <w:t xml:space="preserve"> Zariadenia sociálnych služieb v SR; v čase spracovania Správy údaje za rok 201</w:t>
      </w:r>
      <w:r w:rsidR="00484117" w:rsidRPr="00AE6EDB">
        <w:rPr>
          <w:rFonts w:eastAsia="Calibri"/>
        </w:rPr>
        <w:t>5</w:t>
      </w:r>
      <w:r w:rsidRPr="00AE6EDB">
        <w:rPr>
          <w:rFonts w:eastAsia="Calibri"/>
        </w:rPr>
        <w:t xml:space="preserve"> nie sú k dispozícii; pozn.: DSS – domov sociálnych služieb</w:t>
      </w:r>
    </w:p>
    <w:p w:rsidR="000A7585" w:rsidRPr="00AE6EDB" w:rsidRDefault="000A7585" w:rsidP="000A7585">
      <w:pPr>
        <w:pStyle w:val="zdroj"/>
        <w:spacing w:before="0" w:after="0"/>
        <w:ind w:firstLine="0"/>
        <w:rPr>
          <w:rFonts w:eastAsia="Calibri"/>
          <w:highlight w:val="cyan"/>
        </w:rPr>
      </w:pPr>
    </w:p>
    <w:p w:rsidR="000A7585" w:rsidRPr="00AE6EDB" w:rsidRDefault="000A7585" w:rsidP="000A7585">
      <w:pPr>
        <w:rPr>
          <w:rFonts w:eastAsia="Calibri"/>
          <w:i/>
          <w:iCs/>
          <w:sz w:val="18"/>
          <w:szCs w:val="18"/>
          <w:highlight w:val="cyan"/>
        </w:rPr>
        <w:sectPr w:rsidR="000A7585" w:rsidRPr="00AE6EDB" w:rsidSect="004F3C97">
          <w:pgSz w:w="16838" w:h="11906" w:orient="landscape"/>
          <w:pgMar w:top="1417" w:right="1417" w:bottom="1417" w:left="1417" w:header="708" w:footer="708" w:gutter="0"/>
          <w:cols w:space="708"/>
          <w:titlePg/>
          <w:docGrid w:linePitch="360"/>
        </w:sectPr>
      </w:pPr>
    </w:p>
    <w:p w:rsidR="00484117" w:rsidRPr="00AE6EDB" w:rsidRDefault="00484117" w:rsidP="00484117">
      <w:pPr>
        <w:pStyle w:val="Nadpis7"/>
        <w:rPr>
          <w:szCs w:val="22"/>
        </w:rPr>
      </w:pPr>
      <w:r w:rsidRPr="00AE6EDB">
        <w:rPr>
          <w:szCs w:val="22"/>
        </w:rPr>
        <w:t>Tabuľka 24 Obyvatelia zariadení sociálnych služieb</w:t>
      </w:r>
    </w:p>
    <w:p w:rsidR="00484117" w:rsidRPr="00AE6EDB" w:rsidRDefault="00484117" w:rsidP="000A7585">
      <w:pPr>
        <w:pStyle w:val="zdroj"/>
        <w:spacing w:after="0"/>
        <w:ind w:firstLine="570"/>
        <w:rPr>
          <w:highlight w:val="cyan"/>
          <w:lang w:eastAsia="cs-CZ"/>
        </w:rPr>
      </w:pPr>
    </w:p>
    <w:tbl>
      <w:tblPr>
        <w:tblW w:w="13800" w:type="dxa"/>
        <w:tblInd w:w="55" w:type="dxa"/>
        <w:tblCellMar>
          <w:left w:w="70" w:type="dxa"/>
          <w:right w:w="70" w:type="dxa"/>
        </w:tblCellMar>
        <w:tblLook w:val="04A0" w:firstRow="1" w:lastRow="0" w:firstColumn="1" w:lastColumn="0" w:noHBand="0" w:noVBand="1"/>
      </w:tblPr>
      <w:tblGrid>
        <w:gridCol w:w="2080"/>
        <w:gridCol w:w="980"/>
        <w:gridCol w:w="1020"/>
        <w:gridCol w:w="1240"/>
        <w:gridCol w:w="1200"/>
        <w:gridCol w:w="1300"/>
        <w:gridCol w:w="1060"/>
        <w:gridCol w:w="1160"/>
        <w:gridCol w:w="1140"/>
        <w:gridCol w:w="960"/>
        <w:gridCol w:w="820"/>
        <w:gridCol w:w="840"/>
      </w:tblGrid>
      <w:tr w:rsidR="00484117" w:rsidRPr="00AE6EDB" w:rsidTr="00484117">
        <w:trPr>
          <w:trHeight w:val="300"/>
          <w:tblHeader/>
        </w:trPr>
        <w:tc>
          <w:tcPr>
            <w:tcW w:w="2080" w:type="dxa"/>
            <w:vMerge w:val="restart"/>
            <w:tcBorders>
              <w:top w:val="single" w:sz="4" w:space="0" w:color="auto"/>
              <w:left w:val="single" w:sz="4" w:space="0" w:color="auto"/>
              <w:right w:val="nil"/>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Druh zariadenia</w:t>
            </w:r>
          </w:p>
        </w:tc>
        <w:tc>
          <w:tcPr>
            <w:tcW w:w="980" w:type="dxa"/>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484117" w:rsidRPr="00AE6EDB" w:rsidRDefault="00484117" w:rsidP="00484117">
            <w:pPr>
              <w:jc w:val="center"/>
              <w:rPr>
                <w:b/>
                <w:sz w:val="18"/>
                <w:szCs w:val="18"/>
              </w:rPr>
            </w:pPr>
            <w:r w:rsidRPr="00AE6EDB">
              <w:rPr>
                <w:b/>
                <w:sz w:val="18"/>
                <w:szCs w:val="18"/>
              </w:rPr>
              <w:t>Obyvatelia k 31. 12. 2013</w:t>
            </w:r>
          </w:p>
        </w:tc>
        <w:tc>
          <w:tcPr>
            <w:tcW w:w="1020" w:type="dxa"/>
            <w:vMerge w:val="restart"/>
            <w:tcBorders>
              <w:top w:val="single" w:sz="4" w:space="0" w:color="auto"/>
              <w:left w:val="nil"/>
              <w:right w:val="single" w:sz="4" w:space="0" w:color="auto"/>
            </w:tcBorders>
            <w:shd w:val="clear" w:color="auto" w:fill="FF9999" w:themeFill="accent3" w:themeFillTint="66"/>
            <w:noWrap/>
            <w:vAlign w:val="center"/>
            <w:hideMark/>
          </w:tcPr>
          <w:p w:rsidR="00484117" w:rsidRPr="00AE6EDB" w:rsidRDefault="00484117" w:rsidP="00484117">
            <w:pPr>
              <w:jc w:val="center"/>
              <w:rPr>
                <w:b/>
                <w:sz w:val="18"/>
                <w:szCs w:val="18"/>
              </w:rPr>
            </w:pPr>
            <w:r w:rsidRPr="00AE6EDB">
              <w:rPr>
                <w:b/>
                <w:sz w:val="18"/>
                <w:szCs w:val="18"/>
              </w:rPr>
              <w:t>Obyvatelia k 31. 12. 2014</w:t>
            </w:r>
          </w:p>
        </w:tc>
        <w:tc>
          <w:tcPr>
            <w:tcW w:w="9720" w:type="dxa"/>
            <w:gridSpan w:val="9"/>
            <w:tcBorders>
              <w:top w:val="single" w:sz="4" w:space="0" w:color="auto"/>
              <w:left w:val="nil"/>
              <w:bottom w:val="single" w:sz="4" w:space="0" w:color="auto"/>
              <w:right w:val="single" w:sz="4" w:space="0" w:color="000000"/>
            </w:tcBorders>
            <w:shd w:val="clear" w:color="auto" w:fill="FF9999" w:themeFill="accent3" w:themeFillTint="66"/>
            <w:noWrap/>
            <w:vAlign w:val="bottom"/>
            <w:hideMark/>
          </w:tcPr>
          <w:p w:rsidR="00484117" w:rsidRPr="00AE6EDB" w:rsidRDefault="00484117" w:rsidP="00484117">
            <w:pPr>
              <w:jc w:val="center"/>
              <w:rPr>
                <w:b/>
                <w:sz w:val="18"/>
                <w:szCs w:val="18"/>
              </w:rPr>
            </w:pPr>
            <w:r w:rsidRPr="00AE6EDB">
              <w:rPr>
                <w:b/>
                <w:sz w:val="18"/>
                <w:szCs w:val="18"/>
              </w:rPr>
              <w:t>z toho v roku 2014</w:t>
            </w:r>
          </w:p>
        </w:tc>
      </w:tr>
      <w:tr w:rsidR="00484117" w:rsidRPr="00AE6EDB" w:rsidTr="00484117">
        <w:trPr>
          <w:trHeight w:val="1270"/>
          <w:tblHeader/>
        </w:trPr>
        <w:tc>
          <w:tcPr>
            <w:tcW w:w="2080" w:type="dxa"/>
            <w:vMerge/>
            <w:tcBorders>
              <w:left w:val="single" w:sz="4" w:space="0" w:color="auto"/>
              <w:bottom w:val="single" w:sz="4" w:space="0" w:color="auto"/>
              <w:right w:val="nil"/>
            </w:tcBorders>
            <w:shd w:val="clear" w:color="auto" w:fill="FF9999" w:themeFill="accent3" w:themeFillTint="66"/>
            <w:vAlign w:val="bottom"/>
            <w:hideMark/>
          </w:tcPr>
          <w:p w:rsidR="00484117" w:rsidRPr="00AE6EDB" w:rsidRDefault="00484117" w:rsidP="00484117">
            <w:pPr>
              <w:rPr>
                <w:b/>
                <w:bCs/>
                <w:sz w:val="18"/>
                <w:szCs w:val="18"/>
              </w:rPr>
            </w:pPr>
          </w:p>
        </w:tc>
        <w:tc>
          <w:tcPr>
            <w:tcW w:w="980" w:type="dxa"/>
            <w:vMerge/>
            <w:tcBorders>
              <w:left w:val="single" w:sz="4" w:space="0" w:color="auto"/>
              <w:bottom w:val="single" w:sz="4" w:space="0" w:color="auto"/>
              <w:right w:val="single" w:sz="4" w:space="0" w:color="auto"/>
            </w:tcBorders>
            <w:shd w:val="clear" w:color="auto" w:fill="FF9999" w:themeFill="accent3" w:themeFillTint="66"/>
            <w:noWrap/>
            <w:vAlign w:val="bottom"/>
          </w:tcPr>
          <w:p w:rsidR="00484117" w:rsidRPr="00AE6EDB" w:rsidRDefault="00484117" w:rsidP="00484117">
            <w:pPr>
              <w:rPr>
                <w:b/>
                <w:bCs/>
                <w:sz w:val="18"/>
                <w:szCs w:val="18"/>
              </w:rPr>
            </w:pPr>
          </w:p>
        </w:tc>
        <w:tc>
          <w:tcPr>
            <w:tcW w:w="1020" w:type="dxa"/>
            <w:vMerge/>
            <w:tcBorders>
              <w:left w:val="nil"/>
              <w:bottom w:val="single" w:sz="4" w:space="0" w:color="auto"/>
              <w:right w:val="single" w:sz="4" w:space="0" w:color="auto"/>
            </w:tcBorders>
            <w:shd w:val="clear" w:color="auto" w:fill="FF9999" w:themeFill="accent3" w:themeFillTint="66"/>
            <w:noWrap/>
            <w:vAlign w:val="bottom"/>
            <w:hideMark/>
          </w:tcPr>
          <w:p w:rsidR="00484117" w:rsidRPr="00AE6EDB" w:rsidRDefault="00484117" w:rsidP="00484117">
            <w:pPr>
              <w:rPr>
                <w:b/>
                <w:bCs/>
                <w:sz w:val="18"/>
                <w:szCs w:val="18"/>
              </w:rPr>
            </w:pPr>
          </w:p>
        </w:tc>
        <w:tc>
          <w:tcPr>
            <w:tcW w:w="12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osoby v dôchodkovom veku</w:t>
            </w:r>
          </w:p>
        </w:tc>
        <w:tc>
          <w:tcPr>
            <w:tcW w:w="120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psychotická liečba</w:t>
            </w:r>
          </w:p>
        </w:tc>
        <w:tc>
          <w:tcPr>
            <w:tcW w:w="130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užívajúci antidepresíva</w:t>
            </w:r>
          </w:p>
        </w:tc>
        <w:tc>
          <w:tcPr>
            <w:tcW w:w="10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2641CA">
            <w:pPr>
              <w:jc w:val="center"/>
              <w:rPr>
                <w:b/>
                <w:bCs/>
                <w:sz w:val="18"/>
                <w:szCs w:val="18"/>
              </w:rPr>
            </w:pPr>
            <w:r w:rsidRPr="00AE6EDB">
              <w:rPr>
                <w:b/>
                <w:bCs/>
                <w:sz w:val="18"/>
                <w:szCs w:val="18"/>
              </w:rPr>
              <w:t>opatrovaní</w:t>
            </w:r>
            <w:r w:rsidR="002641CA">
              <w:rPr>
                <w:b/>
                <w:bCs/>
                <w:sz w:val="18"/>
                <w:szCs w:val="18"/>
              </w:rPr>
              <w:t xml:space="preserve"> </w:t>
            </w:r>
            <w:r w:rsidRPr="00AE6EDB">
              <w:rPr>
                <w:b/>
                <w:bCs/>
                <w:sz w:val="18"/>
                <w:szCs w:val="18"/>
              </w:rPr>
              <w:t>na lôžku</w:t>
            </w:r>
          </w:p>
        </w:tc>
        <w:tc>
          <w:tcPr>
            <w:tcW w:w="11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pozbavené spôsobilosti na právne úkony</w:t>
            </w:r>
          </w:p>
        </w:tc>
        <w:tc>
          <w:tcPr>
            <w:tcW w:w="11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obmedzená spôsobilosť na právne úkony</w:t>
            </w:r>
          </w:p>
        </w:tc>
        <w:tc>
          <w:tcPr>
            <w:tcW w:w="9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cudzinci</w:t>
            </w:r>
          </w:p>
        </w:tc>
        <w:tc>
          <w:tcPr>
            <w:tcW w:w="82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muži/</w:t>
            </w:r>
            <w:r w:rsidRPr="00AE6EDB">
              <w:rPr>
                <w:b/>
                <w:bCs/>
                <w:sz w:val="18"/>
                <w:szCs w:val="18"/>
              </w:rPr>
              <w:br/>
              <w:t>chlapci</w:t>
            </w:r>
          </w:p>
        </w:tc>
        <w:tc>
          <w:tcPr>
            <w:tcW w:w="8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AE6EDB" w:rsidRDefault="00484117" w:rsidP="00484117">
            <w:pPr>
              <w:jc w:val="center"/>
              <w:rPr>
                <w:b/>
                <w:bCs/>
                <w:sz w:val="18"/>
                <w:szCs w:val="18"/>
              </w:rPr>
            </w:pPr>
            <w:r w:rsidRPr="00AE6EDB">
              <w:rPr>
                <w:b/>
                <w:bCs/>
                <w:sz w:val="18"/>
                <w:szCs w:val="18"/>
              </w:rPr>
              <w:t>ženy/</w:t>
            </w:r>
            <w:r w:rsidRPr="00AE6EDB">
              <w:rPr>
                <w:b/>
                <w:bCs/>
                <w:sz w:val="18"/>
                <w:szCs w:val="18"/>
              </w:rPr>
              <w:br/>
              <w:t>dievčatá</w:t>
            </w:r>
          </w:p>
        </w:tc>
      </w:tr>
      <w:tr w:rsidR="00484117" w:rsidRPr="00AE6EDB" w:rsidTr="00484117">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Z</w:t>
            </w:r>
            <w:r w:rsidR="00484117" w:rsidRPr="00AE6EDB">
              <w:rPr>
                <w:sz w:val="18"/>
                <w:szCs w:val="18"/>
              </w:rPr>
              <w:t>ariadenie pre seniorov</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1</w:t>
            </w:r>
            <w:r w:rsidR="0054295F">
              <w:rPr>
                <w:sz w:val="18"/>
                <w:szCs w:val="18"/>
              </w:rPr>
              <w:t>2 2</w:t>
            </w:r>
            <w:r w:rsidRPr="00AE6EDB">
              <w:rPr>
                <w:sz w:val="18"/>
                <w:szCs w:val="18"/>
              </w:rPr>
              <w:t>37</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r w:rsidR="0054295F">
              <w:rPr>
                <w:sz w:val="18"/>
                <w:szCs w:val="18"/>
              </w:rPr>
              <w:t>3 5</w:t>
            </w:r>
            <w:r w:rsidRPr="00AE6EDB">
              <w:rPr>
                <w:sz w:val="18"/>
                <w:szCs w:val="18"/>
              </w:rPr>
              <w:t>82</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r w:rsidR="0054295F">
              <w:rPr>
                <w:sz w:val="18"/>
                <w:szCs w:val="18"/>
              </w:rPr>
              <w:t>3 3</w:t>
            </w:r>
            <w:r w:rsidRPr="00AE6EDB">
              <w:rPr>
                <w:sz w:val="18"/>
                <w:szCs w:val="18"/>
              </w:rPr>
              <w:t>45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3 2</w:t>
            </w:r>
            <w:r w:rsidR="00484117" w:rsidRPr="00AE6EDB">
              <w:rPr>
                <w:sz w:val="18"/>
                <w:szCs w:val="18"/>
              </w:rPr>
              <w:t>35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3 1</w:t>
            </w:r>
            <w:r w:rsidR="00484117" w:rsidRPr="00AE6EDB">
              <w:rPr>
                <w:sz w:val="18"/>
                <w:szCs w:val="18"/>
              </w:rPr>
              <w:t>51</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3 0</w:t>
            </w:r>
            <w:r w:rsidR="00484117" w:rsidRPr="00AE6EDB">
              <w:rPr>
                <w:sz w:val="18"/>
                <w:szCs w:val="18"/>
              </w:rPr>
              <w:t>19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230</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149</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41</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3 9</w:t>
            </w:r>
            <w:r w:rsidR="00484117" w:rsidRPr="00AE6EDB">
              <w:rPr>
                <w:sz w:val="18"/>
                <w:szCs w:val="18"/>
              </w:rPr>
              <w:t>80</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9 6</w:t>
            </w:r>
            <w:r w:rsidR="00484117" w:rsidRPr="00AE6EDB">
              <w:rPr>
                <w:sz w:val="18"/>
                <w:szCs w:val="18"/>
              </w:rPr>
              <w:t>02</w:t>
            </w:r>
          </w:p>
        </w:tc>
      </w:tr>
      <w:tr w:rsidR="00484117" w:rsidRPr="00AE6EDB" w:rsidTr="00484117">
        <w:trPr>
          <w:trHeight w:val="765"/>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D</w:t>
            </w:r>
            <w:r w:rsidR="00484117" w:rsidRPr="00AE6EDB">
              <w:rPr>
                <w:sz w:val="18"/>
                <w:szCs w:val="18"/>
              </w:rPr>
              <w:t>omov sociálnych služieb (DSS) pre dospelých s telesným postihnutím</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1 0</w:t>
            </w:r>
            <w:r w:rsidR="00484117" w:rsidRPr="00AE6EDB">
              <w:rPr>
                <w:sz w:val="18"/>
                <w:szCs w:val="18"/>
              </w:rPr>
              <w:t>69</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922</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646</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386</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133</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211</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156</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27</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419</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503</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dospelých</w:t>
            </w:r>
            <w:r w:rsidRPr="00AE6EDB">
              <w:rPr>
                <w:sz w:val="18"/>
                <w:szCs w:val="18"/>
              </w:rPr>
              <w:br/>
              <w:t>s kombináciou postihnutí</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1</w:t>
            </w:r>
            <w:r w:rsidR="0054295F">
              <w:rPr>
                <w:sz w:val="18"/>
                <w:szCs w:val="18"/>
              </w:rPr>
              <w:t>3 1</w:t>
            </w:r>
            <w:r w:rsidRPr="00AE6EDB">
              <w:rPr>
                <w:sz w:val="18"/>
                <w:szCs w:val="18"/>
              </w:rPr>
              <w:t>62</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r w:rsidR="0054295F">
              <w:rPr>
                <w:sz w:val="18"/>
                <w:szCs w:val="18"/>
              </w:rPr>
              <w:t>2 7</w:t>
            </w:r>
            <w:r w:rsidRPr="00AE6EDB">
              <w:rPr>
                <w:sz w:val="18"/>
                <w:szCs w:val="18"/>
              </w:rPr>
              <w:t>36</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7 0</w:t>
            </w:r>
            <w:r w:rsidR="00484117" w:rsidRPr="00AE6EDB">
              <w:rPr>
                <w:sz w:val="18"/>
                <w:szCs w:val="18"/>
              </w:rPr>
              <w:t>56</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5 2</w:t>
            </w:r>
            <w:r w:rsidR="00484117" w:rsidRPr="00AE6EDB">
              <w:rPr>
                <w:sz w:val="18"/>
                <w:szCs w:val="18"/>
              </w:rPr>
              <w:t>15</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2 6</w:t>
            </w:r>
            <w:r w:rsidR="00484117" w:rsidRPr="00AE6EDB">
              <w:rPr>
                <w:sz w:val="18"/>
                <w:szCs w:val="18"/>
              </w:rPr>
              <w:t>55</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2 5</w:t>
            </w:r>
            <w:r w:rsidR="00484117" w:rsidRPr="00AE6EDB">
              <w:rPr>
                <w:sz w:val="18"/>
                <w:szCs w:val="18"/>
              </w:rPr>
              <w:t>19</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4 0</w:t>
            </w:r>
            <w:r w:rsidR="00484117" w:rsidRPr="00AE6EDB">
              <w:rPr>
                <w:sz w:val="18"/>
                <w:szCs w:val="18"/>
              </w:rPr>
              <w:t>38</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231</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5 3</w:t>
            </w:r>
            <w:r w:rsidR="00484117" w:rsidRPr="00AE6EDB">
              <w:rPr>
                <w:sz w:val="18"/>
                <w:szCs w:val="18"/>
              </w:rPr>
              <w:t>53</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7 3</w:t>
            </w:r>
            <w:r w:rsidR="00484117" w:rsidRPr="00AE6EDB">
              <w:rPr>
                <w:sz w:val="18"/>
                <w:szCs w:val="18"/>
              </w:rPr>
              <w:t>83</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dospelých</w:t>
            </w:r>
            <w:r w:rsidRPr="00AE6EDB">
              <w:rPr>
                <w:sz w:val="18"/>
                <w:szCs w:val="18"/>
              </w:rPr>
              <w:br/>
              <w:t>so zmyslovým postihnutím</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0 </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20</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14</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w:t>
            </w:r>
          </w:p>
        </w:tc>
      </w:tr>
      <w:tr w:rsidR="00484117" w:rsidRPr="00AE6EDB" w:rsidTr="00484117">
        <w:trPr>
          <w:trHeight w:val="765"/>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dospelých</w:t>
            </w:r>
            <w:r w:rsidRPr="00AE6EDB">
              <w:rPr>
                <w:sz w:val="18"/>
                <w:szCs w:val="18"/>
              </w:rPr>
              <w:br/>
              <w:t>s duševnými poruchami a poruchami správania</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3 9</w:t>
            </w:r>
            <w:r w:rsidR="00484117" w:rsidRPr="00AE6EDB">
              <w:rPr>
                <w:sz w:val="18"/>
                <w:szCs w:val="18"/>
              </w:rPr>
              <w:t>65</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3 6</w:t>
            </w:r>
            <w:r w:rsidR="00484117" w:rsidRPr="00AE6EDB">
              <w:rPr>
                <w:sz w:val="18"/>
                <w:szCs w:val="18"/>
              </w:rPr>
              <w:t>80</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1 2</w:t>
            </w:r>
            <w:r w:rsidR="00484117" w:rsidRPr="00AE6EDB">
              <w:rPr>
                <w:sz w:val="18"/>
                <w:szCs w:val="18"/>
              </w:rPr>
              <w:t>24</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2 2</w:t>
            </w:r>
            <w:r w:rsidR="00484117" w:rsidRPr="00AE6EDB">
              <w:rPr>
                <w:sz w:val="18"/>
                <w:szCs w:val="18"/>
              </w:rPr>
              <w:t>16</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939</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396</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2 2</w:t>
            </w:r>
            <w:r w:rsidR="00484117" w:rsidRPr="00AE6EDB">
              <w:rPr>
                <w:sz w:val="18"/>
                <w:szCs w:val="18"/>
              </w:rPr>
              <w:t>07</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71</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1 9</w:t>
            </w:r>
            <w:r w:rsidR="00484117" w:rsidRPr="00AE6EDB">
              <w:rPr>
                <w:sz w:val="18"/>
                <w:szCs w:val="18"/>
              </w:rPr>
              <w:t>61</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1 7</w:t>
            </w:r>
            <w:r w:rsidR="00484117" w:rsidRPr="00AE6EDB">
              <w:rPr>
                <w:sz w:val="18"/>
                <w:szCs w:val="18"/>
              </w:rPr>
              <w:t>19</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Š</w:t>
            </w:r>
            <w:r w:rsidR="00484117" w:rsidRPr="00AE6EDB">
              <w:rPr>
                <w:sz w:val="18"/>
                <w:szCs w:val="18"/>
              </w:rPr>
              <w:t>pecializované zariadenie</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1 8</w:t>
            </w:r>
            <w:r w:rsidR="00484117" w:rsidRPr="00AE6EDB">
              <w:rPr>
                <w:sz w:val="18"/>
                <w:szCs w:val="18"/>
              </w:rPr>
              <w:t>86</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3 0</w:t>
            </w:r>
            <w:r w:rsidR="00484117" w:rsidRPr="00AE6EDB">
              <w:rPr>
                <w:sz w:val="18"/>
                <w:szCs w:val="18"/>
              </w:rPr>
              <w:t>18</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2 0</w:t>
            </w:r>
            <w:r w:rsidR="00484117" w:rsidRPr="00AE6EDB">
              <w:rPr>
                <w:sz w:val="18"/>
                <w:szCs w:val="18"/>
              </w:rPr>
              <w:t>07</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1 5</w:t>
            </w:r>
            <w:r w:rsidR="00484117" w:rsidRPr="00AE6EDB">
              <w:rPr>
                <w:sz w:val="18"/>
                <w:szCs w:val="18"/>
              </w:rPr>
              <w:t>71</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744</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667</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829</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48</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7</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1 2</w:t>
            </w:r>
            <w:r w:rsidR="00484117" w:rsidRPr="00AE6EDB">
              <w:rPr>
                <w:sz w:val="18"/>
                <w:szCs w:val="18"/>
              </w:rPr>
              <w:t>51</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1 7</w:t>
            </w:r>
            <w:r w:rsidR="00484117" w:rsidRPr="00AE6EDB">
              <w:rPr>
                <w:sz w:val="18"/>
                <w:szCs w:val="18"/>
              </w:rPr>
              <w:t>67</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D</w:t>
            </w:r>
            <w:r w:rsidR="00484117" w:rsidRPr="00AE6EDB">
              <w:rPr>
                <w:sz w:val="18"/>
                <w:szCs w:val="18"/>
              </w:rPr>
              <w:t>enný stacionár</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374</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961</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486</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56</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84</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18</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105</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38</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339</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622</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deti</w:t>
            </w:r>
            <w:r w:rsidRPr="00AE6EDB">
              <w:rPr>
                <w:sz w:val="18"/>
                <w:szCs w:val="18"/>
              </w:rPr>
              <w:br/>
              <w:t>s telesným postihnutím</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18</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22</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9</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13</w:t>
            </w:r>
          </w:p>
        </w:tc>
      </w:tr>
      <w:tr w:rsidR="00484117" w:rsidRPr="00AE6EDB" w:rsidTr="00484117">
        <w:trPr>
          <w:trHeight w:val="10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deti</w:t>
            </w:r>
            <w:r w:rsidRPr="00AE6EDB">
              <w:rPr>
                <w:sz w:val="18"/>
                <w:szCs w:val="18"/>
              </w:rPr>
              <w:br/>
              <w:t>s telesným postihnutím a duševnými poruchami a poruchami správania</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1 0</w:t>
            </w:r>
            <w:r w:rsidR="00484117" w:rsidRPr="00AE6EDB">
              <w:rPr>
                <w:sz w:val="18"/>
                <w:szCs w:val="18"/>
              </w:rPr>
              <w:t>00</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898</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317</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72</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156</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198</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493</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405</w:t>
            </w:r>
          </w:p>
        </w:tc>
      </w:tr>
      <w:tr w:rsidR="00484117" w:rsidRPr="00AE6EDB" w:rsidTr="00484117">
        <w:trPr>
          <w:trHeight w:val="765"/>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sz w:val="18"/>
                <w:szCs w:val="18"/>
              </w:rPr>
            </w:pPr>
            <w:r w:rsidRPr="00AE6EDB">
              <w:rPr>
                <w:sz w:val="18"/>
                <w:szCs w:val="18"/>
              </w:rPr>
              <w:t>DSS pre deti</w:t>
            </w:r>
            <w:r w:rsidRPr="00AE6EDB">
              <w:rPr>
                <w:sz w:val="18"/>
                <w:szCs w:val="18"/>
              </w:rPr>
              <w:br/>
              <w:t>s duševnými poruchami a poruchami správania</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187</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59</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14</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10</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18</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14</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35</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24</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Z</w:t>
            </w:r>
            <w:r w:rsidR="00484117" w:rsidRPr="00AE6EDB">
              <w:rPr>
                <w:sz w:val="18"/>
                <w:szCs w:val="18"/>
              </w:rPr>
              <w:t>ariadenie dočasnej starostlivosti o deti</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44</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Z</w:t>
            </w:r>
            <w:r w:rsidR="00484117" w:rsidRPr="00AE6EDB">
              <w:rPr>
                <w:sz w:val="18"/>
                <w:szCs w:val="18"/>
              </w:rPr>
              <w:t>ariadenie podporovaného bývania</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415</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468</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35</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229</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107</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126</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35</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283</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185</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Z</w:t>
            </w:r>
            <w:r w:rsidR="00484117" w:rsidRPr="00AE6EDB">
              <w:rPr>
                <w:sz w:val="18"/>
                <w:szCs w:val="18"/>
              </w:rPr>
              <w:t>ariadenie núdzového bývania</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875</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553</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14</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11</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197</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356</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Ú</w:t>
            </w:r>
            <w:r w:rsidR="00484117" w:rsidRPr="00AE6EDB">
              <w:rPr>
                <w:sz w:val="18"/>
                <w:szCs w:val="18"/>
              </w:rPr>
              <w:t>tulky</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1 4</w:t>
            </w:r>
            <w:r w:rsidR="00484117" w:rsidRPr="00AE6EDB">
              <w:rPr>
                <w:sz w:val="18"/>
                <w:szCs w:val="18"/>
              </w:rPr>
              <w:t>99</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1 7</w:t>
            </w:r>
            <w:r w:rsidR="00484117" w:rsidRPr="00AE6EDB">
              <w:rPr>
                <w:sz w:val="18"/>
                <w:szCs w:val="18"/>
              </w:rPr>
              <w:t>50</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169</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101</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114</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1 0</w:t>
            </w:r>
            <w:r w:rsidR="00484117" w:rsidRPr="00AE6EDB">
              <w:rPr>
                <w:sz w:val="18"/>
                <w:szCs w:val="18"/>
              </w:rPr>
              <w:t>61</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689</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R</w:t>
            </w:r>
            <w:r w:rsidR="00484117" w:rsidRPr="00AE6EDB">
              <w:rPr>
                <w:sz w:val="18"/>
                <w:szCs w:val="18"/>
              </w:rPr>
              <w:t>ehabilitačné strediská</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390</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435</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52</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67</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32</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26</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15</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225</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210</w:t>
            </w:r>
          </w:p>
        </w:tc>
      </w:tr>
      <w:tr w:rsidR="00484117" w:rsidRPr="00AE6EDB" w:rsidTr="00484117">
        <w:trPr>
          <w:trHeight w:val="5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Z</w:t>
            </w:r>
            <w:r w:rsidR="00484117" w:rsidRPr="00AE6EDB">
              <w:rPr>
                <w:sz w:val="18"/>
                <w:szCs w:val="18"/>
              </w:rPr>
              <w:t>ariadenia opatrovateľskej služby</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1 7</w:t>
            </w:r>
            <w:r w:rsidR="00484117" w:rsidRPr="00AE6EDB">
              <w:rPr>
                <w:sz w:val="18"/>
                <w:szCs w:val="18"/>
              </w:rPr>
              <w:t>38</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1 7</w:t>
            </w:r>
            <w:r w:rsidR="00484117" w:rsidRPr="00AE6EDB">
              <w:rPr>
                <w:sz w:val="18"/>
                <w:szCs w:val="18"/>
              </w:rPr>
              <w:t>66</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1 6</w:t>
            </w:r>
            <w:r w:rsidR="00484117" w:rsidRPr="00AE6EDB">
              <w:rPr>
                <w:sz w:val="18"/>
                <w:szCs w:val="18"/>
              </w:rPr>
              <w:t>50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435</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448</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448</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41</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33</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3</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495</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54295F" w:rsidP="00484117">
            <w:pPr>
              <w:contextualSpacing/>
              <w:jc w:val="right"/>
              <w:rPr>
                <w:sz w:val="18"/>
                <w:szCs w:val="18"/>
              </w:rPr>
            </w:pPr>
            <w:r>
              <w:rPr>
                <w:sz w:val="18"/>
                <w:szCs w:val="18"/>
              </w:rPr>
              <w:t>1 2</w:t>
            </w:r>
            <w:r w:rsidR="00484117" w:rsidRPr="00AE6EDB">
              <w:rPr>
                <w:sz w:val="18"/>
                <w:szCs w:val="18"/>
              </w:rPr>
              <w:t>71</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N</w:t>
            </w:r>
            <w:r w:rsidR="00484117" w:rsidRPr="00AE6EDB">
              <w:rPr>
                <w:sz w:val="18"/>
                <w:szCs w:val="18"/>
              </w:rPr>
              <w:t xml:space="preserve">ocľaháreň </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54295F" w:rsidP="00484117">
            <w:pPr>
              <w:contextualSpacing/>
              <w:jc w:val="right"/>
              <w:rPr>
                <w:sz w:val="18"/>
                <w:szCs w:val="18"/>
              </w:rPr>
            </w:pPr>
            <w:r>
              <w:rPr>
                <w:sz w:val="18"/>
                <w:szCs w:val="18"/>
              </w:rPr>
              <w:t>4 7</w:t>
            </w:r>
            <w:r w:rsidR="00484117" w:rsidRPr="00AE6EDB">
              <w:rPr>
                <w:sz w:val="18"/>
                <w:szCs w:val="18"/>
              </w:rPr>
              <w:t>98</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sz w:val="18"/>
                <w:szCs w:val="18"/>
              </w:rPr>
            </w:pPr>
            <w:r>
              <w:rPr>
                <w:sz w:val="18"/>
                <w:szCs w:val="18"/>
              </w:rPr>
              <w:t>6 0</w:t>
            </w:r>
            <w:r w:rsidR="00484117" w:rsidRPr="00AE6EDB">
              <w:rPr>
                <w:sz w:val="18"/>
                <w:szCs w:val="18"/>
              </w:rPr>
              <w:t>80</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893A25" w:rsidP="00484117">
            <w:pPr>
              <w:contextualSpacing/>
              <w:jc w:val="left"/>
              <w:rPr>
                <w:sz w:val="18"/>
                <w:szCs w:val="18"/>
              </w:rPr>
            </w:pPr>
            <w:r w:rsidRPr="00AE6EDB">
              <w:rPr>
                <w:sz w:val="18"/>
                <w:szCs w:val="18"/>
              </w:rPr>
              <w:t>D</w:t>
            </w:r>
            <w:r w:rsidR="00484117" w:rsidRPr="00AE6EDB">
              <w:rPr>
                <w:sz w:val="18"/>
                <w:szCs w:val="18"/>
              </w:rPr>
              <w:t>omov na polceste</w:t>
            </w:r>
          </w:p>
        </w:tc>
        <w:tc>
          <w:tcPr>
            <w:tcW w:w="980" w:type="dxa"/>
            <w:tcBorders>
              <w:top w:val="nil"/>
              <w:left w:val="nil"/>
              <w:bottom w:val="single" w:sz="4" w:space="0" w:color="auto"/>
              <w:right w:val="single" w:sz="4" w:space="0" w:color="auto"/>
            </w:tcBorders>
            <w:shd w:val="clear" w:color="auto" w:fill="auto"/>
            <w:noWrap/>
            <w:vAlign w:val="bottom"/>
            <w:hideMark/>
          </w:tcPr>
          <w:p w:rsidR="00484117" w:rsidRPr="00AE6EDB" w:rsidRDefault="00484117" w:rsidP="00484117">
            <w:pPr>
              <w:contextualSpacing/>
              <w:jc w:val="right"/>
              <w:rPr>
                <w:sz w:val="18"/>
                <w:szCs w:val="18"/>
              </w:rPr>
            </w:pPr>
            <w:r w:rsidRPr="00AE6EDB">
              <w:rPr>
                <w:sz w:val="18"/>
                <w:szCs w:val="18"/>
              </w:rPr>
              <w:t>188</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194</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5</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11</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11</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114</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sz w:val="18"/>
                <w:szCs w:val="18"/>
              </w:rPr>
            </w:pPr>
            <w:r w:rsidRPr="00AE6EDB">
              <w:rPr>
                <w:sz w:val="18"/>
                <w:szCs w:val="18"/>
              </w:rPr>
              <w:t>80</w:t>
            </w:r>
          </w:p>
        </w:tc>
      </w:tr>
      <w:tr w:rsidR="00484117" w:rsidRPr="00AE6EDB" w:rsidTr="00484117">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484117" w:rsidRPr="00AE6EDB" w:rsidRDefault="00484117" w:rsidP="00484117">
            <w:pPr>
              <w:contextualSpacing/>
              <w:jc w:val="left"/>
              <w:rPr>
                <w:b/>
                <w:bCs/>
                <w:sz w:val="18"/>
                <w:szCs w:val="18"/>
              </w:rPr>
            </w:pPr>
            <w:r w:rsidRPr="00AE6EDB">
              <w:rPr>
                <w:b/>
                <w:bCs/>
                <w:sz w:val="18"/>
                <w:szCs w:val="18"/>
              </w:rPr>
              <w:t>SPOLU</w:t>
            </w:r>
          </w:p>
        </w:tc>
        <w:tc>
          <w:tcPr>
            <w:tcW w:w="98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4</w:t>
            </w:r>
            <w:r w:rsidR="0054295F">
              <w:rPr>
                <w:b/>
                <w:bCs/>
                <w:sz w:val="18"/>
                <w:szCs w:val="18"/>
              </w:rPr>
              <w:t>3 8</w:t>
            </w:r>
            <w:r w:rsidRPr="00AE6EDB">
              <w:rPr>
                <w:b/>
                <w:bCs/>
                <w:sz w:val="18"/>
                <w:szCs w:val="18"/>
              </w:rPr>
              <w:t>45</w:t>
            </w:r>
          </w:p>
        </w:tc>
        <w:tc>
          <w:tcPr>
            <w:tcW w:w="10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4</w:t>
            </w:r>
            <w:r w:rsidR="00AC44CB">
              <w:rPr>
                <w:b/>
                <w:bCs/>
                <w:sz w:val="18"/>
                <w:szCs w:val="18"/>
              </w:rPr>
              <w:t>7 1</w:t>
            </w:r>
            <w:r w:rsidRPr="00AE6EDB">
              <w:rPr>
                <w:b/>
                <w:bCs/>
                <w:sz w:val="18"/>
                <w:szCs w:val="18"/>
              </w:rPr>
              <w:t>49</w:t>
            </w:r>
          </w:p>
        </w:tc>
        <w:tc>
          <w:tcPr>
            <w:tcW w:w="12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2</w:t>
            </w:r>
            <w:r w:rsidR="00AC44CB">
              <w:rPr>
                <w:b/>
                <w:bCs/>
                <w:sz w:val="18"/>
                <w:szCs w:val="18"/>
              </w:rPr>
              <w:t>6 6</w:t>
            </w:r>
            <w:r w:rsidRPr="00AE6EDB">
              <w:rPr>
                <w:b/>
                <w:bCs/>
                <w:sz w:val="18"/>
                <w:szCs w:val="18"/>
              </w:rPr>
              <w:t>85</w:t>
            </w:r>
          </w:p>
        </w:tc>
        <w:tc>
          <w:tcPr>
            <w:tcW w:w="120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1</w:t>
            </w:r>
            <w:r w:rsidR="0054295F">
              <w:rPr>
                <w:b/>
                <w:bCs/>
                <w:sz w:val="18"/>
                <w:szCs w:val="18"/>
              </w:rPr>
              <w:t>3 8</w:t>
            </w:r>
            <w:r w:rsidRPr="00AE6EDB">
              <w:rPr>
                <w:b/>
                <w:bCs/>
                <w:sz w:val="18"/>
                <w:szCs w:val="18"/>
              </w:rPr>
              <w:t>54</w:t>
            </w:r>
          </w:p>
        </w:tc>
        <w:tc>
          <w:tcPr>
            <w:tcW w:w="130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b/>
                <w:bCs/>
                <w:sz w:val="18"/>
                <w:szCs w:val="18"/>
              </w:rPr>
            </w:pPr>
            <w:r>
              <w:rPr>
                <w:b/>
                <w:bCs/>
                <w:sz w:val="18"/>
                <w:szCs w:val="18"/>
              </w:rPr>
              <w:t>8 5</w:t>
            </w:r>
            <w:r w:rsidR="00484117" w:rsidRPr="00AE6EDB">
              <w:rPr>
                <w:b/>
                <w:bCs/>
                <w:sz w:val="18"/>
                <w:szCs w:val="18"/>
              </w:rPr>
              <w:t>11</w:t>
            </w:r>
          </w:p>
        </w:tc>
        <w:tc>
          <w:tcPr>
            <w:tcW w:w="106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b/>
                <w:bCs/>
                <w:sz w:val="18"/>
                <w:szCs w:val="18"/>
              </w:rPr>
            </w:pPr>
            <w:r>
              <w:rPr>
                <w:b/>
                <w:bCs/>
                <w:sz w:val="18"/>
                <w:szCs w:val="18"/>
              </w:rPr>
              <w:t>7 4</w:t>
            </w:r>
            <w:r w:rsidR="00484117" w:rsidRPr="00AE6EDB">
              <w:rPr>
                <w:b/>
                <w:bCs/>
                <w:sz w:val="18"/>
                <w:szCs w:val="18"/>
              </w:rPr>
              <w:t>96</w:t>
            </w:r>
          </w:p>
        </w:tc>
        <w:tc>
          <w:tcPr>
            <w:tcW w:w="1160" w:type="dxa"/>
            <w:tcBorders>
              <w:top w:val="nil"/>
              <w:left w:val="nil"/>
              <w:bottom w:val="single" w:sz="4" w:space="0" w:color="auto"/>
              <w:right w:val="single" w:sz="4" w:space="0" w:color="auto"/>
            </w:tcBorders>
            <w:shd w:val="clear" w:color="auto" w:fill="auto"/>
            <w:vAlign w:val="bottom"/>
            <w:hideMark/>
          </w:tcPr>
          <w:p w:rsidR="00484117" w:rsidRPr="00AE6EDB" w:rsidRDefault="00AC44CB" w:rsidP="00484117">
            <w:pPr>
              <w:contextualSpacing/>
              <w:jc w:val="right"/>
              <w:rPr>
                <w:b/>
                <w:bCs/>
                <w:sz w:val="18"/>
                <w:szCs w:val="18"/>
              </w:rPr>
            </w:pPr>
            <w:r>
              <w:rPr>
                <w:b/>
                <w:bCs/>
                <w:sz w:val="18"/>
                <w:szCs w:val="18"/>
              </w:rPr>
              <w:t>7 9</w:t>
            </w:r>
            <w:r w:rsidR="00484117" w:rsidRPr="00AE6EDB">
              <w:rPr>
                <w:b/>
                <w:bCs/>
                <w:sz w:val="18"/>
                <w:szCs w:val="18"/>
              </w:rPr>
              <w:t>91</w:t>
            </w:r>
          </w:p>
        </w:tc>
        <w:tc>
          <w:tcPr>
            <w:tcW w:w="11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657</w:t>
            </w:r>
          </w:p>
        </w:tc>
        <w:tc>
          <w:tcPr>
            <w:tcW w:w="96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75</w:t>
            </w:r>
          </w:p>
        </w:tc>
        <w:tc>
          <w:tcPr>
            <w:tcW w:w="82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1</w:t>
            </w:r>
            <w:r w:rsidR="00AC44CB">
              <w:rPr>
                <w:b/>
                <w:bCs/>
                <w:sz w:val="18"/>
                <w:szCs w:val="18"/>
              </w:rPr>
              <w:t>6 2</w:t>
            </w:r>
            <w:r w:rsidRPr="00AE6EDB">
              <w:rPr>
                <w:b/>
                <w:bCs/>
                <w:sz w:val="18"/>
                <w:szCs w:val="18"/>
              </w:rPr>
              <w:t>31</w:t>
            </w:r>
          </w:p>
        </w:tc>
        <w:tc>
          <w:tcPr>
            <w:tcW w:w="840" w:type="dxa"/>
            <w:tcBorders>
              <w:top w:val="nil"/>
              <w:left w:val="nil"/>
              <w:bottom w:val="single" w:sz="4" w:space="0" w:color="auto"/>
              <w:right w:val="single" w:sz="4" w:space="0" w:color="auto"/>
            </w:tcBorders>
            <w:shd w:val="clear" w:color="auto" w:fill="auto"/>
            <w:vAlign w:val="bottom"/>
            <w:hideMark/>
          </w:tcPr>
          <w:p w:rsidR="00484117" w:rsidRPr="00AE6EDB" w:rsidRDefault="00484117" w:rsidP="00484117">
            <w:pPr>
              <w:contextualSpacing/>
              <w:jc w:val="right"/>
              <w:rPr>
                <w:b/>
                <w:bCs/>
                <w:sz w:val="18"/>
                <w:szCs w:val="18"/>
              </w:rPr>
            </w:pPr>
            <w:r w:rsidRPr="00AE6EDB">
              <w:rPr>
                <w:b/>
                <w:bCs/>
                <w:sz w:val="18"/>
                <w:szCs w:val="18"/>
              </w:rPr>
              <w:t>2</w:t>
            </w:r>
            <w:r w:rsidR="0054295F">
              <w:rPr>
                <w:b/>
                <w:bCs/>
                <w:sz w:val="18"/>
                <w:szCs w:val="18"/>
              </w:rPr>
              <w:t>4 8</w:t>
            </w:r>
            <w:r w:rsidRPr="00AE6EDB">
              <w:rPr>
                <w:b/>
                <w:bCs/>
                <w:sz w:val="18"/>
                <w:szCs w:val="18"/>
              </w:rPr>
              <w:t>38</w:t>
            </w:r>
          </w:p>
        </w:tc>
      </w:tr>
    </w:tbl>
    <w:p w:rsidR="000A7585" w:rsidRPr="00AE6EDB" w:rsidRDefault="000A7585" w:rsidP="000A7585">
      <w:pPr>
        <w:pStyle w:val="zdroj"/>
        <w:spacing w:after="0"/>
        <w:ind w:firstLine="570"/>
        <w:rPr>
          <w:lang w:eastAsia="cs-CZ"/>
        </w:rPr>
      </w:pPr>
      <w:r w:rsidRPr="00AE6EDB">
        <w:rPr>
          <w:lang w:eastAsia="cs-CZ"/>
        </w:rPr>
        <w:t xml:space="preserve">Zdroj: Vybrané údaje ŠÚ SR </w:t>
      </w:r>
      <w:r w:rsidRPr="00AE6EDB">
        <w:rPr>
          <w:color w:val="000000" w:themeColor="text1"/>
        </w:rPr>
        <w:t>–</w:t>
      </w:r>
      <w:r w:rsidRPr="00AE6EDB">
        <w:rPr>
          <w:lang w:eastAsia="cs-CZ"/>
        </w:rPr>
        <w:t xml:space="preserve"> Zariadenia </w:t>
      </w:r>
      <w:r w:rsidRPr="00AE6EDB">
        <w:t>sociálnych</w:t>
      </w:r>
      <w:r w:rsidRPr="00AE6EDB">
        <w:rPr>
          <w:lang w:eastAsia="cs-CZ"/>
        </w:rPr>
        <w:t xml:space="preserve"> služieb v SR</w:t>
      </w:r>
    </w:p>
    <w:p w:rsidR="000A7585" w:rsidRPr="00AE6EDB" w:rsidRDefault="000A7585" w:rsidP="000A7585">
      <w:pPr>
        <w:pStyle w:val="zdroj"/>
        <w:spacing w:before="0"/>
        <w:ind w:firstLine="570"/>
        <w:rPr>
          <w:lang w:eastAsia="cs-CZ"/>
        </w:rPr>
      </w:pPr>
      <w:r w:rsidRPr="00AE6EDB">
        <w:rPr>
          <w:lang w:eastAsia="cs-CZ"/>
        </w:rPr>
        <w:t xml:space="preserve">Poznámka: DSS – domov sociálnych služieb </w:t>
      </w:r>
    </w:p>
    <w:p w:rsidR="000A7585" w:rsidRPr="00AE6EDB" w:rsidRDefault="000A7585" w:rsidP="000A7585">
      <w:pPr>
        <w:pStyle w:val="zdroj"/>
        <w:spacing w:after="0"/>
        <w:ind w:left="567" w:firstLine="3"/>
        <w:rPr>
          <w:color w:val="auto"/>
          <w:highlight w:val="cyan"/>
          <w:lang w:eastAsia="cs-CZ"/>
        </w:rPr>
        <w:sectPr w:rsidR="000A7585" w:rsidRPr="00AE6EDB" w:rsidSect="00484117">
          <w:pgSz w:w="16838" w:h="11906" w:orient="landscape"/>
          <w:pgMar w:top="1417" w:right="1417" w:bottom="1417" w:left="1417" w:header="708" w:footer="708" w:gutter="0"/>
          <w:cols w:space="708"/>
          <w:docGrid w:linePitch="360"/>
        </w:sectPr>
      </w:pPr>
    </w:p>
    <w:p w:rsidR="000A7585" w:rsidRPr="00AE6EDB" w:rsidRDefault="000A7585" w:rsidP="00C17A2D">
      <w:pPr>
        <w:pStyle w:val="Nadpis7"/>
        <w:spacing w:before="0"/>
      </w:pPr>
      <w:r w:rsidRPr="00AE6EDB">
        <w:t>Tabuľka 25 Výdavky zariadení sociálnych služieb</w:t>
      </w:r>
    </w:p>
    <w:tbl>
      <w:tblPr>
        <w:tblW w:w="146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5"/>
        <w:gridCol w:w="1134"/>
        <w:gridCol w:w="992"/>
        <w:gridCol w:w="1134"/>
        <w:gridCol w:w="993"/>
        <w:gridCol w:w="992"/>
        <w:gridCol w:w="850"/>
        <w:gridCol w:w="1164"/>
        <w:gridCol w:w="1056"/>
        <w:gridCol w:w="1049"/>
        <w:gridCol w:w="984"/>
        <w:gridCol w:w="992"/>
        <w:gridCol w:w="935"/>
      </w:tblGrid>
      <w:tr w:rsidR="000A7585" w:rsidRPr="00AE6EDB" w:rsidTr="00DE0EEC">
        <w:trPr>
          <w:trHeight w:val="240"/>
          <w:jc w:val="center"/>
        </w:trPr>
        <w:tc>
          <w:tcPr>
            <w:tcW w:w="2335" w:type="dxa"/>
            <w:vMerge w:val="restart"/>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Druh zariadenia / zriaďovateľ</w:t>
            </w:r>
          </w:p>
        </w:tc>
        <w:tc>
          <w:tcPr>
            <w:tcW w:w="1134" w:type="dxa"/>
            <w:vMerge w:val="restart"/>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Celkové výdavky</w:t>
            </w:r>
          </w:p>
          <w:p w:rsidR="000A7585" w:rsidRPr="00AE6EDB" w:rsidRDefault="000A7585" w:rsidP="00C17A2D">
            <w:pPr>
              <w:jc w:val="center"/>
              <w:rPr>
                <w:b/>
                <w:bCs/>
                <w:sz w:val="16"/>
                <w:szCs w:val="16"/>
              </w:rPr>
            </w:pPr>
            <w:r w:rsidRPr="00AE6EDB">
              <w:rPr>
                <w:b/>
                <w:bCs/>
                <w:sz w:val="16"/>
                <w:szCs w:val="16"/>
              </w:rPr>
              <w:t xml:space="preserve">(v €) </w:t>
            </w:r>
            <w:r w:rsidRPr="00AE6EDB">
              <w:rPr>
                <w:b/>
                <w:bCs/>
                <w:sz w:val="16"/>
                <w:szCs w:val="16"/>
              </w:rPr>
              <w:br/>
              <w:t>v roku 201</w:t>
            </w:r>
            <w:r w:rsidR="00C17A2D" w:rsidRPr="00AE6EDB">
              <w:rPr>
                <w:b/>
                <w:bCs/>
                <w:sz w:val="16"/>
                <w:szCs w:val="16"/>
              </w:rPr>
              <w:t>3</w:t>
            </w:r>
          </w:p>
        </w:tc>
        <w:tc>
          <w:tcPr>
            <w:tcW w:w="4961" w:type="dxa"/>
            <w:gridSpan w:val="5"/>
            <w:shd w:val="clear" w:color="auto" w:fill="FF9999" w:themeFill="accent3" w:themeFillTint="66"/>
            <w:noWrap/>
            <w:vAlign w:val="center"/>
            <w:hideMark/>
          </w:tcPr>
          <w:p w:rsidR="000A7585" w:rsidRPr="00AE6EDB" w:rsidRDefault="000A7585" w:rsidP="00DE0EEC">
            <w:pPr>
              <w:jc w:val="center"/>
              <w:rPr>
                <w:b/>
                <w:bCs/>
                <w:sz w:val="16"/>
                <w:szCs w:val="16"/>
              </w:rPr>
            </w:pPr>
            <w:r w:rsidRPr="00AE6EDB">
              <w:rPr>
                <w:b/>
                <w:bCs/>
                <w:sz w:val="16"/>
                <w:szCs w:val="16"/>
              </w:rPr>
              <w:t>v tom</w:t>
            </w:r>
          </w:p>
        </w:tc>
        <w:tc>
          <w:tcPr>
            <w:tcW w:w="1164" w:type="dxa"/>
            <w:vMerge w:val="restart"/>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Celkové výdavky</w:t>
            </w:r>
          </w:p>
          <w:p w:rsidR="000A7585" w:rsidRPr="00AE6EDB" w:rsidRDefault="000A7585" w:rsidP="00C17A2D">
            <w:pPr>
              <w:jc w:val="center"/>
              <w:rPr>
                <w:b/>
                <w:bCs/>
                <w:sz w:val="16"/>
                <w:szCs w:val="16"/>
              </w:rPr>
            </w:pPr>
            <w:r w:rsidRPr="00AE6EDB">
              <w:rPr>
                <w:b/>
                <w:bCs/>
                <w:sz w:val="16"/>
                <w:szCs w:val="16"/>
              </w:rPr>
              <w:t>(v €)</w:t>
            </w:r>
            <w:r w:rsidRPr="00AE6EDB">
              <w:rPr>
                <w:b/>
                <w:bCs/>
                <w:sz w:val="16"/>
                <w:szCs w:val="16"/>
              </w:rPr>
              <w:br/>
              <w:t xml:space="preserve"> v roku 201</w:t>
            </w:r>
            <w:r w:rsidR="00C17A2D" w:rsidRPr="00AE6EDB">
              <w:rPr>
                <w:b/>
                <w:bCs/>
                <w:sz w:val="16"/>
                <w:szCs w:val="16"/>
              </w:rPr>
              <w:t>4</w:t>
            </w:r>
          </w:p>
        </w:tc>
        <w:tc>
          <w:tcPr>
            <w:tcW w:w="5016" w:type="dxa"/>
            <w:gridSpan w:val="5"/>
            <w:shd w:val="clear" w:color="auto" w:fill="FF9999" w:themeFill="accent3" w:themeFillTint="66"/>
            <w:noWrap/>
            <w:vAlign w:val="center"/>
            <w:hideMark/>
          </w:tcPr>
          <w:p w:rsidR="000A7585" w:rsidRPr="00AE6EDB" w:rsidRDefault="000A7585" w:rsidP="00DE0EEC">
            <w:pPr>
              <w:jc w:val="center"/>
              <w:rPr>
                <w:b/>
                <w:bCs/>
                <w:sz w:val="16"/>
                <w:szCs w:val="16"/>
              </w:rPr>
            </w:pPr>
            <w:r w:rsidRPr="00AE6EDB">
              <w:rPr>
                <w:b/>
                <w:bCs/>
                <w:sz w:val="16"/>
                <w:szCs w:val="16"/>
              </w:rPr>
              <w:t>v tom</w:t>
            </w:r>
          </w:p>
        </w:tc>
      </w:tr>
      <w:tr w:rsidR="000A7585" w:rsidRPr="00AE6EDB" w:rsidTr="00DE0EEC">
        <w:trPr>
          <w:trHeight w:val="1125"/>
          <w:jc w:val="center"/>
        </w:trPr>
        <w:tc>
          <w:tcPr>
            <w:tcW w:w="2335" w:type="dxa"/>
            <w:vMerge/>
            <w:shd w:val="clear" w:color="auto" w:fill="FF9999" w:themeFill="accent3" w:themeFillTint="66"/>
            <w:vAlign w:val="center"/>
            <w:hideMark/>
          </w:tcPr>
          <w:p w:rsidR="000A7585" w:rsidRPr="00AE6EDB" w:rsidRDefault="000A7585" w:rsidP="00DE0EEC">
            <w:pPr>
              <w:jc w:val="center"/>
              <w:rPr>
                <w:b/>
                <w:bCs/>
                <w:sz w:val="16"/>
                <w:szCs w:val="16"/>
              </w:rPr>
            </w:pPr>
          </w:p>
        </w:tc>
        <w:tc>
          <w:tcPr>
            <w:tcW w:w="1134" w:type="dxa"/>
            <w:vMerge/>
            <w:shd w:val="clear" w:color="auto" w:fill="FF9999" w:themeFill="accent3" w:themeFillTint="66"/>
            <w:vAlign w:val="center"/>
            <w:hideMark/>
          </w:tcPr>
          <w:p w:rsidR="000A7585" w:rsidRPr="00AE6EDB" w:rsidRDefault="000A7585" w:rsidP="00DE0EEC">
            <w:pPr>
              <w:jc w:val="center"/>
              <w:rPr>
                <w:b/>
                <w:bCs/>
                <w:sz w:val="16"/>
                <w:szCs w:val="16"/>
              </w:rPr>
            </w:pPr>
          </w:p>
        </w:tc>
        <w:tc>
          <w:tcPr>
            <w:tcW w:w="992"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bežné výdavky</w:t>
            </w:r>
          </w:p>
        </w:tc>
        <w:tc>
          <w:tcPr>
            <w:tcW w:w="1134"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mzdové náklady</w:t>
            </w:r>
          </w:p>
        </w:tc>
        <w:tc>
          <w:tcPr>
            <w:tcW w:w="993"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povinné sociálne poistenie</w:t>
            </w:r>
          </w:p>
        </w:tc>
        <w:tc>
          <w:tcPr>
            <w:tcW w:w="992"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obstaranie majetku</w:t>
            </w:r>
          </w:p>
        </w:tc>
        <w:tc>
          <w:tcPr>
            <w:tcW w:w="850"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 xml:space="preserve">na </w:t>
            </w:r>
            <w:proofErr w:type="spellStart"/>
            <w:r w:rsidRPr="00AE6EDB">
              <w:rPr>
                <w:b/>
                <w:bCs/>
                <w:sz w:val="16"/>
                <w:szCs w:val="16"/>
              </w:rPr>
              <w:t>zdravot-nú</w:t>
            </w:r>
            <w:proofErr w:type="spellEnd"/>
            <w:r w:rsidRPr="00AE6EDB">
              <w:rPr>
                <w:b/>
                <w:bCs/>
                <w:sz w:val="16"/>
                <w:szCs w:val="16"/>
              </w:rPr>
              <w:t xml:space="preserve"> </w:t>
            </w:r>
            <w:proofErr w:type="spellStart"/>
            <w:r w:rsidRPr="00AE6EDB">
              <w:rPr>
                <w:b/>
                <w:bCs/>
                <w:sz w:val="16"/>
                <w:szCs w:val="16"/>
              </w:rPr>
              <w:t>starostli-vosť</w:t>
            </w:r>
            <w:proofErr w:type="spellEnd"/>
          </w:p>
        </w:tc>
        <w:tc>
          <w:tcPr>
            <w:tcW w:w="1164" w:type="dxa"/>
            <w:vMerge/>
            <w:shd w:val="clear" w:color="auto" w:fill="FF9999" w:themeFill="accent3" w:themeFillTint="66"/>
            <w:vAlign w:val="center"/>
            <w:hideMark/>
          </w:tcPr>
          <w:p w:rsidR="000A7585" w:rsidRPr="00AE6EDB" w:rsidRDefault="000A7585" w:rsidP="00DE0EEC">
            <w:pPr>
              <w:jc w:val="center"/>
              <w:rPr>
                <w:b/>
                <w:bCs/>
                <w:sz w:val="16"/>
                <w:szCs w:val="16"/>
              </w:rPr>
            </w:pPr>
          </w:p>
        </w:tc>
        <w:tc>
          <w:tcPr>
            <w:tcW w:w="1056"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bežné výdavky</w:t>
            </w:r>
          </w:p>
        </w:tc>
        <w:tc>
          <w:tcPr>
            <w:tcW w:w="1049"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mzdové náklady</w:t>
            </w:r>
          </w:p>
        </w:tc>
        <w:tc>
          <w:tcPr>
            <w:tcW w:w="984"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povinné sociálne poistenie</w:t>
            </w:r>
          </w:p>
        </w:tc>
        <w:tc>
          <w:tcPr>
            <w:tcW w:w="992"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obstaranie majetku</w:t>
            </w:r>
          </w:p>
        </w:tc>
        <w:tc>
          <w:tcPr>
            <w:tcW w:w="935" w:type="dxa"/>
            <w:shd w:val="clear" w:color="auto" w:fill="FF9999" w:themeFill="accent3" w:themeFillTint="66"/>
            <w:vAlign w:val="center"/>
            <w:hideMark/>
          </w:tcPr>
          <w:p w:rsidR="000A7585" w:rsidRPr="00AE6EDB" w:rsidRDefault="000A7585" w:rsidP="00DE0EEC">
            <w:pPr>
              <w:jc w:val="center"/>
              <w:rPr>
                <w:b/>
                <w:bCs/>
                <w:sz w:val="16"/>
                <w:szCs w:val="16"/>
              </w:rPr>
            </w:pPr>
            <w:r w:rsidRPr="00AE6EDB">
              <w:rPr>
                <w:b/>
                <w:bCs/>
                <w:sz w:val="16"/>
                <w:szCs w:val="16"/>
              </w:rPr>
              <w:t xml:space="preserve">na zdravotnú </w:t>
            </w:r>
            <w:proofErr w:type="spellStart"/>
            <w:r w:rsidRPr="00AE6EDB">
              <w:rPr>
                <w:b/>
                <w:bCs/>
                <w:sz w:val="16"/>
                <w:szCs w:val="16"/>
              </w:rPr>
              <w:t>starostli-vosť</w:t>
            </w:r>
            <w:proofErr w:type="spellEnd"/>
          </w:p>
        </w:tc>
      </w:tr>
      <w:tr w:rsidR="00C17A2D" w:rsidRPr="00AE6EDB" w:rsidTr="00C17A2D">
        <w:trPr>
          <w:trHeight w:val="240"/>
          <w:jc w:val="center"/>
        </w:trPr>
        <w:tc>
          <w:tcPr>
            <w:tcW w:w="2335" w:type="dxa"/>
            <w:noWrap/>
            <w:vAlign w:val="center"/>
            <w:hideMark/>
          </w:tcPr>
          <w:p w:rsidR="00C17A2D" w:rsidRPr="00AE6EDB" w:rsidRDefault="00C17A2D" w:rsidP="00DE0EEC">
            <w:pPr>
              <w:rPr>
                <w:b/>
                <w:bCs/>
                <w:sz w:val="16"/>
                <w:szCs w:val="16"/>
              </w:rPr>
            </w:pPr>
            <w:r w:rsidRPr="00AE6EDB">
              <w:rPr>
                <w:b/>
                <w:bCs/>
                <w:sz w:val="16"/>
                <w:szCs w:val="16"/>
              </w:rPr>
              <w:t>SPOLU</w:t>
            </w:r>
          </w:p>
        </w:tc>
        <w:tc>
          <w:tcPr>
            <w:tcW w:w="1134" w:type="dxa"/>
            <w:noWrap/>
            <w:vAlign w:val="bottom"/>
          </w:tcPr>
          <w:p w:rsidR="00C17A2D" w:rsidRPr="00AE6EDB" w:rsidRDefault="00C17A2D" w:rsidP="00DE0EEC">
            <w:pPr>
              <w:jc w:val="right"/>
              <w:rPr>
                <w:b/>
                <w:color w:val="000000"/>
                <w:sz w:val="16"/>
                <w:szCs w:val="16"/>
              </w:rPr>
            </w:pPr>
            <w:r w:rsidRPr="00AE6EDB">
              <w:rPr>
                <w:b/>
                <w:color w:val="000000"/>
                <w:sz w:val="16"/>
                <w:szCs w:val="16"/>
              </w:rPr>
              <w:t>31</w:t>
            </w:r>
            <w:r w:rsidR="0054295F">
              <w:rPr>
                <w:b/>
                <w:color w:val="000000"/>
                <w:sz w:val="16"/>
                <w:szCs w:val="16"/>
              </w:rPr>
              <w:t>2 7</w:t>
            </w:r>
            <w:r w:rsidRPr="00AE6EDB">
              <w:rPr>
                <w:b/>
                <w:color w:val="000000"/>
                <w:sz w:val="16"/>
                <w:szCs w:val="16"/>
              </w:rPr>
              <w:t>5</w:t>
            </w:r>
            <w:r w:rsidR="00AC44CB">
              <w:rPr>
                <w:b/>
                <w:color w:val="000000"/>
                <w:sz w:val="16"/>
                <w:szCs w:val="16"/>
              </w:rPr>
              <w:t>9 3</w:t>
            </w:r>
            <w:r w:rsidRPr="00AE6EDB">
              <w:rPr>
                <w:b/>
                <w:color w:val="000000"/>
                <w:sz w:val="16"/>
                <w:szCs w:val="16"/>
              </w:rPr>
              <w:t>44</w:t>
            </w:r>
          </w:p>
        </w:tc>
        <w:tc>
          <w:tcPr>
            <w:tcW w:w="992" w:type="dxa"/>
            <w:noWrap/>
            <w:vAlign w:val="bottom"/>
          </w:tcPr>
          <w:p w:rsidR="00C17A2D" w:rsidRPr="00AE6EDB" w:rsidRDefault="00C17A2D" w:rsidP="00DE0EEC">
            <w:pPr>
              <w:jc w:val="right"/>
              <w:rPr>
                <w:b/>
                <w:color w:val="000000"/>
                <w:sz w:val="16"/>
                <w:szCs w:val="16"/>
              </w:rPr>
            </w:pPr>
            <w:r w:rsidRPr="00AE6EDB">
              <w:rPr>
                <w:b/>
                <w:color w:val="000000"/>
                <w:sz w:val="16"/>
                <w:szCs w:val="16"/>
              </w:rPr>
              <w:t>11</w:t>
            </w:r>
            <w:r w:rsidR="00AC44CB">
              <w:rPr>
                <w:b/>
                <w:color w:val="000000"/>
                <w:sz w:val="16"/>
                <w:szCs w:val="16"/>
              </w:rPr>
              <w:t>5 4</w:t>
            </w:r>
            <w:r w:rsidRPr="00AE6EDB">
              <w:rPr>
                <w:b/>
                <w:color w:val="000000"/>
                <w:sz w:val="16"/>
                <w:szCs w:val="16"/>
              </w:rPr>
              <w:t>2</w:t>
            </w:r>
            <w:r w:rsidR="0054295F">
              <w:rPr>
                <w:b/>
                <w:color w:val="000000"/>
                <w:sz w:val="16"/>
                <w:szCs w:val="16"/>
              </w:rPr>
              <w:t>0 4</w:t>
            </w:r>
            <w:r w:rsidRPr="00AE6EDB">
              <w:rPr>
                <w:b/>
                <w:color w:val="000000"/>
                <w:sz w:val="16"/>
                <w:szCs w:val="16"/>
              </w:rPr>
              <w:t>32</w:t>
            </w:r>
          </w:p>
        </w:tc>
        <w:tc>
          <w:tcPr>
            <w:tcW w:w="1134" w:type="dxa"/>
            <w:noWrap/>
            <w:vAlign w:val="bottom"/>
          </w:tcPr>
          <w:p w:rsidR="00C17A2D" w:rsidRPr="00AE6EDB" w:rsidRDefault="00C17A2D" w:rsidP="00DE0EEC">
            <w:pPr>
              <w:jc w:val="right"/>
              <w:rPr>
                <w:b/>
                <w:color w:val="000000"/>
                <w:sz w:val="16"/>
                <w:szCs w:val="16"/>
              </w:rPr>
            </w:pPr>
            <w:r w:rsidRPr="00AE6EDB">
              <w:rPr>
                <w:b/>
                <w:color w:val="000000"/>
                <w:sz w:val="16"/>
                <w:szCs w:val="16"/>
              </w:rPr>
              <w:t>13</w:t>
            </w:r>
            <w:r w:rsidR="0054295F">
              <w:rPr>
                <w:b/>
                <w:color w:val="000000"/>
                <w:sz w:val="16"/>
                <w:szCs w:val="16"/>
              </w:rPr>
              <w:t>3 6</w:t>
            </w:r>
            <w:r w:rsidRPr="00AE6EDB">
              <w:rPr>
                <w:b/>
                <w:color w:val="000000"/>
                <w:sz w:val="16"/>
                <w:szCs w:val="16"/>
              </w:rPr>
              <w:t>0</w:t>
            </w:r>
            <w:r w:rsidR="00AC44CB">
              <w:rPr>
                <w:b/>
                <w:color w:val="000000"/>
                <w:sz w:val="16"/>
                <w:szCs w:val="16"/>
              </w:rPr>
              <w:t>5 1</w:t>
            </w:r>
            <w:r w:rsidRPr="00AE6EDB">
              <w:rPr>
                <w:b/>
                <w:color w:val="000000"/>
                <w:sz w:val="16"/>
                <w:szCs w:val="16"/>
              </w:rPr>
              <w:t>18</w:t>
            </w:r>
          </w:p>
        </w:tc>
        <w:tc>
          <w:tcPr>
            <w:tcW w:w="993" w:type="dxa"/>
            <w:noWrap/>
            <w:vAlign w:val="bottom"/>
          </w:tcPr>
          <w:p w:rsidR="00C17A2D" w:rsidRPr="00AE6EDB" w:rsidRDefault="00C17A2D" w:rsidP="00DE0EEC">
            <w:pPr>
              <w:jc w:val="right"/>
              <w:rPr>
                <w:b/>
                <w:color w:val="000000"/>
                <w:sz w:val="16"/>
                <w:szCs w:val="16"/>
              </w:rPr>
            </w:pPr>
            <w:r w:rsidRPr="00AE6EDB">
              <w:rPr>
                <w:b/>
                <w:color w:val="000000"/>
                <w:sz w:val="16"/>
                <w:szCs w:val="16"/>
              </w:rPr>
              <w:t>4</w:t>
            </w:r>
            <w:r w:rsidR="00AC44CB">
              <w:rPr>
                <w:b/>
                <w:color w:val="000000"/>
                <w:sz w:val="16"/>
                <w:szCs w:val="16"/>
              </w:rPr>
              <w:t>6 1</w:t>
            </w:r>
            <w:r w:rsidRPr="00AE6EDB">
              <w:rPr>
                <w:b/>
                <w:color w:val="000000"/>
                <w:sz w:val="16"/>
                <w:szCs w:val="16"/>
              </w:rPr>
              <w:t>8</w:t>
            </w:r>
            <w:r w:rsidR="00AC44CB">
              <w:rPr>
                <w:b/>
                <w:color w:val="000000"/>
                <w:sz w:val="16"/>
                <w:szCs w:val="16"/>
              </w:rPr>
              <w:t>9 7</w:t>
            </w:r>
            <w:r w:rsidRPr="00AE6EDB">
              <w:rPr>
                <w:b/>
                <w:color w:val="000000"/>
                <w:sz w:val="16"/>
                <w:szCs w:val="16"/>
              </w:rPr>
              <w:t>42</w:t>
            </w:r>
          </w:p>
        </w:tc>
        <w:tc>
          <w:tcPr>
            <w:tcW w:w="992" w:type="dxa"/>
            <w:noWrap/>
            <w:vAlign w:val="bottom"/>
          </w:tcPr>
          <w:p w:rsidR="00C17A2D" w:rsidRPr="00AE6EDB" w:rsidRDefault="00C17A2D" w:rsidP="00DE0EEC">
            <w:pPr>
              <w:jc w:val="right"/>
              <w:rPr>
                <w:b/>
                <w:color w:val="000000"/>
                <w:sz w:val="16"/>
                <w:szCs w:val="16"/>
              </w:rPr>
            </w:pPr>
            <w:r w:rsidRPr="00AE6EDB">
              <w:rPr>
                <w:b/>
                <w:color w:val="000000"/>
                <w:sz w:val="16"/>
                <w:szCs w:val="16"/>
              </w:rPr>
              <w:t>1</w:t>
            </w:r>
            <w:r w:rsidR="0054295F">
              <w:rPr>
                <w:b/>
                <w:color w:val="000000"/>
                <w:sz w:val="16"/>
                <w:szCs w:val="16"/>
              </w:rPr>
              <w:t>2 6</w:t>
            </w:r>
            <w:r w:rsidRPr="00AE6EDB">
              <w:rPr>
                <w:b/>
                <w:color w:val="000000"/>
                <w:sz w:val="16"/>
                <w:szCs w:val="16"/>
              </w:rPr>
              <w:t>9</w:t>
            </w:r>
            <w:r w:rsidR="0054295F">
              <w:rPr>
                <w:b/>
                <w:color w:val="000000"/>
                <w:sz w:val="16"/>
                <w:szCs w:val="16"/>
              </w:rPr>
              <w:t>0 0</w:t>
            </w:r>
            <w:r w:rsidRPr="00AE6EDB">
              <w:rPr>
                <w:b/>
                <w:color w:val="000000"/>
                <w:sz w:val="16"/>
                <w:szCs w:val="16"/>
              </w:rPr>
              <w:t>80</w:t>
            </w:r>
          </w:p>
        </w:tc>
        <w:tc>
          <w:tcPr>
            <w:tcW w:w="850" w:type="dxa"/>
            <w:noWrap/>
            <w:vAlign w:val="bottom"/>
          </w:tcPr>
          <w:p w:rsidR="00C17A2D" w:rsidRPr="00AE6EDB" w:rsidRDefault="00C17A2D" w:rsidP="00DE0EEC">
            <w:pPr>
              <w:jc w:val="right"/>
              <w:rPr>
                <w:b/>
                <w:color w:val="000000"/>
                <w:sz w:val="16"/>
                <w:szCs w:val="16"/>
              </w:rPr>
            </w:pPr>
            <w:r w:rsidRPr="00AE6EDB">
              <w:rPr>
                <w:b/>
                <w:color w:val="000000"/>
                <w:sz w:val="16"/>
                <w:szCs w:val="16"/>
              </w:rPr>
              <w:t>39</w:t>
            </w:r>
            <w:r w:rsidR="0054295F">
              <w:rPr>
                <w:b/>
                <w:color w:val="000000"/>
                <w:sz w:val="16"/>
                <w:szCs w:val="16"/>
              </w:rPr>
              <w:t>0 8</w:t>
            </w:r>
            <w:r w:rsidRPr="00AE6EDB">
              <w:rPr>
                <w:b/>
                <w:color w:val="000000"/>
                <w:sz w:val="16"/>
                <w:szCs w:val="16"/>
              </w:rPr>
              <w:t>05</w:t>
            </w:r>
          </w:p>
        </w:tc>
        <w:tc>
          <w:tcPr>
            <w:tcW w:w="1164"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340,787,046</w:t>
            </w:r>
          </w:p>
        </w:tc>
        <w:tc>
          <w:tcPr>
            <w:tcW w:w="1056"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124,772,441</w:t>
            </w:r>
          </w:p>
        </w:tc>
        <w:tc>
          <w:tcPr>
            <w:tcW w:w="1049"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148,217,804</w:t>
            </w:r>
          </w:p>
        </w:tc>
        <w:tc>
          <w:tcPr>
            <w:tcW w:w="984"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52,762,600</w:t>
            </w:r>
          </w:p>
        </w:tc>
        <w:tc>
          <w:tcPr>
            <w:tcW w:w="992"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10,029,212</w:t>
            </w:r>
          </w:p>
        </w:tc>
        <w:tc>
          <w:tcPr>
            <w:tcW w:w="935" w:type="dxa"/>
            <w:shd w:val="clear" w:color="auto" w:fill="auto"/>
            <w:noWrap/>
            <w:vAlign w:val="bottom"/>
          </w:tcPr>
          <w:p w:rsidR="00C17A2D" w:rsidRPr="00AE6EDB" w:rsidRDefault="00C17A2D" w:rsidP="00DE0EEC">
            <w:pPr>
              <w:jc w:val="right"/>
              <w:rPr>
                <w:b/>
                <w:color w:val="000000"/>
                <w:sz w:val="16"/>
                <w:szCs w:val="16"/>
              </w:rPr>
            </w:pPr>
            <w:r w:rsidRPr="00AE6EDB">
              <w:rPr>
                <w:b/>
                <w:color w:val="000000"/>
                <w:sz w:val="16"/>
                <w:szCs w:val="16"/>
              </w:rPr>
              <w:t>452,530</w:t>
            </w:r>
          </w:p>
        </w:tc>
      </w:tr>
      <w:tr w:rsidR="00C17A2D" w:rsidRPr="00AE6EDB" w:rsidTr="00C17A2D">
        <w:trPr>
          <w:trHeight w:val="193"/>
          <w:jc w:val="center"/>
        </w:trPr>
        <w:tc>
          <w:tcPr>
            <w:tcW w:w="2335" w:type="dxa"/>
            <w:vAlign w:val="center"/>
            <w:hideMark/>
          </w:tcPr>
          <w:p w:rsidR="00C17A2D" w:rsidRPr="00AE6EDB" w:rsidRDefault="00C17A2D" w:rsidP="00DE0EEC">
            <w:pPr>
              <w:jc w:val="left"/>
              <w:rPr>
                <w:sz w:val="16"/>
                <w:szCs w:val="16"/>
              </w:rPr>
            </w:pPr>
            <w:r w:rsidRPr="00AE6EDB">
              <w:rPr>
                <w:sz w:val="16"/>
                <w:szCs w:val="16"/>
              </w:rPr>
              <w:t>zariadenie pre seniorov</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10</w:t>
            </w:r>
            <w:r w:rsidR="0054295F">
              <w:rPr>
                <w:color w:val="000000"/>
                <w:sz w:val="16"/>
                <w:szCs w:val="16"/>
              </w:rPr>
              <w:t>1 6</w:t>
            </w:r>
            <w:r w:rsidRPr="00AE6EDB">
              <w:rPr>
                <w:color w:val="000000"/>
                <w:sz w:val="16"/>
                <w:szCs w:val="16"/>
              </w:rPr>
              <w:t>9</w:t>
            </w:r>
            <w:r w:rsidR="0054295F">
              <w:rPr>
                <w:color w:val="000000"/>
                <w:sz w:val="16"/>
                <w:szCs w:val="16"/>
              </w:rPr>
              <w:t>2 8</w:t>
            </w:r>
            <w:r w:rsidRPr="00AE6EDB">
              <w:rPr>
                <w:color w:val="000000"/>
                <w:sz w:val="16"/>
                <w:szCs w:val="16"/>
              </w:rPr>
              <w:t>80</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4</w:t>
            </w:r>
            <w:r w:rsidR="0054295F">
              <w:rPr>
                <w:color w:val="000000"/>
                <w:sz w:val="16"/>
                <w:szCs w:val="16"/>
              </w:rPr>
              <w:t>0 6</w:t>
            </w:r>
            <w:r w:rsidRPr="00AE6EDB">
              <w:rPr>
                <w:color w:val="000000"/>
                <w:sz w:val="16"/>
                <w:szCs w:val="16"/>
              </w:rPr>
              <w:t>5</w:t>
            </w:r>
            <w:r w:rsidR="00AC44CB">
              <w:rPr>
                <w:color w:val="000000"/>
                <w:sz w:val="16"/>
                <w:szCs w:val="16"/>
              </w:rPr>
              <w:t>6 9</w:t>
            </w:r>
            <w:r w:rsidRPr="00AE6EDB">
              <w:rPr>
                <w:color w:val="000000"/>
                <w:sz w:val="16"/>
                <w:szCs w:val="16"/>
              </w:rPr>
              <w:t>01</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3</w:t>
            </w:r>
            <w:r w:rsidR="00AC44CB">
              <w:rPr>
                <w:color w:val="000000"/>
                <w:sz w:val="16"/>
                <w:szCs w:val="16"/>
              </w:rPr>
              <w:t>9 3</w:t>
            </w:r>
            <w:r w:rsidRPr="00AE6EDB">
              <w:rPr>
                <w:color w:val="000000"/>
                <w:sz w:val="16"/>
                <w:szCs w:val="16"/>
              </w:rPr>
              <w:t>3</w:t>
            </w:r>
            <w:r w:rsidR="00AC44CB">
              <w:rPr>
                <w:color w:val="000000"/>
                <w:sz w:val="16"/>
                <w:szCs w:val="16"/>
              </w:rPr>
              <w:t>7 5</w:t>
            </w:r>
            <w:r w:rsidRPr="00AE6EDB">
              <w:rPr>
                <w:color w:val="000000"/>
                <w:sz w:val="16"/>
                <w:szCs w:val="16"/>
              </w:rPr>
              <w:t>08</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1</w:t>
            </w:r>
            <w:r w:rsidR="0054295F">
              <w:rPr>
                <w:color w:val="000000"/>
                <w:sz w:val="16"/>
                <w:szCs w:val="16"/>
              </w:rPr>
              <w:t>3 6</w:t>
            </w:r>
            <w:r w:rsidRPr="00AE6EDB">
              <w:rPr>
                <w:color w:val="000000"/>
                <w:sz w:val="16"/>
                <w:szCs w:val="16"/>
              </w:rPr>
              <w:t>2</w:t>
            </w:r>
            <w:r w:rsidR="0054295F">
              <w:rPr>
                <w:color w:val="000000"/>
                <w:sz w:val="16"/>
                <w:szCs w:val="16"/>
              </w:rPr>
              <w:t>2 9</w:t>
            </w:r>
            <w:r w:rsidRPr="00AE6EDB">
              <w:rPr>
                <w:color w:val="000000"/>
                <w:sz w:val="16"/>
                <w:szCs w:val="16"/>
              </w:rPr>
              <w:t>67</w:t>
            </w:r>
          </w:p>
        </w:tc>
        <w:tc>
          <w:tcPr>
            <w:tcW w:w="992" w:type="dxa"/>
            <w:vAlign w:val="bottom"/>
          </w:tcPr>
          <w:p w:rsidR="00C17A2D" w:rsidRPr="00AE6EDB" w:rsidRDefault="00AC44CB" w:rsidP="00DE0EEC">
            <w:pPr>
              <w:jc w:val="right"/>
              <w:rPr>
                <w:color w:val="000000"/>
                <w:sz w:val="16"/>
                <w:szCs w:val="16"/>
              </w:rPr>
            </w:pPr>
            <w:r>
              <w:rPr>
                <w:color w:val="000000"/>
                <w:sz w:val="16"/>
                <w:szCs w:val="16"/>
              </w:rPr>
              <w:t>7 2</w:t>
            </w:r>
            <w:r w:rsidR="00C17A2D" w:rsidRPr="00AE6EDB">
              <w:rPr>
                <w:color w:val="000000"/>
                <w:sz w:val="16"/>
                <w:szCs w:val="16"/>
              </w:rPr>
              <w:t>0</w:t>
            </w:r>
            <w:r>
              <w:rPr>
                <w:color w:val="000000"/>
                <w:sz w:val="16"/>
                <w:szCs w:val="16"/>
              </w:rPr>
              <w:t>7 0</w:t>
            </w:r>
            <w:r w:rsidR="00C17A2D" w:rsidRPr="00AE6EDB">
              <w:rPr>
                <w:color w:val="000000"/>
                <w:sz w:val="16"/>
                <w:szCs w:val="16"/>
              </w:rPr>
              <w:t>59</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17</w:t>
            </w:r>
            <w:r w:rsidR="0054295F">
              <w:rPr>
                <w:color w:val="000000"/>
                <w:sz w:val="16"/>
                <w:szCs w:val="16"/>
              </w:rPr>
              <w:t>2 8</w:t>
            </w:r>
            <w:r w:rsidRPr="00AE6EDB">
              <w:rPr>
                <w:color w:val="000000"/>
                <w:sz w:val="16"/>
                <w:szCs w:val="16"/>
              </w:rPr>
              <w:t>22</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113,755,139</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46,623,235</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45,479,135</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16,229,201</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3,944,821</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135,344</w:t>
            </w:r>
          </w:p>
        </w:tc>
      </w:tr>
      <w:tr w:rsidR="00C17A2D" w:rsidRPr="00AE6EDB" w:rsidTr="00C17A2D">
        <w:trPr>
          <w:trHeight w:val="561"/>
          <w:jc w:val="center"/>
        </w:trPr>
        <w:tc>
          <w:tcPr>
            <w:tcW w:w="2335" w:type="dxa"/>
            <w:vAlign w:val="center"/>
            <w:hideMark/>
          </w:tcPr>
          <w:p w:rsidR="00C17A2D" w:rsidRPr="00AE6EDB" w:rsidRDefault="00C17A2D" w:rsidP="00DE0EEC">
            <w:pPr>
              <w:jc w:val="left"/>
              <w:rPr>
                <w:sz w:val="16"/>
                <w:szCs w:val="16"/>
              </w:rPr>
            </w:pPr>
            <w:r w:rsidRPr="00AE6EDB">
              <w:rPr>
                <w:sz w:val="16"/>
                <w:szCs w:val="16"/>
              </w:rPr>
              <w:t>domovy sociálnych služieb (DSS) pre dospelých s telesným postihnutím</w:t>
            </w:r>
          </w:p>
        </w:tc>
        <w:tc>
          <w:tcPr>
            <w:tcW w:w="1134" w:type="dxa"/>
            <w:vAlign w:val="bottom"/>
          </w:tcPr>
          <w:p w:rsidR="00C17A2D" w:rsidRPr="00AE6EDB" w:rsidRDefault="00AC44CB" w:rsidP="00DE0EEC">
            <w:pPr>
              <w:jc w:val="right"/>
              <w:rPr>
                <w:color w:val="000000"/>
                <w:sz w:val="16"/>
                <w:szCs w:val="16"/>
              </w:rPr>
            </w:pPr>
            <w:r>
              <w:rPr>
                <w:color w:val="000000"/>
                <w:sz w:val="16"/>
                <w:szCs w:val="16"/>
              </w:rPr>
              <w:t>9 1</w:t>
            </w:r>
            <w:r w:rsidR="00C17A2D" w:rsidRPr="00AE6EDB">
              <w:rPr>
                <w:color w:val="000000"/>
                <w:sz w:val="16"/>
                <w:szCs w:val="16"/>
              </w:rPr>
              <w:t>3</w:t>
            </w:r>
            <w:r>
              <w:rPr>
                <w:color w:val="000000"/>
                <w:sz w:val="16"/>
                <w:szCs w:val="16"/>
              </w:rPr>
              <w:t>9 2</w:t>
            </w:r>
            <w:r w:rsidR="00C17A2D" w:rsidRPr="00AE6EDB">
              <w:rPr>
                <w:color w:val="000000"/>
                <w:sz w:val="16"/>
                <w:szCs w:val="16"/>
              </w:rPr>
              <w:t>44</w:t>
            </w:r>
          </w:p>
        </w:tc>
        <w:tc>
          <w:tcPr>
            <w:tcW w:w="992" w:type="dxa"/>
            <w:vAlign w:val="bottom"/>
          </w:tcPr>
          <w:p w:rsidR="00C17A2D" w:rsidRPr="00AE6EDB" w:rsidRDefault="0054295F" w:rsidP="00DE0EEC">
            <w:pPr>
              <w:jc w:val="right"/>
              <w:rPr>
                <w:color w:val="000000"/>
                <w:sz w:val="16"/>
                <w:szCs w:val="16"/>
              </w:rPr>
            </w:pPr>
            <w:r>
              <w:rPr>
                <w:color w:val="000000"/>
                <w:sz w:val="16"/>
                <w:szCs w:val="16"/>
              </w:rPr>
              <w:t>3 7</w:t>
            </w:r>
            <w:r w:rsidR="00C17A2D" w:rsidRPr="00AE6EDB">
              <w:rPr>
                <w:color w:val="000000"/>
                <w:sz w:val="16"/>
                <w:szCs w:val="16"/>
              </w:rPr>
              <w:t>0</w:t>
            </w:r>
            <w:r>
              <w:rPr>
                <w:color w:val="000000"/>
                <w:sz w:val="16"/>
                <w:szCs w:val="16"/>
              </w:rPr>
              <w:t>2 2</w:t>
            </w:r>
            <w:r w:rsidR="00C17A2D" w:rsidRPr="00AE6EDB">
              <w:rPr>
                <w:color w:val="000000"/>
                <w:sz w:val="16"/>
                <w:szCs w:val="16"/>
              </w:rPr>
              <w:t>09</w:t>
            </w:r>
          </w:p>
        </w:tc>
        <w:tc>
          <w:tcPr>
            <w:tcW w:w="1134" w:type="dxa"/>
            <w:vAlign w:val="bottom"/>
          </w:tcPr>
          <w:p w:rsidR="00C17A2D" w:rsidRPr="00AE6EDB" w:rsidRDefault="0054295F" w:rsidP="00DE0EEC">
            <w:pPr>
              <w:jc w:val="right"/>
              <w:rPr>
                <w:color w:val="000000"/>
                <w:sz w:val="16"/>
                <w:szCs w:val="16"/>
              </w:rPr>
            </w:pPr>
            <w:r>
              <w:rPr>
                <w:color w:val="000000"/>
                <w:sz w:val="16"/>
                <w:szCs w:val="16"/>
              </w:rPr>
              <w:t>3 8</w:t>
            </w:r>
            <w:r w:rsidR="00C17A2D" w:rsidRPr="00AE6EDB">
              <w:rPr>
                <w:color w:val="000000"/>
                <w:sz w:val="16"/>
                <w:szCs w:val="16"/>
              </w:rPr>
              <w:t>9</w:t>
            </w:r>
            <w:r>
              <w:rPr>
                <w:color w:val="000000"/>
                <w:sz w:val="16"/>
                <w:szCs w:val="16"/>
              </w:rPr>
              <w:t>2 6</w:t>
            </w:r>
            <w:r w:rsidR="00C17A2D" w:rsidRPr="00AE6EDB">
              <w:rPr>
                <w:color w:val="000000"/>
                <w:sz w:val="16"/>
                <w:szCs w:val="16"/>
              </w:rPr>
              <w:t>13</w:t>
            </w:r>
          </w:p>
        </w:tc>
        <w:tc>
          <w:tcPr>
            <w:tcW w:w="993" w:type="dxa"/>
            <w:vAlign w:val="bottom"/>
          </w:tcPr>
          <w:p w:rsidR="00C17A2D" w:rsidRPr="00AE6EDB" w:rsidRDefault="0054295F" w:rsidP="00DE0EEC">
            <w:pPr>
              <w:jc w:val="right"/>
              <w:rPr>
                <w:color w:val="000000"/>
                <w:sz w:val="16"/>
                <w:szCs w:val="16"/>
              </w:rPr>
            </w:pPr>
            <w:r>
              <w:rPr>
                <w:color w:val="000000"/>
                <w:sz w:val="16"/>
                <w:szCs w:val="16"/>
              </w:rPr>
              <w:t>1 3</w:t>
            </w:r>
            <w:r w:rsidR="00C17A2D" w:rsidRPr="00AE6EDB">
              <w:rPr>
                <w:color w:val="000000"/>
                <w:sz w:val="16"/>
                <w:szCs w:val="16"/>
              </w:rPr>
              <w:t>0</w:t>
            </w:r>
            <w:r w:rsidR="00AC44CB">
              <w:rPr>
                <w:color w:val="000000"/>
                <w:sz w:val="16"/>
                <w:szCs w:val="16"/>
              </w:rPr>
              <w:t>7 5</w:t>
            </w:r>
            <w:r w:rsidR="00C17A2D" w:rsidRPr="00AE6EDB">
              <w:rPr>
                <w:color w:val="000000"/>
                <w:sz w:val="16"/>
                <w:szCs w:val="16"/>
              </w:rPr>
              <w:t>16</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23</w:t>
            </w:r>
            <w:r w:rsidR="0054295F">
              <w:rPr>
                <w:color w:val="000000"/>
                <w:sz w:val="16"/>
                <w:szCs w:val="16"/>
              </w:rPr>
              <w:t>1 9</w:t>
            </w:r>
            <w:r w:rsidRPr="00AE6EDB">
              <w:rPr>
                <w:color w:val="000000"/>
                <w:sz w:val="16"/>
                <w:szCs w:val="16"/>
              </w:rPr>
              <w:t>27</w:t>
            </w:r>
          </w:p>
        </w:tc>
        <w:tc>
          <w:tcPr>
            <w:tcW w:w="850" w:type="dxa"/>
            <w:vAlign w:val="bottom"/>
          </w:tcPr>
          <w:p w:rsidR="00C17A2D" w:rsidRPr="00AE6EDB" w:rsidRDefault="0054295F" w:rsidP="00DE0EEC">
            <w:pPr>
              <w:jc w:val="right"/>
              <w:rPr>
                <w:color w:val="000000"/>
                <w:sz w:val="16"/>
                <w:szCs w:val="16"/>
              </w:rPr>
            </w:pPr>
            <w:r>
              <w:rPr>
                <w:color w:val="000000"/>
                <w:sz w:val="16"/>
                <w:szCs w:val="16"/>
              </w:rPr>
              <w:t>2 3</w:t>
            </w:r>
            <w:r w:rsidR="00C17A2D" w:rsidRPr="00AE6EDB">
              <w:rPr>
                <w:color w:val="000000"/>
                <w:sz w:val="16"/>
                <w:szCs w:val="16"/>
              </w:rPr>
              <w:t>95</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8,356,356</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3,179,855</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3,749,407</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1,274,234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59,349</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36,255</w:t>
            </w:r>
          </w:p>
        </w:tc>
      </w:tr>
      <w:tr w:rsidR="00C17A2D" w:rsidRPr="00AE6EDB" w:rsidTr="00C17A2D">
        <w:trPr>
          <w:trHeight w:val="413"/>
          <w:jc w:val="center"/>
        </w:trPr>
        <w:tc>
          <w:tcPr>
            <w:tcW w:w="2335" w:type="dxa"/>
            <w:vAlign w:val="center"/>
            <w:hideMark/>
          </w:tcPr>
          <w:p w:rsidR="00C17A2D" w:rsidRPr="00AE6EDB" w:rsidRDefault="00C17A2D" w:rsidP="00DE0EEC">
            <w:pPr>
              <w:jc w:val="left"/>
              <w:rPr>
                <w:sz w:val="16"/>
                <w:szCs w:val="16"/>
              </w:rPr>
            </w:pPr>
            <w:r w:rsidRPr="00AE6EDB">
              <w:rPr>
                <w:sz w:val="16"/>
                <w:szCs w:val="16"/>
              </w:rPr>
              <w:t>DSS pre dospelých s kombináciou postihnutí</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11</w:t>
            </w:r>
            <w:r w:rsidR="0054295F">
              <w:rPr>
                <w:color w:val="000000"/>
                <w:sz w:val="16"/>
                <w:szCs w:val="16"/>
              </w:rPr>
              <w:t>1 2</w:t>
            </w:r>
            <w:r w:rsidRPr="00AE6EDB">
              <w:rPr>
                <w:color w:val="000000"/>
                <w:sz w:val="16"/>
                <w:szCs w:val="16"/>
              </w:rPr>
              <w:t>3</w:t>
            </w:r>
            <w:r w:rsidR="0054295F">
              <w:rPr>
                <w:color w:val="000000"/>
                <w:sz w:val="16"/>
                <w:szCs w:val="16"/>
              </w:rPr>
              <w:t>3 1</w:t>
            </w:r>
            <w:r w:rsidRPr="00AE6EDB">
              <w:rPr>
                <w:color w:val="000000"/>
                <w:sz w:val="16"/>
                <w:szCs w:val="16"/>
              </w:rPr>
              <w:t>04</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4</w:t>
            </w:r>
            <w:r w:rsidR="0054295F">
              <w:rPr>
                <w:color w:val="000000"/>
                <w:sz w:val="16"/>
                <w:szCs w:val="16"/>
              </w:rPr>
              <w:t>0 3</w:t>
            </w:r>
            <w:r w:rsidRPr="00AE6EDB">
              <w:rPr>
                <w:color w:val="000000"/>
                <w:sz w:val="16"/>
                <w:szCs w:val="16"/>
              </w:rPr>
              <w:t>2</w:t>
            </w:r>
            <w:r w:rsidR="0054295F">
              <w:rPr>
                <w:color w:val="000000"/>
                <w:sz w:val="16"/>
                <w:szCs w:val="16"/>
              </w:rPr>
              <w:t>3 4</w:t>
            </w:r>
            <w:r w:rsidRPr="00AE6EDB">
              <w:rPr>
                <w:color w:val="000000"/>
                <w:sz w:val="16"/>
                <w:szCs w:val="16"/>
              </w:rPr>
              <w:t>72</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4</w:t>
            </w:r>
            <w:r w:rsidR="00AC44CB">
              <w:rPr>
                <w:color w:val="000000"/>
                <w:sz w:val="16"/>
                <w:szCs w:val="16"/>
              </w:rPr>
              <w:t>9 4</w:t>
            </w:r>
            <w:r w:rsidRPr="00AE6EDB">
              <w:rPr>
                <w:color w:val="000000"/>
                <w:sz w:val="16"/>
                <w:szCs w:val="16"/>
              </w:rPr>
              <w:t>9</w:t>
            </w:r>
            <w:r w:rsidR="00AC44CB">
              <w:rPr>
                <w:color w:val="000000"/>
                <w:sz w:val="16"/>
                <w:szCs w:val="16"/>
              </w:rPr>
              <w:t>7 7</w:t>
            </w:r>
            <w:r w:rsidRPr="00AE6EDB">
              <w:rPr>
                <w:color w:val="000000"/>
                <w:sz w:val="16"/>
                <w:szCs w:val="16"/>
              </w:rPr>
              <w:t>76</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1</w:t>
            </w:r>
            <w:r w:rsidR="00AC44CB">
              <w:rPr>
                <w:color w:val="000000"/>
                <w:sz w:val="16"/>
                <w:szCs w:val="16"/>
              </w:rPr>
              <w:t>7 1</w:t>
            </w:r>
            <w:r w:rsidRPr="00AE6EDB">
              <w:rPr>
                <w:color w:val="000000"/>
                <w:sz w:val="16"/>
                <w:szCs w:val="16"/>
              </w:rPr>
              <w:t>3</w:t>
            </w:r>
            <w:r w:rsidR="0054295F">
              <w:rPr>
                <w:color w:val="000000"/>
                <w:sz w:val="16"/>
                <w:szCs w:val="16"/>
              </w:rPr>
              <w:t>0 9</w:t>
            </w:r>
            <w:r w:rsidRPr="00AE6EDB">
              <w:rPr>
                <w:color w:val="000000"/>
                <w:sz w:val="16"/>
                <w:szCs w:val="16"/>
              </w:rPr>
              <w:t>78</w:t>
            </w:r>
          </w:p>
        </w:tc>
        <w:tc>
          <w:tcPr>
            <w:tcW w:w="992" w:type="dxa"/>
            <w:vAlign w:val="bottom"/>
          </w:tcPr>
          <w:p w:rsidR="00C17A2D" w:rsidRPr="00AE6EDB" w:rsidRDefault="0054295F" w:rsidP="00DE0EEC">
            <w:pPr>
              <w:jc w:val="right"/>
              <w:rPr>
                <w:color w:val="000000"/>
                <w:sz w:val="16"/>
                <w:szCs w:val="16"/>
              </w:rPr>
            </w:pPr>
            <w:r>
              <w:rPr>
                <w:color w:val="000000"/>
                <w:sz w:val="16"/>
                <w:szCs w:val="16"/>
              </w:rPr>
              <w:t>3 0</w:t>
            </w:r>
            <w:r w:rsidR="00C17A2D" w:rsidRPr="00AE6EDB">
              <w:rPr>
                <w:color w:val="000000"/>
                <w:sz w:val="16"/>
                <w:szCs w:val="16"/>
              </w:rPr>
              <w:t>3</w:t>
            </w:r>
            <w:r w:rsidR="00AC44CB">
              <w:rPr>
                <w:color w:val="000000"/>
                <w:sz w:val="16"/>
                <w:szCs w:val="16"/>
              </w:rPr>
              <w:t>5 6</w:t>
            </w:r>
            <w:r w:rsidR="00C17A2D" w:rsidRPr="00AE6EDB">
              <w:rPr>
                <w:color w:val="000000"/>
                <w:sz w:val="16"/>
                <w:szCs w:val="16"/>
              </w:rPr>
              <w:t>17</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11</w:t>
            </w:r>
            <w:r w:rsidR="00AC44CB">
              <w:rPr>
                <w:color w:val="000000"/>
                <w:sz w:val="16"/>
                <w:szCs w:val="16"/>
              </w:rPr>
              <w:t>9 2</w:t>
            </w:r>
            <w:r w:rsidRPr="00AE6EDB">
              <w:rPr>
                <w:color w:val="000000"/>
                <w:sz w:val="16"/>
                <w:szCs w:val="16"/>
              </w:rPr>
              <w:t>18</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115,340,526</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40,040,506</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51,415,267</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18,186,854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4,136,812</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168,284</w:t>
            </w:r>
          </w:p>
        </w:tc>
      </w:tr>
      <w:tr w:rsidR="00C17A2D" w:rsidRPr="00AE6EDB" w:rsidTr="00C17A2D">
        <w:trPr>
          <w:trHeight w:val="413"/>
          <w:jc w:val="center"/>
        </w:trPr>
        <w:tc>
          <w:tcPr>
            <w:tcW w:w="2335" w:type="dxa"/>
            <w:vAlign w:val="center"/>
          </w:tcPr>
          <w:p w:rsidR="00C17A2D" w:rsidRPr="00AE6EDB" w:rsidRDefault="00C17A2D" w:rsidP="00C17A2D">
            <w:pPr>
              <w:jc w:val="left"/>
              <w:rPr>
                <w:sz w:val="16"/>
                <w:szCs w:val="16"/>
              </w:rPr>
            </w:pPr>
            <w:r w:rsidRPr="00AE6EDB">
              <w:rPr>
                <w:sz w:val="16"/>
                <w:szCs w:val="16"/>
              </w:rPr>
              <w:t>DSS pre dospelých so zmyslovým postihnutím</w:t>
            </w:r>
          </w:p>
        </w:tc>
        <w:tc>
          <w:tcPr>
            <w:tcW w:w="1134" w:type="dxa"/>
            <w:vAlign w:val="bottom"/>
          </w:tcPr>
          <w:p w:rsidR="00C17A2D" w:rsidRPr="00AE6EDB" w:rsidRDefault="00C17A2D" w:rsidP="00DE0EEC">
            <w:pPr>
              <w:jc w:val="right"/>
              <w:rPr>
                <w:color w:val="000000"/>
                <w:sz w:val="16"/>
                <w:szCs w:val="16"/>
              </w:rPr>
            </w:pPr>
          </w:p>
        </w:tc>
        <w:tc>
          <w:tcPr>
            <w:tcW w:w="992" w:type="dxa"/>
            <w:vAlign w:val="bottom"/>
          </w:tcPr>
          <w:p w:rsidR="00C17A2D" w:rsidRPr="00AE6EDB" w:rsidRDefault="00C17A2D" w:rsidP="00DE0EEC">
            <w:pPr>
              <w:jc w:val="right"/>
              <w:rPr>
                <w:color w:val="000000"/>
                <w:sz w:val="16"/>
                <w:szCs w:val="16"/>
              </w:rPr>
            </w:pPr>
          </w:p>
        </w:tc>
        <w:tc>
          <w:tcPr>
            <w:tcW w:w="1134" w:type="dxa"/>
            <w:vAlign w:val="bottom"/>
          </w:tcPr>
          <w:p w:rsidR="00C17A2D" w:rsidRPr="00AE6EDB" w:rsidRDefault="00C17A2D" w:rsidP="00DE0EEC">
            <w:pPr>
              <w:jc w:val="right"/>
              <w:rPr>
                <w:color w:val="000000"/>
                <w:sz w:val="16"/>
                <w:szCs w:val="16"/>
              </w:rPr>
            </w:pPr>
          </w:p>
        </w:tc>
        <w:tc>
          <w:tcPr>
            <w:tcW w:w="993" w:type="dxa"/>
            <w:vAlign w:val="bottom"/>
          </w:tcPr>
          <w:p w:rsidR="00C17A2D" w:rsidRPr="00AE6EDB" w:rsidRDefault="00C17A2D" w:rsidP="00DE0EEC">
            <w:pPr>
              <w:jc w:val="right"/>
              <w:rPr>
                <w:color w:val="000000"/>
                <w:sz w:val="16"/>
                <w:szCs w:val="16"/>
              </w:rPr>
            </w:pPr>
          </w:p>
        </w:tc>
        <w:tc>
          <w:tcPr>
            <w:tcW w:w="992" w:type="dxa"/>
            <w:vAlign w:val="bottom"/>
          </w:tcPr>
          <w:p w:rsidR="00C17A2D" w:rsidRPr="00AE6EDB" w:rsidRDefault="00C17A2D" w:rsidP="00DE0EEC">
            <w:pPr>
              <w:jc w:val="right"/>
              <w:rPr>
                <w:color w:val="000000"/>
                <w:sz w:val="16"/>
                <w:szCs w:val="16"/>
              </w:rPr>
            </w:pPr>
          </w:p>
        </w:tc>
        <w:tc>
          <w:tcPr>
            <w:tcW w:w="850" w:type="dxa"/>
            <w:vAlign w:val="bottom"/>
          </w:tcPr>
          <w:p w:rsidR="00C17A2D" w:rsidRPr="00AE6EDB" w:rsidRDefault="00C17A2D" w:rsidP="00DE0EEC">
            <w:pPr>
              <w:jc w:val="right"/>
              <w:rPr>
                <w:color w:val="000000"/>
                <w:sz w:val="16"/>
                <w:szCs w:val="16"/>
              </w:rPr>
            </w:pP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91,584</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19,725</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41,794</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17,197</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7,194</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0</w:t>
            </w:r>
          </w:p>
        </w:tc>
      </w:tr>
      <w:tr w:rsidR="00C17A2D" w:rsidRPr="00AE6EDB" w:rsidTr="00C17A2D">
        <w:trPr>
          <w:trHeight w:val="428"/>
          <w:jc w:val="center"/>
        </w:trPr>
        <w:tc>
          <w:tcPr>
            <w:tcW w:w="2335" w:type="dxa"/>
            <w:vAlign w:val="center"/>
            <w:hideMark/>
          </w:tcPr>
          <w:p w:rsidR="00C17A2D" w:rsidRPr="00AE6EDB" w:rsidRDefault="00C17A2D" w:rsidP="00DE0EEC">
            <w:pPr>
              <w:jc w:val="left"/>
              <w:rPr>
                <w:sz w:val="16"/>
                <w:szCs w:val="16"/>
              </w:rPr>
            </w:pPr>
            <w:r w:rsidRPr="00AE6EDB">
              <w:rPr>
                <w:sz w:val="16"/>
                <w:szCs w:val="16"/>
              </w:rPr>
              <w:t>DSS pre dospelých s duševnými poruchami a poruchami správania</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3</w:t>
            </w:r>
            <w:r w:rsidR="0054295F">
              <w:rPr>
                <w:color w:val="000000"/>
                <w:sz w:val="16"/>
                <w:szCs w:val="16"/>
              </w:rPr>
              <w:t>4 0</w:t>
            </w:r>
            <w:r w:rsidRPr="00AE6EDB">
              <w:rPr>
                <w:color w:val="000000"/>
                <w:sz w:val="16"/>
                <w:szCs w:val="16"/>
              </w:rPr>
              <w:t>7</w:t>
            </w:r>
            <w:r w:rsidR="0054295F">
              <w:rPr>
                <w:color w:val="000000"/>
                <w:sz w:val="16"/>
                <w:szCs w:val="16"/>
              </w:rPr>
              <w:t>3 6</w:t>
            </w:r>
            <w:r w:rsidRPr="00AE6EDB">
              <w:rPr>
                <w:color w:val="000000"/>
                <w:sz w:val="16"/>
                <w:szCs w:val="16"/>
              </w:rPr>
              <w:t>84</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1</w:t>
            </w:r>
            <w:r w:rsidR="0054295F">
              <w:rPr>
                <w:color w:val="000000"/>
                <w:sz w:val="16"/>
                <w:szCs w:val="16"/>
              </w:rPr>
              <w:t>1 0</w:t>
            </w:r>
            <w:r w:rsidRPr="00AE6EDB">
              <w:rPr>
                <w:color w:val="000000"/>
                <w:sz w:val="16"/>
                <w:szCs w:val="16"/>
              </w:rPr>
              <w:t>4</w:t>
            </w:r>
            <w:r w:rsidR="0054295F">
              <w:rPr>
                <w:color w:val="000000"/>
                <w:sz w:val="16"/>
                <w:szCs w:val="16"/>
              </w:rPr>
              <w:t>2 7</w:t>
            </w:r>
            <w:r w:rsidRPr="00AE6EDB">
              <w:rPr>
                <w:color w:val="000000"/>
                <w:sz w:val="16"/>
                <w:szCs w:val="16"/>
              </w:rPr>
              <w:t>10</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w:t>
            </w:r>
            <w:r w:rsidR="00AC44CB">
              <w:rPr>
                <w:color w:val="000000"/>
                <w:sz w:val="16"/>
                <w:szCs w:val="16"/>
              </w:rPr>
              <w:t>5 6</w:t>
            </w:r>
            <w:r w:rsidRPr="00AE6EDB">
              <w:rPr>
                <w:color w:val="000000"/>
                <w:sz w:val="16"/>
                <w:szCs w:val="16"/>
              </w:rPr>
              <w:t>5</w:t>
            </w:r>
            <w:r w:rsidR="0054295F">
              <w:rPr>
                <w:color w:val="000000"/>
                <w:sz w:val="16"/>
                <w:szCs w:val="16"/>
              </w:rPr>
              <w:t>0 3</w:t>
            </w:r>
            <w:r w:rsidRPr="00AE6EDB">
              <w:rPr>
                <w:color w:val="000000"/>
                <w:sz w:val="16"/>
                <w:szCs w:val="16"/>
              </w:rPr>
              <w:t>80</w:t>
            </w:r>
          </w:p>
        </w:tc>
        <w:tc>
          <w:tcPr>
            <w:tcW w:w="993" w:type="dxa"/>
            <w:vAlign w:val="bottom"/>
          </w:tcPr>
          <w:p w:rsidR="00C17A2D" w:rsidRPr="00AE6EDB" w:rsidRDefault="00AC44CB" w:rsidP="00DE0EEC">
            <w:pPr>
              <w:jc w:val="right"/>
              <w:rPr>
                <w:color w:val="000000"/>
                <w:sz w:val="16"/>
                <w:szCs w:val="16"/>
              </w:rPr>
            </w:pPr>
            <w:r>
              <w:rPr>
                <w:color w:val="000000"/>
                <w:sz w:val="16"/>
                <w:szCs w:val="16"/>
              </w:rPr>
              <w:t>5 4</w:t>
            </w:r>
            <w:r w:rsidR="00C17A2D" w:rsidRPr="00AE6EDB">
              <w:rPr>
                <w:color w:val="000000"/>
                <w:sz w:val="16"/>
                <w:szCs w:val="16"/>
              </w:rPr>
              <w:t>5</w:t>
            </w:r>
            <w:r>
              <w:rPr>
                <w:color w:val="000000"/>
                <w:sz w:val="16"/>
                <w:szCs w:val="16"/>
              </w:rPr>
              <w:t>8 8</w:t>
            </w:r>
            <w:r w:rsidR="00C17A2D" w:rsidRPr="00AE6EDB">
              <w:rPr>
                <w:color w:val="000000"/>
                <w:sz w:val="16"/>
                <w:szCs w:val="16"/>
              </w:rPr>
              <w:t>17</w:t>
            </w:r>
          </w:p>
        </w:tc>
        <w:tc>
          <w:tcPr>
            <w:tcW w:w="992" w:type="dxa"/>
            <w:vAlign w:val="bottom"/>
          </w:tcPr>
          <w:p w:rsidR="00C17A2D" w:rsidRPr="00AE6EDB" w:rsidRDefault="0054295F" w:rsidP="00DE0EEC">
            <w:pPr>
              <w:jc w:val="right"/>
              <w:rPr>
                <w:color w:val="000000"/>
                <w:sz w:val="16"/>
                <w:szCs w:val="16"/>
              </w:rPr>
            </w:pPr>
            <w:r>
              <w:rPr>
                <w:color w:val="000000"/>
                <w:sz w:val="16"/>
                <w:szCs w:val="16"/>
              </w:rPr>
              <w:t>1 0</w:t>
            </w:r>
            <w:r w:rsidR="00C17A2D" w:rsidRPr="00AE6EDB">
              <w:rPr>
                <w:color w:val="000000"/>
                <w:sz w:val="16"/>
                <w:szCs w:val="16"/>
              </w:rPr>
              <w:t>7</w:t>
            </w:r>
            <w:r w:rsidR="00AC44CB">
              <w:rPr>
                <w:color w:val="000000"/>
                <w:sz w:val="16"/>
                <w:szCs w:val="16"/>
              </w:rPr>
              <w:t>9 2</w:t>
            </w:r>
            <w:r w:rsidR="00C17A2D" w:rsidRPr="00AE6EDB">
              <w:rPr>
                <w:color w:val="000000"/>
                <w:sz w:val="16"/>
                <w:szCs w:val="16"/>
              </w:rPr>
              <w:t>14</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4</w:t>
            </w:r>
            <w:r w:rsidR="00AC44CB">
              <w:rPr>
                <w:color w:val="000000"/>
                <w:sz w:val="16"/>
                <w:szCs w:val="16"/>
              </w:rPr>
              <w:t>7 2</w:t>
            </w:r>
            <w:r w:rsidRPr="00AE6EDB">
              <w:rPr>
                <w:color w:val="000000"/>
                <w:sz w:val="16"/>
                <w:szCs w:val="16"/>
              </w:rPr>
              <w:t>19</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33,347,846</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10,978,265</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15,438,192</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5,546,643</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559,260</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35,328</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špecializované zariadenie</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w:t>
            </w:r>
            <w:r w:rsidR="00AC44CB">
              <w:rPr>
                <w:color w:val="000000"/>
                <w:sz w:val="16"/>
                <w:szCs w:val="16"/>
              </w:rPr>
              <w:t>6 2</w:t>
            </w:r>
            <w:r w:rsidRPr="00AE6EDB">
              <w:rPr>
                <w:color w:val="000000"/>
                <w:sz w:val="16"/>
                <w:szCs w:val="16"/>
              </w:rPr>
              <w:t>6</w:t>
            </w:r>
            <w:r w:rsidR="0054295F">
              <w:rPr>
                <w:color w:val="000000"/>
                <w:sz w:val="16"/>
                <w:szCs w:val="16"/>
              </w:rPr>
              <w:t>3 0</w:t>
            </w:r>
            <w:r w:rsidRPr="00AE6EDB">
              <w:rPr>
                <w:color w:val="000000"/>
                <w:sz w:val="16"/>
                <w:szCs w:val="16"/>
              </w:rPr>
              <w:t>22</w:t>
            </w:r>
          </w:p>
        </w:tc>
        <w:tc>
          <w:tcPr>
            <w:tcW w:w="992" w:type="dxa"/>
            <w:vAlign w:val="bottom"/>
          </w:tcPr>
          <w:p w:rsidR="00C17A2D" w:rsidRPr="00AE6EDB" w:rsidRDefault="00AC44CB" w:rsidP="00DE0EEC">
            <w:pPr>
              <w:jc w:val="right"/>
              <w:rPr>
                <w:color w:val="000000"/>
                <w:sz w:val="16"/>
                <w:szCs w:val="16"/>
              </w:rPr>
            </w:pPr>
            <w:r>
              <w:rPr>
                <w:color w:val="000000"/>
                <w:sz w:val="16"/>
                <w:szCs w:val="16"/>
              </w:rPr>
              <w:t>5 7</w:t>
            </w:r>
            <w:r w:rsidR="00C17A2D" w:rsidRPr="00AE6EDB">
              <w:rPr>
                <w:color w:val="000000"/>
                <w:sz w:val="16"/>
                <w:szCs w:val="16"/>
              </w:rPr>
              <w:t>2</w:t>
            </w:r>
            <w:r>
              <w:rPr>
                <w:color w:val="000000"/>
                <w:sz w:val="16"/>
                <w:szCs w:val="16"/>
              </w:rPr>
              <w:t>8 8</w:t>
            </w:r>
            <w:r w:rsidR="00C17A2D" w:rsidRPr="00AE6EDB">
              <w:rPr>
                <w:color w:val="000000"/>
                <w:sz w:val="16"/>
                <w:szCs w:val="16"/>
              </w:rPr>
              <w:t>76</w:t>
            </w:r>
          </w:p>
        </w:tc>
        <w:tc>
          <w:tcPr>
            <w:tcW w:w="1134" w:type="dxa"/>
            <w:vAlign w:val="bottom"/>
          </w:tcPr>
          <w:p w:rsidR="00C17A2D" w:rsidRPr="00AE6EDB" w:rsidRDefault="00AC44CB" w:rsidP="00DE0EEC">
            <w:pPr>
              <w:jc w:val="right"/>
              <w:rPr>
                <w:color w:val="000000"/>
                <w:sz w:val="16"/>
                <w:szCs w:val="16"/>
              </w:rPr>
            </w:pPr>
            <w:r>
              <w:rPr>
                <w:color w:val="000000"/>
                <w:sz w:val="16"/>
                <w:szCs w:val="16"/>
              </w:rPr>
              <w:t>7 4</w:t>
            </w:r>
            <w:r w:rsidR="00C17A2D" w:rsidRPr="00AE6EDB">
              <w:rPr>
                <w:color w:val="000000"/>
                <w:sz w:val="16"/>
                <w:szCs w:val="16"/>
              </w:rPr>
              <w:t>4</w:t>
            </w:r>
            <w:r w:rsidR="0054295F">
              <w:rPr>
                <w:color w:val="000000"/>
                <w:sz w:val="16"/>
                <w:szCs w:val="16"/>
              </w:rPr>
              <w:t>3 8</w:t>
            </w:r>
            <w:r w:rsidR="00C17A2D" w:rsidRPr="00AE6EDB">
              <w:rPr>
                <w:color w:val="000000"/>
                <w:sz w:val="16"/>
                <w:szCs w:val="16"/>
              </w:rPr>
              <w:t>84</w:t>
            </w:r>
          </w:p>
        </w:tc>
        <w:tc>
          <w:tcPr>
            <w:tcW w:w="993" w:type="dxa"/>
            <w:vAlign w:val="bottom"/>
          </w:tcPr>
          <w:p w:rsidR="00C17A2D" w:rsidRPr="00AE6EDB" w:rsidRDefault="0054295F" w:rsidP="00DE0EEC">
            <w:pPr>
              <w:jc w:val="right"/>
              <w:rPr>
                <w:color w:val="000000"/>
                <w:sz w:val="16"/>
                <w:szCs w:val="16"/>
              </w:rPr>
            </w:pPr>
            <w:r>
              <w:rPr>
                <w:color w:val="000000"/>
                <w:sz w:val="16"/>
                <w:szCs w:val="16"/>
              </w:rPr>
              <w:t>2 5</w:t>
            </w:r>
            <w:r w:rsidR="00C17A2D" w:rsidRPr="00AE6EDB">
              <w:rPr>
                <w:color w:val="000000"/>
                <w:sz w:val="16"/>
                <w:szCs w:val="16"/>
              </w:rPr>
              <w:t>5</w:t>
            </w:r>
            <w:r w:rsidR="00AC44CB">
              <w:rPr>
                <w:color w:val="000000"/>
                <w:sz w:val="16"/>
                <w:szCs w:val="16"/>
              </w:rPr>
              <w:t>8 0</w:t>
            </w:r>
            <w:r w:rsidR="00C17A2D" w:rsidRPr="00AE6EDB">
              <w:rPr>
                <w:color w:val="000000"/>
                <w:sz w:val="16"/>
                <w:szCs w:val="16"/>
              </w:rPr>
              <w:t>42</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42</w:t>
            </w:r>
            <w:r w:rsidR="0054295F">
              <w:rPr>
                <w:color w:val="000000"/>
                <w:sz w:val="16"/>
                <w:szCs w:val="16"/>
              </w:rPr>
              <w:t>4 0</w:t>
            </w:r>
            <w:r w:rsidRPr="00AE6EDB">
              <w:rPr>
                <w:color w:val="000000"/>
                <w:sz w:val="16"/>
                <w:szCs w:val="16"/>
              </w:rPr>
              <w:t>14</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3</w:t>
            </w:r>
            <w:r w:rsidR="00AC44CB">
              <w:rPr>
                <w:color w:val="000000"/>
                <w:sz w:val="16"/>
                <w:szCs w:val="16"/>
              </w:rPr>
              <w:t>9 9</w:t>
            </w:r>
            <w:r w:rsidRPr="00AE6EDB">
              <w:rPr>
                <w:color w:val="000000"/>
                <w:sz w:val="16"/>
                <w:szCs w:val="16"/>
              </w:rPr>
              <w:t>44</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28,304,992</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9,185,039</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13,197,757</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4,690,639</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868,836</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62,874</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denný stacionár</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 </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2,723,595</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1,074,160</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1,123,665</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424,548</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31,988</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537</w:t>
            </w:r>
          </w:p>
        </w:tc>
      </w:tr>
      <w:tr w:rsidR="00C17A2D" w:rsidRPr="00AE6EDB" w:rsidTr="00C17A2D">
        <w:trPr>
          <w:trHeight w:val="435"/>
          <w:jc w:val="center"/>
        </w:trPr>
        <w:tc>
          <w:tcPr>
            <w:tcW w:w="2335" w:type="dxa"/>
            <w:vAlign w:val="center"/>
            <w:hideMark/>
          </w:tcPr>
          <w:p w:rsidR="00C17A2D" w:rsidRPr="00AE6EDB" w:rsidRDefault="00C17A2D" w:rsidP="00DE0EEC">
            <w:pPr>
              <w:jc w:val="left"/>
              <w:rPr>
                <w:sz w:val="16"/>
                <w:szCs w:val="16"/>
              </w:rPr>
            </w:pPr>
            <w:r w:rsidRPr="00AE6EDB">
              <w:rPr>
                <w:sz w:val="16"/>
                <w:szCs w:val="16"/>
              </w:rPr>
              <w:t>DSS pre deti s telesným postihnutím</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17</w:t>
            </w:r>
            <w:r w:rsidR="00AC44CB">
              <w:rPr>
                <w:color w:val="000000"/>
                <w:sz w:val="16"/>
                <w:szCs w:val="16"/>
              </w:rPr>
              <w:t>8 8</w:t>
            </w:r>
            <w:r w:rsidRPr="00AE6EDB">
              <w:rPr>
                <w:color w:val="000000"/>
                <w:sz w:val="16"/>
                <w:szCs w:val="16"/>
              </w:rPr>
              <w:t>72</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12</w:t>
            </w:r>
            <w:r w:rsidR="0054295F">
              <w:rPr>
                <w:color w:val="000000"/>
                <w:sz w:val="16"/>
                <w:szCs w:val="16"/>
              </w:rPr>
              <w:t>1 1</w:t>
            </w:r>
            <w:r w:rsidRPr="00AE6EDB">
              <w:rPr>
                <w:color w:val="000000"/>
                <w:sz w:val="16"/>
                <w:szCs w:val="16"/>
              </w:rPr>
              <w:t>89</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4</w:t>
            </w:r>
            <w:r w:rsidR="0054295F">
              <w:rPr>
                <w:color w:val="000000"/>
                <w:sz w:val="16"/>
                <w:szCs w:val="16"/>
              </w:rPr>
              <w:t>0 7</w:t>
            </w:r>
            <w:r w:rsidRPr="00AE6EDB">
              <w:rPr>
                <w:color w:val="000000"/>
                <w:sz w:val="16"/>
                <w:szCs w:val="16"/>
              </w:rPr>
              <w:t>40</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1</w:t>
            </w:r>
            <w:r w:rsidR="0054295F">
              <w:rPr>
                <w:color w:val="000000"/>
                <w:sz w:val="16"/>
                <w:szCs w:val="16"/>
              </w:rPr>
              <w:t>2 9</w:t>
            </w:r>
            <w:r w:rsidRPr="00AE6EDB">
              <w:rPr>
                <w:color w:val="000000"/>
                <w:sz w:val="16"/>
                <w:szCs w:val="16"/>
              </w:rPr>
              <w:t>70</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246,656</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89,928</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114,505</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39,374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2,754</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0</w:t>
            </w:r>
          </w:p>
        </w:tc>
      </w:tr>
      <w:tr w:rsidR="00C17A2D" w:rsidRPr="00AE6EDB" w:rsidTr="00C17A2D">
        <w:trPr>
          <w:trHeight w:val="680"/>
          <w:jc w:val="center"/>
        </w:trPr>
        <w:tc>
          <w:tcPr>
            <w:tcW w:w="2335" w:type="dxa"/>
            <w:vAlign w:val="center"/>
            <w:hideMark/>
          </w:tcPr>
          <w:p w:rsidR="00C17A2D" w:rsidRPr="00AE6EDB" w:rsidRDefault="00C17A2D" w:rsidP="00DE0EEC">
            <w:pPr>
              <w:jc w:val="left"/>
              <w:rPr>
                <w:sz w:val="16"/>
                <w:szCs w:val="16"/>
              </w:rPr>
            </w:pPr>
            <w:r w:rsidRPr="00AE6EDB">
              <w:rPr>
                <w:sz w:val="16"/>
                <w:szCs w:val="16"/>
              </w:rPr>
              <w:t>DSS pre deti s telesným postihnutím a duševnými poruchami a poruchami správania</w:t>
            </w:r>
          </w:p>
        </w:tc>
        <w:tc>
          <w:tcPr>
            <w:tcW w:w="1134" w:type="dxa"/>
            <w:vAlign w:val="bottom"/>
          </w:tcPr>
          <w:p w:rsidR="00C17A2D" w:rsidRPr="00AE6EDB" w:rsidRDefault="00AC44CB" w:rsidP="00DE0EEC">
            <w:pPr>
              <w:jc w:val="right"/>
              <w:rPr>
                <w:color w:val="000000"/>
                <w:sz w:val="16"/>
                <w:szCs w:val="16"/>
              </w:rPr>
            </w:pPr>
            <w:r>
              <w:rPr>
                <w:color w:val="000000"/>
                <w:sz w:val="16"/>
                <w:szCs w:val="16"/>
              </w:rPr>
              <w:t>9 5</w:t>
            </w:r>
            <w:r w:rsidR="00C17A2D" w:rsidRPr="00AE6EDB">
              <w:rPr>
                <w:color w:val="000000"/>
                <w:sz w:val="16"/>
                <w:szCs w:val="16"/>
              </w:rPr>
              <w:t>4</w:t>
            </w:r>
            <w:r>
              <w:rPr>
                <w:color w:val="000000"/>
                <w:sz w:val="16"/>
                <w:szCs w:val="16"/>
              </w:rPr>
              <w:t>9 0</w:t>
            </w:r>
            <w:r w:rsidR="00C17A2D" w:rsidRPr="00AE6EDB">
              <w:rPr>
                <w:color w:val="000000"/>
                <w:sz w:val="16"/>
                <w:szCs w:val="16"/>
              </w:rPr>
              <w:t>12</w:t>
            </w:r>
          </w:p>
        </w:tc>
        <w:tc>
          <w:tcPr>
            <w:tcW w:w="992" w:type="dxa"/>
            <w:vAlign w:val="bottom"/>
          </w:tcPr>
          <w:p w:rsidR="00C17A2D" w:rsidRPr="00AE6EDB" w:rsidRDefault="0054295F" w:rsidP="00DE0EEC">
            <w:pPr>
              <w:jc w:val="right"/>
              <w:rPr>
                <w:color w:val="000000"/>
                <w:sz w:val="16"/>
                <w:szCs w:val="16"/>
              </w:rPr>
            </w:pPr>
            <w:r>
              <w:rPr>
                <w:color w:val="000000"/>
                <w:sz w:val="16"/>
                <w:szCs w:val="16"/>
              </w:rPr>
              <w:t>2 7</w:t>
            </w:r>
            <w:r w:rsidR="00C17A2D" w:rsidRPr="00AE6EDB">
              <w:rPr>
                <w:color w:val="000000"/>
                <w:sz w:val="16"/>
                <w:szCs w:val="16"/>
              </w:rPr>
              <w:t>4</w:t>
            </w:r>
            <w:r w:rsidR="00AC44CB">
              <w:rPr>
                <w:color w:val="000000"/>
                <w:sz w:val="16"/>
                <w:szCs w:val="16"/>
              </w:rPr>
              <w:t>6 7</w:t>
            </w:r>
            <w:r w:rsidR="00C17A2D" w:rsidRPr="00AE6EDB">
              <w:rPr>
                <w:color w:val="000000"/>
                <w:sz w:val="16"/>
                <w:szCs w:val="16"/>
              </w:rPr>
              <w:t>51</w:t>
            </w:r>
          </w:p>
        </w:tc>
        <w:tc>
          <w:tcPr>
            <w:tcW w:w="1134" w:type="dxa"/>
            <w:vAlign w:val="bottom"/>
          </w:tcPr>
          <w:p w:rsidR="00C17A2D" w:rsidRPr="00AE6EDB" w:rsidRDefault="0054295F" w:rsidP="00DE0EEC">
            <w:pPr>
              <w:jc w:val="right"/>
              <w:rPr>
                <w:color w:val="000000"/>
                <w:sz w:val="16"/>
                <w:szCs w:val="16"/>
              </w:rPr>
            </w:pPr>
            <w:r>
              <w:rPr>
                <w:color w:val="000000"/>
                <w:sz w:val="16"/>
                <w:szCs w:val="16"/>
              </w:rPr>
              <w:t>4 7</w:t>
            </w:r>
            <w:r w:rsidR="00C17A2D" w:rsidRPr="00AE6EDB">
              <w:rPr>
                <w:color w:val="000000"/>
                <w:sz w:val="16"/>
                <w:szCs w:val="16"/>
              </w:rPr>
              <w:t>5</w:t>
            </w:r>
            <w:r w:rsidR="00AC44CB">
              <w:rPr>
                <w:color w:val="000000"/>
                <w:sz w:val="16"/>
                <w:szCs w:val="16"/>
              </w:rPr>
              <w:t>8 2</w:t>
            </w:r>
            <w:r w:rsidR="00C17A2D" w:rsidRPr="00AE6EDB">
              <w:rPr>
                <w:color w:val="000000"/>
                <w:sz w:val="16"/>
                <w:szCs w:val="16"/>
              </w:rPr>
              <w:t>76</w:t>
            </w:r>
          </w:p>
        </w:tc>
        <w:tc>
          <w:tcPr>
            <w:tcW w:w="993" w:type="dxa"/>
            <w:vAlign w:val="bottom"/>
          </w:tcPr>
          <w:p w:rsidR="00C17A2D" w:rsidRPr="00AE6EDB" w:rsidRDefault="0054295F" w:rsidP="00DE0EEC">
            <w:pPr>
              <w:jc w:val="right"/>
              <w:rPr>
                <w:color w:val="000000"/>
                <w:sz w:val="16"/>
                <w:szCs w:val="16"/>
              </w:rPr>
            </w:pPr>
            <w:r>
              <w:rPr>
                <w:color w:val="000000"/>
                <w:sz w:val="16"/>
                <w:szCs w:val="16"/>
              </w:rPr>
              <w:t>1 6</w:t>
            </w:r>
            <w:r w:rsidR="00C17A2D" w:rsidRPr="00AE6EDB">
              <w:rPr>
                <w:color w:val="000000"/>
                <w:sz w:val="16"/>
                <w:szCs w:val="16"/>
              </w:rPr>
              <w:t>4</w:t>
            </w:r>
            <w:r>
              <w:rPr>
                <w:color w:val="000000"/>
                <w:sz w:val="16"/>
                <w:szCs w:val="16"/>
              </w:rPr>
              <w:t>4 1</w:t>
            </w:r>
            <w:r w:rsidR="00C17A2D" w:rsidRPr="00AE6EDB">
              <w:rPr>
                <w:color w:val="000000"/>
                <w:sz w:val="16"/>
                <w:szCs w:val="16"/>
              </w:rPr>
              <w:t>72</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27</w:t>
            </w:r>
            <w:r w:rsidR="00AC44CB">
              <w:rPr>
                <w:color w:val="000000"/>
                <w:sz w:val="16"/>
                <w:szCs w:val="16"/>
              </w:rPr>
              <w:t>6 8</w:t>
            </w:r>
            <w:r w:rsidRPr="00AE6EDB">
              <w:rPr>
                <w:color w:val="000000"/>
                <w:sz w:val="16"/>
                <w:szCs w:val="16"/>
              </w:rPr>
              <w:t>79</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838</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8,142,181</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2,335,348</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4,171,940</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1,485,788</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114,703</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2,426</w:t>
            </w:r>
          </w:p>
        </w:tc>
      </w:tr>
      <w:tr w:rsidR="00C17A2D" w:rsidRPr="00AE6EDB" w:rsidTr="00C17A2D">
        <w:trPr>
          <w:trHeight w:val="523"/>
          <w:jc w:val="center"/>
        </w:trPr>
        <w:tc>
          <w:tcPr>
            <w:tcW w:w="2335" w:type="dxa"/>
            <w:vAlign w:val="center"/>
            <w:hideMark/>
          </w:tcPr>
          <w:p w:rsidR="00C17A2D" w:rsidRPr="00AE6EDB" w:rsidRDefault="00C17A2D" w:rsidP="00DE0EEC">
            <w:pPr>
              <w:jc w:val="left"/>
              <w:rPr>
                <w:sz w:val="16"/>
                <w:szCs w:val="16"/>
              </w:rPr>
            </w:pPr>
            <w:r w:rsidRPr="00AE6EDB">
              <w:rPr>
                <w:sz w:val="16"/>
                <w:szCs w:val="16"/>
              </w:rPr>
              <w:t>DSS pre deti s duševnými poruchami a poruchami správania</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92</w:t>
            </w:r>
            <w:r w:rsidR="00AC44CB">
              <w:rPr>
                <w:color w:val="000000"/>
                <w:sz w:val="16"/>
                <w:szCs w:val="16"/>
              </w:rPr>
              <w:t>7 8</w:t>
            </w:r>
            <w:r w:rsidRPr="00AE6EDB">
              <w:rPr>
                <w:color w:val="000000"/>
                <w:sz w:val="16"/>
                <w:szCs w:val="16"/>
              </w:rPr>
              <w:t>23</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23</w:t>
            </w:r>
            <w:r w:rsidR="0054295F">
              <w:rPr>
                <w:color w:val="000000"/>
                <w:sz w:val="16"/>
                <w:szCs w:val="16"/>
              </w:rPr>
              <w:t>3 2</w:t>
            </w:r>
            <w:r w:rsidRPr="00AE6EDB">
              <w:rPr>
                <w:color w:val="000000"/>
                <w:sz w:val="16"/>
                <w:szCs w:val="16"/>
              </w:rPr>
              <w:t>36</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45</w:t>
            </w:r>
            <w:r w:rsidR="00AC44CB">
              <w:rPr>
                <w:color w:val="000000"/>
                <w:sz w:val="16"/>
                <w:szCs w:val="16"/>
              </w:rPr>
              <w:t>5 3</w:t>
            </w:r>
            <w:r w:rsidRPr="00AE6EDB">
              <w:rPr>
                <w:color w:val="000000"/>
                <w:sz w:val="16"/>
                <w:szCs w:val="16"/>
              </w:rPr>
              <w:t>03</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15</w:t>
            </w:r>
            <w:r w:rsidR="00AC44CB">
              <w:rPr>
                <w:color w:val="000000"/>
                <w:sz w:val="16"/>
                <w:szCs w:val="16"/>
              </w:rPr>
              <w:t>9 1</w:t>
            </w:r>
            <w:r w:rsidRPr="00AE6EDB">
              <w:rPr>
                <w:color w:val="000000"/>
                <w:sz w:val="16"/>
                <w:szCs w:val="16"/>
              </w:rPr>
              <w:t>51</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7</w:t>
            </w:r>
            <w:r w:rsidR="00AC44CB">
              <w:rPr>
                <w:color w:val="000000"/>
                <w:sz w:val="16"/>
                <w:szCs w:val="16"/>
              </w:rPr>
              <w:t>5 3</w:t>
            </w:r>
            <w:r w:rsidRPr="00AE6EDB">
              <w:rPr>
                <w:color w:val="000000"/>
                <w:sz w:val="16"/>
                <w:szCs w:val="16"/>
              </w:rPr>
              <w:t>00</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557,911</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119,178</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318,174</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112,675</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7,168</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180</w:t>
            </w:r>
          </w:p>
        </w:tc>
      </w:tr>
      <w:tr w:rsidR="00C17A2D" w:rsidRPr="00AE6EDB" w:rsidTr="00C17A2D">
        <w:trPr>
          <w:trHeight w:val="419"/>
          <w:jc w:val="center"/>
        </w:trPr>
        <w:tc>
          <w:tcPr>
            <w:tcW w:w="2335" w:type="dxa"/>
            <w:vAlign w:val="center"/>
            <w:hideMark/>
          </w:tcPr>
          <w:p w:rsidR="00C17A2D" w:rsidRPr="00AE6EDB" w:rsidRDefault="00C17A2D" w:rsidP="00DE0EEC">
            <w:pPr>
              <w:jc w:val="left"/>
              <w:rPr>
                <w:sz w:val="16"/>
                <w:szCs w:val="16"/>
              </w:rPr>
            </w:pPr>
            <w:r w:rsidRPr="00AE6EDB">
              <w:rPr>
                <w:sz w:val="16"/>
                <w:szCs w:val="16"/>
              </w:rPr>
              <w:t>zariadenie dočasnej starostlivosti o deti</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36</w:t>
            </w:r>
            <w:r w:rsidR="00AC44CB">
              <w:rPr>
                <w:color w:val="000000"/>
                <w:sz w:val="16"/>
                <w:szCs w:val="16"/>
              </w:rPr>
              <w:t>6 3</w:t>
            </w:r>
            <w:r w:rsidRPr="00AE6EDB">
              <w:rPr>
                <w:color w:val="000000"/>
                <w:sz w:val="16"/>
                <w:szCs w:val="16"/>
              </w:rPr>
              <w:t>65</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11</w:t>
            </w:r>
            <w:r w:rsidR="0054295F">
              <w:rPr>
                <w:color w:val="000000"/>
                <w:sz w:val="16"/>
                <w:szCs w:val="16"/>
              </w:rPr>
              <w:t>4 6</w:t>
            </w:r>
            <w:r w:rsidRPr="00AE6EDB">
              <w:rPr>
                <w:color w:val="000000"/>
                <w:sz w:val="16"/>
                <w:szCs w:val="16"/>
              </w:rPr>
              <w:t>29</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10</w:t>
            </w:r>
            <w:r w:rsidR="0054295F">
              <w:rPr>
                <w:color w:val="000000"/>
                <w:sz w:val="16"/>
                <w:szCs w:val="16"/>
              </w:rPr>
              <w:t>3 2</w:t>
            </w:r>
            <w:r w:rsidRPr="00AE6EDB">
              <w:rPr>
                <w:color w:val="000000"/>
                <w:sz w:val="16"/>
                <w:szCs w:val="16"/>
              </w:rPr>
              <w:t>20</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3</w:t>
            </w:r>
            <w:r w:rsidR="00AC44CB">
              <w:rPr>
                <w:color w:val="000000"/>
                <w:sz w:val="16"/>
                <w:szCs w:val="16"/>
              </w:rPr>
              <w:t>6 3</w:t>
            </w:r>
            <w:r w:rsidRPr="00AE6EDB">
              <w:rPr>
                <w:color w:val="000000"/>
                <w:sz w:val="16"/>
                <w:szCs w:val="16"/>
              </w:rPr>
              <w:t>32</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21,750</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7,435</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9,670</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3,485</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0</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0</w:t>
            </w:r>
          </w:p>
        </w:tc>
      </w:tr>
      <w:tr w:rsidR="00C17A2D" w:rsidRPr="00AE6EDB" w:rsidTr="00C17A2D">
        <w:trPr>
          <w:trHeight w:val="398"/>
          <w:jc w:val="center"/>
        </w:trPr>
        <w:tc>
          <w:tcPr>
            <w:tcW w:w="2335" w:type="dxa"/>
            <w:vAlign w:val="center"/>
            <w:hideMark/>
          </w:tcPr>
          <w:p w:rsidR="00C17A2D" w:rsidRPr="00AE6EDB" w:rsidRDefault="00C17A2D" w:rsidP="00DE0EEC">
            <w:pPr>
              <w:jc w:val="left"/>
              <w:rPr>
                <w:sz w:val="16"/>
                <w:szCs w:val="16"/>
              </w:rPr>
            </w:pPr>
            <w:r w:rsidRPr="00AE6EDB">
              <w:rPr>
                <w:sz w:val="16"/>
                <w:szCs w:val="16"/>
              </w:rPr>
              <w:t>zariadenie podporovaného bývania</w:t>
            </w:r>
          </w:p>
        </w:tc>
        <w:tc>
          <w:tcPr>
            <w:tcW w:w="1134" w:type="dxa"/>
            <w:vAlign w:val="bottom"/>
          </w:tcPr>
          <w:p w:rsidR="00C17A2D" w:rsidRPr="00AE6EDB" w:rsidRDefault="0054295F" w:rsidP="00DE0EEC">
            <w:pPr>
              <w:jc w:val="right"/>
              <w:rPr>
                <w:color w:val="000000"/>
                <w:sz w:val="16"/>
                <w:szCs w:val="16"/>
              </w:rPr>
            </w:pPr>
            <w:r>
              <w:rPr>
                <w:color w:val="000000"/>
                <w:sz w:val="16"/>
                <w:szCs w:val="16"/>
              </w:rPr>
              <w:t>2 3</w:t>
            </w:r>
            <w:r w:rsidR="00C17A2D" w:rsidRPr="00AE6EDB">
              <w:rPr>
                <w:color w:val="000000"/>
                <w:sz w:val="16"/>
                <w:szCs w:val="16"/>
              </w:rPr>
              <w:t>8</w:t>
            </w:r>
            <w:r>
              <w:rPr>
                <w:color w:val="000000"/>
                <w:sz w:val="16"/>
                <w:szCs w:val="16"/>
              </w:rPr>
              <w:t>0 6</w:t>
            </w:r>
            <w:r w:rsidR="00C17A2D" w:rsidRPr="00AE6EDB">
              <w:rPr>
                <w:color w:val="000000"/>
                <w:sz w:val="16"/>
                <w:szCs w:val="16"/>
              </w:rPr>
              <w:t>54</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92</w:t>
            </w:r>
            <w:r w:rsidR="0054295F">
              <w:rPr>
                <w:color w:val="000000"/>
                <w:sz w:val="16"/>
                <w:szCs w:val="16"/>
              </w:rPr>
              <w:t>0 5</w:t>
            </w:r>
            <w:r w:rsidRPr="00AE6EDB">
              <w:rPr>
                <w:color w:val="000000"/>
                <w:sz w:val="16"/>
                <w:szCs w:val="16"/>
              </w:rPr>
              <w:t>11</w:t>
            </w:r>
          </w:p>
        </w:tc>
        <w:tc>
          <w:tcPr>
            <w:tcW w:w="1134" w:type="dxa"/>
            <w:vAlign w:val="bottom"/>
          </w:tcPr>
          <w:p w:rsidR="00C17A2D" w:rsidRPr="00AE6EDB" w:rsidRDefault="0054295F" w:rsidP="00DE0EEC">
            <w:pPr>
              <w:jc w:val="right"/>
              <w:rPr>
                <w:color w:val="000000"/>
                <w:sz w:val="16"/>
                <w:szCs w:val="16"/>
              </w:rPr>
            </w:pPr>
            <w:r>
              <w:rPr>
                <w:color w:val="000000"/>
                <w:sz w:val="16"/>
                <w:szCs w:val="16"/>
              </w:rPr>
              <w:t>1 0</w:t>
            </w:r>
            <w:r w:rsidR="00C17A2D" w:rsidRPr="00AE6EDB">
              <w:rPr>
                <w:color w:val="000000"/>
                <w:sz w:val="16"/>
                <w:szCs w:val="16"/>
              </w:rPr>
              <w:t>6</w:t>
            </w:r>
            <w:r w:rsidR="00AC44CB">
              <w:rPr>
                <w:color w:val="000000"/>
                <w:sz w:val="16"/>
                <w:szCs w:val="16"/>
              </w:rPr>
              <w:t>8 5</w:t>
            </w:r>
            <w:r w:rsidR="00C17A2D" w:rsidRPr="00AE6EDB">
              <w:rPr>
                <w:color w:val="000000"/>
                <w:sz w:val="16"/>
                <w:szCs w:val="16"/>
              </w:rPr>
              <w:t>09</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36</w:t>
            </w:r>
            <w:r w:rsidR="00AC44CB">
              <w:rPr>
                <w:color w:val="000000"/>
                <w:sz w:val="16"/>
                <w:szCs w:val="16"/>
              </w:rPr>
              <w:t>5 0</w:t>
            </w:r>
            <w:r w:rsidRPr="00AE6EDB">
              <w:rPr>
                <w:color w:val="000000"/>
                <w:sz w:val="16"/>
                <w:szCs w:val="16"/>
              </w:rPr>
              <w:t>70</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2</w:t>
            </w:r>
            <w:r w:rsidR="0054295F">
              <w:rPr>
                <w:color w:val="000000"/>
                <w:sz w:val="16"/>
                <w:szCs w:val="16"/>
              </w:rPr>
              <w:t>0 5</w:t>
            </w:r>
            <w:r w:rsidRPr="00AE6EDB">
              <w:rPr>
                <w:color w:val="000000"/>
                <w:sz w:val="16"/>
                <w:szCs w:val="16"/>
              </w:rPr>
              <w:t>49</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590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2,881,294</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1,133,251</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1,190,425</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447,667</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34,807</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84</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zariadenie núdzového bývania</w:t>
            </w:r>
          </w:p>
        </w:tc>
        <w:tc>
          <w:tcPr>
            <w:tcW w:w="1134" w:type="dxa"/>
            <w:vAlign w:val="bottom"/>
          </w:tcPr>
          <w:p w:rsidR="00C17A2D" w:rsidRPr="00AE6EDB" w:rsidRDefault="0054295F" w:rsidP="00DE0EEC">
            <w:pPr>
              <w:jc w:val="right"/>
              <w:rPr>
                <w:color w:val="000000"/>
                <w:sz w:val="16"/>
                <w:szCs w:val="16"/>
              </w:rPr>
            </w:pPr>
            <w:r>
              <w:rPr>
                <w:color w:val="000000"/>
                <w:sz w:val="16"/>
                <w:szCs w:val="16"/>
              </w:rPr>
              <w:t>4 1</w:t>
            </w:r>
            <w:r w:rsidR="00C17A2D" w:rsidRPr="00AE6EDB">
              <w:rPr>
                <w:color w:val="000000"/>
                <w:sz w:val="16"/>
                <w:szCs w:val="16"/>
              </w:rPr>
              <w:t>5</w:t>
            </w:r>
            <w:r>
              <w:rPr>
                <w:color w:val="000000"/>
                <w:sz w:val="16"/>
                <w:szCs w:val="16"/>
              </w:rPr>
              <w:t>3 8</w:t>
            </w:r>
            <w:r w:rsidR="00C17A2D" w:rsidRPr="00AE6EDB">
              <w:rPr>
                <w:color w:val="000000"/>
                <w:sz w:val="16"/>
                <w:szCs w:val="16"/>
              </w:rPr>
              <w:t>36</w:t>
            </w:r>
          </w:p>
        </w:tc>
        <w:tc>
          <w:tcPr>
            <w:tcW w:w="992" w:type="dxa"/>
            <w:vAlign w:val="bottom"/>
          </w:tcPr>
          <w:p w:rsidR="00C17A2D" w:rsidRPr="00AE6EDB" w:rsidRDefault="0054295F" w:rsidP="00DE0EEC">
            <w:pPr>
              <w:jc w:val="right"/>
              <w:rPr>
                <w:color w:val="000000"/>
                <w:sz w:val="16"/>
                <w:szCs w:val="16"/>
              </w:rPr>
            </w:pPr>
            <w:r>
              <w:rPr>
                <w:color w:val="000000"/>
                <w:sz w:val="16"/>
                <w:szCs w:val="16"/>
              </w:rPr>
              <w:t>1 2</w:t>
            </w:r>
            <w:r w:rsidR="00C17A2D" w:rsidRPr="00AE6EDB">
              <w:rPr>
                <w:color w:val="000000"/>
                <w:sz w:val="16"/>
                <w:szCs w:val="16"/>
              </w:rPr>
              <w:t>0</w:t>
            </w:r>
            <w:r w:rsidR="00AC44CB">
              <w:rPr>
                <w:color w:val="000000"/>
                <w:sz w:val="16"/>
                <w:szCs w:val="16"/>
              </w:rPr>
              <w:t>6 0</w:t>
            </w:r>
            <w:r w:rsidR="00C17A2D" w:rsidRPr="00AE6EDB">
              <w:rPr>
                <w:color w:val="000000"/>
                <w:sz w:val="16"/>
                <w:szCs w:val="16"/>
              </w:rPr>
              <w:t>28</w:t>
            </w:r>
          </w:p>
        </w:tc>
        <w:tc>
          <w:tcPr>
            <w:tcW w:w="1134" w:type="dxa"/>
            <w:vAlign w:val="bottom"/>
          </w:tcPr>
          <w:p w:rsidR="00C17A2D" w:rsidRPr="00AE6EDB" w:rsidRDefault="0054295F" w:rsidP="00DE0EEC">
            <w:pPr>
              <w:jc w:val="right"/>
              <w:rPr>
                <w:color w:val="000000"/>
                <w:sz w:val="16"/>
                <w:szCs w:val="16"/>
              </w:rPr>
            </w:pPr>
            <w:r>
              <w:rPr>
                <w:color w:val="000000"/>
                <w:sz w:val="16"/>
                <w:szCs w:val="16"/>
              </w:rPr>
              <w:t>1 1</w:t>
            </w:r>
            <w:r w:rsidR="00C17A2D" w:rsidRPr="00AE6EDB">
              <w:rPr>
                <w:color w:val="000000"/>
                <w:sz w:val="16"/>
                <w:szCs w:val="16"/>
              </w:rPr>
              <w:t>9</w:t>
            </w:r>
            <w:r>
              <w:rPr>
                <w:color w:val="000000"/>
                <w:sz w:val="16"/>
                <w:szCs w:val="16"/>
              </w:rPr>
              <w:t>0 1</w:t>
            </w:r>
            <w:r w:rsidR="00C17A2D" w:rsidRPr="00AE6EDB">
              <w:rPr>
                <w:color w:val="000000"/>
                <w:sz w:val="16"/>
                <w:szCs w:val="16"/>
              </w:rPr>
              <w:t>17</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40</w:t>
            </w:r>
            <w:r w:rsidR="00AC44CB">
              <w:rPr>
                <w:color w:val="000000"/>
                <w:sz w:val="16"/>
                <w:szCs w:val="16"/>
              </w:rPr>
              <w:t>8 9</w:t>
            </w:r>
            <w:r w:rsidRPr="00AE6EDB">
              <w:rPr>
                <w:color w:val="000000"/>
                <w:sz w:val="16"/>
                <w:szCs w:val="16"/>
              </w:rPr>
              <w:t>47</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3</w:t>
            </w:r>
            <w:r w:rsidR="0054295F">
              <w:rPr>
                <w:color w:val="000000"/>
                <w:sz w:val="16"/>
                <w:szCs w:val="16"/>
              </w:rPr>
              <w:t>1 0</w:t>
            </w:r>
            <w:r w:rsidRPr="00AE6EDB">
              <w:rPr>
                <w:color w:val="000000"/>
                <w:sz w:val="16"/>
                <w:szCs w:val="16"/>
              </w:rPr>
              <w:t>37</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201</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2,240,654</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885,782</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942,874</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361,364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13,227</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1,649</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útulky</w:t>
            </w:r>
          </w:p>
        </w:tc>
        <w:tc>
          <w:tcPr>
            <w:tcW w:w="1134" w:type="dxa"/>
            <w:vAlign w:val="bottom"/>
          </w:tcPr>
          <w:p w:rsidR="00C17A2D" w:rsidRPr="00AE6EDB" w:rsidRDefault="0054295F" w:rsidP="00DE0EEC">
            <w:pPr>
              <w:jc w:val="right"/>
              <w:rPr>
                <w:color w:val="000000"/>
                <w:sz w:val="16"/>
                <w:szCs w:val="16"/>
              </w:rPr>
            </w:pPr>
            <w:r>
              <w:rPr>
                <w:color w:val="000000"/>
                <w:sz w:val="16"/>
                <w:szCs w:val="16"/>
              </w:rPr>
              <w:t>4 0</w:t>
            </w:r>
            <w:r w:rsidR="00C17A2D" w:rsidRPr="00AE6EDB">
              <w:rPr>
                <w:color w:val="000000"/>
                <w:sz w:val="16"/>
                <w:szCs w:val="16"/>
              </w:rPr>
              <w:t>3</w:t>
            </w:r>
            <w:r>
              <w:rPr>
                <w:color w:val="000000"/>
                <w:sz w:val="16"/>
                <w:szCs w:val="16"/>
              </w:rPr>
              <w:t>3 6</w:t>
            </w:r>
            <w:r w:rsidR="00C17A2D" w:rsidRPr="00AE6EDB">
              <w:rPr>
                <w:color w:val="000000"/>
                <w:sz w:val="16"/>
                <w:szCs w:val="16"/>
              </w:rPr>
              <w:t>96</w:t>
            </w:r>
          </w:p>
        </w:tc>
        <w:tc>
          <w:tcPr>
            <w:tcW w:w="992" w:type="dxa"/>
            <w:vAlign w:val="bottom"/>
          </w:tcPr>
          <w:p w:rsidR="00C17A2D" w:rsidRPr="00AE6EDB" w:rsidRDefault="0054295F" w:rsidP="00DE0EEC">
            <w:pPr>
              <w:jc w:val="right"/>
              <w:rPr>
                <w:color w:val="000000"/>
                <w:sz w:val="16"/>
                <w:szCs w:val="16"/>
              </w:rPr>
            </w:pPr>
            <w:r>
              <w:rPr>
                <w:color w:val="000000"/>
                <w:sz w:val="16"/>
                <w:szCs w:val="16"/>
              </w:rPr>
              <w:t>1 7</w:t>
            </w:r>
            <w:r w:rsidR="00C17A2D" w:rsidRPr="00AE6EDB">
              <w:rPr>
                <w:color w:val="000000"/>
                <w:sz w:val="16"/>
                <w:szCs w:val="16"/>
              </w:rPr>
              <w:t>2</w:t>
            </w:r>
            <w:r>
              <w:rPr>
                <w:color w:val="000000"/>
                <w:sz w:val="16"/>
                <w:szCs w:val="16"/>
              </w:rPr>
              <w:t>1 2</w:t>
            </w:r>
            <w:r w:rsidR="00C17A2D" w:rsidRPr="00AE6EDB">
              <w:rPr>
                <w:color w:val="000000"/>
                <w:sz w:val="16"/>
                <w:szCs w:val="16"/>
              </w:rPr>
              <w:t>79</w:t>
            </w:r>
          </w:p>
        </w:tc>
        <w:tc>
          <w:tcPr>
            <w:tcW w:w="1134" w:type="dxa"/>
            <w:vAlign w:val="bottom"/>
          </w:tcPr>
          <w:p w:rsidR="00C17A2D" w:rsidRPr="00AE6EDB" w:rsidRDefault="0054295F" w:rsidP="00DE0EEC">
            <w:pPr>
              <w:jc w:val="right"/>
              <w:rPr>
                <w:color w:val="000000"/>
                <w:sz w:val="16"/>
                <w:szCs w:val="16"/>
              </w:rPr>
            </w:pPr>
            <w:r>
              <w:rPr>
                <w:color w:val="000000"/>
                <w:sz w:val="16"/>
                <w:szCs w:val="16"/>
              </w:rPr>
              <w:t>1 6</w:t>
            </w:r>
            <w:r w:rsidR="00C17A2D" w:rsidRPr="00AE6EDB">
              <w:rPr>
                <w:color w:val="000000"/>
                <w:sz w:val="16"/>
                <w:szCs w:val="16"/>
              </w:rPr>
              <w:t>5</w:t>
            </w:r>
            <w:r>
              <w:rPr>
                <w:color w:val="000000"/>
                <w:sz w:val="16"/>
                <w:szCs w:val="16"/>
              </w:rPr>
              <w:t>1 0</w:t>
            </w:r>
            <w:r w:rsidR="00C17A2D" w:rsidRPr="00AE6EDB">
              <w:rPr>
                <w:color w:val="000000"/>
                <w:sz w:val="16"/>
                <w:szCs w:val="16"/>
              </w:rPr>
              <w:t>13</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55</w:t>
            </w:r>
            <w:r w:rsidR="00AC44CB">
              <w:rPr>
                <w:color w:val="000000"/>
                <w:sz w:val="16"/>
                <w:szCs w:val="16"/>
              </w:rPr>
              <w:t>7 8</w:t>
            </w:r>
            <w:r w:rsidRPr="00AE6EDB">
              <w:rPr>
                <w:color w:val="000000"/>
                <w:sz w:val="16"/>
                <w:szCs w:val="16"/>
              </w:rPr>
              <w:t>21</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6</w:t>
            </w:r>
            <w:r w:rsidR="00AC44CB">
              <w:rPr>
                <w:color w:val="000000"/>
                <w:sz w:val="16"/>
                <w:szCs w:val="16"/>
              </w:rPr>
              <w:t>8 9</w:t>
            </w:r>
            <w:r w:rsidRPr="00AE6EDB">
              <w:rPr>
                <w:color w:val="000000"/>
                <w:sz w:val="16"/>
                <w:szCs w:val="16"/>
              </w:rPr>
              <w:t>32</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713</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4,484,270</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1,922,500</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1,759,058</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637,131</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67,804</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1,953</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rehabilitačné strediská</w:t>
            </w:r>
          </w:p>
        </w:tc>
        <w:tc>
          <w:tcPr>
            <w:tcW w:w="1134" w:type="dxa"/>
            <w:vAlign w:val="bottom"/>
          </w:tcPr>
          <w:p w:rsidR="00C17A2D" w:rsidRPr="00AE6EDB" w:rsidRDefault="0054295F" w:rsidP="00DE0EEC">
            <w:pPr>
              <w:jc w:val="right"/>
              <w:rPr>
                <w:color w:val="000000"/>
                <w:sz w:val="16"/>
                <w:szCs w:val="16"/>
              </w:rPr>
            </w:pPr>
            <w:r>
              <w:rPr>
                <w:color w:val="000000"/>
                <w:sz w:val="16"/>
                <w:szCs w:val="16"/>
              </w:rPr>
              <w:t>3 3</w:t>
            </w:r>
            <w:r w:rsidR="00C17A2D" w:rsidRPr="00AE6EDB">
              <w:rPr>
                <w:color w:val="000000"/>
                <w:sz w:val="16"/>
                <w:szCs w:val="16"/>
              </w:rPr>
              <w:t>1</w:t>
            </w:r>
            <w:r>
              <w:rPr>
                <w:color w:val="000000"/>
                <w:sz w:val="16"/>
                <w:szCs w:val="16"/>
              </w:rPr>
              <w:t>0 5</w:t>
            </w:r>
            <w:r w:rsidR="00C17A2D" w:rsidRPr="00AE6EDB">
              <w:rPr>
                <w:color w:val="000000"/>
                <w:sz w:val="16"/>
                <w:szCs w:val="16"/>
              </w:rPr>
              <w:t>61</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92</w:t>
            </w:r>
            <w:r w:rsidR="0054295F">
              <w:rPr>
                <w:color w:val="000000"/>
                <w:sz w:val="16"/>
                <w:szCs w:val="16"/>
              </w:rPr>
              <w:t>4 2</w:t>
            </w:r>
            <w:r w:rsidRPr="00AE6EDB">
              <w:rPr>
                <w:color w:val="000000"/>
                <w:sz w:val="16"/>
                <w:szCs w:val="16"/>
              </w:rPr>
              <w:t>79</w:t>
            </w:r>
          </w:p>
        </w:tc>
        <w:tc>
          <w:tcPr>
            <w:tcW w:w="1134" w:type="dxa"/>
            <w:vAlign w:val="bottom"/>
          </w:tcPr>
          <w:p w:rsidR="00C17A2D" w:rsidRPr="00AE6EDB" w:rsidRDefault="0054295F" w:rsidP="00DE0EEC">
            <w:pPr>
              <w:jc w:val="right"/>
              <w:rPr>
                <w:color w:val="000000"/>
                <w:sz w:val="16"/>
                <w:szCs w:val="16"/>
              </w:rPr>
            </w:pPr>
            <w:r>
              <w:rPr>
                <w:color w:val="000000"/>
                <w:sz w:val="16"/>
                <w:szCs w:val="16"/>
              </w:rPr>
              <w:t>1 7</w:t>
            </w:r>
            <w:r w:rsidR="00C17A2D" w:rsidRPr="00AE6EDB">
              <w:rPr>
                <w:color w:val="000000"/>
                <w:sz w:val="16"/>
                <w:szCs w:val="16"/>
              </w:rPr>
              <w:t>5</w:t>
            </w:r>
            <w:r w:rsidR="00AC44CB">
              <w:rPr>
                <w:color w:val="000000"/>
                <w:sz w:val="16"/>
                <w:szCs w:val="16"/>
              </w:rPr>
              <w:t>7 6</w:t>
            </w:r>
            <w:r w:rsidR="00C17A2D" w:rsidRPr="00AE6EDB">
              <w:rPr>
                <w:color w:val="000000"/>
                <w:sz w:val="16"/>
                <w:szCs w:val="16"/>
              </w:rPr>
              <w:t>61</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60</w:t>
            </w:r>
            <w:r w:rsidR="00AC44CB">
              <w:rPr>
                <w:color w:val="000000"/>
                <w:sz w:val="16"/>
                <w:szCs w:val="16"/>
              </w:rPr>
              <w:t>6 0</w:t>
            </w:r>
            <w:r w:rsidRPr="00AE6EDB">
              <w:rPr>
                <w:color w:val="000000"/>
                <w:sz w:val="16"/>
                <w:szCs w:val="16"/>
              </w:rPr>
              <w:t>04</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1</w:t>
            </w:r>
            <w:r w:rsidR="00AC44CB">
              <w:rPr>
                <w:color w:val="000000"/>
                <w:sz w:val="16"/>
                <w:szCs w:val="16"/>
              </w:rPr>
              <w:t>5 2</w:t>
            </w:r>
            <w:r w:rsidRPr="00AE6EDB">
              <w:rPr>
                <w:color w:val="000000"/>
                <w:sz w:val="16"/>
                <w:szCs w:val="16"/>
              </w:rPr>
              <w:t>33</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3,733,579</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1,146,053</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1,867,955</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659,744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16,207</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0</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zariadenia opatrovateľskej služby</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1</w:t>
            </w:r>
            <w:r w:rsidR="0054295F">
              <w:rPr>
                <w:color w:val="000000"/>
                <w:sz w:val="16"/>
                <w:szCs w:val="16"/>
              </w:rPr>
              <w:t>3 4</w:t>
            </w:r>
            <w:r w:rsidRPr="00AE6EDB">
              <w:rPr>
                <w:color w:val="000000"/>
                <w:sz w:val="16"/>
                <w:szCs w:val="16"/>
              </w:rPr>
              <w:t>2</w:t>
            </w:r>
            <w:r w:rsidR="0054295F">
              <w:rPr>
                <w:color w:val="000000"/>
                <w:sz w:val="16"/>
                <w:szCs w:val="16"/>
              </w:rPr>
              <w:t>4 4</w:t>
            </w:r>
            <w:r w:rsidRPr="00AE6EDB">
              <w:rPr>
                <w:color w:val="000000"/>
                <w:sz w:val="16"/>
                <w:szCs w:val="16"/>
              </w:rPr>
              <w:t>94</w:t>
            </w:r>
          </w:p>
        </w:tc>
        <w:tc>
          <w:tcPr>
            <w:tcW w:w="992" w:type="dxa"/>
            <w:vAlign w:val="bottom"/>
          </w:tcPr>
          <w:p w:rsidR="00C17A2D" w:rsidRPr="00AE6EDB" w:rsidRDefault="00AC44CB" w:rsidP="00DE0EEC">
            <w:pPr>
              <w:jc w:val="right"/>
              <w:rPr>
                <w:color w:val="000000"/>
                <w:sz w:val="16"/>
                <w:szCs w:val="16"/>
              </w:rPr>
            </w:pPr>
            <w:r>
              <w:rPr>
                <w:color w:val="000000"/>
                <w:sz w:val="16"/>
                <w:szCs w:val="16"/>
              </w:rPr>
              <w:t>5 0</w:t>
            </w:r>
            <w:r w:rsidR="00C17A2D" w:rsidRPr="00AE6EDB">
              <w:rPr>
                <w:color w:val="000000"/>
                <w:sz w:val="16"/>
                <w:szCs w:val="16"/>
              </w:rPr>
              <w:t>8</w:t>
            </w:r>
            <w:r>
              <w:rPr>
                <w:color w:val="000000"/>
                <w:sz w:val="16"/>
                <w:szCs w:val="16"/>
              </w:rPr>
              <w:t>8 1</w:t>
            </w:r>
            <w:r w:rsidR="00C17A2D" w:rsidRPr="00AE6EDB">
              <w:rPr>
                <w:color w:val="000000"/>
                <w:sz w:val="16"/>
                <w:szCs w:val="16"/>
              </w:rPr>
              <w:t>17</w:t>
            </w:r>
          </w:p>
        </w:tc>
        <w:tc>
          <w:tcPr>
            <w:tcW w:w="1134" w:type="dxa"/>
            <w:vAlign w:val="bottom"/>
          </w:tcPr>
          <w:p w:rsidR="00C17A2D" w:rsidRPr="00AE6EDB" w:rsidRDefault="00AC44CB" w:rsidP="00DE0EEC">
            <w:pPr>
              <w:jc w:val="right"/>
              <w:rPr>
                <w:color w:val="000000"/>
                <w:sz w:val="16"/>
                <w:szCs w:val="16"/>
              </w:rPr>
            </w:pPr>
            <w:r>
              <w:rPr>
                <w:color w:val="000000"/>
                <w:sz w:val="16"/>
                <w:szCs w:val="16"/>
              </w:rPr>
              <w:t>5 9</w:t>
            </w:r>
            <w:r w:rsidR="00C17A2D" w:rsidRPr="00AE6EDB">
              <w:rPr>
                <w:color w:val="000000"/>
                <w:sz w:val="16"/>
                <w:szCs w:val="16"/>
              </w:rPr>
              <w:t>4</w:t>
            </w:r>
            <w:r>
              <w:rPr>
                <w:color w:val="000000"/>
                <w:sz w:val="16"/>
                <w:szCs w:val="16"/>
              </w:rPr>
              <w:t>8 3</w:t>
            </w:r>
            <w:r w:rsidR="00C17A2D" w:rsidRPr="00AE6EDB">
              <w:rPr>
                <w:color w:val="000000"/>
                <w:sz w:val="16"/>
                <w:szCs w:val="16"/>
              </w:rPr>
              <w:t>47</w:t>
            </w:r>
          </w:p>
        </w:tc>
        <w:tc>
          <w:tcPr>
            <w:tcW w:w="993" w:type="dxa"/>
            <w:vAlign w:val="bottom"/>
          </w:tcPr>
          <w:p w:rsidR="00C17A2D" w:rsidRPr="00AE6EDB" w:rsidRDefault="0054295F" w:rsidP="00DE0EEC">
            <w:pPr>
              <w:jc w:val="right"/>
              <w:rPr>
                <w:color w:val="000000"/>
                <w:sz w:val="16"/>
                <w:szCs w:val="16"/>
              </w:rPr>
            </w:pPr>
            <w:r>
              <w:rPr>
                <w:color w:val="000000"/>
                <w:sz w:val="16"/>
                <w:szCs w:val="16"/>
              </w:rPr>
              <w:t>2 0</w:t>
            </w:r>
            <w:r w:rsidR="00C17A2D" w:rsidRPr="00AE6EDB">
              <w:rPr>
                <w:color w:val="000000"/>
                <w:sz w:val="16"/>
                <w:szCs w:val="16"/>
              </w:rPr>
              <w:t>4</w:t>
            </w:r>
            <w:r w:rsidR="00AC44CB">
              <w:rPr>
                <w:color w:val="000000"/>
                <w:sz w:val="16"/>
                <w:szCs w:val="16"/>
              </w:rPr>
              <w:t>9 1</w:t>
            </w:r>
            <w:r w:rsidR="00C17A2D" w:rsidRPr="00AE6EDB">
              <w:rPr>
                <w:color w:val="000000"/>
                <w:sz w:val="16"/>
                <w:szCs w:val="16"/>
              </w:rPr>
              <w:t>93</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18</w:t>
            </w:r>
            <w:r w:rsidR="0054295F">
              <w:rPr>
                <w:color w:val="000000"/>
                <w:sz w:val="16"/>
                <w:szCs w:val="16"/>
              </w:rPr>
              <w:t>4 6</w:t>
            </w:r>
            <w:r w:rsidRPr="00AE6EDB">
              <w:rPr>
                <w:color w:val="000000"/>
                <w:sz w:val="16"/>
                <w:szCs w:val="16"/>
              </w:rPr>
              <w:t>36</w:t>
            </w:r>
          </w:p>
        </w:tc>
        <w:tc>
          <w:tcPr>
            <w:tcW w:w="850" w:type="dxa"/>
            <w:vAlign w:val="bottom"/>
          </w:tcPr>
          <w:p w:rsidR="00C17A2D" w:rsidRPr="00AE6EDB" w:rsidRDefault="00AC44CB" w:rsidP="00DE0EEC">
            <w:pPr>
              <w:jc w:val="right"/>
              <w:rPr>
                <w:color w:val="000000"/>
                <w:sz w:val="16"/>
                <w:szCs w:val="16"/>
              </w:rPr>
            </w:pPr>
            <w:r>
              <w:rPr>
                <w:color w:val="000000"/>
                <w:sz w:val="16"/>
                <w:szCs w:val="16"/>
              </w:rPr>
              <w:t>6 2</w:t>
            </w:r>
            <w:r w:rsidR="00C17A2D" w:rsidRPr="00AE6EDB">
              <w:rPr>
                <w:color w:val="000000"/>
                <w:sz w:val="16"/>
                <w:szCs w:val="16"/>
              </w:rPr>
              <w:t>15</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14,457,035</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5,188,581</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6,559,629</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2,345,374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113,769</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6,369</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nocľaháreň</w:t>
            </w:r>
          </w:p>
        </w:tc>
        <w:tc>
          <w:tcPr>
            <w:tcW w:w="1134" w:type="dxa"/>
            <w:vAlign w:val="bottom"/>
          </w:tcPr>
          <w:p w:rsidR="00C17A2D" w:rsidRPr="00AE6EDB" w:rsidRDefault="0054295F" w:rsidP="00DE0EEC">
            <w:pPr>
              <w:jc w:val="right"/>
              <w:rPr>
                <w:color w:val="000000"/>
                <w:sz w:val="16"/>
                <w:szCs w:val="16"/>
              </w:rPr>
            </w:pPr>
            <w:r>
              <w:rPr>
                <w:color w:val="000000"/>
                <w:sz w:val="16"/>
                <w:szCs w:val="16"/>
              </w:rPr>
              <w:t>1 3</w:t>
            </w:r>
            <w:r w:rsidR="00C17A2D" w:rsidRPr="00AE6EDB">
              <w:rPr>
                <w:color w:val="000000"/>
                <w:sz w:val="16"/>
                <w:szCs w:val="16"/>
              </w:rPr>
              <w:t>8</w:t>
            </w:r>
            <w:r w:rsidR="00AC44CB">
              <w:rPr>
                <w:color w:val="000000"/>
                <w:sz w:val="16"/>
                <w:szCs w:val="16"/>
              </w:rPr>
              <w:t>5 5</w:t>
            </w:r>
            <w:r w:rsidR="00C17A2D" w:rsidRPr="00AE6EDB">
              <w:rPr>
                <w:color w:val="000000"/>
                <w:sz w:val="16"/>
                <w:szCs w:val="16"/>
              </w:rPr>
              <w:t>45</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60</w:t>
            </w:r>
            <w:r w:rsidR="00AC44CB">
              <w:rPr>
                <w:color w:val="000000"/>
                <w:sz w:val="16"/>
                <w:szCs w:val="16"/>
              </w:rPr>
              <w:t>6 3</w:t>
            </w:r>
            <w:r w:rsidRPr="00AE6EDB">
              <w:rPr>
                <w:color w:val="000000"/>
                <w:sz w:val="16"/>
                <w:szCs w:val="16"/>
              </w:rPr>
              <w:t>79</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55</w:t>
            </w:r>
            <w:r w:rsidR="0054295F">
              <w:rPr>
                <w:color w:val="000000"/>
                <w:sz w:val="16"/>
                <w:szCs w:val="16"/>
              </w:rPr>
              <w:t>4 3</w:t>
            </w:r>
            <w:r w:rsidRPr="00AE6EDB">
              <w:rPr>
                <w:color w:val="000000"/>
                <w:sz w:val="16"/>
                <w:szCs w:val="16"/>
              </w:rPr>
              <w:t>31</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18</w:t>
            </w:r>
            <w:r w:rsidR="00AC44CB">
              <w:rPr>
                <w:color w:val="000000"/>
                <w:sz w:val="16"/>
                <w:szCs w:val="16"/>
              </w:rPr>
              <w:t>5 2</w:t>
            </w:r>
            <w:r w:rsidRPr="00AE6EDB">
              <w:rPr>
                <w:color w:val="000000"/>
                <w:sz w:val="16"/>
                <w:szCs w:val="16"/>
              </w:rPr>
              <w:t>91</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3</w:t>
            </w:r>
            <w:r w:rsidR="0054295F">
              <w:rPr>
                <w:color w:val="000000"/>
                <w:sz w:val="16"/>
                <w:szCs w:val="16"/>
              </w:rPr>
              <w:t>0 6</w:t>
            </w:r>
            <w:r w:rsidRPr="00AE6EDB">
              <w:rPr>
                <w:color w:val="000000"/>
                <w:sz w:val="16"/>
                <w:szCs w:val="16"/>
              </w:rPr>
              <w:t>83</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150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1,525,922</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631,972</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598,486</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216,434</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23,823</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637</w:t>
            </w:r>
          </w:p>
        </w:tc>
      </w:tr>
      <w:tr w:rsidR="00C17A2D" w:rsidRPr="00AE6EDB" w:rsidTr="00C17A2D">
        <w:trPr>
          <w:trHeight w:val="227"/>
          <w:jc w:val="center"/>
        </w:trPr>
        <w:tc>
          <w:tcPr>
            <w:tcW w:w="2335" w:type="dxa"/>
            <w:vAlign w:val="center"/>
            <w:hideMark/>
          </w:tcPr>
          <w:p w:rsidR="00C17A2D" w:rsidRPr="00AE6EDB" w:rsidRDefault="00C17A2D" w:rsidP="00DE0EEC">
            <w:pPr>
              <w:jc w:val="left"/>
              <w:rPr>
                <w:sz w:val="16"/>
                <w:szCs w:val="16"/>
              </w:rPr>
            </w:pPr>
            <w:r w:rsidRPr="00AE6EDB">
              <w:rPr>
                <w:sz w:val="16"/>
                <w:szCs w:val="16"/>
              </w:rPr>
              <w:t>domov na polceste</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56</w:t>
            </w:r>
            <w:r w:rsidR="0054295F">
              <w:rPr>
                <w:color w:val="000000"/>
                <w:sz w:val="16"/>
                <w:szCs w:val="16"/>
              </w:rPr>
              <w:t>3 1</w:t>
            </w:r>
            <w:r w:rsidRPr="00AE6EDB">
              <w:rPr>
                <w:color w:val="000000"/>
                <w:sz w:val="16"/>
                <w:szCs w:val="16"/>
              </w:rPr>
              <w:t>86</w:t>
            </w:r>
          </w:p>
        </w:tc>
        <w:tc>
          <w:tcPr>
            <w:tcW w:w="992" w:type="dxa"/>
            <w:vAlign w:val="bottom"/>
          </w:tcPr>
          <w:p w:rsidR="00C17A2D" w:rsidRPr="00AE6EDB" w:rsidRDefault="00C17A2D" w:rsidP="00DE0EEC">
            <w:pPr>
              <w:jc w:val="right"/>
              <w:rPr>
                <w:color w:val="000000"/>
                <w:sz w:val="16"/>
                <w:szCs w:val="16"/>
              </w:rPr>
            </w:pPr>
            <w:r w:rsidRPr="00AE6EDB">
              <w:rPr>
                <w:color w:val="000000"/>
                <w:sz w:val="16"/>
                <w:szCs w:val="16"/>
              </w:rPr>
              <w:t>25</w:t>
            </w:r>
            <w:r w:rsidR="00AC44CB">
              <w:rPr>
                <w:color w:val="000000"/>
                <w:sz w:val="16"/>
                <w:szCs w:val="16"/>
              </w:rPr>
              <w:t>6 2</w:t>
            </w:r>
            <w:r w:rsidRPr="00AE6EDB">
              <w:rPr>
                <w:color w:val="000000"/>
                <w:sz w:val="16"/>
                <w:szCs w:val="16"/>
              </w:rPr>
              <w:t>44</w:t>
            </w:r>
          </w:p>
        </w:tc>
        <w:tc>
          <w:tcPr>
            <w:tcW w:w="1134" w:type="dxa"/>
            <w:vAlign w:val="bottom"/>
          </w:tcPr>
          <w:p w:rsidR="00C17A2D" w:rsidRPr="00AE6EDB" w:rsidRDefault="00C17A2D" w:rsidP="00DE0EEC">
            <w:pPr>
              <w:jc w:val="right"/>
              <w:rPr>
                <w:color w:val="000000"/>
                <w:sz w:val="16"/>
                <w:szCs w:val="16"/>
              </w:rPr>
            </w:pPr>
            <w:r w:rsidRPr="00AE6EDB">
              <w:rPr>
                <w:color w:val="000000"/>
                <w:sz w:val="16"/>
                <w:szCs w:val="16"/>
              </w:rPr>
              <w:t>21</w:t>
            </w:r>
            <w:r w:rsidR="0054295F">
              <w:rPr>
                <w:color w:val="000000"/>
                <w:sz w:val="16"/>
                <w:szCs w:val="16"/>
              </w:rPr>
              <w:t>4 0</w:t>
            </w:r>
            <w:r w:rsidRPr="00AE6EDB">
              <w:rPr>
                <w:color w:val="000000"/>
                <w:sz w:val="16"/>
                <w:szCs w:val="16"/>
              </w:rPr>
              <w:t>04</w:t>
            </w:r>
          </w:p>
        </w:tc>
        <w:tc>
          <w:tcPr>
            <w:tcW w:w="993" w:type="dxa"/>
            <w:vAlign w:val="bottom"/>
          </w:tcPr>
          <w:p w:rsidR="00C17A2D" w:rsidRPr="00AE6EDB" w:rsidRDefault="00C17A2D" w:rsidP="00DE0EEC">
            <w:pPr>
              <w:jc w:val="right"/>
              <w:rPr>
                <w:color w:val="000000"/>
                <w:sz w:val="16"/>
                <w:szCs w:val="16"/>
              </w:rPr>
            </w:pPr>
            <w:r w:rsidRPr="00AE6EDB">
              <w:rPr>
                <w:color w:val="000000"/>
                <w:sz w:val="16"/>
                <w:szCs w:val="16"/>
              </w:rPr>
              <w:t>7</w:t>
            </w:r>
            <w:r w:rsidR="0054295F">
              <w:rPr>
                <w:color w:val="000000"/>
                <w:sz w:val="16"/>
                <w:szCs w:val="16"/>
              </w:rPr>
              <w:t>2 1</w:t>
            </w:r>
            <w:r w:rsidRPr="00AE6EDB">
              <w:rPr>
                <w:color w:val="000000"/>
                <w:sz w:val="16"/>
                <w:szCs w:val="16"/>
              </w:rPr>
              <w:t>63</w:t>
            </w:r>
          </w:p>
        </w:tc>
        <w:tc>
          <w:tcPr>
            <w:tcW w:w="992" w:type="dxa"/>
            <w:vAlign w:val="bottom"/>
          </w:tcPr>
          <w:p w:rsidR="00C17A2D" w:rsidRPr="00AE6EDB" w:rsidRDefault="00AC44CB" w:rsidP="00DE0EEC">
            <w:pPr>
              <w:jc w:val="right"/>
              <w:rPr>
                <w:color w:val="000000"/>
                <w:sz w:val="16"/>
                <w:szCs w:val="16"/>
              </w:rPr>
            </w:pPr>
            <w:r>
              <w:rPr>
                <w:color w:val="000000"/>
                <w:sz w:val="16"/>
                <w:szCs w:val="16"/>
              </w:rPr>
              <w:t>9 0</w:t>
            </w:r>
            <w:r w:rsidR="00C17A2D" w:rsidRPr="00AE6EDB">
              <w:rPr>
                <w:color w:val="000000"/>
                <w:sz w:val="16"/>
                <w:szCs w:val="16"/>
              </w:rPr>
              <w:t>00</w:t>
            </w:r>
          </w:p>
        </w:tc>
        <w:tc>
          <w:tcPr>
            <w:tcW w:w="850" w:type="dxa"/>
            <w:vAlign w:val="bottom"/>
          </w:tcPr>
          <w:p w:rsidR="00C17A2D" w:rsidRPr="00AE6EDB" w:rsidRDefault="00C17A2D" w:rsidP="00DE0EEC">
            <w:pPr>
              <w:jc w:val="right"/>
              <w:rPr>
                <w:color w:val="000000"/>
                <w:sz w:val="16"/>
                <w:szCs w:val="16"/>
              </w:rPr>
            </w:pPr>
            <w:r w:rsidRPr="00AE6EDB">
              <w:rPr>
                <w:color w:val="000000"/>
                <w:sz w:val="16"/>
                <w:szCs w:val="16"/>
              </w:rPr>
              <w:t>500</w:t>
            </w:r>
          </w:p>
        </w:tc>
        <w:tc>
          <w:tcPr>
            <w:tcW w:w="116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575,756</w:t>
            </w:r>
          </w:p>
        </w:tc>
        <w:tc>
          <w:tcPr>
            <w:tcW w:w="1056"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211,628</w:t>
            </w:r>
          </w:p>
        </w:tc>
        <w:tc>
          <w:tcPr>
            <w:tcW w:w="1049"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239,871</w:t>
            </w:r>
          </w:p>
        </w:tc>
        <w:tc>
          <w:tcPr>
            <w:tcW w:w="984"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84,248</w:t>
            </w:r>
          </w:p>
        </w:tc>
        <w:tc>
          <w:tcPr>
            <w:tcW w:w="992"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26,690</w:t>
            </w:r>
          </w:p>
        </w:tc>
        <w:tc>
          <w:tcPr>
            <w:tcW w:w="935" w:type="dxa"/>
            <w:shd w:val="clear" w:color="auto" w:fill="auto"/>
            <w:vAlign w:val="bottom"/>
          </w:tcPr>
          <w:p w:rsidR="00C17A2D" w:rsidRPr="00AE6EDB" w:rsidRDefault="00C17A2D" w:rsidP="00DE0EEC">
            <w:pPr>
              <w:jc w:val="right"/>
              <w:rPr>
                <w:color w:val="000000"/>
                <w:sz w:val="16"/>
                <w:szCs w:val="16"/>
              </w:rPr>
            </w:pPr>
            <w:r w:rsidRPr="00AE6EDB">
              <w:rPr>
                <w:color w:val="000000"/>
                <w:sz w:val="16"/>
                <w:szCs w:val="16"/>
              </w:rPr>
              <w:t>610</w:t>
            </w:r>
          </w:p>
        </w:tc>
      </w:tr>
    </w:tbl>
    <w:p w:rsidR="000A7585" w:rsidRPr="00AE6EDB" w:rsidRDefault="000A7585" w:rsidP="000A7585">
      <w:pPr>
        <w:pStyle w:val="zdroj"/>
        <w:spacing w:after="0"/>
        <w:rPr>
          <w:color w:val="auto"/>
          <w:lang w:eastAsia="cs-CZ"/>
        </w:rPr>
      </w:pPr>
      <w:r w:rsidRPr="00AE6EDB">
        <w:rPr>
          <w:color w:val="auto"/>
          <w:lang w:eastAsia="cs-CZ"/>
        </w:rPr>
        <w:t xml:space="preserve">Zdroj: Vybrané údaje Štatistického úradu SR </w:t>
      </w:r>
      <w:r w:rsidRPr="00AE6EDB">
        <w:rPr>
          <w:color w:val="000000" w:themeColor="text1"/>
        </w:rPr>
        <w:t>–</w:t>
      </w:r>
      <w:r w:rsidRPr="00AE6EDB">
        <w:rPr>
          <w:color w:val="auto"/>
          <w:lang w:eastAsia="cs-CZ"/>
        </w:rPr>
        <w:t xml:space="preserve"> Zariadenia sociálnych služieb v</w:t>
      </w:r>
      <w:r w:rsidR="00893A25" w:rsidRPr="00AE6EDB">
        <w:rPr>
          <w:color w:val="auto"/>
          <w:lang w:eastAsia="cs-CZ"/>
        </w:rPr>
        <w:t> </w:t>
      </w:r>
      <w:r w:rsidRPr="00AE6EDB">
        <w:rPr>
          <w:color w:val="auto"/>
          <w:lang w:eastAsia="cs-CZ"/>
        </w:rPr>
        <w:t>SR</w:t>
      </w:r>
    </w:p>
    <w:p w:rsidR="00893A25" w:rsidRPr="00AE6EDB" w:rsidRDefault="00893A25" w:rsidP="000A7585">
      <w:pPr>
        <w:pStyle w:val="zdroj"/>
        <w:spacing w:after="0"/>
        <w:rPr>
          <w:color w:val="auto"/>
          <w:lang w:eastAsia="cs-CZ"/>
        </w:rPr>
        <w:sectPr w:rsidR="00893A25" w:rsidRPr="00AE6EDB" w:rsidSect="004F3C97">
          <w:pgSz w:w="16838" w:h="11906" w:orient="landscape"/>
          <w:pgMar w:top="1417" w:right="1417" w:bottom="1417" w:left="1417" w:header="708" w:footer="708" w:gutter="0"/>
          <w:cols w:space="708"/>
          <w:docGrid w:linePitch="360"/>
        </w:sectPr>
      </w:pPr>
    </w:p>
    <w:p w:rsidR="000A7585" w:rsidRPr="00AE6EDB" w:rsidRDefault="000A7585" w:rsidP="000A7585">
      <w:pPr>
        <w:pStyle w:val="Nadpis7"/>
      </w:pPr>
      <w:r w:rsidRPr="00AE6EDB">
        <w:t>Tabuľka 26 Zamestnanci zariadení sociálnych služieb (spolu) za rok 201</w:t>
      </w:r>
      <w:r w:rsidR="00C17A2D" w:rsidRPr="00AE6EDB">
        <w:t>4</w:t>
      </w:r>
    </w:p>
    <w:tbl>
      <w:tblPr>
        <w:tblW w:w="7861"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3"/>
        <w:gridCol w:w="2268"/>
      </w:tblGrid>
      <w:tr w:rsidR="00893A25" w:rsidRPr="00AE6EDB" w:rsidTr="007C3DB5">
        <w:trPr>
          <w:trHeight w:val="1361"/>
          <w:jc w:val="center"/>
        </w:trPr>
        <w:tc>
          <w:tcPr>
            <w:tcW w:w="5593" w:type="dxa"/>
            <w:shd w:val="clear" w:color="auto" w:fill="FF9999" w:themeFill="accent3" w:themeFillTint="66"/>
            <w:noWrap/>
            <w:vAlign w:val="center"/>
            <w:hideMark/>
          </w:tcPr>
          <w:p w:rsidR="00893A25" w:rsidRPr="00AE6EDB" w:rsidRDefault="00893A25" w:rsidP="00893A25">
            <w:pPr>
              <w:jc w:val="center"/>
              <w:rPr>
                <w:b/>
                <w:bCs/>
                <w:sz w:val="18"/>
                <w:szCs w:val="18"/>
              </w:rPr>
            </w:pPr>
            <w:r w:rsidRPr="00AE6EDB">
              <w:rPr>
                <w:b/>
                <w:bCs/>
              </w:rPr>
              <w:t>Druh zariadenia</w:t>
            </w:r>
          </w:p>
        </w:tc>
        <w:tc>
          <w:tcPr>
            <w:tcW w:w="2268" w:type="dxa"/>
            <w:shd w:val="clear" w:color="auto" w:fill="FF9999" w:themeFill="accent3" w:themeFillTint="66"/>
            <w:noWrap/>
            <w:vAlign w:val="bottom"/>
            <w:hideMark/>
          </w:tcPr>
          <w:p w:rsidR="00893A25" w:rsidRPr="00AE6EDB" w:rsidRDefault="00893A25" w:rsidP="00893A25">
            <w:pPr>
              <w:jc w:val="center"/>
              <w:rPr>
                <w:b/>
                <w:bCs/>
              </w:rPr>
            </w:pPr>
            <w:r w:rsidRPr="00AE6EDB">
              <w:rPr>
                <w:b/>
                <w:bCs/>
                <w:szCs w:val="22"/>
              </w:rPr>
              <w:t>Priemerný</w:t>
            </w:r>
          </w:p>
          <w:p w:rsidR="00893A25" w:rsidRPr="00AE6EDB" w:rsidRDefault="00893A25" w:rsidP="00893A25">
            <w:pPr>
              <w:jc w:val="center"/>
              <w:rPr>
                <w:b/>
                <w:bCs/>
              </w:rPr>
            </w:pPr>
            <w:r w:rsidRPr="00AE6EDB">
              <w:rPr>
                <w:b/>
                <w:bCs/>
                <w:szCs w:val="22"/>
              </w:rPr>
              <w:t>evidenčný počet</w:t>
            </w:r>
          </w:p>
          <w:p w:rsidR="00893A25" w:rsidRPr="00AE6EDB" w:rsidRDefault="00893A25" w:rsidP="00893A25">
            <w:pPr>
              <w:jc w:val="center"/>
              <w:rPr>
                <w:b/>
                <w:bCs/>
              </w:rPr>
            </w:pPr>
            <w:r w:rsidRPr="00AE6EDB">
              <w:rPr>
                <w:b/>
                <w:bCs/>
                <w:szCs w:val="22"/>
              </w:rPr>
              <w:t>zamestnancov</w:t>
            </w:r>
          </w:p>
          <w:p w:rsidR="00893A25" w:rsidRPr="00AE6EDB" w:rsidRDefault="00893A25" w:rsidP="00893A25">
            <w:pPr>
              <w:jc w:val="center"/>
              <w:rPr>
                <w:b/>
                <w:bCs/>
              </w:rPr>
            </w:pPr>
            <w:r w:rsidRPr="00AE6EDB">
              <w:rPr>
                <w:b/>
                <w:bCs/>
                <w:szCs w:val="22"/>
              </w:rPr>
              <w:t>prepočítaný</w:t>
            </w:r>
          </w:p>
          <w:p w:rsidR="00893A25" w:rsidRPr="00AE6EDB" w:rsidRDefault="00893A25" w:rsidP="00893A25">
            <w:pPr>
              <w:jc w:val="center"/>
              <w:rPr>
                <w:b/>
                <w:bCs/>
              </w:rPr>
            </w:pPr>
            <w:r w:rsidRPr="00AE6EDB">
              <w:rPr>
                <w:b/>
                <w:bCs/>
                <w:szCs w:val="22"/>
              </w:rPr>
              <w:t>(osoby)</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zariadenie pre seniorov</w:t>
            </w:r>
          </w:p>
        </w:tc>
        <w:tc>
          <w:tcPr>
            <w:tcW w:w="2268" w:type="dxa"/>
            <w:shd w:val="clear" w:color="auto" w:fill="auto"/>
            <w:vAlign w:val="bottom"/>
          </w:tcPr>
          <w:p w:rsidR="00893A25" w:rsidRPr="00AE6EDB" w:rsidRDefault="00AC44CB" w:rsidP="00893A25">
            <w:pPr>
              <w:ind w:right="774"/>
              <w:jc w:val="right"/>
            </w:pPr>
            <w:r>
              <w:t>6 7</w:t>
            </w:r>
            <w:r w:rsidR="00893A25" w:rsidRPr="00AE6EDB">
              <w:t>38</w:t>
            </w:r>
          </w:p>
        </w:tc>
      </w:tr>
      <w:tr w:rsidR="00893A25" w:rsidRPr="00AE6EDB" w:rsidTr="007C3DB5">
        <w:trPr>
          <w:trHeight w:val="270"/>
          <w:jc w:val="center"/>
        </w:trPr>
        <w:tc>
          <w:tcPr>
            <w:tcW w:w="5593" w:type="dxa"/>
            <w:vAlign w:val="bottom"/>
            <w:hideMark/>
          </w:tcPr>
          <w:p w:rsidR="00893A25" w:rsidRPr="00AE6EDB" w:rsidRDefault="00893A25" w:rsidP="00331B1C">
            <w:pPr>
              <w:jc w:val="left"/>
            </w:pPr>
            <w:r w:rsidRPr="00AE6EDB">
              <w:t>domovy sociálnych služieb (DSS) pre dospelých s</w:t>
            </w:r>
            <w:r w:rsidR="00331B1C" w:rsidRPr="00AE6EDB">
              <w:t> </w:t>
            </w:r>
            <w:r w:rsidRPr="00AE6EDB">
              <w:t>telesným postihnutím</w:t>
            </w:r>
          </w:p>
        </w:tc>
        <w:tc>
          <w:tcPr>
            <w:tcW w:w="2268" w:type="dxa"/>
            <w:shd w:val="clear" w:color="auto" w:fill="auto"/>
            <w:vAlign w:val="bottom"/>
          </w:tcPr>
          <w:p w:rsidR="00893A25" w:rsidRPr="00AE6EDB" w:rsidRDefault="00893A25" w:rsidP="00893A25">
            <w:pPr>
              <w:ind w:right="774"/>
              <w:jc w:val="right"/>
            </w:pPr>
            <w:r w:rsidRPr="00AE6EDB">
              <w:t>599</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DSS pre dospelých s kombináciou postihnutí</w:t>
            </w:r>
          </w:p>
        </w:tc>
        <w:tc>
          <w:tcPr>
            <w:tcW w:w="2268" w:type="dxa"/>
            <w:shd w:val="clear" w:color="auto" w:fill="auto"/>
            <w:vAlign w:val="bottom"/>
          </w:tcPr>
          <w:p w:rsidR="00893A25" w:rsidRPr="00AE6EDB" w:rsidRDefault="00AC44CB" w:rsidP="00893A25">
            <w:pPr>
              <w:ind w:right="774"/>
              <w:jc w:val="right"/>
            </w:pPr>
            <w:r>
              <w:t>7 4</w:t>
            </w:r>
            <w:r w:rsidR="00893A25" w:rsidRPr="00AE6EDB">
              <w:t>95</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DSS pre dospelých so zmyslovým postihnutím</w:t>
            </w:r>
          </w:p>
        </w:tc>
        <w:tc>
          <w:tcPr>
            <w:tcW w:w="2268" w:type="dxa"/>
            <w:shd w:val="clear" w:color="auto" w:fill="auto"/>
            <w:vAlign w:val="bottom"/>
          </w:tcPr>
          <w:p w:rsidR="00893A25" w:rsidRPr="00AE6EDB" w:rsidRDefault="00893A25" w:rsidP="00893A25">
            <w:pPr>
              <w:ind w:right="774"/>
              <w:jc w:val="right"/>
            </w:pPr>
            <w:r w:rsidRPr="00AE6EDB">
              <w:t>6</w:t>
            </w:r>
          </w:p>
        </w:tc>
      </w:tr>
      <w:tr w:rsidR="00893A25" w:rsidRPr="00AE6EDB" w:rsidTr="007C3DB5">
        <w:trPr>
          <w:trHeight w:val="283"/>
          <w:jc w:val="center"/>
        </w:trPr>
        <w:tc>
          <w:tcPr>
            <w:tcW w:w="5593" w:type="dxa"/>
            <w:vAlign w:val="bottom"/>
            <w:hideMark/>
          </w:tcPr>
          <w:p w:rsidR="00893A25" w:rsidRPr="00AE6EDB" w:rsidRDefault="00893A25" w:rsidP="00331B1C">
            <w:pPr>
              <w:jc w:val="left"/>
            </w:pPr>
            <w:r w:rsidRPr="00AE6EDB">
              <w:t>DSS pre dospelých s duševnými poruchami a</w:t>
            </w:r>
            <w:r w:rsidR="00331B1C" w:rsidRPr="00AE6EDB">
              <w:t> </w:t>
            </w:r>
            <w:r w:rsidRPr="00AE6EDB">
              <w:t>poruchami správania</w:t>
            </w:r>
          </w:p>
        </w:tc>
        <w:tc>
          <w:tcPr>
            <w:tcW w:w="2268" w:type="dxa"/>
            <w:shd w:val="clear" w:color="auto" w:fill="auto"/>
            <w:vAlign w:val="bottom"/>
          </w:tcPr>
          <w:p w:rsidR="00893A25" w:rsidRPr="00AE6EDB" w:rsidRDefault="0054295F" w:rsidP="00893A25">
            <w:pPr>
              <w:ind w:right="774"/>
              <w:jc w:val="right"/>
            </w:pPr>
            <w:r>
              <w:t>2 1</w:t>
            </w:r>
            <w:r w:rsidR="00893A25" w:rsidRPr="00AE6EDB">
              <w:t>81</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Špecializované zariadenie</w:t>
            </w:r>
          </w:p>
        </w:tc>
        <w:tc>
          <w:tcPr>
            <w:tcW w:w="2268" w:type="dxa"/>
            <w:shd w:val="clear" w:color="auto" w:fill="auto"/>
            <w:vAlign w:val="bottom"/>
          </w:tcPr>
          <w:p w:rsidR="00893A25" w:rsidRPr="00AE6EDB" w:rsidRDefault="0054295F" w:rsidP="00893A25">
            <w:pPr>
              <w:ind w:right="774"/>
              <w:jc w:val="right"/>
            </w:pPr>
            <w:r>
              <w:t>2 1</w:t>
            </w:r>
            <w:r w:rsidR="00893A25" w:rsidRPr="00AE6EDB">
              <w:t>03</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Denný stacionár</w:t>
            </w:r>
          </w:p>
        </w:tc>
        <w:tc>
          <w:tcPr>
            <w:tcW w:w="2268" w:type="dxa"/>
            <w:shd w:val="clear" w:color="auto" w:fill="auto"/>
            <w:vAlign w:val="bottom"/>
          </w:tcPr>
          <w:p w:rsidR="00893A25" w:rsidRPr="00AE6EDB" w:rsidRDefault="00893A25" w:rsidP="00893A25">
            <w:pPr>
              <w:ind w:right="774"/>
              <w:jc w:val="right"/>
            </w:pPr>
            <w:r w:rsidRPr="00AE6EDB">
              <w:t>203</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DSS pre deti s telesným postihnutím</w:t>
            </w:r>
          </w:p>
        </w:tc>
        <w:tc>
          <w:tcPr>
            <w:tcW w:w="2268" w:type="dxa"/>
            <w:shd w:val="clear" w:color="auto" w:fill="auto"/>
            <w:vAlign w:val="bottom"/>
          </w:tcPr>
          <w:p w:rsidR="00893A25" w:rsidRPr="00AE6EDB" w:rsidRDefault="00893A25" w:rsidP="00893A25">
            <w:pPr>
              <w:ind w:right="774"/>
              <w:jc w:val="right"/>
            </w:pPr>
            <w:r w:rsidRPr="00AE6EDB">
              <w:t>18</w:t>
            </w:r>
          </w:p>
        </w:tc>
      </w:tr>
      <w:tr w:rsidR="00893A25" w:rsidRPr="00AE6EDB" w:rsidTr="007C3DB5">
        <w:trPr>
          <w:trHeight w:val="480"/>
          <w:jc w:val="center"/>
        </w:trPr>
        <w:tc>
          <w:tcPr>
            <w:tcW w:w="5593" w:type="dxa"/>
            <w:vAlign w:val="bottom"/>
            <w:hideMark/>
          </w:tcPr>
          <w:p w:rsidR="00893A25" w:rsidRPr="00AE6EDB" w:rsidRDefault="00893A25" w:rsidP="007C3DB5">
            <w:pPr>
              <w:jc w:val="left"/>
            </w:pPr>
            <w:r w:rsidRPr="00AE6EDB">
              <w:t>DSS pre deti s telesným postihnutím a duševnými poruchami</w:t>
            </w:r>
            <w:r w:rsidR="007C3DB5">
              <w:t xml:space="preserve"> </w:t>
            </w:r>
            <w:r w:rsidRPr="00AE6EDB">
              <w:t xml:space="preserve"> a poruchami správania</w:t>
            </w:r>
          </w:p>
        </w:tc>
        <w:tc>
          <w:tcPr>
            <w:tcW w:w="2268" w:type="dxa"/>
            <w:shd w:val="clear" w:color="auto" w:fill="auto"/>
            <w:vAlign w:val="bottom"/>
          </w:tcPr>
          <w:p w:rsidR="00893A25" w:rsidRPr="00AE6EDB" w:rsidRDefault="00893A25" w:rsidP="00893A25">
            <w:pPr>
              <w:ind w:right="774"/>
              <w:jc w:val="right"/>
            </w:pPr>
            <w:r w:rsidRPr="00AE6EDB">
              <w:t>575</w:t>
            </w:r>
          </w:p>
        </w:tc>
      </w:tr>
      <w:tr w:rsidR="00893A25" w:rsidRPr="00AE6EDB" w:rsidTr="007C3DB5">
        <w:trPr>
          <w:trHeight w:val="270"/>
          <w:jc w:val="center"/>
        </w:trPr>
        <w:tc>
          <w:tcPr>
            <w:tcW w:w="5593" w:type="dxa"/>
            <w:vAlign w:val="bottom"/>
            <w:hideMark/>
          </w:tcPr>
          <w:p w:rsidR="00893A25" w:rsidRPr="00AE6EDB" w:rsidRDefault="00893A25" w:rsidP="00331B1C">
            <w:pPr>
              <w:jc w:val="left"/>
            </w:pPr>
            <w:r w:rsidRPr="00AE6EDB">
              <w:t>DSS pre deti s duševnými poruchami a poruchami správania</w:t>
            </w:r>
          </w:p>
        </w:tc>
        <w:tc>
          <w:tcPr>
            <w:tcW w:w="2268" w:type="dxa"/>
            <w:shd w:val="clear" w:color="auto" w:fill="auto"/>
            <w:vAlign w:val="bottom"/>
          </w:tcPr>
          <w:p w:rsidR="00893A25" w:rsidRPr="00AE6EDB" w:rsidRDefault="00893A25" w:rsidP="00893A25">
            <w:pPr>
              <w:ind w:right="774"/>
              <w:jc w:val="right"/>
            </w:pPr>
            <w:r w:rsidRPr="00AE6EDB">
              <w:t>49</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zariadenie dočasnej starostlivosti o deti</w:t>
            </w:r>
          </w:p>
        </w:tc>
        <w:tc>
          <w:tcPr>
            <w:tcW w:w="2268" w:type="dxa"/>
            <w:shd w:val="clear" w:color="auto" w:fill="auto"/>
            <w:vAlign w:val="bottom"/>
          </w:tcPr>
          <w:p w:rsidR="00893A25" w:rsidRPr="00AE6EDB" w:rsidRDefault="00893A25" w:rsidP="00893A25">
            <w:pPr>
              <w:ind w:right="774"/>
              <w:jc w:val="right"/>
            </w:pPr>
            <w:r w:rsidRPr="00AE6EDB">
              <w:t>2</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zariadenie podporovaného bývania</w:t>
            </w:r>
          </w:p>
        </w:tc>
        <w:tc>
          <w:tcPr>
            <w:tcW w:w="2268" w:type="dxa"/>
            <w:shd w:val="clear" w:color="auto" w:fill="auto"/>
            <w:vAlign w:val="bottom"/>
          </w:tcPr>
          <w:p w:rsidR="00893A25" w:rsidRPr="00AE6EDB" w:rsidRDefault="00893A25" w:rsidP="00893A25">
            <w:pPr>
              <w:ind w:right="774"/>
              <w:jc w:val="right"/>
            </w:pPr>
            <w:r w:rsidRPr="00AE6EDB">
              <w:t>204</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zariadenie núdzového bývania</w:t>
            </w:r>
          </w:p>
        </w:tc>
        <w:tc>
          <w:tcPr>
            <w:tcW w:w="2268" w:type="dxa"/>
            <w:shd w:val="clear" w:color="auto" w:fill="auto"/>
            <w:vAlign w:val="bottom"/>
          </w:tcPr>
          <w:p w:rsidR="00893A25" w:rsidRPr="00AE6EDB" w:rsidRDefault="00893A25" w:rsidP="00893A25">
            <w:pPr>
              <w:ind w:right="774"/>
              <w:jc w:val="right"/>
            </w:pPr>
            <w:r w:rsidRPr="00AE6EDB">
              <w:t>152</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útulky</w:t>
            </w:r>
          </w:p>
        </w:tc>
        <w:tc>
          <w:tcPr>
            <w:tcW w:w="2268" w:type="dxa"/>
            <w:shd w:val="clear" w:color="auto" w:fill="auto"/>
            <w:vAlign w:val="bottom"/>
          </w:tcPr>
          <w:p w:rsidR="00893A25" w:rsidRPr="00AE6EDB" w:rsidRDefault="00893A25" w:rsidP="00893A25">
            <w:pPr>
              <w:ind w:right="774"/>
              <w:jc w:val="right"/>
            </w:pPr>
            <w:r w:rsidRPr="00AE6EDB">
              <w:t>314</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rehabilitačné strediská</w:t>
            </w:r>
          </w:p>
        </w:tc>
        <w:tc>
          <w:tcPr>
            <w:tcW w:w="2268" w:type="dxa"/>
            <w:shd w:val="clear" w:color="auto" w:fill="auto"/>
            <w:vAlign w:val="bottom"/>
          </w:tcPr>
          <w:p w:rsidR="00893A25" w:rsidRPr="00AE6EDB" w:rsidRDefault="00893A25" w:rsidP="00893A25">
            <w:pPr>
              <w:ind w:right="774"/>
              <w:jc w:val="right"/>
            </w:pPr>
            <w:r w:rsidRPr="00AE6EDB">
              <w:t>244</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zariadenia opatrovateľskej služby</w:t>
            </w:r>
          </w:p>
        </w:tc>
        <w:tc>
          <w:tcPr>
            <w:tcW w:w="2268" w:type="dxa"/>
            <w:shd w:val="clear" w:color="auto" w:fill="auto"/>
            <w:vAlign w:val="bottom"/>
          </w:tcPr>
          <w:p w:rsidR="00893A25" w:rsidRPr="00AE6EDB" w:rsidRDefault="0054295F" w:rsidP="00893A25">
            <w:pPr>
              <w:ind w:right="774"/>
              <w:jc w:val="right"/>
            </w:pPr>
            <w:r>
              <w:t>1 0</w:t>
            </w:r>
            <w:r w:rsidR="00893A25" w:rsidRPr="00AE6EDB">
              <w:t>16</w:t>
            </w:r>
          </w:p>
        </w:tc>
      </w:tr>
      <w:tr w:rsidR="00893A25" w:rsidRPr="00AE6EDB" w:rsidTr="007C3DB5">
        <w:trPr>
          <w:trHeight w:val="255"/>
          <w:jc w:val="center"/>
        </w:trPr>
        <w:tc>
          <w:tcPr>
            <w:tcW w:w="5593" w:type="dxa"/>
            <w:vAlign w:val="bottom"/>
            <w:hideMark/>
          </w:tcPr>
          <w:p w:rsidR="00893A25" w:rsidRPr="00AE6EDB" w:rsidRDefault="00893A25" w:rsidP="00331B1C">
            <w:pPr>
              <w:jc w:val="left"/>
            </w:pPr>
            <w:r w:rsidRPr="00AE6EDB">
              <w:t xml:space="preserve">nocľaháreň </w:t>
            </w:r>
          </w:p>
        </w:tc>
        <w:tc>
          <w:tcPr>
            <w:tcW w:w="2268" w:type="dxa"/>
            <w:shd w:val="clear" w:color="auto" w:fill="auto"/>
            <w:vAlign w:val="bottom"/>
          </w:tcPr>
          <w:p w:rsidR="00893A25" w:rsidRPr="00AE6EDB" w:rsidRDefault="00893A25" w:rsidP="00893A25">
            <w:pPr>
              <w:ind w:right="774"/>
              <w:jc w:val="right"/>
            </w:pPr>
            <w:r w:rsidRPr="00AE6EDB">
              <w:t>126</w:t>
            </w:r>
          </w:p>
        </w:tc>
      </w:tr>
      <w:tr w:rsidR="00893A25" w:rsidRPr="00AE6EDB" w:rsidTr="007C3DB5">
        <w:trPr>
          <w:trHeight w:val="270"/>
          <w:jc w:val="center"/>
        </w:trPr>
        <w:tc>
          <w:tcPr>
            <w:tcW w:w="5593" w:type="dxa"/>
            <w:vAlign w:val="bottom"/>
            <w:hideMark/>
          </w:tcPr>
          <w:p w:rsidR="00893A25" w:rsidRPr="00AE6EDB" w:rsidRDefault="00893A25" w:rsidP="00331B1C">
            <w:pPr>
              <w:jc w:val="left"/>
            </w:pPr>
            <w:r w:rsidRPr="00AE6EDB">
              <w:t>domov na pol ceste</w:t>
            </w:r>
          </w:p>
        </w:tc>
        <w:tc>
          <w:tcPr>
            <w:tcW w:w="2268" w:type="dxa"/>
            <w:shd w:val="clear" w:color="auto" w:fill="auto"/>
            <w:vAlign w:val="bottom"/>
          </w:tcPr>
          <w:p w:rsidR="00893A25" w:rsidRPr="00AE6EDB" w:rsidRDefault="00893A25" w:rsidP="00893A25">
            <w:pPr>
              <w:ind w:right="774"/>
              <w:jc w:val="right"/>
            </w:pPr>
            <w:r w:rsidRPr="00AE6EDB">
              <w:t>37</w:t>
            </w:r>
          </w:p>
        </w:tc>
      </w:tr>
      <w:tr w:rsidR="00893A25" w:rsidRPr="00AE6EDB" w:rsidTr="007C3DB5">
        <w:trPr>
          <w:trHeight w:val="270"/>
          <w:jc w:val="center"/>
        </w:trPr>
        <w:tc>
          <w:tcPr>
            <w:tcW w:w="5593" w:type="dxa"/>
            <w:vAlign w:val="bottom"/>
            <w:hideMark/>
          </w:tcPr>
          <w:p w:rsidR="00893A25" w:rsidRPr="00AE6EDB" w:rsidRDefault="00893A25" w:rsidP="00331B1C">
            <w:pPr>
              <w:jc w:val="left"/>
              <w:rPr>
                <w:b/>
                <w:bCs/>
              </w:rPr>
            </w:pPr>
            <w:r w:rsidRPr="00AE6EDB">
              <w:rPr>
                <w:b/>
                <w:bCs/>
              </w:rPr>
              <w:t>SPOLU</w:t>
            </w:r>
          </w:p>
        </w:tc>
        <w:tc>
          <w:tcPr>
            <w:tcW w:w="2268" w:type="dxa"/>
            <w:shd w:val="clear" w:color="auto" w:fill="auto"/>
            <w:noWrap/>
            <w:vAlign w:val="bottom"/>
          </w:tcPr>
          <w:p w:rsidR="00893A25" w:rsidRPr="00AE6EDB" w:rsidRDefault="00893A25" w:rsidP="00893A25">
            <w:pPr>
              <w:ind w:right="774"/>
              <w:jc w:val="right"/>
              <w:rPr>
                <w:b/>
              </w:rPr>
            </w:pPr>
            <w:r w:rsidRPr="00AE6EDB">
              <w:rPr>
                <w:b/>
              </w:rPr>
              <w:t>2</w:t>
            </w:r>
            <w:r w:rsidR="0054295F">
              <w:rPr>
                <w:b/>
              </w:rPr>
              <w:t>2 0</w:t>
            </w:r>
            <w:r w:rsidRPr="00AE6EDB">
              <w:rPr>
                <w:b/>
              </w:rPr>
              <w:t>62</w:t>
            </w:r>
          </w:p>
        </w:tc>
      </w:tr>
    </w:tbl>
    <w:p w:rsidR="000A7585" w:rsidRPr="00AE6EDB" w:rsidRDefault="000A7585" w:rsidP="000A7585">
      <w:pPr>
        <w:pStyle w:val="zdroj"/>
        <w:spacing w:after="0"/>
        <w:ind w:left="709"/>
        <w:rPr>
          <w:color w:val="auto"/>
          <w:lang w:eastAsia="cs-CZ"/>
        </w:rPr>
      </w:pPr>
      <w:r w:rsidRPr="00AE6EDB">
        <w:rPr>
          <w:color w:val="auto"/>
          <w:lang w:eastAsia="cs-CZ"/>
        </w:rPr>
        <w:t xml:space="preserve">Zdroj: Vybrané údaje Štatistického úradu SR </w:t>
      </w:r>
      <w:r w:rsidRPr="00AE6EDB">
        <w:rPr>
          <w:color w:val="000000" w:themeColor="text1"/>
        </w:rPr>
        <w:t>–</w:t>
      </w:r>
      <w:r w:rsidRPr="00AE6EDB">
        <w:rPr>
          <w:color w:val="auto"/>
          <w:lang w:eastAsia="cs-CZ"/>
        </w:rPr>
        <w:t xml:space="preserve"> Zariadenia sociálnych služieb v SR</w:t>
      </w:r>
    </w:p>
    <w:p w:rsidR="00893A25" w:rsidRPr="00AE6EDB" w:rsidRDefault="00893A25" w:rsidP="000A7585">
      <w:pPr>
        <w:pStyle w:val="zdroj"/>
        <w:spacing w:before="0"/>
        <w:ind w:firstLine="1276"/>
        <w:rPr>
          <w:b/>
          <w:highlight w:val="cyan"/>
        </w:rPr>
        <w:sectPr w:rsidR="00893A25" w:rsidRPr="00AE6EDB" w:rsidSect="00893A25">
          <w:pgSz w:w="11906" w:h="16838"/>
          <w:pgMar w:top="1417" w:right="1417" w:bottom="1417" w:left="1417" w:header="708" w:footer="708" w:gutter="0"/>
          <w:cols w:space="708"/>
          <w:docGrid w:linePitch="360"/>
        </w:sectPr>
      </w:pPr>
    </w:p>
    <w:p w:rsidR="000A7585" w:rsidRPr="00AE6EDB" w:rsidRDefault="000A7585" w:rsidP="000A7585">
      <w:pPr>
        <w:pStyle w:val="Nadpis7"/>
      </w:pPr>
      <w:r w:rsidRPr="00AE6EDB">
        <w:t>Tabuľka 27 Vybrané zariadenia sociálnych služieb zriadené alebo založené obcou alebo vyšším územným celkom</w:t>
      </w:r>
    </w:p>
    <w:tbl>
      <w:tblPr>
        <w:tblW w:w="1349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gridCol w:w="1701"/>
        <w:gridCol w:w="1634"/>
        <w:gridCol w:w="1824"/>
        <w:gridCol w:w="1825"/>
        <w:gridCol w:w="1825"/>
      </w:tblGrid>
      <w:tr w:rsidR="000A7585" w:rsidRPr="00AE6EDB" w:rsidTr="00DE0EEC">
        <w:trPr>
          <w:trHeight w:val="1027"/>
        </w:trPr>
        <w:tc>
          <w:tcPr>
            <w:tcW w:w="4688" w:type="dxa"/>
            <w:shd w:val="clear" w:color="auto" w:fill="FF9999" w:themeFill="accent3" w:themeFillTint="66"/>
            <w:vAlign w:val="center"/>
            <w:hideMark/>
          </w:tcPr>
          <w:p w:rsidR="000A7585" w:rsidRPr="00AE6EDB" w:rsidRDefault="000A7585" w:rsidP="00C17A2D">
            <w:pPr>
              <w:jc w:val="center"/>
              <w:rPr>
                <w:b/>
                <w:bCs/>
              </w:rPr>
            </w:pPr>
            <w:r w:rsidRPr="00AE6EDB">
              <w:rPr>
                <w:b/>
                <w:bCs/>
              </w:rPr>
              <w:t>Poskytovatelia sociálnych služieb zriadení alebo založení obcou alebo vyšším územným celkom k 31. 12. 201</w:t>
            </w:r>
            <w:r w:rsidR="00C17A2D" w:rsidRPr="00AE6EDB">
              <w:rPr>
                <w:b/>
                <w:bCs/>
              </w:rPr>
              <w:t>5</w:t>
            </w:r>
          </w:p>
        </w:tc>
        <w:tc>
          <w:tcPr>
            <w:tcW w:w="1701" w:type="dxa"/>
            <w:shd w:val="clear" w:color="auto" w:fill="FF9999" w:themeFill="accent3" w:themeFillTint="66"/>
            <w:vAlign w:val="center"/>
            <w:hideMark/>
          </w:tcPr>
          <w:p w:rsidR="000A7585" w:rsidRPr="00AE6EDB" w:rsidRDefault="000A7585" w:rsidP="00DE0EEC">
            <w:pPr>
              <w:jc w:val="center"/>
              <w:rPr>
                <w:b/>
                <w:bCs/>
              </w:rPr>
            </w:pPr>
            <w:r w:rsidRPr="00AE6EDB">
              <w:rPr>
                <w:b/>
                <w:bCs/>
              </w:rPr>
              <w:t>Počet poskytovateľov</w:t>
            </w:r>
          </w:p>
        </w:tc>
        <w:tc>
          <w:tcPr>
            <w:tcW w:w="1634" w:type="dxa"/>
            <w:shd w:val="clear" w:color="auto" w:fill="FF9999" w:themeFill="accent3" w:themeFillTint="66"/>
            <w:vAlign w:val="center"/>
            <w:hideMark/>
          </w:tcPr>
          <w:p w:rsidR="000A7585" w:rsidRPr="00AE6EDB" w:rsidRDefault="000A7585" w:rsidP="00DE0EEC">
            <w:pPr>
              <w:jc w:val="center"/>
              <w:rPr>
                <w:b/>
                <w:bCs/>
              </w:rPr>
            </w:pPr>
            <w:r w:rsidRPr="00AE6EDB">
              <w:rPr>
                <w:b/>
                <w:bCs/>
              </w:rPr>
              <w:t>Počet klientov</w:t>
            </w:r>
          </w:p>
        </w:tc>
        <w:tc>
          <w:tcPr>
            <w:tcW w:w="1824" w:type="dxa"/>
            <w:shd w:val="clear" w:color="auto" w:fill="FF9999" w:themeFill="accent3" w:themeFillTint="66"/>
            <w:vAlign w:val="center"/>
            <w:hideMark/>
          </w:tcPr>
          <w:p w:rsidR="000A7585" w:rsidRPr="00AE6EDB" w:rsidRDefault="000A7585" w:rsidP="00DE0EEC">
            <w:pPr>
              <w:jc w:val="center"/>
              <w:rPr>
                <w:b/>
                <w:bCs/>
              </w:rPr>
            </w:pPr>
            <w:r w:rsidRPr="00AE6EDB">
              <w:rPr>
                <w:b/>
                <w:bCs/>
              </w:rPr>
              <w:t>Zamestnanci poskytovateľov (v prepočítaných stavoch)</w:t>
            </w:r>
          </w:p>
        </w:tc>
        <w:tc>
          <w:tcPr>
            <w:tcW w:w="1825" w:type="dxa"/>
            <w:shd w:val="clear" w:color="auto" w:fill="FF9999" w:themeFill="accent3" w:themeFillTint="66"/>
            <w:vAlign w:val="center"/>
            <w:hideMark/>
          </w:tcPr>
          <w:p w:rsidR="000A7585" w:rsidRPr="00AE6EDB" w:rsidRDefault="000A7585" w:rsidP="00DE0EEC">
            <w:pPr>
              <w:jc w:val="center"/>
              <w:rPr>
                <w:b/>
                <w:bCs/>
              </w:rPr>
            </w:pPr>
            <w:r w:rsidRPr="00AE6EDB">
              <w:rPr>
                <w:b/>
                <w:bCs/>
              </w:rPr>
              <w:t>Príjmy poskytovateľov (v €)</w:t>
            </w:r>
          </w:p>
        </w:tc>
        <w:tc>
          <w:tcPr>
            <w:tcW w:w="1825" w:type="dxa"/>
            <w:shd w:val="clear" w:color="auto" w:fill="FF9999" w:themeFill="accent3" w:themeFillTint="66"/>
            <w:vAlign w:val="center"/>
            <w:hideMark/>
          </w:tcPr>
          <w:p w:rsidR="000A7585" w:rsidRPr="00AE6EDB" w:rsidRDefault="000A7585" w:rsidP="00DE0EEC">
            <w:pPr>
              <w:jc w:val="center"/>
              <w:rPr>
                <w:b/>
                <w:bCs/>
              </w:rPr>
            </w:pPr>
            <w:r w:rsidRPr="00AE6EDB">
              <w:rPr>
                <w:b/>
                <w:bCs/>
              </w:rPr>
              <w:t>Výdavky poskytovateľov (v €)</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nízkoprahové denné centrum</w:t>
            </w:r>
          </w:p>
        </w:tc>
        <w:tc>
          <w:tcPr>
            <w:tcW w:w="1701" w:type="dxa"/>
            <w:vAlign w:val="center"/>
          </w:tcPr>
          <w:p w:rsidR="00135F59" w:rsidRPr="00AE6EDB" w:rsidRDefault="00135F59" w:rsidP="00135F59">
            <w:pPr>
              <w:ind w:right="497"/>
              <w:jc w:val="right"/>
              <w:rPr>
                <w:sz w:val="20"/>
              </w:rPr>
            </w:pPr>
            <w:r w:rsidRPr="00AE6EDB">
              <w:rPr>
                <w:color w:val="000000"/>
                <w:sz w:val="20"/>
                <w:szCs w:val="18"/>
              </w:rPr>
              <w:t>5</w:t>
            </w:r>
          </w:p>
        </w:tc>
        <w:tc>
          <w:tcPr>
            <w:tcW w:w="1634" w:type="dxa"/>
            <w:vAlign w:val="center"/>
          </w:tcPr>
          <w:p w:rsidR="00135F59" w:rsidRPr="00AE6EDB" w:rsidRDefault="00135F59" w:rsidP="00135F59">
            <w:pPr>
              <w:ind w:right="497"/>
              <w:jc w:val="right"/>
              <w:rPr>
                <w:sz w:val="20"/>
              </w:rPr>
            </w:pPr>
            <w:r w:rsidRPr="00AE6EDB">
              <w:rPr>
                <w:color w:val="000000"/>
                <w:sz w:val="20"/>
                <w:szCs w:val="18"/>
              </w:rPr>
              <w:t>604</w:t>
            </w:r>
          </w:p>
        </w:tc>
        <w:tc>
          <w:tcPr>
            <w:tcW w:w="1824" w:type="dxa"/>
            <w:vAlign w:val="center"/>
          </w:tcPr>
          <w:p w:rsidR="00135F59" w:rsidRPr="00AE6EDB" w:rsidRDefault="00135F59" w:rsidP="00135F59">
            <w:pPr>
              <w:ind w:right="497"/>
              <w:jc w:val="right"/>
              <w:rPr>
                <w:sz w:val="20"/>
              </w:rPr>
            </w:pPr>
            <w:r w:rsidRPr="00AE6EDB">
              <w:rPr>
                <w:color w:val="000000"/>
                <w:sz w:val="20"/>
                <w:szCs w:val="18"/>
              </w:rPr>
              <w:t>2</w:t>
            </w:r>
          </w:p>
        </w:tc>
        <w:tc>
          <w:tcPr>
            <w:tcW w:w="1825" w:type="dxa"/>
            <w:vAlign w:val="center"/>
          </w:tcPr>
          <w:p w:rsidR="00135F59" w:rsidRPr="00AE6EDB" w:rsidRDefault="00135F59" w:rsidP="00135F59">
            <w:pPr>
              <w:ind w:right="497"/>
              <w:jc w:val="right"/>
              <w:rPr>
                <w:sz w:val="20"/>
              </w:rPr>
            </w:pPr>
            <w:r w:rsidRPr="00AE6EDB">
              <w:rPr>
                <w:color w:val="000000"/>
                <w:sz w:val="20"/>
                <w:szCs w:val="18"/>
              </w:rPr>
              <w:t>2</w:t>
            </w:r>
            <w:r w:rsidR="00AC44CB">
              <w:rPr>
                <w:color w:val="000000"/>
                <w:sz w:val="20"/>
                <w:szCs w:val="18"/>
              </w:rPr>
              <w:t>4 9</w:t>
            </w:r>
            <w:r w:rsidRPr="00AE6EDB">
              <w:rPr>
                <w:color w:val="000000"/>
                <w:sz w:val="20"/>
                <w:szCs w:val="18"/>
              </w:rPr>
              <w:t>55</w:t>
            </w:r>
          </w:p>
        </w:tc>
        <w:tc>
          <w:tcPr>
            <w:tcW w:w="1825" w:type="dxa"/>
            <w:vAlign w:val="center"/>
          </w:tcPr>
          <w:p w:rsidR="00135F59" w:rsidRPr="00AE6EDB" w:rsidRDefault="00135F59" w:rsidP="00135F59">
            <w:pPr>
              <w:ind w:right="497"/>
              <w:jc w:val="right"/>
              <w:rPr>
                <w:sz w:val="20"/>
              </w:rPr>
            </w:pPr>
            <w:r w:rsidRPr="00AE6EDB">
              <w:rPr>
                <w:color w:val="000000"/>
                <w:sz w:val="20"/>
                <w:szCs w:val="18"/>
              </w:rPr>
              <w:t>3</w:t>
            </w:r>
            <w:r w:rsidR="0054295F">
              <w:rPr>
                <w:color w:val="000000"/>
                <w:sz w:val="20"/>
                <w:szCs w:val="18"/>
              </w:rPr>
              <w:t>3 6</w:t>
            </w:r>
            <w:r w:rsidRPr="00AE6EDB">
              <w:rPr>
                <w:color w:val="000000"/>
                <w:sz w:val="20"/>
                <w:szCs w:val="18"/>
              </w:rPr>
              <w:t>14</w:t>
            </w:r>
          </w:p>
        </w:tc>
      </w:tr>
      <w:tr w:rsidR="00135F59" w:rsidRPr="00AE6EDB" w:rsidTr="00135F59">
        <w:trPr>
          <w:trHeight w:val="546"/>
        </w:trPr>
        <w:tc>
          <w:tcPr>
            <w:tcW w:w="4688" w:type="dxa"/>
            <w:vAlign w:val="bottom"/>
            <w:hideMark/>
          </w:tcPr>
          <w:p w:rsidR="00135F59" w:rsidRPr="00AE6EDB" w:rsidRDefault="00135F59" w:rsidP="00DE0EEC">
            <w:pPr>
              <w:jc w:val="left"/>
            </w:pPr>
            <w:r w:rsidRPr="00AE6EDB">
              <w:t>pomoc pri osobnej starostlivosti o dieťa a podpora zosúlaďovania osobného a pracovného života</w:t>
            </w:r>
          </w:p>
        </w:tc>
        <w:tc>
          <w:tcPr>
            <w:tcW w:w="1701" w:type="dxa"/>
            <w:vAlign w:val="center"/>
          </w:tcPr>
          <w:p w:rsidR="00135F59" w:rsidRPr="00AE6EDB" w:rsidRDefault="00135F59" w:rsidP="00135F59">
            <w:pPr>
              <w:ind w:right="497"/>
              <w:jc w:val="right"/>
              <w:rPr>
                <w:sz w:val="20"/>
              </w:rPr>
            </w:pPr>
            <w:r w:rsidRPr="00AE6EDB">
              <w:rPr>
                <w:color w:val="000000"/>
                <w:sz w:val="20"/>
                <w:szCs w:val="18"/>
              </w:rPr>
              <w:t>8</w:t>
            </w:r>
          </w:p>
        </w:tc>
        <w:tc>
          <w:tcPr>
            <w:tcW w:w="1634" w:type="dxa"/>
            <w:vAlign w:val="center"/>
          </w:tcPr>
          <w:p w:rsidR="00135F59" w:rsidRPr="00AE6EDB" w:rsidRDefault="00135F59" w:rsidP="00135F59">
            <w:pPr>
              <w:ind w:right="497"/>
              <w:jc w:val="right"/>
              <w:rPr>
                <w:sz w:val="20"/>
              </w:rPr>
            </w:pPr>
            <w:r w:rsidRPr="00AE6EDB">
              <w:rPr>
                <w:color w:val="000000"/>
                <w:sz w:val="20"/>
                <w:szCs w:val="18"/>
              </w:rPr>
              <w:t>86</w:t>
            </w:r>
          </w:p>
        </w:tc>
        <w:tc>
          <w:tcPr>
            <w:tcW w:w="1824" w:type="dxa"/>
            <w:vAlign w:val="center"/>
          </w:tcPr>
          <w:p w:rsidR="00135F59" w:rsidRPr="00AE6EDB" w:rsidRDefault="00135F59" w:rsidP="00135F59">
            <w:pPr>
              <w:ind w:right="497"/>
              <w:jc w:val="right"/>
              <w:rPr>
                <w:sz w:val="20"/>
              </w:rPr>
            </w:pPr>
            <w:r w:rsidRPr="00AE6EDB">
              <w:rPr>
                <w:color w:val="000000"/>
                <w:sz w:val="20"/>
                <w:szCs w:val="18"/>
              </w:rPr>
              <w:t>5</w:t>
            </w:r>
          </w:p>
        </w:tc>
        <w:tc>
          <w:tcPr>
            <w:tcW w:w="1825" w:type="dxa"/>
            <w:vAlign w:val="center"/>
          </w:tcPr>
          <w:p w:rsidR="00135F59" w:rsidRPr="00AE6EDB" w:rsidRDefault="00AC44CB" w:rsidP="00135F59">
            <w:pPr>
              <w:ind w:right="497"/>
              <w:jc w:val="right"/>
              <w:rPr>
                <w:sz w:val="20"/>
              </w:rPr>
            </w:pPr>
            <w:r>
              <w:rPr>
                <w:color w:val="000000"/>
                <w:sz w:val="20"/>
                <w:szCs w:val="18"/>
              </w:rPr>
              <w:t>6 3</w:t>
            </w:r>
            <w:r w:rsidR="00135F59" w:rsidRPr="00AE6EDB">
              <w:rPr>
                <w:color w:val="000000"/>
                <w:sz w:val="20"/>
                <w:szCs w:val="18"/>
              </w:rPr>
              <w:t>76</w:t>
            </w:r>
          </w:p>
        </w:tc>
        <w:tc>
          <w:tcPr>
            <w:tcW w:w="1825" w:type="dxa"/>
            <w:vAlign w:val="center"/>
          </w:tcPr>
          <w:p w:rsidR="00135F59" w:rsidRPr="00AE6EDB" w:rsidRDefault="00135F59" w:rsidP="00135F59">
            <w:pPr>
              <w:ind w:right="497"/>
              <w:jc w:val="right"/>
              <w:rPr>
                <w:sz w:val="20"/>
              </w:rPr>
            </w:pPr>
            <w:r w:rsidRPr="00AE6EDB">
              <w:rPr>
                <w:color w:val="000000"/>
                <w:sz w:val="20"/>
                <w:szCs w:val="18"/>
              </w:rPr>
              <w:t>1</w:t>
            </w:r>
            <w:r w:rsidR="00AC44CB">
              <w:rPr>
                <w:color w:val="000000"/>
                <w:sz w:val="20"/>
                <w:szCs w:val="18"/>
              </w:rPr>
              <w:t>7 6</w:t>
            </w:r>
            <w:r w:rsidRPr="00AE6EDB">
              <w:rPr>
                <w:color w:val="000000"/>
                <w:sz w:val="20"/>
                <w:szCs w:val="18"/>
              </w:rPr>
              <w:t>16</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zariadenie dočasnej starostlivosti o deti</w:t>
            </w:r>
          </w:p>
        </w:tc>
        <w:tc>
          <w:tcPr>
            <w:tcW w:w="1701" w:type="dxa"/>
            <w:vAlign w:val="center"/>
          </w:tcPr>
          <w:p w:rsidR="00135F59" w:rsidRPr="00AE6EDB" w:rsidRDefault="00135F59" w:rsidP="00135F59">
            <w:pPr>
              <w:ind w:right="497"/>
              <w:jc w:val="right"/>
              <w:rPr>
                <w:sz w:val="20"/>
              </w:rPr>
            </w:pPr>
            <w:r w:rsidRPr="00AE6EDB">
              <w:rPr>
                <w:color w:val="000000"/>
                <w:sz w:val="20"/>
                <w:szCs w:val="18"/>
              </w:rPr>
              <w:t>4</w:t>
            </w:r>
          </w:p>
        </w:tc>
        <w:tc>
          <w:tcPr>
            <w:tcW w:w="1634" w:type="dxa"/>
            <w:vAlign w:val="center"/>
          </w:tcPr>
          <w:p w:rsidR="00135F59" w:rsidRPr="00AE6EDB" w:rsidRDefault="00135F59" w:rsidP="00135F59">
            <w:pPr>
              <w:ind w:right="497"/>
              <w:jc w:val="right"/>
              <w:rPr>
                <w:sz w:val="20"/>
              </w:rPr>
            </w:pPr>
            <w:r w:rsidRPr="00AE6EDB">
              <w:rPr>
                <w:color w:val="000000"/>
                <w:sz w:val="20"/>
                <w:szCs w:val="18"/>
              </w:rPr>
              <w:t>6</w:t>
            </w:r>
          </w:p>
        </w:tc>
        <w:tc>
          <w:tcPr>
            <w:tcW w:w="1824" w:type="dxa"/>
            <w:vAlign w:val="center"/>
          </w:tcPr>
          <w:p w:rsidR="00135F59" w:rsidRPr="00AE6EDB" w:rsidRDefault="00135F59" w:rsidP="00135F59">
            <w:pPr>
              <w:ind w:right="497"/>
              <w:jc w:val="right"/>
              <w:rPr>
                <w:sz w:val="20"/>
              </w:rPr>
            </w:pPr>
            <w:r w:rsidRPr="00AE6EDB">
              <w:rPr>
                <w:color w:val="000000"/>
                <w:sz w:val="20"/>
                <w:szCs w:val="18"/>
              </w:rPr>
              <w:t>2</w:t>
            </w:r>
          </w:p>
        </w:tc>
        <w:tc>
          <w:tcPr>
            <w:tcW w:w="1825" w:type="dxa"/>
            <w:vAlign w:val="center"/>
          </w:tcPr>
          <w:p w:rsidR="00135F59" w:rsidRPr="00AE6EDB" w:rsidRDefault="00135F59" w:rsidP="00135F59">
            <w:pPr>
              <w:ind w:right="497"/>
              <w:jc w:val="right"/>
              <w:rPr>
                <w:sz w:val="20"/>
              </w:rPr>
            </w:pPr>
            <w:r w:rsidRPr="00AE6EDB">
              <w:rPr>
                <w:color w:val="000000"/>
                <w:sz w:val="20"/>
                <w:szCs w:val="18"/>
              </w:rPr>
              <w:t>3</w:t>
            </w:r>
            <w:r w:rsidR="0054295F">
              <w:rPr>
                <w:color w:val="000000"/>
                <w:sz w:val="20"/>
                <w:szCs w:val="18"/>
              </w:rPr>
              <w:t>0 5</w:t>
            </w:r>
            <w:r w:rsidRPr="00AE6EDB">
              <w:rPr>
                <w:color w:val="000000"/>
                <w:sz w:val="20"/>
                <w:szCs w:val="18"/>
              </w:rPr>
              <w:t>34</w:t>
            </w:r>
          </w:p>
        </w:tc>
        <w:tc>
          <w:tcPr>
            <w:tcW w:w="1825" w:type="dxa"/>
            <w:vAlign w:val="center"/>
          </w:tcPr>
          <w:p w:rsidR="00135F59" w:rsidRPr="00AE6EDB" w:rsidRDefault="00135F59" w:rsidP="00135F59">
            <w:pPr>
              <w:ind w:right="497"/>
              <w:jc w:val="right"/>
              <w:rPr>
                <w:sz w:val="20"/>
              </w:rPr>
            </w:pPr>
            <w:r w:rsidRPr="00AE6EDB">
              <w:rPr>
                <w:color w:val="000000"/>
                <w:sz w:val="20"/>
                <w:szCs w:val="18"/>
              </w:rPr>
              <w:t>2</w:t>
            </w:r>
            <w:r w:rsidR="00AC44CB">
              <w:rPr>
                <w:color w:val="000000"/>
                <w:sz w:val="20"/>
                <w:szCs w:val="18"/>
              </w:rPr>
              <w:t>9 9</w:t>
            </w:r>
            <w:r w:rsidRPr="00AE6EDB">
              <w:rPr>
                <w:color w:val="000000"/>
                <w:sz w:val="20"/>
                <w:szCs w:val="18"/>
              </w:rPr>
              <w:t>75</w:t>
            </w:r>
          </w:p>
        </w:tc>
      </w:tr>
      <w:tr w:rsidR="00135F59" w:rsidRPr="00AE6EDB" w:rsidTr="00135F59">
        <w:trPr>
          <w:trHeight w:val="302"/>
        </w:trPr>
        <w:tc>
          <w:tcPr>
            <w:tcW w:w="4688" w:type="dxa"/>
            <w:vAlign w:val="bottom"/>
            <w:hideMark/>
          </w:tcPr>
          <w:p w:rsidR="00135F59" w:rsidRPr="00AE6EDB" w:rsidRDefault="00135F59" w:rsidP="00DE0EEC">
            <w:pPr>
              <w:jc w:val="left"/>
            </w:pPr>
            <w:proofErr w:type="spellStart"/>
            <w:r w:rsidRPr="00AE6EDB">
              <w:t>nízkoprahová</w:t>
            </w:r>
            <w:proofErr w:type="spellEnd"/>
            <w:r w:rsidRPr="00AE6EDB">
              <w:t xml:space="preserve"> sociálna služba pre deti a rodinu</w:t>
            </w:r>
          </w:p>
        </w:tc>
        <w:tc>
          <w:tcPr>
            <w:tcW w:w="1701" w:type="dxa"/>
            <w:vAlign w:val="center"/>
          </w:tcPr>
          <w:p w:rsidR="00135F59" w:rsidRPr="00AE6EDB" w:rsidRDefault="00135F59" w:rsidP="00135F59">
            <w:pPr>
              <w:ind w:right="497"/>
              <w:jc w:val="right"/>
              <w:rPr>
                <w:sz w:val="20"/>
              </w:rPr>
            </w:pPr>
            <w:r w:rsidRPr="00AE6EDB">
              <w:rPr>
                <w:color w:val="000000"/>
                <w:sz w:val="20"/>
                <w:szCs w:val="18"/>
              </w:rPr>
              <w:t>12</w:t>
            </w:r>
          </w:p>
        </w:tc>
        <w:tc>
          <w:tcPr>
            <w:tcW w:w="1634" w:type="dxa"/>
            <w:vAlign w:val="center"/>
          </w:tcPr>
          <w:p w:rsidR="00135F59" w:rsidRPr="00AE6EDB" w:rsidRDefault="0054295F" w:rsidP="00135F59">
            <w:pPr>
              <w:ind w:right="497"/>
              <w:jc w:val="right"/>
              <w:rPr>
                <w:sz w:val="20"/>
              </w:rPr>
            </w:pPr>
            <w:r>
              <w:rPr>
                <w:color w:val="000000"/>
                <w:sz w:val="20"/>
                <w:szCs w:val="18"/>
              </w:rPr>
              <w:t>1 3</w:t>
            </w:r>
            <w:r w:rsidR="00135F59" w:rsidRPr="00AE6EDB">
              <w:rPr>
                <w:color w:val="000000"/>
                <w:sz w:val="20"/>
                <w:szCs w:val="18"/>
              </w:rPr>
              <w:t>23</w:t>
            </w:r>
          </w:p>
        </w:tc>
        <w:tc>
          <w:tcPr>
            <w:tcW w:w="1824" w:type="dxa"/>
            <w:vAlign w:val="center"/>
          </w:tcPr>
          <w:p w:rsidR="00135F59" w:rsidRPr="00AE6EDB" w:rsidRDefault="00135F59" w:rsidP="00135F59">
            <w:pPr>
              <w:ind w:right="497"/>
              <w:jc w:val="right"/>
              <w:rPr>
                <w:sz w:val="20"/>
              </w:rPr>
            </w:pPr>
            <w:r w:rsidRPr="00AE6EDB">
              <w:rPr>
                <w:color w:val="000000"/>
                <w:sz w:val="20"/>
                <w:szCs w:val="18"/>
              </w:rPr>
              <w:t>15</w:t>
            </w:r>
          </w:p>
        </w:tc>
        <w:tc>
          <w:tcPr>
            <w:tcW w:w="1825" w:type="dxa"/>
            <w:vAlign w:val="center"/>
          </w:tcPr>
          <w:p w:rsidR="00135F59" w:rsidRPr="00AE6EDB" w:rsidRDefault="00135F59" w:rsidP="00135F59">
            <w:pPr>
              <w:ind w:right="497"/>
              <w:jc w:val="right"/>
              <w:rPr>
                <w:sz w:val="20"/>
              </w:rPr>
            </w:pPr>
            <w:r w:rsidRPr="00AE6EDB">
              <w:rPr>
                <w:color w:val="000000"/>
                <w:sz w:val="20"/>
                <w:szCs w:val="18"/>
              </w:rPr>
              <w:t>13</w:t>
            </w:r>
            <w:r w:rsidR="00AC44CB">
              <w:rPr>
                <w:color w:val="000000"/>
                <w:sz w:val="20"/>
                <w:szCs w:val="18"/>
              </w:rPr>
              <w:t>9 6</w:t>
            </w:r>
            <w:r w:rsidRPr="00AE6EDB">
              <w:rPr>
                <w:color w:val="000000"/>
                <w:sz w:val="20"/>
                <w:szCs w:val="18"/>
              </w:rPr>
              <w:t>23</w:t>
            </w:r>
          </w:p>
        </w:tc>
        <w:tc>
          <w:tcPr>
            <w:tcW w:w="1825" w:type="dxa"/>
            <w:vAlign w:val="center"/>
          </w:tcPr>
          <w:p w:rsidR="00135F59" w:rsidRPr="00AE6EDB" w:rsidRDefault="00135F59" w:rsidP="00135F59">
            <w:pPr>
              <w:ind w:right="497"/>
              <w:jc w:val="right"/>
              <w:rPr>
                <w:sz w:val="20"/>
              </w:rPr>
            </w:pPr>
            <w:r w:rsidRPr="00AE6EDB">
              <w:rPr>
                <w:color w:val="000000"/>
                <w:sz w:val="20"/>
                <w:szCs w:val="18"/>
              </w:rPr>
              <w:t>16</w:t>
            </w:r>
            <w:r w:rsidR="00AC44CB">
              <w:rPr>
                <w:color w:val="000000"/>
                <w:sz w:val="20"/>
                <w:szCs w:val="18"/>
              </w:rPr>
              <w:t>5 7</w:t>
            </w:r>
            <w:r w:rsidRPr="00AE6EDB">
              <w:rPr>
                <w:color w:val="000000"/>
                <w:sz w:val="20"/>
                <w:szCs w:val="18"/>
              </w:rPr>
              <w:t>22</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sprievodcovská a predčitateľská služba</w:t>
            </w:r>
          </w:p>
        </w:tc>
        <w:tc>
          <w:tcPr>
            <w:tcW w:w="1701" w:type="dxa"/>
            <w:vAlign w:val="center"/>
          </w:tcPr>
          <w:p w:rsidR="00135F59" w:rsidRPr="00AE6EDB" w:rsidRDefault="00135F59" w:rsidP="00135F59">
            <w:pPr>
              <w:ind w:right="497"/>
              <w:jc w:val="right"/>
              <w:rPr>
                <w:sz w:val="20"/>
              </w:rPr>
            </w:pPr>
            <w:r w:rsidRPr="00AE6EDB">
              <w:rPr>
                <w:color w:val="000000"/>
                <w:sz w:val="20"/>
                <w:szCs w:val="18"/>
              </w:rPr>
              <w:t>1</w:t>
            </w:r>
          </w:p>
        </w:tc>
        <w:tc>
          <w:tcPr>
            <w:tcW w:w="1634" w:type="dxa"/>
            <w:vAlign w:val="center"/>
          </w:tcPr>
          <w:p w:rsidR="00135F59" w:rsidRPr="00AE6EDB" w:rsidRDefault="00135F59" w:rsidP="00135F59">
            <w:pPr>
              <w:ind w:right="497"/>
              <w:jc w:val="right"/>
              <w:rPr>
                <w:sz w:val="20"/>
              </w:rPr>
            </w:pPr>
            <w:r w:rsidRPr="00AE6EDB">
              <w:rPr>
                <w:color w:val="000000"/>
                <w:sz w:val="20"/>
                <w:szCs w:val="18"/>
              </w:rPr>
              <w:t>93</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tlmočnícka služba</w:t>
            </w:r>
          </w:p>
        </w:tc>
        <w:tc>
          <w:tcPr>
            <w:tcW w:w="1701" w:type="dxa"/>
            <w:vAlign w:val="center"/>
          </w:tcPr>
          <w:p w:rsidR="00135F59" w:rsidRPr="00AE6EDB" w:rsidRDefault="00135F59" w:rsidP="00135F59">
            <w:pPr>
              <w:ind w:right="497"/>
              <w:jc w:val="right"/>
              <w:rPr>
                <w:sz w:val="20"/>
              </w:rPr>
            </w:pPr>
            <w:r w:rsidRPr="00AE6EDB">
              <w:rPr>
                <w:color w:val="000000"/>
                <w:sz w:val="20"/>
                <w:szCs w:val="18"/>
              </w:rPr>
              <w:t>1</w:t>
            </w:r>
          </w:p>
        </w:tc>
        <w:tc>
          <w:tcPr>
            <w:tcW w:w="1634" w:type="dxa"/>
            <w:vAlign w:val="center"/>
          </w:tcPr>
          <w:p w:rsidR="00135F59" w:rsidRPr="00AE6EDB" w:rsidRDefault="00135F59" w:rsidP="00135F59">
            <w:pPr>
              <w:ind w:right="497"/>
              <w:jc w:val="right"/>
              <w:rPr>
                <w:sz w:val="20"/>
              </w:rPr>
            </w:pPr>
            <w:r w:rsidRPr="00AE6EDB">
              <w:rPr>
                <w:color w:val="000000"/>
                <w:sz w:val="20"/>
                <w:szCs w:val="18"/>
              </w:rPr>
              <w:t>201</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sprostredkovanie tlmočníckej služby</w:t>
            </w:r>
          </w:p>
        </w:tc>
        <w:tc>
          <w:tcPr>
            <w:tcW w:w="1701" w:type="dxa"/>
            <w:vAlign w:val="center"/>
          </w:tcPr>
          <w:p w:rsidR="00135F59" w:rsidRPr="00AE6EDB" w:rsidRDefault="00135F59" w:rsidP="00135F59">
            <w:pPr>
              <w:ind w:right="497"/>
              <w:jc w:val="right"/>
              <w:rPr>
                <w:sz w:val="20"/>
              </w:rPr>
            </w:pPr>
            <w:r w:rsidRPr="00AE6EDB">
              <w:rPr>
                <w:color w:val="000000"/>
                <w:sz w:val="20"/>
                <w:szCs w:val="18"/>
              </w:rPr>
              <w:t>1</w:t>
            </w:r>
          </w:p>
        </w:tc>
        <w:tc>
          <w:tcPr>
            <w:tcW w:w="1634" w:type="dxa"/>
            <w:vAlign w:val="center"/>
          </w:tcPr>
          <w:p w:rsidR="00135F59" w:rsidRPr="00AE6EDB" w:rsidRDefault="00135F59" w:rsidP="00135F59">
            <w:pPr>
              <w:ind w:right="497"/>
              <w:jc w:val="right"/>
              <w:rPr>
                <w:sz w:val="20"/>
              </w:rPr>
            </w:pPr>
            <w:r w:rsidRPr="00AE6EDB">
              <w:rPr>
                <w:color w:val="000000"/>
                <w:sz w:val="20"/>
                <w:szCs w:val="18"/>
              </w:rPr>
              <w:t>58</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sprostredkovanie osobnej asistencie</w:t>
            </w:r>
          </w:p>
        </w:tc>
        <w:tc>
          <w:tcPr>
            <w:tcW w:w="1701" w:type="dxa"/>
            <w:vAlign w:val="center"/>
          </w:tcPr>
          <w:p w:rsidR="00135F59" w:rsidRPr="00AE6EDB" w:rsidRDefault="00135F59" w:rsidP="00135F59">
            <w:pPr>
              <w:ind w:right="497"/>
              <w:jc w:val="right"/>
              <w:rPr>
                <w:sz w:val="20"/>
              </w:rPr>
            </w:pPr>
            <w:r w:rsidRPr="00AE6EDB">
              <w:rPr>
                <w:color w:val="000000"/>
                <w:sz w:val="20"/>
                <w:szCs w:val="18"/>
              </w:rPr>
              <w:t>2</w:t>
            </w:r>
          </w:p>
        </w:tc>
        <w:tc>
          <w:tcPr>
            <w:tcW w:w="1634" w:type="dxa"/>
            <w:vAlign w:val="center"/>
          </w:tcPr>
          <w:p w:rsidR="00135F59" w:rsidRPr="00AE6EDB" w:rsidRDefault="00135F59" w:rsidP="00135F59">
            <w:pPr>
              <w:ind w:right="497"/>
              <w:jc w:val="right"/>
              <w:rPr>
                <w:sz w:val="20"/>
              </w:rPr>
            </w:pPr>
            <w:r w:rsidRPr="00AE6EDB">
              <w:rPr>
                <w:color w:val="000000"/>
                <w:sz w:val="20"/>
                <w:szCs w:val="18"/>
              </w:rPr>
              <w:t>169</w:t>
            </w:r>
          </w:p>
        </w:tc>
        <w:tc>
          <w:tcPr>
            <w:tcW w:w="1824" w:type="dxa"/>
            <w:vAlign w:val="center"/>
          </w:tcPr>
          <w:p w:rsidR="00135F59" w:rsidRPr="00AE6EDB" w:rsidRDefault="00135F59" w:rsidP="00135F59">
            <w:pPr>
              <w:ind w:right="497"/>
              <w:jc w:val="right"/>
              <w:rPr>
                <w:sz w:val="20"/>
              </w:rPr>
            </w:pPr>
            <w:r w:rsidRPr="00AE6EDB">
              <w:rPr>
                <w:color w:val="000000"/>
                <w:sz w:val="20"/>
                <w:szCs w:val="18"/>
              </w:rPr>
              <w:t>1</w:t>
            </w:r>
          </w:p>
        </w:tc>
        <w:tc>
          <w:tcPr>
            <w:tcW w:w="1825" w:type="dxa"/>
            <w:vAlign w:val="center"/>
          </w:tcPr>
          <w:p w:rsidR="00135F59" w:rsidRPr="00AE6EDB" w:rsidRDefault="0054295F" w:rsidP="00135F59">
            <w:pPr>
              <w:ind w:right="497"/>
              <w:jc w:val="right"/>
              <w:rPr>
                <w:sz w:val="20"/>
              </w:rPr>
            </w:pPr>
            <w:r>
              <w:rPr>
                <w:color w:val="000000"/>
                <w:sz w:val="20"/>
                <w:szCs w:val="18"/>
              </w:rPr>
              <w:t>3 1</w:t>
            </w:r>
            <w:r w:rsidR="00135F59" w:rsidRPr="00AE6EDB">
              <w:rPr>
                <w:color w:val="000000"/>
                <w:sz w:val="20"/>
                <w:szCs w:val="18"/>
              </w:rPr>
              <w:t>05</w:t>
            </w:r>
          </w:p>
        </w:tc>
        <w:tc>
          <w:tcPr>
            <w:tcW w:w="1825" w:type="dxa"/>
            <w:vAlign w:val="center"/>
          </w:tcPr>
          <w:p w:rsidR="00135F59" w:rsidRPr="00AE6EDB" w:rsidRDefault="0054295F" w:rsidP="00135F59">
            <w:pPr>
              <w:ind w:right="497"/>
              <w:jc w:val="right"/>
              <w:rPr>
                <w:sz w:val="20"/>
              </w:rPr>
            </w:pPr>
            <w:r>
              <w:rPr>
                <w:color w:val="000000"/>
                <w:sz w:val="20"/>
                <w:szCs w:val="18"/>
              </w:rPr>
              <w:t>3 1</w:t>
            </w:r>
            <w:r w:rsidR="00135F59" w:rsidRPr="00AE6EDB">
              <w:rPr>
                <w:color w:val="000000"/>
                <w:sz w:val="20"/>
                <w:szCs w:val="18"/>
              </w:rPr>
              <w:t>05</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požičiavanie pomôcok</w:t>
            </w:r>
          </w:p>
        </w:tc>
        <w:tc>
          <w:tcPr>
            <w:tcW w:w="1701" w:type="dxa"/>
            <w:vAlign w:val="center"/>
          </w:tcPr>
          <w:p w:rsidR="00135F59" w:rsidRPr="00AE6EDB" w:rsidRDefault="00135F59" w:rsidP="00135F59">
            <w:pPr>
              <w:ind w:right="497"/>
              <w:jc w:val="right"/>
              <w:rPr>
                <w:sz w:val="20"/>
              </w:rPr>
            </w:pPr>
            <w:r w:rsidRPr="00AE6EDB">
              <w:rPr>
                <w:color w:val="000000"/>
                <w:sz w:val="20"/>
                <w:szCs w:val="18"/>
              </w:rPr>
              <w:t>17</w:t>
            </w:r>
          </w:p>
        </w:tc>
        <w:tc>
          <w:tcPr>
            <w:tcW w:w="1634" w:type="dxa"/>
            <w:vAlign w:val="center"/>
          </w:tcPr>
          <w:p w:rsidR="00135F59" w:rsidRPr="00AE6EDB" w:rsidRDefault="00135F59" w:rsidP="00135F59">
            <w:pPr>
              <w:ind w:right="497"/>
              <w:jc w:val="right"/>
              <w:rPr>
                <w:sz w:val="20"/>
              </w:rPr>
            </w:pPr>
            <w:r w:rsidRPr="00AE6EDB">
              <w:rPr>
                <w:color w:val="000000"/>
                <w:sz w:val="20"/>
                <w:szCs w:val="18"/>
              </w:rPr>
              <w:t>264</w:t>
            </w:r>
          </w:p>
        </w:tc>
        <w:tc>
          <w:tcPr>
            <w:tcW w:w="1824" w:type="dxa"/>
            <w:vAlign w:val="center"/>
          </w:tcPr>
          <w:p w:rsidR="00135F59" w:rsidRPr="00AE6EDB" w:rsidRDefault="00135F59" w:rsidP="00135F59">
            <w:pPr>
              <w:ind w:right="497"/>
              <w:jc w:val="right"/>
              <w:rPr>
                <w:sz w:val="20"/>
              </w:rPr>
            </w:pPr>
            <w:r w:rsidRPr="00AE6EDB">
              <w:rPr>
                <w:color w:val="000000"/>
                <w:sz w:val="20"/>
                <w:szCs w:val="18"/>
              </w:rPr>
              <w:t>4</w:t>
            </w:r>
          </w:p>
        </w:tc>
        <w:tc>
          <w:tcPr>
            <w:tcW w:w="1825" w:type="dxa"/>
            <w:vAlign w:val="center"/>
          </w:tcPr>
          <w:p w:rsidR="00135F59" w:rsidRPr="00AE6EDB" w:rsidRDefault="00135F59" w:rsidP="00135F59">
            <w:pPr>
              <w:ind w:right="497"/>
              <w:jc w:val="right"/>
              <w:rPr>
                <w:sz w:val="20"/>
              </w:rPr>
            </w:pPr>
            <w:r w:rsidRPr="00AE6EDB">
              <w:rPr>
                <w:color w:val="000000"/>
                <w:sz w:val="20"/>
                <w:szCs w:val="18"/>
              </w:rPr>
              <w:t>1</w:t>
            </w:r>
            <w:r w:rsidR="0054295F">
              <w:rPr>
                <w:color w:val="000000"/>
                <w:sz w:val="20"/>
                <w:szCs w:val="18"/>
              </w:rPr>
              <w:t>2 1</w:t>
            </w:r>
            <w:r w:rsidRPr="00AE6EDB">
              <w:rPr>
                <w:color w:val="000000"/>
                <w:sz w:val="20"/>
                <w:szCs w:val="18"/>
              </w:rPr>
              <w:t>57</w:t>
            </w:r>
          </w:p>
        </w:tc>
        <w:tc>
          <w:tcPr>
            <w:tcW w:w="1825" w:type="dxa"/>
            <w:vAlign w:val="center"/>
          </w:tcPr>
          <w:p w:rsidR="00135F59" w:rsidRPr="00AE6EDB" w:rsidRDefault="00135F59" w:rsidP="00135F59">
            <w:pPr>
              <w:ind w:right="497"/>
              <w:jc w:val="right"/>
              <w:rPr>
                <w:sz w:val="20"/>
              </w:rPr>
            </w:pPr>
            <w:r w:rsidRPr="00AE6EDB">
              <w:rPr>
                <w:color w:val="000000"/>
                <w:sz w:val="20"/>
                <w:szCs w:val="18"/>
              </w:rPr>
              <w:t>1</w:t>
            </w:r>
            <w:r w:rsidR="0054295F">
              <w:rPr>
                <w:color w:val="000000"/>
                <w:sz w:val="20"/>
                <w:szCs w:val="18"/>
              </w:rPr>
              <w:t>4 5</w:t>
            </w:r>
            <w:r w:rsidRPr="00AE6EDB">
              <w:rPr>
                <w:color w:val="000000"/>
                <w:sz w:val="20"/>
                <w:szCs w:val="18"/>
              </w:rPr>
              <w:t>93</w:t>
            </w:r>
          </w:p>
        </w:tc>
      </w:tr>
      <w:tr w:rsidR="00135F59" w:rsidRPr="00AE6EDB" w:rsidTr="00135F59">
        <w:trPr>
          <w:trHeight w:val="249"/>
        </w:trPr>
        <w:tc>
          <w:tcPr>
            <w:tcW w:w="4688" w:type="dxa"/>
            <w:vAlign w:val="bottom"/>
            <w:hideMark/>
          </w:tcPr>
          <w:p w:rsidR="00135F59" w:rsidRPr="00AE6EDB" w:rsidRDefault="00135F59" w:rsidP="00DE0EEC">
            <w:pPr>
              <w:jc w:val="left"/>
            </w:pPr>
            <w:r w:rsidRPr="00AE6EDB">
              <w:t>monitorovanie a signalizácia potreby pomoci</w:t>
            </w:r>
          </w:p>
        </w:tc>
        <w:tc>
          <w:tcPr>
            <w:tcW w:w="1701" w:type="dxa"/>
            <w:vAlign w:val="center"/>
          </w:tcPr>
          <w:p w:rsidR="00135F59" w:rsidRPr="00AE6EDB" w:rsidRDefault="00135F59" w:rsidP="00135F59">
            <w:pPr>
              <w:ind w:right="497"/>
              <w:jc w:val="right"/>
              <w:rPr>
                <w:sz w:val="20"/>
              </w:rPr>
            </w:pPr>
            <w:r w:rsidRPr="00AE6EDB">
              <w:rPr>
                <w:color w:val="000000"/>
                <w:sz w:val="20"/>
                <w:szCs w:val="18"/>
              </w:rPr>
              <w:t>7</w:t>
            </w:r>
          </w:p>
        </w:tc>
        <w:tc>
          <w:tcPr>
            <w:tcW w:w="1634" w:type="dxa"/>
            <w:vAlign w:val="center"/>
          </w:tcPr>
          <w:p w:rsidR="00135F59" w:rsidRPr="00AE6EDB" w:rsidRDefault="00135F59" w:rsidP="00135F59">
            <w:pPr>
              <w:ind w:right="497"/>
              <w:jc w:val="right"/>
              <w:rPr>
                <w:sz w:val="20"/>
              </w:rPr>
            </w:pPr>
            <w:r w:rsidRPr="00AE6EDB">
              <w:rPr>
                <w:color w:val="000000"/>
                <w:sz w:val="20"/>
                <w:szCs w:val="18"/>
              </w:rPr>
              <w:t>144</w:t>
            </w:r>
          </w:p>
        </w:tc>
        <w:tc>
          <w:tcPr>
            <w:tcW w:w="1824" w:type="dxa"/>
            <w:vAlign w:val="center"/>
          </w:tcPr>
          <w:p w:rsidR="00135F59" w:rsidRPr="00AE6EDB" w:rsidRDefault="00135F59" w:rsidP="00135F59">
            <w:pPr>
              <w:ind w:right="497"/>
              <w:jc w:val="right"/>
              <w:rPr>
                <w:sz w:val="20"/>
              </w:rPr>
            </w:pPr>
            <w:r w:rsidRPr="00AE6EDB">
              <w:rPr>
                <w:color w:val="000000"/>
                <w:sz w:val="20"/>
                <w:szCs w:val="18"/>
              </w:rPr>
              <w:t>5</w:t>
            </w:r>
          </w:p>
        </w:tc>
        <w:tc>
          <w:tcPr>
            <w:tcW w:w="1825" w:type="dxa"/>
            <w:vAlign w:val="center"/>
          </w:tcPr>
          <w:p w:rsidR="00135F59" w:rsidRPr="00AE6EDB" w:rsidRDefault="00AC44CB" w:rsidP="00135F59">
            <w:pPr>
              <w:ind w:right="497"/>
              <w:jc w:val="right"/>
              <w:rPr>
                <w:sz w:val="20"/>
              </w:rPr>
            </w:pPr>
            <w:r>
              <w:rPr>
                <w:color w:val="000000"/>
                <w:sz w:val="20"/>
                <w:szCs w:val="18"/>
              </w:rPr>
              <w:t>7 0</w:t>
            </w:r>
            <w:r w:rsidR="00135F59" w:rsidRPr="00AE6EDB">
              <w:rPr>
                <w:color w:val="000000"/>
                <w:sz w:val="20"/>
                <w:szCs w:val="18"/>
              </w:rPr>
              <w:t>13</w:t>
            </w:r>
          </w:p>
        </w:tc>
        <w:tc>
          <w:tcPr>
            <w:tcW w:w="1825" w:type="dxa"/>
            <w:vAlign w:val="center"/>
          </w:tcPr>
          <w:p w:rsidR="00135F59" w:rsidRPr="00AE6EDB" w:rsidRDefault="00135F59" w:rsidP="00135F59">
            <w:pPr>
              <w:ind w:right="497"/>
              <w:jc w:val="right"/>
              <w:rPr>
                <w:sz w:val="20"/>
              </w:rPr>
            </w:pPr>
            <w:r w:rsidRPr="00AE6EDB">
              <w:rPr>
                <w:color w:val="000000"/>
                <w:sz w:val="20"/>
                <w:szCs w:val="18"/>
              </w:rPr>
              <w:t>1</w:t>
            </w:r>
            <w:r w:rsidR="0054295F">
              <w:rPr>
                <w:color w:val="000000"/>
                <w:sz w:val="20"/>
                <w:szCs w:val="18"/>
              </w:rPr>
              <w:t>2 4</w:t>
            </w:r>
            <w:r w:rsidRPr="00AE6EDB">
              <w:rPr>
                <w:color w:val="000000"/>
                <w:sz w:val="20"/>
                <w:szCs w:val="18"/>
              </w:rPr>
              <w:t>68</w:t>
            </w:r>
          </w:p>
        </w:tc>
      </w:tr>
      <w:tr w:rsidR="00135F59" w:rsidRPr="00AE6EDB" w:rsidTr="00135F59">
        <w:trPr>
          <w:trHeight w:val="469"/>
        </w:trPr>
        <w:tc>
          <w:tcPr>
            <w:tcW w:w="4688" w:type="dxa"/>
            <w:vAlign w:val="bottom"/>
            <w:hideMark/>
          </w:tcPr>
          <w:p w:rsidR="00135F59" w:rsidRPr="00AE6EDB" w:rsidRDefault="00135F59" w:rsidP="00DE0EEC">
            <w:pPr>
              <w:jc w:val="left"/>
            </w:pPr>
            <w:r w:rsidRPr="00AE6EDB">
              <w:t>krízová pomoc prostredníctvom telekomunikačných technológií</w:t>
            </w:r>
          </w:p>
        </w:tc>
        <w:tc>
          <w:tcPr>
            <w:tcW w:w="1701" w:type="dxa"/>
            <w:vAlign w:val="center"/>
          </w:tcPr>
          <w:p w:rsidR="00135F59" w:rsidRPr="00AE6EDB" w:rsidRDefault="00135F59" w:rsidP="00135F59">
            <w:pPr>
              <w:ind w:right="497"/>
              <w:jc w:val="right"/>
              <w:rPr>
                <w:sz w:val="20"/>
              </w:rPr>
            </w:pPr>
            <w:r w:rsidRPr="00AE6EDB">
              <w:rPr>
                <w:color w:val="000000"/>
                <w:sz w:val="20"/>
                <w:szCs w:val="18"/>
              </w:rPr>
              <w:t>1</w:t>
            </w:r>
          </w:p>
        </w:tc>
        <w:tc>
          <w:tcPr>
            <w:tcW w:w="1634" w:type="dxa"/>
            <w:vAlign w:val="center"/>
          </w:tcPr>
          <w:p w:rsidR="00135F59" w:rsidRPr="00AE6EDB" w:rsidRDefault="00135F59" w:rsidP="00135F59">
            <w:pPr>
              <w:ind w:right="497"/>
              <w:jc w:val="right"/>
              <w:rPr>
                <w:sz w:val="20"/>
              </w:rPr>
            </w:pPr>
            <w:r w:rsidRPr="00AE6EDB">
              <w:rPr>
                <w:color w:val="000000"/>
                <w:sz w:val="20"/>
                <w:szCs w:val="18"/>
              </w:rPr>
              <w:t>714</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469"/>
        </w:trPr>
        <w:tc>
          <w:tcPr>
            <w:tcW w:w="4688" w:type="dxa"/>
            <w:vAlign w:val="bottom"/>
            <w:hideMark/>
          </w:tcPr>
          <w:p w:rsidR="00135F59" w:rsidRPr="00AE6EDB" w:rsidRDefault="00135F59" w:rsidP="00DE0EEC">
            <w:pPr>
              <w:jc w:val="left"/>
            </w:pPr>
            <w:r w:rsidRPr="00AE6EDB">
              <w:t>pomoc pri výkone opatrovníckych práv a povinností</w:t>
            </w:r>
          </w:p>
        </w:tc>
        <w:tc>
          <w:tcPr>
            <w:tcW w:w="1701" w:type="dxa"/>
            <w:vAlign w:val="center"/>
          </w:tcPr>
          <w:p w:rsidR="00135F59" w:rsidRPr="00AE6EDB" w:rsidRDefault="00135F59" w:rsidP="00135F59">
            <w:pPr>
              <w:ind w:right="497"/>
              <w:jc w:val="right"/>
              <w:rPr>
                <w:sz w:val="20"/>
              </w:rPr>
            </w:pPr>
            <w:r w:rsidRPr="00AE6EDB">
              <w:rPr>
                <w:color w:val="000000"/>
                <w:sz w:val="20"/>
                <w:szCs w:val="18"/>
              </w:rPr>
              <w:t>8</w:t>
            </w:r>
          </w:p>
        </w:tc>
        <w:tc>
          <w:tcPr>
            <w:tcW w:w="1634" w:type="dxa"/>
            <w:vAlign w:val="center"/>
          </w:tcPr>
          <w:p w:rsidR="00135F59" w:rsidRPr="00AE6EDB" w:rsidRDefault="00135F59" w:rsidP="00135F59">
            <w:pPr>
              <w:ind w:right="497"/>
              <w:jc w:val="right"/>
              <w:rPr>
                <w:sz w:val="20"/>
              </w:rPr>
            </w:pPr>
            <w:r w:rsidRPr="00AE6EDB">
              <w:rPr>
                <w:color w:val="000000"/>
                <w:sz w:val="20"/>
                <w:szCs w:val="18"/>
              </w:rPr>
              <w:t>25</w:t>
            </w:r>
          </w:p>
        </w:tc>
        <w:tc>
          <w:tcPr>
            <w:tcW w:w="1824" w:type="dxa"/>
            <w:vAlign w:val="center"/>
          </w:tcPr>
          <w:p w:rsidR="00135F59" w:rsidRPr="00AE6EDB" w:rsidRDefault="00135F59" w:rsidP="00135F59">
            <w:pPr>
              <w:ind w:right="497"/>
              <w:jc w:val="right"/>
              <w:rPr>
                <w:sz w:val="20"/>
              </w:rPr>
            </w:pPr>
            <w:r w:rsidRPr="00AE6EDB">
              <w:rPr>
                <w:color w:val="000000"/>
                <w:sz w:val="20"/>
                <w:szCs w:val="18"/>
              </w:rPr>
              <w:t>2</w:t>
            </w:r>
          </w:p>
        </w:tc>
        <w:tc>
          <w:tcPr>
            <w:tcW w:w="1825" w:type="dxa"/>
            <w:vAlign w:val="center"/>
          </w:tcPr>
          <w:p w:rsidR="00135F59" w:rsidRPr="00AE6EDB" w:rsidRDefault="0054295F" w:rsidP="00135F59">
            <w:pPr>
              <w:ind w:right="497"/>
              <w:jc w:val="right"/>
              <w:rPr>
                <w:sz w:val="20"/>
              </w:rPr>
            </w:pPr>
            <w:r>
              <w:rPr>
                <w:color w:val="000000"/>
                <w:sz w:val="20"/>
                <w:szCs w:val="18"/>
              </w:rPr>
              <w:t>1 0</w:t>
            </w:r>
            <w:r w:rsidR="00135F59" w:rsidRPr="00AE6EDB">
              <w:rPr>
                <w:color w:val="000000"/>
                <w:sz w:val="20"/>
                <w:szCs w:val="18"/>
              </w:rPr>
              <w:t>39</w:t>
            </w:r>
          </w:p>
        </w:tc>
        <w:tc>
          <w:tcPr>
            <w:tcW w:w="1825" w:type="dxa"/>
            <w:vAlign w:val="center"/>
          </w:tcPr>
          <w:p w:rsidR="00135F59" w:rsidRPr="00AE6EDB" w:rsidRDefault="00AC44CB" w:rsidP="00135F59">
            <w:pPr>
              <w:ind w:right="497"/>
              <w:jc w:val="right"/>
              <w:rPr>
                <w:sz w:val="20"/>
              </w:rPr>
            </w:pPr>
            <w:r>
              <w:rPr>
                <w:color w:val="000000"/>
                <w:sz w:val="20"/>
                <w:szCs w:val="18"/>
              </w:rPr>
              <w:t>4 9</w:t>
            </w:r>
            <w:r w:rsidR="00135F59" w:rsidRPr="00AE6EDB">
              <w:rPr>
                <w:color w:val="000000"/>
                <w:sz w:val="20"/>
                <w:szCs w:val="18"/>
              </w:rPr>
              <w:t>77</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denné centrum</w:t>
            </w:r>
          </w:p>
        </w:tc>
        <w:tc>
          <w:tcPr>
            <w:tcW w:w="1701" w:type="dxa"/>
            <w:vAlign w:val="center"/>
          </w:tcPr>
          <w:p w:rsidR="00135F59" w:rsidRPr="00AE6EDB" w:rsidRDefault="00135F59" w:rsidP="00135F59">
            <w:pPr>
              <w:ind w:right="497"/>
              <w:jc w:val="right"/>
              <w:rPr>
                <w:sz w:val="20"/>
              </w:rPr>
            </w:pPr>
            <w:r w:rsidRPr="00AE6EDB">
              <w:rPr>
                <w:color w:val="000000"/>
                <w:sz w:val="20"/>
                <w:szCs w:val="18"/>
              </w:rPr>
              <w:t>232</w:t>
            </w:r>
          </w:p>
        </w:tc>
        <w:tc>
          <w:tcPr>
            <w:tcW w:w="1634" w:type="dxa"/>
            <w:vAlign w:val="center"/>
          </w:tcPr>
          <w:p w:rsidR="00135F59" w:rsidRPr="00AE6EDB" w:rsidRDefault="00135F59" w:rsidP="00135F59">
            <w:pPr>
              <w:ind w:right="497"/>
              <w:jc w:val="right"/>
              <w:rPr>
                <w:sz w:val="20"/>
              </w:rPr>
            </w:pPr>
            <w:r w:rsidRPr="00AE6EDB">
              <w:rPr>
                <w:color w:val="000000"/>
                <w:sz w:val="20"/>
                <w:szCs w:val="18"/>
              </w:rPr>
              <w:t>4</w:t>
            </w:r>
            <w:r w:rsidR="0054295F">
              <w:rPr>
                <w:color w:val="000000"/>
                <w:sz w:val="20"/>
                <w:szCs w:val="18"/>
              </w:rPr>
              <w:t>0 1</w:t>
            </w:r>
            <w:r w:rsidRPr="00AE6EDB">
              <w:rPr>
                <w:color w:val="000000"/>
                <w:sz w:val="20"/>
                <w:szCs w:val="18"/>
              </w:rPr>
              <w:t>49</w:t>
            </w:r>
          </w:p>
        </w:tc>
        <w:tc>
          <w:tcPr>
            <w:tcW w:w="1824" w:type="dxa"/>
            <w:vAlign w:val="center"/>
          </w:tcPr>
          <w:p w:rsidR="00135F59" w:rsidRPr="00AE6EDB" w:rsidRDefault="00135F59" w:rsidP="00135F59">
            <w:pPr>
              <w:ind w:right="497"/>
              <w:jc w:val="right"/>
              <w:rPr>
                <w:sz w:val="20"/>
              </w:rPr>
            </w:pPr>
            <w:r w:rsidRPr="00AE6EDB">
              <w:rPr>
                <w:color w:val="000000"/>
                <w:sz w:val="20"/>
                <w:szCs w:val="18"/>
              </w:rPr>
              <w:t>123</w:t>
            </w:r>
          </w:p>
        </w:tc>
        <w:tc>
          <w:tcPr>
            <w:tcW w:w="1825" w:type="dxa"/>
            <w:vAlign w:val="center"/>
          </w:tcPr>
          <w:p w:rsidR="00135F59" w:rsidRPr="00AE6EDB" w:rsidRDefault="0054295F" w:rsidP="00135F59">
            <w:pPr>
              <w:ind w:right="497"/>
              <w:jc w:val="right"/>
              <w:rPr>
                <w:sz w:val="20"/>
              </w:rPr>
            </w:pPr>
            <w:r>
              <w:rPr>
                <w:color w:val="000000"/>
                <w:sz w:val="20"/>
                <w:szCs w:val="18"/>
              </w:rPr>
              <w:t>1 3</w:t>
            </w:r>
            <w:r w:rsidR="00135F59" w:rsidRPr="00AE6EDB">
              <w:rPr>
                <w:color w:val="000000"/>
                <w:sz w:val="20"/>
                <w:szCs w:val="18"/>
              </w:rPr>
              <w:t>1</w:t>
            </w:r>
            <w:r>
              <w:rPr>
                <w:color w:val="000000"/>
                <w:sz w:val="20"/>
                <w:szCs w:val="18"/>
              </w:rPr>
              <w:t>3 9</w:t>
            </w:r>
            <w:r w:rsidR="00135F59" w:rsidRPr="00AE6EDB">
              <w:rPr>
                <w:color w:val="000000"/>
                <w:sz w:val="20"/>
                <w:szCs w:val="18"/>
              </w:rPr>
              <w:t>95</w:t>
            </w:r>
          </w:p>
        </w:tc>
        <w:tc>
          <w:tcPr>
            <w:tcW w:w="1825" w:type="dxa"/>
            <w:vAlign w:val="center"/>
          </w:tcPr>
          <w:p w:rsidR="00135F59" w:rsidRPr="00AE6EDB" w:rsidRDefault="0054295F" w:rsidP="00135F59">
            <w:pPr>
              <w:ind w:right="497"/>
              <w:jc w:val="right"/>
              <w:rPr>
                <w:sz w:val="20"/>
              </w:rPr>
            </w:pPr>
            <w:r>
              <w:rPr>
                <w:color w:val="000000"/>
                <w:sz w:val="20"/>
                <w:szCs w:val="18"/>
              </w:rPr>
              <w:t>2 2</w:t>
            </w:r>
            <w:r w:rsidR="00135F59" w:rsidRPr="00AE6EDB">
              <w:rPr>
                <w:color w:val="000000"/>
                <w:sz w:val="20"/>
                <w:szCs w:val="18"/>
              </w:rPr>
              <w:t>9</w:t>
            </w:r>
            <w:r w:rsidR="00AC44CB">
              <w:rPr>
                <w:color w:val="000000"/>
                <w:sz w:val="20"/>
                <w:szCs w:val="18"/>
              </w:rPr>
              <w:t>6 1</w:t>
            </w:r>
            <w:r w:rsidR="00135F59" w:rsidRPr="00AE6EDB">
              <w:rPr>
                <w:color w:val="000000"/>
                <w:sz w:val="20"/>
                <w:szCs w:val="18"/>
              </w:rPr>
              <w:t>83</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integračné centrum</w:t>
            </w:r>
          </w:p>
        </w:tc>
        <w:tc>
          <w:tcPr>
            <w:tcW w:w="1701" w:type="dxa"/>
            <w:vAlign w:val="center"/>
          </w:tcPr>
          <w:p w:rsidR="00135F59" w:rsidRPr="00AE6EDB" w:rsidRDefault="00135F59" w:rsidP="00135F59">
            <w:pPr>
              <w:ind w:right="497"/>
              <w:jc w:val="right"/>
              <w:rPr>
                <w:sz w:val="20"/>
              </w:rPr>
            </w:pPr>
            <w:r w:rsidRPr="00AE6EDB">
              <w:rPr>
                <w:color w:val="000000"/>
                <w:sz w:val="20"/>
                <w:szCs w:val="18"/>
              </w:rPr>
              <w:t>2</w:t>
            </w:r>
          </w:p>
        </w:tc>
        <w:tc>
          <w:tcPr>
            <w:tcW w:w="1634" w:type="dxa"/>
            <w:vAlign w:val="center"/>
          </w:tcPr>
          <w:p w:rsidR="00135F59" w:rsidRPr="00AE6EDB" w:rsidRDefault="00135F59" w:rsidP="00135F59">
            <w:pPr>
              <w:ind w:right="497"/>
              <w:jc w:val="right"/>
              <w:rPr>
                <w:sz w:val="20"/>
              </w:rPr>
            </w:pPr>
            <w:r w:rsidRPr="00AE6EDB">
              <w:rPr>
                <w:color w:val="000000"/>
                <w:sz w:val="20"/>
                <w:szCs w:val="18"/>
              </w:rPr>
              <w:t>40</w:t>
            </w:r>
          </w:p>
        </w:tc>
        <w:tc>
          <w:tcPr>
            <w:tcW w:w="1824" w:type="dxa"/>
            <w:vAlign w:val="center"/>
          </w:tcPr>
          <w:p w:rsidR="00135F59" w:rsidRPr="00AE6EDB" w:rsidRDefault="00135F59" w:rsidP="00135F59">
            <w:pPr>
              <w:ind w:right="497"/>
              <w:jc w:val="right"/>
              <w:rPr>
                <w:sz w:val="20"/>
              </w:rPr>
            </w:pPr>
            <w:r w:rsidRPr="00AE6EDB">
              <w:rPr>
                <w:color w:val="000000"/>
                <w:sz w:val="20"/>
                <w:szCs w:val="18"/>
              </w:rPr>
              <w:t>1</w:t>
            </w:r>
          </w:p>
        </w:tc>
        <w:tc>
          <w:tcPr>
            <w:tcW w:w="1825" w:type="dxa"/>
            <w:vAlign w:val="center"/>
          </w:tcPr>
          <w:p w:rsidR="00135F59" w:rsidRPr="00AE6EDB" w:rsidRDefault="00AC44CB" w:rsidP="00135F59">
            <w:pPr>
              <w:ind w:right="497"/>
              <w:jc w:val="right"/>
              <w:rPr>
                <w:sz w:val="20"/>
              </w:rPr>
            </w:pPr>
            <w:r>
              <w:rPr>
                <w:color w:val="000000"/>
                <w:sz w:val="20"/>
                <w:szCs w:val="18"/>
              </w:rPr>
              <w:t>5 3</w:t>
            </w:r>
            <w:r w:rsidR="00135F59" w:rsidRPr="00AE6EDB">
              <w:rPr>
                <w:color w:val="000000"/>
                <w:sz w:val="20"/>
                <w:szCs w:val="18"/>
              </w:rPr>
              <w:t>25</w:t>
            </w:r>
          </w:p>
        </w:tc>
        <w:tc>
          <w:tcPr>
            <w:tcW w:w="1825" w:type="dxa"/>
            <w:vAlign w:val="center"/>
          </w:tcPr>
          <w:p w:rsidR="00135F59" w:rsidRPr="00AE6EDB" w:rsidRDefault="00AC44CB" w:rsidP="00135F59">
            <w:pPr>
              <w:ind w:right="497"/>
              <w:jc w:val="right"/>
              <w:rPr>
                <w:sz w:val="20"/>
              </w:rPr>
            </w:pPr>
            <w:r>
              <w:rPr>
                <w:color w:val="000000"/>
                <w:sz w:val="20"/>
                <w:szCs w:val="18"/>
              </w:rPr>
              <w:t>4 9</w:t>
            </w:r>
            <w:r w:rsidR="00135F59" w:rsidRPr="00AE6EDB">
              <w:rPr>
                <w:color w:val="000000"/>
                <w:sz w:val="20"/>
                <w:szCs w:val="18"/>
              </w:rPr>
              <w:t>75</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jedáleň</w:t>
            </w:r>
          </w:p>
        </w:tc>
        <w:tc>
          <w:tcPr>
            <w:tcW w:w="1701" w:type="dxa"/>
            <w:vAlign w:val="center"/>
          </w:tcPr>
          <w:p w:rsidR="00135F59" w:rsidRPr="00AE6EDB" w:rsidRDefault="00135F59" w:rsidP="00135F59">
            <w:pPr>
              <w:ind w:right="497"/>
              <w:jc w:val="right"/>
              <w:rPr>
                <w:sz w:val="20"/>
              </w:rPr>
            </w:pPr>
            <w:r w:rsidRPr="00AE6EDB">
              <w:rPr>
                <w:color w:val="000000"/>
                <w:sz w:val="20"/>
                <w:szCs w:val="18"/>
              </w:rPr>
              <w:t>86</w:t>
            </w:r>
          </w:p>
        </w:tc>
        <w:tc>
          <w:tcPr>
            <w:tcW w:w="1634" w:type="dxa"/>
            <w:vAlign w:val="center"/>
          </w:tcPr>
          <w:p w:rsidR="00135F59" w:rsidRPr="00AE6EDB" w:rsidRDefault="00135F59" w:rsidP="00135F59">
            <w:pPr>
              <w:ind w:right="497"/>
              <w:jc w:val="right"/>
              <w:rPr>
                <w:sz w:val="20"/>
              </w:rPr>
            </w:pPr>
            <w:r w:rsidRPr="00AE6EDB">
              <w:rPr>
                <w:color w:val="000000"/>
                <w:sz w:val="20"/>
                <w:szCs w:val="18"/>
              </w:rPr>
              <w:t>1</w:t>
            </w:r>
            <w:r w:rsidR="0054295F">
              <w:rPr>
                <w:color w:val="000000"/>
                <w:sz w:val="20"/>
                <w:szCs w:val="18"/>
              </w:rPr>
              <w:t>1 2</w:t>
            </w:r>
            <w:r w:rsidRPr="00AE6EDB">
              <w:rPr>
                <w:color w:val="000000"/>
                <w:sz w:val="20"/>
                <w:szCs w:val="18"/>
              </w:rPr>
              <w:t>43</w:t>
            </w:r>
          </w:p>
        </w:tc>
        <w:tc>
          <w:tcPr>
            <w:tcW w:w="1824" w:type="dxa"/>
            <w:vAlign w:val="center"/>
          </w:tcPr>
          <w:p w:rsidR="00135F59" w:rsidRPr="00AE6EDB" w:rsidRDefault="00135F59" w:rsidP="00135F59">
            <w:pPr>
              <w:ind w:right="497"/>
              <w:jc w:val="right"/>
              <w:rPr>
                <w:sz w:val="20"/>
              </w:rPr>
            </w:pPr>
            <w:r w:rsidRPr="00AE6EDB">
              <w:rPr>
                <w:color w:val="000000"/>
                <w:sz w:val="20"/>
                <w:szCs w:val="18"/>
              </w:rPr>
              <w:t>201</w:t>
            </w:r>
          </w:p>
        </w:tc>
        <w:tc>
          <w:tcPr>
            <w:tcW w:w="1825" w:type="dxa"/>
            <w:vAlign w:val="center"/>
          </w:tcPr>
          <w:p w:rsidR="00135F59" w:rsidRPr="00AE6EDB" w:rsidRDefault="0054295F" w:rsidP="00135F59">
            <w:pPr>
              <w:ind w:right="497"/>
              <w:jc w:val="right"/>
              <w:rPr>
                <w:sz w:val="20"/>
              </w:rPr>
            </w:pPr>
            <w:r>
              <w:rPr>
                <w:color w:val="000000"/>
                <w:sz w:val="20"/>
                <w:szCs w:val="18"/>
              </w:rPr>
              <w:t>4 5</w:t>
            </w:r>
            <w:r w:rsidR="00135F59" w:rsidRPr="00AE6EDB">
              <w:rPr>
                <w:color w:val="000000"/>
                <w:sz w:val="20"/>
                <w:szCs w:val="18"/>
              </w:rPr>
              <w:t>0</w:t>
            </w:r>
            <w:r w:rsidR="00AC44CB">
              <w:rPr>
                <w:color w:val="000000"/>
                <w:sz w:val="20"/>
                <w:szCs w:val="18"/>
              </w:rPr>
              <w:t>5 6</w:t>
            </w:r>
            <w:r w:rsidR="00135F59" w:rsidRPr="00AE6EDB">
              <w:rPr>
                <w:color w:val="000000"/>
                <w:sz w:val="20"/>
                <w:szCs w:val="18"/>
              </w:rPr>
              <w:t>88</w:t>
            </w:r>
          </w:p>
        </w:tc>
        <w:tc>
          <w:tcPr>
            <w:tcW w:w="1825" w:type="dxa"/>
            <w:vAlign w:val="center"/>
          </w:tcPr>
          <w:p w:rsidR="00135F59" w:rsidRPr="00AE6EDB" w:rsidRDefault="00AC44CB" w:rsidP="00135F59">
            <w:pPr>
              <w:ind w:right="497"/>
              <w:jc w:val="right"/>
              <w:rPr>
                <w:sz w:val="20"/>
              </w:rPr>
            </w:pPr>
            <w:r>
              <w:rPr>
                <w:color w:val="000000"/>
                <w:sz w:val="20"/>
                <w:szCs w:val="18"/>
              </w:rPr>
              <w:t>4 9</w:t>
            </w:r>
            <w:r w:rsidR="00135F59" w:rsidRPr="00AE6EDB">
              <w:rPr>
                <w:color w:val="000000"/>
                <w:sz w:val="20"/>
                <w:szCs w:val="18"/>
              </w:rPr>
              <w:t>6</w:t>
            </w:r>
            <w:r>
              <w:rPr>
                <w:color w:val="000000"/>
                <w:sz w:val="20"/>
                <w:szCs w:val="18"/>
              </w:rPr>
              <w:t>7 1</w:t>
            </w:r>
            <w:r w:rsidR="00135F59" w:rsidRPr="00AE6EDB">
              <w:rPr>
                <w:color w:val="000000"/>
                <w:sz w:val="20"/>
                <w:szCs w:val="18"/>
              </w:rPr>
              <w:t>09</w:t>
            </w:r>
          </w:p>
        </w:tc>
      </w:tr>
      <w:tr w:rsidR="00135F59" w:rsidRPr="00AE6EDB" w:rsidTr="00135F59">
        <w:trPr>
          <w:trHeight w:val="250"/>
        </w:trPr>
        <w:tc>
          <w:tcPr>
            <w:tcW w:w="4688" w:type="dxa"/>
            <w:vAlign w:val="bottom"/>
            <w:hideMark/>
          </w:tcPr>
          <w:p w:rsidR="00135F59" w:rsidRPr="00AE6EDB" w:rsidRDefault="00135F59" w:rsidP="00DE0EEC">
            <w:pPr>
              <w:jc w:val="left"/>
            </w:pPr>
            <w:r w:rsidRPr="00AE6EDB">
              <w:t>práčovňa</w:t>
            </w:r>
          </w:p>
        </w:tc>
        <w:tc>
          <w:tcPr>
            <w:tcW w:w="1701" w:type="dxa"/>
            <w:vAlign w:val="center"/>
          </w:tcPr>
          <w:p w:rsidR="00135F59" w:rsidRPr="00AE6EDB" w:rsidRDefault="00135F59" w:rsidP="00135F59">
            <w:pPr>
              <w:ind w:right="497"/>
              <w:jc w:val="right"/>
              <w:rPr>
                <w:sz w:val="20"/>
              </w:rPr>
            </w:pPr>
            <w:r w:rsidRPr="00AE6EDB">
              <w:rPr>
                <w:color w:val="000000"/>
                <w:sz w:val="20"/>
                <w:szCs w:val="18"/>
              </w:rPr>
              <w:t>24</w:t>
            </w:r>
          </w:p>
        </w:tc>
        <w:tc>
          <w:tcPr>
            <w:tcW w:w="1634" w:type="dxa"/>
            <w:vAlign w:val="center"/>
          </w:tcPr>
          <w:p w:rsidR="00135F59" w:rsidRPr="00AE6EDB" w:rsidRDefault="0054295F" w:rsidP="00135F59">
            <w:pPr>
              <w:ind w:right="497"/>
              <w:jc w:val="right"/>
              <w:rPr>
                <w:sz w:val="20"/>
              </w:rPr>
            </w:pPr>
            <w:r>
              <w:rPr>
                <w:color w:val="000000"/>
                <w:sz w:val="20"/>
                <w:szCs w:val="18"/>
              </w:rPr>
              <w:t>3 5</w:t>
            </w:r>
            <w:r w:rsidR="00135F59" w:rsidRPr="00AE6EDB">
              <w:rPr>
                <w:color w:val="000000"/>
                <w:sz w:val="20"/>
                <w:szCs w:val="18"/>
              </w:rPr>
              <w:t>27</w:t>
            </w:r>
          </w:p>
        </w:tc>
        <w:tc>
          <w:tcPr>
            <w:tcW w:w="1824" w:type="dxa"/>
            <w:vAlign w:val="center"/>
          </w:tcPr>
          <w:p w:rsidR="00135F59" w:rsidRPr="00AE6EDB" w:rsidRDefault="00135F59" w:rsidP="00135F59">
            <w:pPr>
              <w:ind w:right="497"/>
              <w:jc w:val="right"/>
              <w:rPr>
                <w:sz w:val="20"/>
              </w:rPr>
            </w:pPr>
            <w:r w:rsidRPr="00AE6EDB">
              <w:rPr>
                <w:color w:val="000000"/>
                <w:sz w:val="20"/>
                <w:szCs w:val="18"/>
              </w:rPr>
              <w:t>11</w:t>
            </w:r>
          </w:p>
        </w:tc>
        <w:tc>
          <w:tcPr>
            <w:tcW w:w="1825" w:type="dxa"/>
            <w:vAlign w:val="center"/>
          </w:tcPr>
          <w:p w:rsidR="00135F59" w:rsidRPr="00AE6EDB" w:rsidRDefault="00135F59" w:rsidP="00135F59">
            <w:pPr>
              <w:ind w:right="497"/>
              <w:jc w:val="right"/>
              <w:rPr>
                <w:sz w:val="20"/>
              </w:rPr>
            </w:pPr>
            <w:r w:rsidRPr="00AE6EDB">
              <w:rPr>
                <w:color w:val="000000"/>
                <w:sz w:val="20"/>
                <w:szCs w:val="18"/>
              </w:rPr>
              <w:t>7</w:t>
            </w:r>
            <w:r w:rsidR="0054295F">
              <w:rPr>
                <w:color w:val="000000"/>
                <w:sz w:val="20"/>
                <w:szCs w:val="18"/>
              </w:rPr>
              <w:t>3 0</w:t>
            </w:r>
            <w:r w:rsidRPr="00AE6EDB">
              <w:rPr>
                <w:color w:val="000000"/>
                <w:sz w:val="20"/>
                <w:szCs w:val="18"/>
              </w:rPr>
              <w:t>15</w:t>
            </w:r>
          </w:p>
        </w:tc>
        <w:tc>
          <w:tcPr>
            <w:tcW w:w="1825" w:type="dxa"/>
            <w:vAlign w:val="center"/>
          </w:tcPr>
          <w:p w:rsidR="00135F59" w:rsidRPr="00AE6EDB" w:rsidRDefault="00135F59" w:rsidP="00135F59">
            <w:pPr>
              <w:ind w:right="497"/>
              <w:jc w:val="right"/>
              <w:rPr>
                <w:sz w:val="20"/>
              </w:rPr>
            </w:pPr>
            <w:r w:rsidRPr="00AE6EDB">
              <w:rPr>
                <w:color w:val="000000"/>
                <w:sz w:val="20"/>
                <w:szCs w:val="18"/>
              </w:rPr>
              <w:t>11</w:t>
            </w:r>
            <w:r w:rsidR="0054295F">
              <w:rPr>
                <w:color w:val="000000"/>
                <w:sz w:val="20"/>
                <w:szCs w:val="18"/>
              </w:rPr>
              <w:t>0 2</w:t>
            </w:r>
            <w:r w:rsidRPr="00AE6EDB">
              <w:rPr>
                <w:color w:val="000000"/>
                <w:sz w:val="20"/>
                <w:szCs w:val="18"/>
              </w:rPr>
              <w:t>24</w:t>
            </w:r>
          </w:p>
        </w:tc>
      </w:tr>
      <w:tr w:rsidR="00135F59" w:rsidRPr="00AE6EDB" w:rsidTr="00135F59">
        <w:trPr>
          <w:trHeight w:val="265"/>
        </w:trPr>
        <w:tc>
          <w:tcPr>
            <w:tcW w:w="4688" w:type="dxa"/>
            <w:vAlign w:val="bottom"/>
            <w:hideMark/>
          </w:tcPr>
          <w:p w:rsidR="00135F59" w:rsidRPr="00AE6EDB" w:rsidRDefault="00135F59" w:rsidP="00DE0EEC">
            <w:pPr>
              <w:jc w:val="left"/>
            </w:pPr>
            <w:r w:rsidRPr="00AE6EDB">
              <w:t>stredisko osobnej hygieny</w:t>
            </w:r>
          </w:p>
        </w:tc>
        <w:tc>
          <w:tcPr>
            <w:tcW w:w="1701" w:type="dxa"/>
            <w:vAlign w:val="center"/>
          </w:tcPr>
          <w:p w:rsidR="00135F59" w:rsidRPr="00AE6EDB" w:rsidRDefault="00135F59" w:rsidP="00135F59">
            <w:pPr>
              <w:ind w:right="497"/>
              <w:jc w:val="right"/>
              <w:rPr>
                <w:sz w:val="20"/>
              </w:rPr>
            </w:pPr>
            <w:r w:rsidRPr="00AE6EDB">
              <w:rPr>
                <w:color w:val="000000"/>
                <w:sz w:val="20"/>
                <w:szCs w:val="18"/>
              </w:rPr>
              <w:t>38</w:t>
            </w:r>
          </w:p>
        </w:tc>
        <w:tc>
          <w:tcPr>
            <w:tcW w:w="1634" w:type="dxa"/>
            <w:vAlign w:val="center"/>
          </w:tcPr>
          <w:p w:rsidR="00135F59" w:rsidRPr="00AE6EDB" w:rsidRDefault="00AC44CB" w:rsidP="00135F59">
            <w:pPr>
              <w:ind w:right="497"/>
              <w:jc w:val="right"/>
              <w:rPr>
                <w:sz w:val="20"/>
              </w:rPr>
            </w:pPr>
            <w:r>
              <w:rPr>
                <w:color w:val="000000"/>
                <w:sz w:val="20"/>
                <w:szCs w:val="18"/>
              </w:rPr>
              <w:t>5 6</w:t>
            </w:r>
            <w:r w:rsidR="00135F59" w:rsidRPr="00AE6EDB">
              <w:rPr>
                <w:color w:val="000000"/>
                <w:sz w:val="20"/>
                <w:szCs w:val="18"/>
              </w:rPr>
              <w:t>05</w:t>
            </w:r>
          </w:p>
        </w:tc>
        <w:tc>
          <w:tcPr>
            <w:tcW w:w="1824" w:type="dxa"/>
            <w:vAlign w:val="center"/>
          </w:tcPr>
          <w:p w:rsidR="00135F59" w:rsidRPr="00AE6EDB" w:rsidRDefault="00135F59" w:rsidP="00135F59">
            <w:pPr>
              <w:ind w:right="497"/>
              <w:jc w:val="right"/>
              <w:rPr>
                <w:sz w:val="20"/>
              </w:rPr>
            </w:pPr>
            <w:r w:rsidRPr="00AE6EDB">
              <w:rPr>
                <w:color w:val="000000"/>
                <w:sz w:val="20"/>
                <w:szCs w:val="18"/>
              </w:rPr>
              <w:t>6</w:t>
            </w:r>
          </w:p>
        </w:tc>
        <w:tc>
          <w:tcPr>
            <w:tcW w:w="1825" w:type="dxa"/>
            <w:vAlign w:val="center"/>
          </w:tcPr>
          <w:p w:rsidR="00135F59" w:rsidRPr="00AE6EDB" w:rsidRDefault="00135F59" w:rsidP="00135F59">
            <w:pPr>
              <w:ind w:right="497"/>
              <w:jc w:val="right"/>
              <w:rPr>
                <w:sz w:val="20"/>
              </w:rPr>
            </w:pPr>
            <w:r w:rsidRPr="00AE6EDB">
              <w:rPr>
                <w:color w:val="000000"/>
                <w:sz w:val="20"/>
                <w:szCs w:val="18"/>
              </w:rPr>
              <w:t>3</w:t>
            </w:r>
            <w:r w:rsidR="0054295F">
              <w:rPr>
                <w:color w:val="000000"/>
                <w:sz w:val="20"/>
                <w:szCs w:val="18"/>
              </w:rPr>
              <w:t>1 5</w:t>
            </w:r>
            <w:r w:rsidRPr="00AE6EDB">
              <w:rPr>
                <w:color w:val="000000"/>
                <w:sz w:val="20"/>
                <w:szCs w:val="18"/>
              </w:rPr>
              <w:t>66</w:t>
            </w:r>
          </w:p>
        </w:tc>
        <w:tc>
          <w:tcPr>
            <w:tcW w:w="1825" w:type="dxa"/>
            <w:vAlign w:val="center"/>
          </w:tcPr>
          <w:p w:rsidR="00135F59" w:rsidRPr="00AE6EDB" w:rsidRDefault="00135F59" w:rsidP="00135F59">
            <w:pPr>
              <w:ind w:right="497"/>
              <w:jc w:val="right"/>
              <w:rPr>
                <w:sz w:val="20"/>
              </w:rPr>
            </w:pPr>
            <w:r w:rsidRPr="00AE6EDB">
              <w:rPr>
                <w:color w:val="000000"/>
                <w:sz w:val="20"/>
                <w:szCs w:val="18"/>
              </w:rPr>
              <w:t>7</w:t>
            </w:r>
            <w:r w:rsidR="0054295F">
              <w:rPr>
                <w:color w:val="000000"/>
                <w:sz w:val="20"/>
                <w:szCs w:val="18"/>
              </w:rPr>
              <w:t>0 3</w:t>
            </w:r>
            <w:r w:rsidRPr="00AE6EDB">
              <w:rPr>
                <w:color w:val="000000"/>
                <w:sz w:val="20"/>
                <w:szCs w:val="18"/>
              </w:rPr>
              <w:t>43</w:t>
            </w:r>
          </w:p>
        </w:tc>
      </w:tr>
      <w:tr w:rsidR="00135F59" w:rsidRPr="00AE6EDB" w:rsidTr="00135F59">
        <w:trPr>
          <w:trHeight w:val="265"/>
        </w:trPr>
        <w:tc>
          <w:tcPr>
            <w:tcW w:w="4688" w:type="dxa"/>
            <w:vAlign w:val="bottom"/>
          </w:tcPr>
          <w:p w:rsidR="00135F59" w:rsidRPr="00AE6EDB" w:rsidRDefault="00135F59" w:rsidP="00DE0EEC">
            <w:pPr>
              <w:jc w:val="left"/>
            </w:pPr>
            <w:r w:rsidRPr="00AE6EDB">
              <w:t>komunitné centrum</w:t>
            </w:r>
          </w:p>
        </w:tc>
        <w:tc>
          <w:tcPr>
            <w:tcW w:w="1701" w:type="dxa"/>
            <w:vAlign w:val="center"/>
          </w:tcPr>
          <w:p w:rsidR="00135F59" w:rsidRPr="00AE6EDB" w:rsidRDefault="00135F59" w:rsidP="00135F59">
            <w:pPr>
              <w:ind w:right="497"/>
              <w:jc w:val="right"/>
              <w:rPr>
                <w:sz w:val="20"/>
              </w:rPr>
            </w:pPr>
            <w:r w:rsidRPr="00AE6EDB">
              <w:rPr>
                <w:color w:val="000000"/>
                <w:sz w:val="20"/>
                <w:szCs w:val="18"/>
              </w:rPr>
              <w:t>62</w:t>
            </w:r>
          </w:p>
        </w:tc>
        <w:tc>
          <w:tcPr>
            <w:tcW w:w="1634" w:type="dxa"/>
            <w:vAlign w:val="center"/>
          </w:tcPr>
          <w:p w:rsidR="00135F59" w:rsidRPr="00AE6EDB" w:rsidRDefault="00AC44CB" w:rsidP="00135F59">
            <w:pPr>
              <w:ind w:right="497"/>
              <w:jc w:val="right"/>
              <w:rPr>
                <w:sz w:val="20"/>
              </w:rPr>
            </w:pPr>
            <w:r>
              <w:rPr>
                <w:color w:val="000000"/>
                <w:sz w:val="20"/>
                <w:szCs w:val="18"/>
              </w:rPr>
              <w:t>6 5</w:t>
            </w:r>
            <w:r w:rsidR="00135F59" w:rsidRPr="00AE6EDB">
              <w:rPr>
                <w:color w:val="000000"/>
                <w:sz w:val="20"/>
                <w:szCs w:val="18"/>
              </w:rPr>
              <w:t>59</w:t>
            </w:r>
          </w:p>
        </w:tc>
        <w:tc>
          <w:tcPr>
            <w:tcW w:w="1824" w:type="dxa"/>
            <w:vAlign w:val="center"/>
          </w:tcPr>
          <w:p w:rsidR="00135F59" w:rsidRPr="00AE6EDB" w:rsidRDefault="00135F59" w:rsidP="00135F59">
            <w:pPr>
              <w:ind w:right="497"/>
              <w:jc w:val="right"/>
              <w:rPr>
                <w:sz w:val="20"/>
              </w:rPr>
            </w:pPr>
            <w:r w:rsidRPr="00AE6EDB">
              <w:rPr>
                <w:color w:val="000000"/>
                <w:sz w:val="20"/>
                <w:szCs w:val="18"/>
              </w:rPr>
              <w:t>101</w:t>
            </w:r>
          </w:p>
        </w:tc>
        <w:tc>
          <w:tcPr>
            <w:tcW w:w="1825" w:type="dxa"/>
            <w:vAlign w:val="center"/>
          </w:tcPr>
          <w:p w:rsidR="00135F59" w:rsidRPr="00AE6EDB" w:rsidRDefault="0054295F" w:rsidP="00135F59">
            <w:pPr>
              <w:ind w:right="497"/>
              <w:jc w:val="right"/>
              <w:rPr>
                <w:sz w:val="20"/>
              </w:rPr>
            </w:pPr>
            <w:r>
              <w:rPr>
                <w:color w:val="000000"/>
                <w:sz w:val="20"/>
                <w:szCs w:val="18"/>
              </w:rPr>
              <w:t>1 1</w:t>
            </w:r>
            <w:r w:rsidR="00135F59" w:rsidRPr="00AE6EDB">
              <w:rPr>
                <w:color w:val="000000"/>
                <w:sz w:val="20"/>
                <w:szCs w:val="18"/>
              </w:rPr>
              <w:t>3</w:t>
            </w:r>
            <w:r>
              <w:rPr>
                <w:color w:val="000000"/>
                <w:sz w:val="20"/>
                <w:szCs w:val="18"/>
              </w:rPr>
              <w:t>0 2</w:t>
            </w:r>
            <w:r w:rsidR="00135F59" w:rsidRPr="00AE6EDB">
              <w:rPr>
                <w:color w:val="000000"/>
                <w:sz w:val="20"/>
                <w:szCs w:val="18"/>
              </w:rPr>
              <w:t>65</w:t>
            </w:r>
          </w:p>
        </w:tc>
        <w:tc>
          <w:tcPr>
            <w:tcW w:w="1825" w:type="dxa"/>
            <w:vAlign w:val="center"/>
          </w:tcPr>
          <w:p w:rsidR="00135F59" w:rsidRPr="00AE6EDB" w:rsidRDefault="0054295F" w:rsidP="00135F59">
            <w:pPr>
              <w:ind w:right="497"/>
              <w:jc w:val="right"/>
              <w:rPr>
                <w:sz w:val="20"/>
              </w:rPr>
            </w:pPr>
            <w:r>
              <w:rPr>
                <w:color w:val="000000"/>
                <w:sz w:val="20"/>
                <w:szCs w:val="18"/>
              </w:rPr>
              <w:t>1 1</w:t>
            </w:r>
            <w:r w:rsidR="00135F59" w:rsidRPr="00AE6EDB">
              <w:rPr>
                <w:color w:val="000000"/>
                <w:sz w:val="20"/>
                <w:szCs w:val="18"/>
              </w:rPr>
              <w:t>8</w:t>
            </w:r>
            <w:r>
              <w:rPr>
                <w:color w:val="000000"/>
                <w:sz w:val="20"/>
                <w:szCs w:val="18"/>
              </w:rPr>
              <w:t>4 8</w:t>
            </w:r>
            <w:r w:rsidR="00135F59" w:rsidRPr="00AE6EDB">
              <w:rPr>
                <w:color w:val="000000"/>
                <w:sz w:val="20"/>
                <w:szCs w:val="18"/>
              </w:rPr>
              <w:t>82</w:t>
            </w:r>
          </w:p>
        </w:tc>
      </w:tr>
      <w:tr w:rsidR="00135F59" w:rsidRPr="00AE6EDB" w:rsidTr="00135F59">
        <w:trPr>
          <w:trHeight w:val="265"/>
        </w:trPr>
        <w:tc>
          <w:tcPr>
            <w:tcW w:w="4688" w:type="dxa"/>
            <w:vAlign w:val="bottom"/>
          </w:tcPr>
          <w:p w:rsidR="00135F59" w:rsidRPr="00AE6EDB" w:rsidRDefault="00135F59" w:rsidP="00DE0EEC">
            <w:pPr>
              <w:jc w:val="left"/>
            </w:pPr>
            <w:r w:rsidRPr="00AE6EDB">
              <w:t>podpora samostatného bývania</w:t>
            </w:r>
          </w:p>
        </w:tc>
        <w:tc>
          <w:tcPr>
            <w:tcW w:w="1701" w:type="dxa"/>
            <w:vAlign w:val="center"/>
          </w:tcPr>
          <w:p w:rsidR="00135F59" w:rsidRPr="00AE6EDB" w:rsidRDefault="00135F59" w:rsidP="00135F59">
            <w:pPr>
              <w:ind w:right="497"/>
              <w:jc w:val="right"/>
              <w:rPr>
                <w:sz w:val="20"/>
              </w:rPr>
            </w:pPr>
            <w:r w:rsidRPr="00AE6EDB">
              <w:rPr>
                <w:color w:val="000000"/>
                <w:sz w:val="20"/>
                <w:szCs w:val="18"/>
              </w:rPr>
              <w:t>21</w:t>
            </w:r>
          </w:p>
        </w:tc>
        <w:tc>
          <w:tcPr>
            <w:tcW w:w="1634" w:type="dxa"/>
            <w:vAlign w:val="center"/>
          </w:tcPr>
          <w:p w:rsidR="00135F59" w:rsidRPr="00AE6EDB" w:rsidRDefault="00135F59" w:rsidP="00135F59">
            <w:pPr>
              <w:ind w:right="497"/>
              <w:jc w:val="right"/>
              <w:rPr>
                <w:sz w:val="20"/>
              </w:rPr>
            </w:pPr>
            <w:r w:rsidRPr="00AE6EDB">
              <w:rPr>
                <w:color w:val="000000"/>
                <w:sz w:val="20"/>
                <w:szCs w:val="18"/>
              </w:rPr>
              <w:t>5</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54295F" w:rsidP="00135F59">
            <w:pPr>
              <w:ind w:right="497"/>
              <w:jc w:val="right"/>
              <w:rPr>
                <w:sz w:val="20"/>
              </w:rPr>
            </w:pPr>
            <w:r>
              <w:rPr>
                <w:color w:val="000000"/>
                <w:sz w:val="20"/>
                <w:szCs w:val="18"/>
              </w:rPr>
              <w:t>3 8</w:t>
            </w:r>
            <w:r w:rsidR="00135F59" w:rsidRPr="00AE6EDB">
              <w:rPr>
                <w:color w:val="000000"/>
                <w:sz w:val="20"/>
                <w:szCs w:val="18"/>
              </w:rPr>
              <w:t>54</w:t>
            </w:r>
          </w:p>
        </w:tc>
      </w:tr>
      <w:tr w:rsidR="00135F59" w:rsidRPr="00AE6EDB" w:rsidTr="00135F59">
        <w:trPr>
          <w:trHeight w:val="265"/>
        </w:trPr>
        <w:tc>
          <w:tcPr>
            <w:tcW w:w="4688" w:type="dxa"/>
            <w:vAlign w:val="bottom"/>
          </w:tcPr>
          <w:p w:rsidR="00135F59" w:rsidRPr="00AE6EDB" w:rsidRDefault="00135F59" w:rsidP="00DE0EEC">
            <w:pPr>
              <w:jc w:val="left"/>
            </w:pPr>
            <w:r w:rsidRPr="00AE6EDB">
              <w:t>služba včasnej intervencie</w:t>
            </w:r>
          </w:p>
        </w:tc>
        <w:tc>
          <w:tcPr>
            <w:tcW w:w="1701" w:type="dxa"/>
            <w:vAlign w:val="center"/>
          </w:tcPr>
          <w:p w:rsidR="00135F59" w:rsidRPr="00AE6EDB" w:rsidRDefault="00135F59" w:rsidP="00135F59">
            <w:pPr>
              <w:ind w:right="497"/>
              <w:jc w:val="right"/>
              <w:rPr>
                <w:sz w:val="20"/>
              </w:rPr>
            </w:pPr>
            <w:r w:rsidRPr="00AE6EDB">
              <w:rPr>
                <w:color w:val="000000"/>
                <w:sz w:val="20"/>
                <w:szCs w:val="18"/>
              </w:rPr>
              <w:t>21</w:t>
            </w:r>
          </w:p>
        </w:tc>
        <w:tc>
          <w:tcPr>
            <w:tcW w:w="1634" w:type="dxa"/>
            <w:vAlign w:val="center"/>
          </w:tcPr>
          <w:p w:rsidR="00135F59" w:rsidRPr="00AE6EDB" w:rsidRDefault="00135F59" w:rsidP="00135F59">
            <w:pPr>
              <w:ind w:right="497"/>
              <w:jc w:val="right"/>
              <w:rPr>
                <w:sz w:val="20"/>
              </w:rPr>
            </w:pPr>
            <w:r w:rsidRPr="00AE6EDB">
              <w:rPr>
                <w:color w:val="000000"/>
                <w:sz w:val="20"/>
                <w:szCs w:val="18"/>
              </w:rPr>
              <w:t>2</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265"/>
        </w:trPr>
        <w:tc>
          <w:tcPr>
            <w:tcW w:w="4688" w:type="dxa"/>
            <w:vAlign w:val="bottom"/>
          </w:tcPr>
          <w:p w:rsidR="00135F59" w:rsidRPr="00AE6EDB" w:rsidRDefault="00135F59" w:rsidP="00DE0EEC">
            <w:pPr>
              <w:jc w:val="left"/>
            </w:pPr>
            <w:r w:rsidRPr="00AE6EDB">
              <w:t>stimulácia komplexného vývoja dieťaťa so zdravotným postihnutím</w:t>
            </w:r>
          </w:p>
        </w:tc>
        <w:tc>
          <w:tcPr>
            <w:tcW w:w="1701" w:type="dxa"/>
            <w:vAlign w:val="center"/>
          </w:tcPr>
          <w:p w:rsidR="00135F59" w:rsidRPr="00AE6EDB" w:rsidRDefault="00135F59" w:rsidP="00135F59">
            <w:pPr>
              <w:ind w:right="497"/>
              <w:jc w:val="right"/>
              <w:rPr>
                <w:sz w:val="20"/>
              </w:rPr>
            </w:pPr>
            <w:r w:rsidRPr="00AE6EDB">
              <w:rPr>
                <w:color w:val="000000"/>
                <w:sz w:val="20"/>
                <w:szCs w:val="18"/>
              </w:rPr>
              <w:t>21</w:t>
            </w:r>
          </w:p>
        </w:tc>
        <w:tc>
          <w:tcPr>
            <w:tcW w:w="1634" w:type="dxa"/>
            <w:vAlign w:val="center"/>
          </w:tcPr>
          <w:p w:rsidR="00135F59" w:rsidRPr="00AE6EDB" w:rsidRDefault="00135F59" w:rsidP="00135F59">
            <w:pPr>
              <w:ind w:right="497"/>
              <w:jc w:val="right"/>
              <w:rPr>
                <w:sz w:val="20"/>
              </w:rPr>
            </w:pPr>
            <w:r w:rsidRPr="00AE6EDB">
              <w:rPr>
                <w:color w:val="000000"/>
                <w:sz w:val="20"/>
                <w:szCs w:val="18"/>
              </w:rPr>
              <w:t>0</w:t>
            </w:r>
          </w:p>
        </w:tc>
        <w:tc>
          <w:tcPr>
            <w:tcW w:w="1824"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c>
          <w:tcPr>
            <w:tcW w:w="1825" w:type="dxa"/>
            <w:vAlign w:val="center"/>
          </w:tcPr>
          <w:p w:rsidR="00135F59" w:rsidRPr="00AE6EDB" w:rsidRDefault="00135F59" w:rsidP="00135F59">
            <w:pPr>
              <w:ind w:right="497"/>
              <w:jc w:val="right"/>
              <w:rPr>
                <w:sz w:val="20"/>
              </w:rPr>
            </w:pPr>
            <w:r w:rsidRPr="00AE6EDB">
              <w:rPr>
                <w:color w:val="000000"/>
                <w:sz w:val="20"/>
                <w:szCs w:val="18"/>
              </w:rPr>
              <w:t>0</w:t>
            </w:r>
          </w:p>
        </w:tc>
      </w:tr>
      <w:tr w:rsidR="00135F59" w:rsidRPr="00AE6EDB" w:rsidTr="00135F59">
        <w:trPr>
          <w:trHeight w:val="265"/>
        </w:trPr>
        <w:tc>
          <w:tcPr>
            <w:tcW w:w="4688" w:type="dxa"/>
            <w:vAlign w:val="bottom"/>
          </w:tcPr>
          <w:p w:rsidR="00135F59" w:rsidRPr="00AE6EDB" w:rsidRDefault="00135F59" w:rsidP="00DE0EEC">
            <w:pPr>
              <w:jc w:val="left"/>
            </w:pPr>
            <w:r w:rsidRPr="00AE6EDB">
              <w:t>terénna sociálna služba krízovej intervencie</w:t>
            </w:r>
          </w:p>
        </w:tc>
        <w:tc>
          <w:tcPr>
            <w:tcW w:w="1701" w:type="dxa"/>
            <w:vAlign w:val="center"/>
          </w:tcPr>
          <w:p w:rsidR="00135F59" w:rsidRPr="00AE6EDB" w:rsidRDefault="00135F59" w:rsidP="00135F59">
            <w:pPr>
              <w:ind w:right="497"/>
              <w:jc w:val="right"/>
              <w:rPr>
                <w:sz w:val="20"/>
              </w:rPr>
            </w:pPr>
            <w:r w:rsidRPr="00AE6EDB">
              <w:rPr>
                <w:color w:val="000000"/>
                <w:sz w:val="20"/>
                <w:szCs w:val="18"/>
              </w:rPr>
              <w:t>45</w:t>
            </w:r>
          </w:p>
        </w:tc>
        <w:tc>
          <w:tcPr>
            <w:tcW w:w="1634" w:type="dxa"/>
            <w:vAlign w:val="center"/>
          </w:tcPr>
          <w:p w:rsidR="00135F59" w:rsidRPr="00AE6EDB" w:rsidRDefault="00AC44CB" w:rsidP="00135F59">
            <w:pPr>
              <w:ind w:right="497"/>
              <w:jc w:val="right"/>
              <w:rPr>
                <w:sz w:val="20"/>
              </w:rPr>
            </w:pPr>
            <w:r>
              <w:rPr>
                <w:color w:val="000000"/>
                <w:sz w:val="20"/>
                <w:szCs w:val="18"/>
              </w:rPr>
              <w:t>6 5</w:t>
            </w:r>
            <w:r w:rsidR="00135F59" w:rsidRPr="00AE6EDB">
              <w:rPr>
                <w:color w:val="000000"/>
                <w:sz w:val="20"/>
                <w:szCs w:val="18"/>
              </w:rPr>
              <w:t>43</w:t>
            </w:r>
          </w:p>
        </w:tc>
        <w:tc>
          <w:tcPr>
            <w:tcW w:w="1824" w:type="dxa"/>
            <w:vAlign w:val="center"/>
          </w:tcPr>
          <w:p w:rsidR="00135F59" w:rsidRPr="00AE6EDB" w:rsidRDefault="00135F59" w:rsidP="00135F59">
            <w:pPr>
              <w:ind w:right="497"/>
              <w:jc w:val="right"/>
              <w:rPr>
                <w:sz w:val="20"/>
              </w:rPr>
            </w:pPr>
            <w:r w:rsidRPr="00AE6EDB">
              <w:rPr>
                <w:color w:val="000000"/>
                <w:sz w:val="20"/>
                <w:szCs w:val="18"/>
              </w:rPr>
              <w:t>41</w:t>
            </w:r>
          </w:p>
        </w:tc>
        <w:tc>
          <w:tcPr>
            <w:tcW w:w="1825" w:type="dxa"/>
            <w:vAlign w:val="center"/>
          </w:tcPr>
          <w:p w:rsidR="00135F59" w:rsidRPr="00AE6EDB" w:rsidRDefault="00135F59" w:rsidP="00135F59">
            <w:pPr>
              <w:ind w:right="497"/>
              <w:jc w:val="right"/>
              <w:rPr>
                <w:sz w:val="20"/>
              </w:rPr>
            </w:pPr>
            <w:r w:rsidRPr="00AE6EDB">
              <w:rPr>
                <w:color w:val="000000"/>
                <w:sz w:val="20"/>
                <w:szCs w:val="18"/>
              </w:rPr>
              <w:t>35</w:t>
            </w:r>
            <w:r w:rsidR="00AC44CB">
              <w:rPr>
                <w:color w:val="000000"/>
                <w:sz w:val="20"/>
                <w:szCs w:val="18"/>
              </w:rPr>
              <w:t>7 1</w:t>
            </w:r>
            <w:r w:rsidRPr="00AE6EDB">
              <w:rPr>
                <w:color w:val="000000"/>
                <w:sz w:val="20"/>
                <w:szCs w:val="18"/>
              </w:rPr>
              <w:t>06</w:t>
            </w:r>
          </w:p>
        </w:tc>
        <w:tc>
          <w:tcPr>
            <w:tcW w:w="1825" w:type="dxa"/>
            <w:vAlign w:val="center"/>
          </w:tcPr>
          <w:p w:rsidR="00135F59" w:rsidRPr="00AE6EDB" w:rsidRDefault="00135F59" w:rsidP="00135F59">
            <w:pPr>
              <w:ind w:right="497"/>
              <w:jc w:val="right"/>
              <w:rPr>
                <w:sz w:val="20"/>
              </w:rPr>
            </w:pPr>
            <w:r w:rsidRPr="00AE6EDB">
              <w:rPr>
                <w:color w:val="000000"/>
                <w:sz w:val="20"/>
                <w:szCs w:val="18"/>
              </w:rPr>
              <w:t>39</w:t>
            </w:r>
            <w:r w:rsidR="0054295F">
              <w:rPr>
                <w:color w:val="000000"/>
                <w:sz w:val="20"/>
                <w:szCs w:val="18"/>
              </w:rPr>
              <w:t>3 5</w:t>
            </w:r>
            <w:r w:rsidRPr="00AE6EDB">
              <w:rPr>
                <w:color w:val="000000"/>
                <w:sz w:val="20"/>
                <w:szCs w:val="18"/>
              </w:rPr>
              <w:t>04</w:t>
            </w:r>
          </w:p>
        </w:tc>
      </w:tr>
      <w:tr w:rsidR="00135F59" w:rsidRPr="00AE6EDB" w:rsidTr="00135F59">
        <w:trPr>
          <w:trHeight w:val="265"/>
        </w:trPr>
        <w:tc>
          <w:tcPr>
            <w:tcW w:w="4688" w:type="dxa"/>
            <w:vAlign w:val="bottom"/>
          </w:tcPr>
          <w:p w:rsidR="00135F59" w:rsidRPr="00AE6EDB" w:rsidRDefault="00135F59" w:rsidP="00DE0EEC">
            <w:pPr>
              <w:jc w:val="left"/>
            </w:pPr>
            <w:r w:rsidRPr="00AE6EDB">
              <w:t>SPOLU</w:t>
            </w:r>
          </w:p>
        </w:tc>
        <w:tc>
          <w:tcPr>
            <w:tcW w:w="1701" w:type="dxa"/>
            <w:vAlign w:val="center"/>
          </w:tcPr>
          <w:p w:rsidR="00135F59" w:rsidRPr="00AE6EDB" w:rsidRDefault="00135F59" w:rsidP="00135F59">
            <w:pPr>
              <w:ind w:right="497"/>
              <w:jc w:val="right"/>
              <w:rPr>
                <w:sz w:val="20"/>
              </w:rPr>
            </w:pPr>
            <w:r w:rsidRPr="00AE6EDB">
              <w:rPr>
                <w:b/>
                <w:bCs/>
                <w:sz w:val="20"/>
                <w:szCs w:val="18"/>
              </w:rPr>
              <w:t>619</w:t>
            </w:r>
          </w:p>
        </w:tc>
        <w:tc>
          <w:tcPr>
            <w:tcW w:w="1634" w:type="dxa"/>
            <w:vAlign w:val="center"/>
          </w:tcPr>
          <w:p w:rsidR="00135F59" w:rsidRPr="00AE6EDB" w:rsidRDefault="00135F59" w:rsidP="00135F59">
            <w:pPr>
              <w:ind w:right="497"/>
              <w:jc w:val="right"/>
              <w:rPr>
                <w:sz w:val="20"/>
              </w:rPr>
            </w:pPr>
            <w:r w:rsidRPr="00AE6EDB">
              <w:rPr>
                <w:b/>
                <w:bCs/>
                <w:sz w:val="20"/>
                <w:szCs w:val="18"/>
              </w:rPr>
              <w:t>7</w:t>
            </w:r>
            <w:r w:rsidR="00AC44CB">
              <w:rPr>
                <w:b/>
                <w:bCs/>
                <w:sz w:val="20"/>
                <w:szCs w:val="18"/>
              </w:rPr>
              <w:t>7 3</w:t>
            </w:r>
            <w:r w:rsidRPr="00AE6EDB">
              <w:rPr>
                <w:b/>
                <w:bCs/>
                <w:sz w:val="20"/>
                <w:szCs w:val="18"/>
              </w:rPr>
              <w:t>60</w:t>
            </w:r>
          </w:p>
        </w:tc>
        <w:tc>
          <w:tcPr>
            <w:tcW w:w="1824" w:type="dxa"/>
            <w:vAlign w:val="center"/>
          </w:tcPr>
          <w:p w:rsidR="00135F59" w:rsidRPr="00AE6EDB" w:rsidRDefault="00135F59" w:rsidP="00135F59">
            <w:pPr>
              <w:ind w:right="497"/>
              <w:jc w:val="right"/>
              <w:rPr>
                <w:sz w:val="20"/>
              </w:rPr>
            </w:pPr>
            <w:r w:rsidRPr="00AE6EDB">
              <w:rPr>
                <w:b/>
                <w:bCs/>
                <w:sz w:val="20"/>
                <w:szCs w:val="18"/>
              </w:rPr>
              <w:t>522</w:t>
            </w:r>
          </w:p>
        </w:tc>
        <w:tc>
          <w:tcPr>
            <w:tcW w:w="1825" w:type="dxa"/>
            <w:vAlign w:val="center"/>
          </w:tcPr>
          <w:p w:rsidR="00135F59" w:rsidRPr="00AE6EDB" w:rsidRDefault="00AC44CB" w:rsidP="00135F59">
            <w:pPr>
              <w:ind w:right="497"/>
              <w:jc w:val="right"/>
              <w:rPr>
                <w:sz w:val="20"/>
              </w:rPr>
            </w:pPr>
            <w:r>
              <w:rPr>
                <w:b/>
                <w:bCs/>
                <w:sz w:val="20"/>
                <w:szCs w:val="18"/>
              </w:rPr>
              <w:t>7 6</w:t>
            </w:r>
            <w:r w:rsidR="00135F59" w:rsidRPr="00AE6EDB">
              <w:rPr>
                <w:b/>
                <w:bCs/>
                <w:sz w:val="20"/>
                <w:szCs w:val="18"/>
              </w:rPr>
              <w:t>4</w:t>
            </w:r>
            <w:r w:rsidR="0054295F">
              <w:rPr>
                <w:b/>
                <w:bCs/>
                <w:sz w:val="20"/>
                <w:szCs w:val="18"/>
              </w:rPr>
              <w:t>1 7</w:t>
            </w:r>
            <w:r w:rsidR="00135F59" w:rsidRPr="00AE6EDB">
              <w:rPr>
                <w:b/>
                <w:bCs/>
                <w:sz w:val="20"/>
                <w:szCs w:val="18"/>
              </w:rPr>
              <w:t>62</w:t>
            </w:r>
          </w:p>
        </w:tc>
        <w:tc>
          <w:tcPr>
            <w:tcW w:w="1825" w:type="dxa"/>
            <w:vAlign w:val="center"/>
          </w:tcPr>
          <w:p w:rsidR="00135F59" w:rsidRPr="00AE6EDB" w:rsidRDefault="00AC44CB" w:rsidP="00135F59">
            <w:pPr>
              <w:ind w:right="497"/>
              <w:jc w:val="right"/>
              <w:rPr>
                <w:sz w:val="20"/>
              </w:rPr>
            </w:pPr>
            <w:r>
              <w:rPr>
                <w:b/>
                <w:bCs/>
                <w:sz w:val="20"/>
                <w:szCs w:val="18"/>
              </w:rPr>
              <w:t>9 3</w:t>
            </w:r>
            <w:r w:rsidR="00135F59" w:rsidRPr="00AE6EDB">
              <w:rPr>
                <w:b/>
                <w:bCs/>
                <w:sz w:val="20"/>
                <w:szCs w:val="18"/>
              </w:rPr>
              <w:t>1</w:t>
            </w:r>
            <w:r w:rsidR="0054295F">
              <w:rPr>
                <w:b/>
                <w:bCs/>
                <w:sz w:val="20"/>
                <w:szCs w:val="18"/>
              </w:rPr>
              <w:t>3 1</w:t>
            </w:r>
            <w:r w:rsidR="00135F59" w:rsidRPr="00AE6EDB">
              <w:rPr>
                <w:b/>
                <w:bCs/>
                <w:sz w:val="20"/>
                <w:szCs w:val="18"/>
              </w:rPr>
              <w:t>44</w:t>
            </w:r>
          </w:p>
        </w:tc>
      </w:tr>
    </w:tbl>
    <w:p w:rsidR="000A7585" w:rsidRPr="00AE6EDB" w:rsidRDefault="000A7585" w:rsidP="00135F59">
      <w:pPr>
        <w:pStyle w:val="zdroj"/>
        <w:ind w:firstLine="0"/>
        <w:rPr>
          <w:b/>
          <w:highlight w:val="cyan"/>
        </w:rPr>
      </w:pPr>
      <w:r w:rsidRPr="00AE6EDB">
        <w:rPr>
          <w:color w:val="auto"/>
          <w:lang w:eastAsia="cs-CZ"/>
        </w:rPr>
        <w:t xml:space="preserve">Zdroj: V(MPSVR SR) 10- 01 </w:t>
      </w:r>
      <w:r w:rsidRPr="00AE6EDB">
        <w:rPr>
          <w:b/>
          <w:highlight w:val="cyan"/>
        </w:rPr>
        <w:br w:type="page"/>
      </w:r>
    </w:p>
    <w:p w:rsidR="000A7585" w:rsidRPr="00AE6EDB" w:rsidRDefault="000A7585" w:rsidP="000A7585">
      <w:pPr>
        <w:pStyle w:val="Nadpis7"/>
      </w:pPr>
      <w:r w:rsidRPr="00AE6EDB">
        <w:t>Tabuľka 28 Počet občanov zaradených do poradovníka čakateľov na poskytovanie starostlivosti vo vybraných zariadeniach</w:t>
      </w:r>
    </w:p>
    <w:tbl>
      <w:tblPr>
        <w:tblW w:w="13448" w:type="dxa"/>
        <w:jc w:val="center"/>
        <w:tblCellMar>
          <w:left w:w="70" w:type="dxa"/>
          <w:right w:w="70" w:type="dxa"/>
        </w:tblCellMar>
        <w:tblLook w:val="04A0" w:firstRow="1" w:lastRow="0" w:firstColumn="1" w:lastColumn="0" w:noHBand="0" w:noVBand="1"/>
      </w:tblPr>
      <w:tblGrid>
        <w:gridCol w:w="737"/>
        <w:gridCol w:w="1885"/>
        <w:gridCol w:w="6942"/>
        <w:gridCol w:w="1899"/>
        <w:gridCol w:w="1985"/>
      </w:tblGrid>
      <w:tr w:rsidR="000A7585" w:rsidRPr="00AE6EDB" w:rsidTr="00DE0EEC">
        <w:trPr>
          <w:trHeight w:val="1074"/>
          <w:jc w:val="center"/>
        </w:trPr>
        <w:tc>
          <w:tcPr>
            <w:tcW w:w="956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rPr>
                <w:b/>
                <w:bCs/>
              </w:rPr>
            </w:pPr>
            <w:r w:rsidRPr="00AE6EDB">
              <w:rPr>
                <w:b/>
                <w:bCs/>
              </w:rPr>
              <w:t>Druh zariadenia sociálnych služieb</w:t>
            </w:r>
          </w:p>
        </w:tc>
        <w:tc>
          <w:tcPr>
            <w:tcW w:w="1899"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135F59">
            <w:pPr>
              <w:jc w:val="center"/>
              <w:rPr>
                <w:b/>
                <w:bCs/>
              </w:rPr>
            </w:pPr>
            <w:r w:rsidRPr="00AE6EDB">
              <w:rPr>
                <w:b/>
                <w:bCs/>
              </w:rPr>
              <w:t>Počet občanov k 31.12.201</w:t>
            </w:r>
            <w:r w:rsidR="00135F59" w:rsidRPr="00AE6EDB">
              <w:rPr>
                <w:b/>
                <w:bCs/>
              </w:rPr>
              <w:t>4</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135F59">
            <w:pPr>
              <w:jc w:val="center"/>
              <w:rPr>
                <w:b/>
                <w:bCs/>
              </w:rPr>
            </w:pPr>
            <w:r w:rsidRPr="00AE6EDB">
              <w:rPr>
                <w:b/>
                <w:bCs/>
              </w:rPr>
              <w:t>Počet občanov k 31.12.201</w:t>
            </w:r>
            <w:r w:rsidR="00135F59" w:rsidRPr="00AE6EDB">
              <w:rPr>
                <w:b/>
                <w:bCs/>
              </w:rPr>
              <w:t>5</w:t>
            </w:r>
          </w:p>
        </w:tc>
      </w:tr>
      <w:tr w:rsidR="00135F59" w:rsidRPr="00AE6EDB" w:rsidTr="00DE0EEC">
        <w:trPr>
          <w:trHeight w:val="284"/>
          <w:jc w:val="center"/>
        </w:trPr>
        <w:tc>
          <w:tcPr>
            <w:tcW w:w="737"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135F59" w:rsidRPr="00AE6EDB" w:rsidRDefault="00135F59" w:rsidP="00DE0EEC">
            <w:pPr>
              <w:jc w:val="center"/>
              <w:rPr>
                <w:bCs/>
              </w:rPr>
            </w:pPr>
            <w:r w:rsidRPr="00AE6EDB">
              <w:rPr>
                <w:bCs/>
              </w:rPr>
              <w:t>Domovy sociálnych služieb</w:t>
            </w: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r w:rsidRPr="00AE6EDB">
              <w:t>pre deti</w:t>
            </w:r>
          </w:p>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telesným postihnutím</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pPr>
            <w:r w:rsidRPr="00AE6EDB">
              <w:rPr>
                <w:szCs w:val="22"/>
              </w:rPr>
              <w:t>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pPr>
            <w:r w:rsidRPr="00AE6EDB">
              <w:t>0</w:t>
            </w:r>
          </w:p>
        </w:tc>
      </w:tr>
      <w:tr w:rsidR="00135F59" w:rsidRPr="00AE6EDB" w:rsidTr="00DE0EEC">
        <w:trPr>
          <w:trHeight w:val="368"/>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59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33</w:t>
            </w:r>
          </w:p>
        </w:tc>
      </w:tr>
      <w:tr w:rsidR="00135F59" w:rsidRPr="00AE6EDB" w:rsidTr="00DE0EEC">
        <w:trPr>
          <w:trHeight w:val="467"/>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telesným postihnutím a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69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72</w:t>
            </w:r>
          </w:p>
        </w:tc>
      </w:tr>
      <w:tr w:rsidR="00135F59" w:rsidRPr="00AE6EDB" w:rsidTr="00DE0EEC">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jc w:val="center"/>
              <w:rPr>
                <w:b/>
                <w:bCs/>
              </w:rPr>
            </w:pP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r w:rsidRPr="00AE6EDB">
              <w:t>pre dospelých</w:t>
            </w:r>
          </w:p>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telesným postihnutím</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228</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197</w:t>
            </w:r>
          </w:p>
        </w:tc>
      </w:tr>
      <w:tr w:rsidR="00135F59" w:rsidRPr="00AE6EDB" w:rsidTr="00DE0EEC">
        <w:trPr>
          <w:trHeight w:val="321"/>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721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465</w:t>
            </w:r>
          </w:p>
        </w:tc>
      </w:tr>
      <w:tr w:rsidR="00135F59" w:rsidRPr="00AE6EDB" w:rsidTr="00DE0EEC">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so zmyslovým postihnutím</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15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10</w:t>
            </w:r>
          </w:p>
        </w:tc>
      </w:tr>
      <w:tr w:rsidR="00135F59" w:rsidRPr="00AE6EDB" w:rsidTr="00DE0EEC">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135F59" w:rsidRPr="00AE6EDB" w:rsidRDefault="00135F59" w:rsidP="00DE0EEC"/>
        </w:tc>
        <w:tc>
          <w:tcPr>
            <w:tcW w:w="6942" w:type="dxa"/>
            <w:tcBorders>
              <w:top w:val="single" w:sz="4" w:space="0" w:color="auto"/>
              <w:left w:val="nil"/>
              <w:bottom w:val="single" w:sz="4" w:space="0" w:color="auto"/>
              <w:right w:val="single" w:sz="4" w:space="0" w:color="auto"/>
            </w:tcBorders>
            <w:vAlign w:val="center"/>
            <w:hideMark/>
          </w:tcPr>
          <w:p w:rsidR="00135F59" w:rsidRPr="00AE6EDB" w:rsidRDefault="00135F59" w:rsidP="00DE0EEC">
            <w:r w:rsidRPr="00AE6EDB">
              <w:t>s kombináciou postihnutí</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54295F" w:rsidP="00DE0EEC">
            <w:pPr>
              <w:ind w:right="472"/>
              <w:jc w:val="right"/>
              <w:rPr>
                <w:szCs w:val="22"/>
              </w:rPr>
            </w:pPr>
            <w:r>
              <w:rPr>
                <w:szCs w:val="22"/>
              </w:rPr>
              <w:t>1 4</w:t>
            </w:r>
            <w:r w:rsidR="00135F59" w:rsidRPr="00AE6EDB">
              <w:rPr>
                <w:szCs w:val="22"/>
              </w:rPr>
              <w:t>21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54295F" w:rsidP="00DE0EEC">
            <w:pPr>
              <w:ind w:right="473"/>
              <w:jc w:val="right"/>
              <w:rPr>
                <w:szCs w:val="22"/>
              </w:rPr>
            </w:pPr>
            <w:r>
              <w:t>1 0</w:t>
            </w:r>
            <w:r w:rsidR="00135F59" w:rsidRPr="00AE6EDB">
              <w:t>83</w:t>
            </w:r>
          </w:p>
        </w:tc>
      </w:tr>
      <w:tr w:rsidR="00135F59" w:rsidRPr="00AE6EDB" w:rsidTr="00DE0EEC">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135F59" w:rsidRPr="00AE6EDB" w:rsidRDefault="00135F59" w:rsidP="00DE0EEC">
            <w:r w:rsidRPr="00AE6EDB">
              <w:t>Zariadenia pre seniorov</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54295F" w:rsidP="00DE0EEC">
            <w:pPr>
              <w:ind w:right="472"/>
              <w:jc w:val="right"/>
              <w:rPr>
                <w:szCs w:val="22"/>
              </w:rPr>
            </w:pPr>
            <w:r>
              <w:rPr>
                <w:szCs w:val="22"/>
              </w:rPr>
              <w:t>1 7</w:t>
            </w:r>
            <w:r w:rsidR="00135F59" w:rsidRPr="00AE6EDB">
              <w:rPr>
                <w:szCs w:val="22"/>
              </w:rPr>
              <w:t>17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54295F" w:rsidP="00DE0EEC">
            <w:pPr>
              <w:ind w:right="473"/>
              <w:jc w:val="right"/>
              <w:rPr>
                <w:szCs w:val="22"/>
              </w:rPr>
            </w:pPr>
            <w:r>
              <w:t>3 4</w:t>
            </w:r>
            <w:r w:rsidR="00135F59" w:rsidRPr="00AE6EDB">
              <w:t>27</w:t>
            </w:r>
          </w:p>
        </w:tc>
      </w:tr>
      <w:tr w:rsidR="00135F59" w:rsidRPr="00AE6EDB" w:rsidTr="00DE0EEC">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vAlign w:val="bottom"/>
            <w:hideMark/>
          </w:tcPr>
          <w:p w:rsidR="00135F59" w:rsidRPr="00AE6EDB" w:rsidRDefault="00135F59" w:rsidP="00DE0EEC">
            <w:r w:rsidRPr="00AE6EDB">
              <w:t>Zariadenia podporovaného bývania</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24</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23</w:t>
            </w:r>
          </w:p>
        </w:tc>
      </w:tr>
      <w:tr w:rsidR="00135F59" w:rsidRPr="00AE6EDB" w:rsidTr="00DE0EEC">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135F59" w:rsidRPr="00AE6EDB" w:rsidRDefault="00135F59" w:rsidP="00DE0EEC">
            <w:r w:rsidRPr="00AE6EDB">
              <w:t>Rehabilitačné strediská</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0</w:t>
            </w:r>
          </w:p>
        </w:tc>
      </w:tr>
      <w:tr w:rsidR="00135F59" w:rsidRPr="00AE6EDB" w:rsidTr="00DE0EEC">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135F59" w:rsidRPr="00AE6EDB" w:rsidRDefault="00135F59" w:rsidP="00DE0EEC">
            <w:r w:rsidRPr="00AE6EDB">
              <w:t>Špecializované zariadenie</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135F59" w:rsidP="00DE0EEC">
            <w:pPr>
              <w:ind w:right="472"/>
              <w:jc w:val="right"/>
              <w:rPr>
                <w:szCs w:val="22"/>
              </w:rPr>
            </w:pPr>
            <w:r w:rsidRPr="00AE6EDB">
              <w:rPr>
                <w:szCs w:val="22"/>
              </w:rPr>
              <w:t>266</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135F59" w:rsidP="00DE0EEC">
            <w:pPr>
              <w:ind w:right="473"/>
              <w:jc w:val="right"/>
              <w:rPr>
                <w:szCs w:val="22"/>
              </w:rPr>
            </w:pPr>
            <w:r w:rsidRPr="00AE6EDB">
              <w:t>690</w:t>
            </w:r>
          </w:p>
        </w:tc>
      </w:tr>
      <w:tr w:rsidR="00135F59" w:rsidRPr="00AE6EDB" w:rsidTr="00DE0EEC">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135F59" w:rsidRPr="00AE6EDB" w:rsidRDefault="00135F59" w:rsidP="00DE0EEC">
            <w:pPr>
              <w:rPr>
                <w:b/>
                <w:bCs/>
              </w:rPr>
            </w:pPr>
            <w:r w:rsidRPr="00AE6EDB">
              <w:rPr>
                <w:b/>
                <w:bCs/>
              </w:rPr>
              <w:t>SPOLU v SR</w:t>
            </w:r>
          </w:p>
        </w:tc>
        <w:tc>
          <w:tcPr>
            <w:tcW w:w="1899" w:type="dxa"/>
            <w:tcBorders>
              <w:top w:val="single" w:sz="4" w:space="0" w:color="auto"/>
              <w:left w:val="nil"/>
              <w:bottom w:val="single" w:sz="4" w:space="0" w:color="auto"/>
              <w:right w:val="single" w:sz="4" w:space="0" w:color="auto"/>
            </w:tcBorders>
            <w:noWrap/>
            <w:vAlign w:val="bottom"/>
          </w:tcPr>
          <w:p w:rsidR="00135F59" w:rsidRPr="00AE6EDB" w:rsidRDefault="0054295F" w:rsidP="00DE0EEC">
            <w:pPr>
              <w:ind w:right="472"/>
              <w:jc w:val="right"/>
              <w:rPr>
                <w:b/>
                <w:szCs w:val="22"/>
              </w:rPr>
            </w:pPr>
            <w:r>
              <w:rPr>
                <w:b/>
                <w:szCs w:val="22"/>
              </w:rPr>
              <w:t>4 5</w:t>
            </w:r>
            <w:r w:rsidR="00135F59" w:rsidRPr="00AE6EDB">
              <w:rPr>
                <w:b/>
                <w:szCs w:val="22"/>
              </w:rPr>
              <w:t>21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5F59" w:rsidRPr="00AE6EDB" w:rsidRDefault="00AC44CB" w:rsidP="00DE0EEC">
            <w:pPr>
              <w:ind w:right="473"/>
              <w:jc w:val="right"/>
              <w:rPr>
                <w:b/>
                <w:szCs w:val="22"/>
              </w:rPr>
            </w:pPr>
            <w:r>
              <w:rPr>
                <w:b/>
              </w:rPr>
              <w:t>6 0</w:t>
            </w:r>
            <w:r w:rsidR="00135F59" w:rsidRPr="00AE6EDB">
              <w:rPr>
                <w:b/>
              </w:rPr>
              <w:t>00</w:t>
            </w:r>
          </w:p>
        </w:tc>
      </w:tr>
    </w:tbl>
    <w:p w:rsidR="000A7585" w:rsidRPr="00AE6EDB" w:rsidRDefault="000A7585" w:rsidP="000A7585">
      <w:pPr>
        <w:pStyle w:val="zdroj"/>
        <w:ind w:left="567"/>
        <w:rPr>
          <w:color w:val="auto"/>
          <w:lang w:eastAsia="cs-CZ"/>
        </w:rPr>
      </w:pPr>
      <w:r w:rsidRPr="00AE6EDB">
        <w:rPr>
          <w:color w:val="auto"/>
          <w:lang w:eastAsia="cs-CZ"/>
        </w:rPr>
        <w:t xml:space="preserve">Zdroj: V(MPSVR SR) 10- 01 </w:t>
      </w:r>
    </w:p>
    <w:p w:rsidR="000A7585" w:rsidRPr="00AE6EDB" w:rsidRDefault="000A7585" w:rsidP="000A7585">
      <w:pPr>
        <w:rPr>
          <w:b/>
          <w:highlight w:val="cyan"/>
        </w:rPr>
      </w:pPr>
    </w:p>
    <w:p w:rsidR="00DF1178" w:rsidRPr="00AE6EDB" w:rsidRDefault="00DF1178" w:rsidP="000A7585">
      <w:pPr>
        <w:spacing w:after="200" w:line="276" w:lineRule="auto"/>
        <w:jc w:val="left"/>
        <w:rPr>
          <w:rFonts w:eastAsia="Calibri"/>
          <w:b/>
          <w:bCs/>
          <w:highlight w:val="cyan"/>
        </w:rPr>
        <w:sectPr w:rsidR="00DF1178" w:rsidRPr="00AE6EDB" w:rsidSect="004F3C97">
          <w:pgSz w:w="16838" w:h="11906" w:orient="landscape"/>
          <w:pgMar w:top="1417" w:right="1417" w:bottom="1417" w:left="1417" w:header="708" w:footer="708" w:gutter="0"/>
          <w:cols w:space="708"/>
          <w:docGrid w:linePitch="360"/>
        </w:sectPr>
      </w:pPr>
    </w:p>
    <w:p w:rsidR="000A7585" w:rsidRPr="00AE6EDB" w:rsidRDefault="000A7585" w:rsidP="000A7585">
      <w:pPr>
        <w:pStyle w:val="Nadpis7"/>
        <w:rPr>
          <w:rFonts w:eastAsia="Calibri"/>
        </w:rPr>
      </w:pPr>
      <w:r w:rsidRPr="00AE6EDB">
        <w:rPr>
          <w:rFonts w:eastAsia="Calibri"/>
        </w:rPr>
        <w:t>Tabuľka 29 Vybrané druhy sociálnych služieb poskytované neverejnými poskytovateľmi sociálnych služieb</w:t>
      </w:r>
    </w:p>
    <w:tbl>
      <w:tblPr>
        <w:tblW w:w="5310" w:type="pct"/>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13" w:type="dxa"/>
        </w:tblCellMar>
        <w:tblLook w:val="04A0" w:firstRow="1" w:lastRow="0" w:firstColumn="1" w:lastColumn="0" w:noHBand="0" w:noVBand="1"/>
      </w:tblPr>
      <w:tblGrid>
        <w:gridCol w:w="2706"/>
        <w:gridCol w:w="716"/>
        <w:gridCol w:w="751"/>
        <w:gridCol w:w="788"/>
        <w:gridCol w:w="710"/>
        <w:gridCol w:w="1512"/>
        <w:gridCol w:w="1417"/>
        <w:gridCol w:w="1229"/>
      </w:tblGrid>
      <w:tr w:rsidR="00D454A2" w:rsidRPr="00AE6EDB" w:rsidTr="00D454A2">
        <w:trPr>
          <w:trHeight w:val="964"/>
          <w:jc w:val="center"/>
        </w:trPr>
        <w:tc>
          <w:tcPr>
            <w:tcW w:w="1377" w:type="pct"/>
            <w:vMerge w:val="restart"/>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Neverejní poskytovatelia vybraných sociálnych služieb k 31. 12. 201</w:t>
            </w:r>
            <w:r w:rsidR="00135F59" w:rsidRPr="00AE6EDB">
              <w:rPr>
                <w:b/>
                <w:bCs/>
                <w:sz w:val="18"/>
                <w:szCs w:val="18"/>
              </w:rPr>
              <w:t>5</w:t>
            </w:r>
          </w:p>
        </w:tc>
        <w:tc>
          <w:tcPr>
            <w:tcW w:w="746" w:type="pct"/>
            <w:gridSpan w:val="2"/>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Počet poskytovateľov</w:t>
            </w:r>
          </w:p>
        </w:tc>
        <w:tc>
          <w:tcPr>
            <w:tcW w:w="762" w:type="pct"/>
            <w:gridSpan w:val="2"/>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Počet klientov</w:t>
            </w:r>
          </w:p>
        </w:tc>
        <w:tc>
          <w:tcPr>
            <w:tcW w:w="769" w:type="pct"/>
            <w:shd w:val="clear" w:color="auto" w:fill="FF9999" w:themeFill="accent3" w:themeFillTint="66"/>
            <w:vAlign w:val="center"/>
            <w:hideMark/>
          </w:tcPr>
          <w:p w:rsidR="000A7585" w:rsidRPr="00AE6EDB" w:rsidRDefault="000A7585" w:rsidP="00D454A2">
            <w:pPr>
              <w:jc w:val="center"/>
              <w:rPr>
                <w:b/>
                <w:bCs/>
                <w:sz w:val="18"/>
                <w:szCs w:val="18"/>
              </w:rPr>
            </w:pPr>
            <w:r w:rsidRPr="00AE6EDB">
              <w:rPr>
                <w:b/>
                <w:bCs/>
                <w:sz w:val="18"/>
                <w:szCs w:val="18"/>
              </w:rPr>
              <w:t>Zamestnanci poskytovateľov (v</w:t>
            </w:r>
            <w:r w:rsidR="00D454A2" w:rsidRPr="00AE6EDB">
              <w:rPr>
                <w:b/>
                <w:bCs/>
                <w:sz w:val="18"/>
                <w:szCs w:val="18"/>
              </w:rPr>
              <w:t> </w:t>
            </w:r>
            <w:r w:rsidRPr="00AE6EDB">
              <w:rPr>
                <w:b/>
                <w:bCs/>
                <w:sz w:val="18"/>
                <w:szCs w:val="18"/>
              </w:rPr>
              <w:t>prepočítaných stavoch)</w:t>
            </w:r>
          </w:p>
        </w:tc>
        <w:tc>
          <w:tcPr>
            <w:tcW w:w="721" w:type="pct"/>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 xml:space="preserve">Príjmy poskytovateľov </w:t>
            </w:r>
          </w:p>
          <w:p w:rsidR="000A7585" w:rsidRPr="00AE6EDB" w:rsidRDefault="000A7585" w:rsidP="00DE0EEC">
            <w:pPr>
              <w:jc w:val="center"/>
              <w:rPr>
                <w:b/>
                <w:bCs/>
                <w:sz w:val="18"/>
                <w:szCs w:val="18"/>
              </w:rPr>
            </w:pPr>
            <w:r w:rsidRPr="00AE6EDB">
              <w:rPr>
                <w:b/>
                <w:bCs/>
                <w:sz w:val="18"/>
                <w:szCs w:val="18"/>
              </w:rPr>
              <w:t xml:space="preserve"> (v €)</w:t>
            </w:r>
          </w:p>
        </w:tc>
        <w:tc>
          <w:tcPr>
            <w:tcW w:w="625" w:type="pct"/>
            <w:shd w:val="clear" w:color="auto" w:fill="FF9999" w:themeFill="accent3" w:themeFillTint="66"/>
            <w:vAlign w:val="center"/>
            <w:hideMark/>
          </w:tcPr>
          <w:p w:rsidR="000A7585" w:rsidRPr="00AE6EDB" w:rsidRDefault="000A7585" w:rsidP="00DE0EEC">
            <w:pPr>
              <w:jc w:val="center"/>
              <w:rPr>
                <w:b/>
                <w:bCs/>
                <w:sz w:val="18"/>
                <w:szCs w:val="18"/>
              </w:rPr>
            </w:pPr>
            <w:r w:rsidRPr="00AE6EDB">
              <w:rPr>
                <w:b/>
                <w:bCs/>
                <w:sz w:val="18"/>
                <w:szCs w:val="18"/>
              </w:rPr>
              <w:t xml:space="preserve">Výdavky poskytovateľov </w:t>
            </w:r>
          </w:p>
          <w:p w:rsidR="000A7585" w:rsidRPr="00AE6EDB" w:rsidRDefault="000A7585" w:rsidP="00DE0EEC">
            <w:pPr>
              <w:jc w:val="center"/>
              <w:rPr>
                <w:b/>
                <w:bCs/>
                <w:sz w:val="18"/>
                <w:szCs w:val="18"/>
              </w:rPr>
            </w:pPr>
            <w:r w:rsidRPr="00AE6EDB">
              <w:rPr>
                <w:b/>
                <w:bCs/>
                <w:sz w:val="18"/>
                <w:szCs w:val="18"/>
              </w:rPr>
              <w:t xml:space="preserve"> (v €)</w:t>
            </w:r>
          </w:p>
        </w:tc>
      </w:tr>
      <w:tr w:rsidR="00D454A2" w:rsidRPr="00AE6EDB" w:rsidTr="00D454A2">
        <w:trPr>
          <w:trHeight w:val="60"/>
          <w:jc w:val="center"/>
        </w:trPr>
        <w:tc>
          <w:tcPr>
            <w:tcW w:w="1377" w:type="pct"/>
            <w:vMerge/>
            <w:shd w:val="clear" w:color="auto" w:fill="FF9999" w:themeFill="accent3" w:themeFillTint="66"/>
            <w:vAlign w:val="center"/>
            <w:hideMark/>
          </w:tcPr>
          <w:p w:rsidR="000A7585" w:rsidRPr="00AE6EDB" w:rsidRDefault="000A7585" w:rsidP="00DE0EEC">
            <w:pPr>
              <w:rPr>
                <w:b/>
                <w:bCs/>
                <w:sz w:val="18"/>
                <w:szCs w:val="18"/>
              </w:rPr>
            </w:pPr>
          </w:p>
        </w:tc>
        <w:tc>
          <w:tcPr>
            <w:tcW w:w="364"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4</w:t>
            </w:r>
          </w:p>
        </w:tc>
        <w:tc>
          <w:tcPr>
            <w:tcW w:w="382"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5</w:t>
            </w:r>
          </w:p>
        </w:tc>
        <w:tc>
          <w:tcPr>
            <w:tcW w:w="401"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4</w:t>
            </w:r>
          </w:p>
        </w:tc>
        <w:tc>
          <w:tcPr>
            <w:tcW w:w="361"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5</w:t>
            </w:r>
          </w:p>
        </w:tc>
        <w:tc>
          <w:tcPr>
            <w:tcW w:w="769"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5</w:t>
            </w:r>
          </w:p>
        </w:tc>
        <w:tc>
          <w:tcPr>
            <w:tcW w:w="721"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5</w:t>
            </w:r>
          </w:p>
        </w:tc>
        <w:tc>
          <w:tcPr>
            <w:tcW w:w="625" w:type="pct"/>
            <w:shd w:val="clear" w:color="auto" w:fill="FF9999" w:themeFill="accent3" w:themeFillTint="66"/>
            <w:vAlign w:val="center"/>
            <w:hideMark/>
          </w:tcPr>
          <w:p w:rsidR="000A7585" w:rsidRPr="00AE6EDB" w:rsidRDefault="000A7585" w:rsidP="00135F59">
            <w:pPr>
              <w:jc w:val="center"/>
              <w:rPr>
                <w:b/>
                <w:bCs/>
                <w:sz w:val="18"/>
                <w:szCs w:val="18"/>
              </w:rPr>
            </w:pPr>
            <w:r w:rsidRPr="00AE6EDB">
              <w:rPr>
                <w:b/>
                <w:bCs/>
                <w:sz w:val="18"/>
                <w:szCs w:val="18"/>
              </w:rPr>
              <w:t>201</w:t>
            </w:r>
            <w:r w:rsidR="00135F59" w:rsidRPr="00AE6EDB">
              <w:rPr>
                <w:b/>
                <w:bCs/>
                <w:sz w:val="18"/>
                <w:szCs w:val="18"/>
              </w:rPr>
              <w:t>5</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opatrovateľská služba</w:t>
            </w:r>
          </w:p>
        </w:tc>
        <w:tc>
          <w:tcPr>
            <w:tcW w:w="364" w:type="pct"/>
            <w:noWrap/>
            <w:vAlign w:val="center"/>
          </w:tcPr>
          <w:p w:rsidR="00DF1178" w:rsidRPr="00AE6EDB" w:rsidRDefault="00DF1178" w:rsidP="00DF1178">
            <w:pPr>
              <w:ind w:right="-69"/>
              <w:jc w:val="right"/>
              <w:rPr>
                <w:sz w:val="20"/>
                <w:szCs w:val="18"/>
              </w:rPr>
            </w:pPr>
            <w:r w:rsidRPr="00AE6EDB">
              <w:rPr>
                <w:sz w:val="20"/>
                <w:szCs w:val="22"/>
              </w:rPr>
              <w:t>111</w:t>
            </w:r>
          </w:p>
        </w:tc>
        <w:tc>
          <w:tcPr>
            <w:tcW w:w="382" w:type="pct"/>
            <w:noWrap/>
            <w:vAlign w:val="center"/>
          </w:tcPr>
          <w:p w:rsidR="00DF1178" w:rsidRPr="00AE6EDB" w:rsidRDefault="00DF1178" w:rsidP="00DF1178">
            <w:pPr>
              <w:ind w:right="-69"/>
              <w:jc w:val="right"/>
              <w:rPr>
                <w:sz w:val="20"/>
                <w:szCs w:val="18"/>
              </w:rPr>
            </w:pPr>
            <w:r w:rsidRPr="00AE6EDB">
              <w:rPr>
                <w:sz w:val="20"/>
                <w:szCs w:val="22"/>
              </w:rPr>
              <w:t>130</w:t>
            </w:r>
          </w:p>
        </w:tc>
        <w:tc>
          <w:tcPr>
            <w:tcW w:w="401" w:type="pct"/>
            <w:noWrap/>
            <w:vAlign w:val="center"/>
          </w:tcPr>
          <w:p w:rsidR="00DF1178" w:rsidRPr="00AE6EDB" w:rsidRDefault="0054295F" w:rsidP="00DF1178">
            <w:pPr>
              <w:ind w:right="-69"/>
              <w:jc w:val="right"/>
              <w:rPr>
                <w:sz w:val="20"/>
                <w:szCs w:val="18"/>
              </w:rPr>
            </w:pPr>
            <w:r>
              <w:rPr>
                <w:sz w:val="20"/>
                <w:szCs w:val="22"/>
              </w:rPr>
              <w:t>4 0</w:t>
            </w:r>
            <w:r w:rsidR="00DF1178" w:rsidRPr="00AE6EDB">
              <w:rPr>
                <w:sz w:val="20"/>
                <w:szCs w:val="22"/>
              </w:rPr>
              <w:t>74</w:t>
            </w:r>
          </w:p>
        </w:tc>
        <w:tc>
          <w:tcPr>
            <w:tcW w:w="361" w:type="pct"/>
            <w:noWrap/>
            <w:vAlign w:val="center"/>
          </w:tcPr>
          <w:p w:rsidR="00DF1178" w:rsidRPr="00AE6EDB" w:rsidRDefault="0054295F" w:rsidP="00DF1178">
            <w:pPr>
              <w:ind w:right="-69"/>
              <w:jc w:val="right"/>
              <w:rPr>
                <w:sz w:val="20"/>
                <w:szCs w:val="18"/>
              </w:rPr>
            </w:pPr>
            <w:r>
              <w:rPr>
                <w:sz w:val="20"/>
                <w:szCs w:val="22"/>
              </w:rPr>
              <w:t>4 2</w:t>
            </w:r>
            <w:r w:rsidR="00DF1178" w:rsidRPr="00AE6EDB">
              <w:rPr>
                <w:sz w:val="20"/>
                <w:szCs w:val="22"/>
              </w:rPr>
              <w:t>76</w:t>
            </w:r>
          </w:p>
        </w:tc>
        <w:tc>
          <w:tcPr>
            <w:tcW w:w="769" w:type="pct"/>
            <w:noWrap/>
            <w:vAlign w:val="center"/>
          </w:tcPr>
          <w:p w:rsidR="00DF1178" w:rsidRPr="00AE6EDB" w:rsidRDefault="0054295F" w:rsidP="00DF1178">
            <w:pPr>
              <w:ind w:right="-69"/>
              <w:jc w:val="right"/>
              <w:rPr>
                <w:sz w:val="20"/>
                <w:szCs w:val="18"/>
              </w:rPr>
            </w:pPr>
            <w:r>
              <w:rPr>
                <w:sz w:val="20"/>
                <w:szCs w:val="22"/>
              </w:rPr>
              <w:t>3 0</w:t>
            </w:r>
            <w:r w:rsidR="00DF1178" w:rsidRPr="00AE6EDB">
              <w:rPr>
                <w:sz w:val="20"/>
                <w:szCs w:val="22"/>
              </w:rPr>
              <w:t>00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4 2</w:t>
            </w:r>
            <w:r w:rsidRPr="00AE6EDB">
              <w:rPr>
                <w:sz w:val="20"/>
                <w:szCs w:val="22"/>
              </w:rPr>
              <w:t>2</w:t>
            </w:r>
            <w:r w:rsidR="00AC44CB">
              <w:rPr>
                <w:sz w:val="20"/>
                <w:szCs w:val="22"/>
              </w:rPr>
              <w:t>6 6</w:t>
            </w:r>
            <w:r w:rsidRPr="00AE6EDB">
              <w:rPr>
                <w:sz w:val="20"/>
                <w:szCs w:val="22"/>
              </w:rPr>
              <w:t>44</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3 3</w:t>
            </w:r>
            <w:r w:rsidRPr="00AE6EDB">
              <w:rPr>
                <w:sz w:val="20"/>
                <w:szCs w:val="22"/>
              </w:rPr>
              <w:t>0</w:t>
            </w:r>
            <w:r w:rsidR="0054295F">
              <w:rPr>
                <w:sz w:val="20"/>
                <w:szCs w:val="22"/>
              </w:rPr>
              <w:t>0 0</w:t>
            </w:r>
            <w:r w:rsidRPr="00AE6EDB">
              <w:rPr>
                <w:sz w:val="20"/>
                <w:szCs w:val="22"/>
              </w:rPr>
              <w:t>38</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nízko prahové denné centrum</w:t>
            </w:r>
          </w:p>
        </w:tc>
        <w:tc>
          <w:tcPr>
            <w:tcW w:w="364" w:type="pct"/>
            <w:noWrap/>
            <w:vAlign w:val="center"/>
          </w:tcPr>
          <w:p w:rsidR="00DF1178" w:rsidRPr="00AE6EDB" w:rsidRDefault="00DF1178" w:rsidP="00DF1178">
            <w:pPr>
              <w:ind w:right="-69"/>
              <w:jc w:val="right"/>
              <w:rPr>
                <w:sz w:val="20"/>
                <w:szCs w:val="18"/>
              </w:rPr>
            </w:pPr>
            <w:r w:rsidRPr="00AE6EDB">
              <w:rPr>
                <w:sz w:val="20"/>
                <w:szCs w:val="22"/>
              </w:rPr>
              <w:t>13</w:t>
            </w:r>
          </w:p>
        </w:tc>
        <w:tc>
          <w:tcPr>
            <w:tcW w:w="382" w:type="pct"/>
            <w:noWrap/>
            <w:vAlign w:val="center"/>
          </w:tcPr>
          <w:p w:rsidR="00DF1178" w:rsidRPr="00AE6EDB" w:rsidRDefault="00DF1178" w:rsidP="00DF1178">
            <w:pPr>
              <w:ind w:right="-69"/>
              <w:jc w:val="right"/>
              <w:rPr>
                <w:sz w:val="20"/>
                <w:szCs w:val="18"/>
              </w:rPr>
            </w:pPr>
            <w:r w:rsidRPr="00AE6EDB">
              <w:rPr>
                <w:sz w:val="20"/>
                <w:szCs w:val="22"/>
              </w:rPr>
              <w:t>13</w:t>
            </w:r>
          </w:p>
        </w:tc>
        <w:tc>
          <w:tcPr>
            <w:tcW w:w="401" w:type="pct"/>
            <w:noWrap/>
            <w:vAlign w:val="center"/>
          </w:tcPr>
          <w:p w:rsidR="00DF1178" w:rsidRPr="00AE6EDB" w:rsidRDefault="00DF1178" w:rsidP="00DF1178">
            <w:pPr>
              <w:ind w:right="-69"/>
              <w:jc w:val="right"/>
              <w:rPr>
                <w:sz w:val="20"/>
                <w:szCs w:val="18"/>
              </w:rPr>
            </w:pPr>
            <w:r w:rsidRPr="00AE6EDB">
              <w:rPr>
                <w:sz w:val="20"/>
                <w:szCs w:val="22"/>
              </w:rPr>
              <w:t>1</w:t>
            </w:r>
            <w:r w:rsidR="00AC44CB">
              <w:rPr>
                <w:sz w:val="20"/>
                <w:szCs w:val="22"/>
              </w:rPr>
              <w:t>6 0</w:t>
            </w:r>
            <w:r w:rsidRPr="00AE6EDB">
              <w:rPr>
                <w:sz w:val="20"/>
                <w:szCs w:val="22"/>
              </w:rPr>
              <w:t>66</w:t>
            </w:r>
          </w:p>
        </w:tc>
        <w:tc>
          <w:tcPr>
            <w:tcW w:w="361" w:type="pct"/>
            <w:noWrap/>
            <w:vAlign w:val="center"/>
          </w:tcPr>
          <w:p w:rsidR="00DF1178" w:rsidRPr="00AE6EDB" w:rsidRDefault="0054295F" w:rsidP="00DF1178">
            <w:pPr>
              <w:ind w:right="-69"/>
              <w:jc w:val="right"/>
              <w:rPr>
                <w:sz w:val="20"/>
                <w:szCs w:val="18"/>
              </w:rPr>
            </w:pPr>
            <w:r>
              <w:rPr>
                <w:sz w:val="20"/>
                <w:szCs w:val="22"/>
              </w:rPr>
              <w:t>1 7</w:t>
            </w:r>
            <w:r w:rsidR="00DF1178" w:rsidRPr="00AE6EDB">
              <w:rPr>
                <w:sz w:val="20"/>
                <w:szCs w:val="22"/>
              </w:rPr>
              <w:t>40</w:t>
            </w:r>
          </w:p>
        </w:tc>
        <w:tc>
          <w:tcPr>
            <w:tcW w:w="769" w:type="pct"/>
            <w:noWrap/>
            <w:vAlign w:val="center"/>
          </w:tcPr>
          <w:p w:rsidR="00DF1178" w:rsidRPr="00AE6EDB" w:rsidRDefault="00DF1178" w:rsidP="00DF1178">
            <w:pPr>
              <w:ind w:right="-69"/>
              <w:jc w:val="right"/>
              <w:rPr>
                <w:sz w:val="20"/>
                <w:szCs w:val="18"/>
              </w:rPr>
            </w:pPr>
            <w:r w:rsidRPr="00AE6EDB">
              <w:rPr>
                <w:sz w:val="20"/>
                <w:szCs w:val="22"/>
              </w:rPr>
              <w:t>17</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25</w:t>
            </w:r>
            <w:r w:rsidR="0054295F">
              <w:rPr>
                <w:sz w:val="20"/>
                <w:szCs w:val="22"/>
              </w:rPr>
              <w:t>3 6</w:t>
            </w:r>
            <w:r w:rsidRPr="00AE6EDB">
              <w:rPr>
                <w:sz w:val="20"/>
                <w:szCs w:val="22"/>
              </w:rPr>
              <w:t>07</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26</w:t>
            </w:r>
            <w:r w:rsidR="0054295F">
              <w:rPr>
                <w:sz w:val="20"/>
                <w:szCs w:val="22"/>
              </w:rPr>
              <w:t>0 7</w:t>
            </w:r>
            <w:r w:rsidRPr="00AE6EDB">
              <w:rPr>
                <w:sz w:val="20"/>
                <w:szCs w:val="22"/>
              </w:rPr>
              <w:t>35</w:t>
            </w:r>
          </w:p>
        </w:tc>
      </w:tr>
      <w:tr w:rsidR="00D454A2" w:rsidRPr="00AE6EDB" w:rsidTr="00D454A2">
        <w:trPr>
          <w:trHeight w:val="510"/>
          <w:jc w:val="center"/>
        </w:trPr>
        <w:tc>
          <w:tcPr>
            <w:tcW w:w="1377" w:type="pct"/>
            <w:vAlign w:val="center"/>
            <w:hideMark/>
          </w:tcPr>
          <w:p w:rsidR="00DF1178" w:rsidRPr="00AE6EDB" w:rsidRDefault="00DF1178" w:rsidP="00DE0EEC">
            <w:pPr>
              <w:jc w:val="left"/>
              <w:rPr>
                <w:sz w:val="18"/>
                <w:szCs w:val="18"/>
              </w:rPr>
            </w:pPr>
            <w:r w:rsidRPr="00AE6EDB">
              <w:rPr>
                <w:sz w:val="18"/>
                <w:szCs w:val="18"/>
              </w:rPr>
              <w:t>pomoc pri osobnej starostlivosti o dieťa a podpora zosúlaďovania osobného a pracovného života</w:t>
            </w:r>
          </w:p>
        </w:tc>
        <w:tc>
          <w:tcPr>
            <w:tcW w:w="364" w:type="pct"/>
            <w:noWrap/>
            <w:vAlign w:val="center"/>
          </w:tcPr>
          <w:p w:rsidR="00DF1178" w:rsidRPr="00AE6EDB" w:rsidRDefault="00DF1178" w:rsidP="00DF1178">
            <w:pPr>
              <w:ind w:right="-69"/>
              <w:jc w:val="right"/>
              <w:rPr>
                <w:sz w:val="20"/>
                <w:szCs w:val="18"/>
              </w:rPr>
            </w:pPr>
            <w:r w:rsidRPr="00AE6EDB">
              <w:rPr>
                <w:sz w:val="20"/>
                <w:szCs w:val="22"/>
              </w:rPr>
              <w:t>0</w:t>
            </w:r>
          </w:p>
        </w:tc>
        <w:tc>
          <w:tcPr>
            <w:tcW w:w="382" w:type="pct"/>
            <w:noWrap/>
            <w:vAlign w:val="center"/>
          </w:tcPr>
          <w:p w:rsidR="00DF1178" w:rsidRPr="00AE6EDB" w:rsidRDefault="00DF1178" w:rsidP="00DF1178">
            <w:pPr>
              <w:ind w:right="-69"/>
              <w:jc w:val="right"/>
              <w:rPr>
                <w:sz w:val="20"/>
                <w:szCs w:val="18"/>
              </w:rPr>
            </w:pPr>
            <w:r w:rsidRPr="00AE6EDB">
              <w:rPr>
                <w:sz w:val="20"/>
                <w:szCs w:val="22"/>
              </w:rPr>
              <w:t>1</w:t>
            </w:r>
          </w:p>
        </w:tc>
        <w:tc>
          <w:tcPr>
            <w:tcW w:w="401" w:type="pct"/>
            <w:noWrap/>
            <w:vAlign w:val="center"/>
          </w:tcPr>
          <w:p w:rsidR="00DF1178" w:rsidRPr="00AE6EDB" w:rsidRDefault="00DF1178" w:rsidP="00DF1178">
            <w:pPr>
              <w:ind w:right="-69"/>
              <w:jc w:val="right"/>
              <w:rPr>
                <w:sz w:val="20"/>
                <w:szCs w:val="18"/>
              </w:rPr>
            </w:pPr>
            <w:r w:rsidRPr="00AE6EDB">
              <w:rPr>
                <w:sz w:val="20"/>
                <w:szCs w:val="22"/>
              </w:rPr>
              <w:t>3</w:t>
            </w:r>
          </w:p>
        </w:tc>
        <w:tc>
          <w:tcPr>
            <w:tcW w:w="361" w:type="pct"/>
            <w:noWrap/>
            <w:vAlign w:val="center"/>
          </w:tcPr>
          <w:p w:rsidR="00DF1178" w:rsidRPr="00AE6EDB" w:rsidRDefault="00DF1178" w:rsidP="00DF1178">
            <w:pPr>
              <w:ind w:right="-69"/>
              <w:jc w:val="right"/>
              <w:rPr>
                <w:sz w:val="20"/>
                <w:szCs w:val="18"/>
              </w:rPr>
            </w:pPr>
            <w:r w:rsidRPr="00AE6EDB">
              <w:rPr>
                <w:sz w:val="20"/>
                <w:szCs w:val="22"/>
              </w:rPr>
              <w:t>0</w:t>
            </w:r>
          </w:p>
        </w:tc>
        <w:tc>
          <w:tcPr>
            <w:tcW w:w="769" w:type="pct"/>
            <w:noWrap/>
            <w:vAlign w:val="center"/>
          </w:tcPr>
          <w:p w:rsidR="00DF1178" w:rsidRPr="00AE6EDB" w:rsidRDefault="00DF1178" w:rsidP="00DF1178">
            <w:pPr>
              <w:ind w:right="-69"/>
              <w:jc w:val="right"/>
              <w:rPr>
                <w:sz w:val="20"/>
                <w:szCs w:val="18"/>
              </w:rPr>
            </w:pPr>
            <w:r w:rsidRPr="00AE6EDB">
              <w:rPr>
                <w:sz w:val="20"/>
                <w:szCs w:val="22"/>
              </w:rPr>
              <w:t>1</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3 3</w:t>
            </w:r>
            <w:r w:rsidRPr="00AE6EDB">
              <w:rPr>
                <w:sz w:val="20"/>
                <w:szCs w:val="22"/>
              </w:rPr>
              <w:t>69</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3 3</w:t>
            </w:r>
            <w:r w:rsidRPr="00AE6EDB">
              <w:rPr>
                <w:sz w:val="20"/>
                <w:szCs w:val="22"/>
              </w:rPr>
              <w:t>69</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 xml:space="preserve">zariadenie dočasnej starostlivosti o deti </w:t>
            </w:r>
          </w:p>
        </w:tc>
        <w:tc>
          <w:tcPr>
            <w:tcW w:w="364" w:type="pct"/>
            <w:noWrap/>
            <w:vAlign w:val="center"/>
          </w:tcPr>
          <w:p w:rsidR="00DF1178" w:rsidRPr="00AE6EDB" w:rsidRDefault="00DF1178" w:rsidP="00DF1178">
            <w:pPr>
              <w:ind w:right="-69"/>
              <w:jc w:val="right"/>
              <w:rPr>
                <w:sz w:val="20"/>
                <w:szCs w:val="18"/>
              </w:rPr>
            </w:pPr>
            <w:r w:rsidRPr="00AE6EDB">
              <w:rPr>
                <w:sz w:val="20"/>
                <w:szCs w:val="22"/>
              </w:rPr>
              <w:t>1</w:t>
            </w:r>
          </w:p>
        </w:tc>
        <w:tc>
          <w:tcPr>
            <w:tcW w:w="382" w:type="pct"/>
            <w:noWrap/>
            <w:vAlign w:val="center"/>
          </w:tcPr>
          <w:p w:rsidR="00DF1178" w:rsidRPr="00AE6EDB" w:rsidRDefault="00DF1178" w:rsidP="00DF1178">
            <w:pPr>
              <w:ind w:right="-69"/>
              <w:jc w:val="right"/>
              <w:rPr>
                <w:sz w:val="20"/>
                <w:szCs w:val="18"/>
              </w:rPr>
            </w:pPr>
            <w:r w:rsidRPr="00AE6EDB">
              <w:rPr>
                <w:sz w:val="20"/>
                <w:szCs w:val="22"/>
              </w:rPr>
              <w:t>0</w:t>
            </w:r>
          </w:p>
        </w:tc>
        <w:tc>
          <w:tcPr>
            <w:tcW w:w="401" w:type="pct"/>
            <w:noWrap/>
            <w:vAlign w:val="center"/>
          </w:tcPr>
          <w:p w:rsidR="00DF1178" w:rsidRPr="00AE6EDB" w:rsidRDefault="00DF1178" w:rsidP="00DF1178">
            <w:pPr>
              <w:ind w:right="-69"/>
              <w:jc w:val="right"/>
              <w:rPr>
                <w:sz w:val="20"/>
                <w:szCs w:val="18"/>
              </w:rPr>
            </w:pPr>
            <w:r w:rsidRPr="00AE6EDB">
              <w:rPr>
                <w:sz w:val="20"/>
                <w:szCs w:val="22"/>
              </w:rPr>
              <w:t>7</w:t>
            </w:r>
          </w:p>
        </w:tc>
        <w:tc>
          <w:tcPr>
            <w:tcW w:w="361" w:type="pct"/>
            <w:noWrap/>
            <w:vAlign w:val="center"/>
          </w:tcPr>
          <w:p w:rsidR="00DF1178" w:rsidRPr="00AE6EDB" w:rsidRDefault="00DF1178" w:rsidP="00DF1178">
            <w:pPr>
              <w:ind w:right="-69"/>
              <w:jc w:val="right"/>
              <w:rPr>
                <w:sz w:val="20"/>
                <w:szCs w:val="18"/>
              </w:rPr>
            </w:pPr>
            <w:r w:rsidRPr="00AE6EDB">
              <w:rPr>
                <w:sz w:val="20"/>
                <w:szCs w:val="22"/>
              </w:rPr>
              <w:t>0</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70"/>
          <w:jc w:val="center"/>
        </w:trPr>
        <w:tc>
          <w:tcPr>
            <w:tcW w:w="1377" w:type="pct"/>
            <w:vAlign w:val="center"/>
            <w:hideMark/>
          </w:tcPr>
          <w:p w:rsidR="00DF1178" w:rsidRPr="00AE6EDB" w:rsidRDefault="00DF1178" w:rsidP="00135F59">
            <w:pPr>
              <w:jc w:val="left"/>
              <w:rPr>
                <w:sz w:val="18"/>
                <w:szCs w:val="18"/>
              </w:rPr>
            </w:pPr>
            <w:proofErr w:type="spellStart"/>
            <w:r w:rsidRPr="00AE6EDB">
              <w:rPr>
                <w:sz w:val="18"/>
                <w:szCs w:val="18"/>
              </w:rPr>
              <w:t>nízkoprahová</w:t>
            </w:r>
            <w:proofErr w:type="spellEnd"/>
            <w:r w:rsidRPr="00AE6EDB">
              <w:rPr>
                <w:sz w:val="18"/>
                <w:szCs w:val="18"/>
              </w:rPr>
              <w:t xml:space="preserve"> sociálna služba pre deti a rodinu </w:t>
            </w:r>
          </w:p>
        </w:tc>
        <w:tc>
          <w:tcPr>
            <w:tcW w:w="364" w:type="pct"/>
            <w:noWrap/>
            <w:vAlign w:val="center"/>
          </w:tcPr>
          <w:p w:rsidR="00DF1178" w:rsidRPr="00AE6EDB" w:rsidRDefault="00DF1178" w:rsidP="00DF1178">
            <w:pPr>
              <w:ind w:right="-69"/>
              <w:jc w:val="right"/>
              <w:rPr>
                <w:sz w:val="20"/>
                <w:szCs w:val="18"/>
              </w:rPr>
            </w:pPr>
            <w:r w:rsidRPr="00AE6EDB">
              <w:rPr>
                <w:sz w:val="20"/>
                <w:szCs w:val="22"/>
              </w:rPr>
              <w:t>14</w:t>
            </w:r>
          </w:p>
        </w:tc>
        <w:tc>
          <w:tcPr>
            <w:tcW w:w="382" w:type="pct"/>
            <w:noWrap/>
            <w:vAlign w:val="center"/>
          </w:tcPr>
          <w:p w:rsidR="00DF1178" w:rsidRPr="00AE6EDB" w:rsidRDefault="00DF1178" w:rsidP="00DF1178">
            <w:pPr>
              <w:ind w:right="-69"/>
              <w:jc w:val="right"/>
              <w:rPr>
                <w:sz w:val="20"/>
                <w:szCs w:val="18"/>
              </w:rPr>
            </w:pPr>
            <w:r w:rsidRPr="00AE6EDB">
              <w:rPr>
                <w:sz w:val="20"/>
                <w:szCs w:val="22"/>
              </w:rPr>
              <w:t>8</w:t>
            </w:r>
          </w:p>
        </w:tc>
        <w:tc>
          <w:tcPr>
            <w:tcW w:w="401" w:type="pct"/>
            <w:noWrap/>
            <w:vAlign w:val="center"/>
          </w:tcPr>
          <w:p w:rsidR="00DF1178" w:rsidRPr="00AE6EDB" w:rsidRDefault="0054295F" w:rsidP="00DF1178">
            <w:pPr>
              <w:ind w:right="-69"/>
              <w:jc w:val="right"/>
              <w:rPr>
                <w:sz w:val="20"/>
                <w:szCs w:val="18"/>
              </w:rPr>
            </w:pPr>
            <w:r>
              <w:rPr>
                <w:sz w:val="20"/>
                <w:szCs w:val="22"/>
              </w:rPr>
              <w:t>2 3</w:t>
            </w:r>
            <w:r w:rsidR="00DF1178" w:rsidRPr="00AE6EDB">
              <w:rPr>
                <w:sz w:val="20"/>
                <w:szCs w:val="22"/>
              </w:rPr>
              <w:t>17</w:t>
            </w:r>
          </w:p>
        </w:tc>
        <w:tc>
          <w:tcPr>
            <w:tcW w:w="361" w:type="pct"/>
            <w:noWrap/>
            <w:vAlign w:val="center"/>
          </w:tcPr>
          <w:p w:rsidR="00DF1178" w:rsidRPr="00AE6EDB" w:rsidRDefault="00AC44CB" w:rsidP="00DF1178">
            <w:pPr>
              <w:ind w:right="-69"/>
              <w:jc w:val="right"/>
              <w:rPr>
                <w:sz w:val="20"/>
                <w:szCs w:val="18"/>
              </w:rPr>
            </w:pPr>
            <w:r>
              <w:rPr>
                <w:sz w:val="20"/>
                <w:szCs w:val="22"/>
              </w:rPr>
              <w:t>5 3</w:t>
            </w:r>
            <w:r w:rsidR="00DF1178" w:rsidRPr="00AE6EDB">
              <w:rPr>
                <w:sz w:val="20"/>
                <w:szCs w:val="22"/>
              </w:rPr>
              <w:t>11</w:t>
            </w:r>
          </w:p>
        </w:tc>
        <w:tc>
          <w:tcPr>
            <w:tcW w:w="769" w:type="pct"/>
            <w:noWrap/>
            <w:vAlign w:val="center"/>
          </w:tcPr>
          <w:p w:rsidR="00DF1178" w:rsidRPr="00AE6EDB" w:rsidRDefault="00DF1178" w:rsidP="00DF1178">
            <w:pPr>
              <w:ind w:right="-69"/>
              <w:jc w:val="right"/>
              <w:rPr>
                <w:sz w:val="20"/>
                <w:szCs w:val="18"/>
              </w:rPr>
            </w:pPr>
            <w:r w:rsidRPr="00AE6EDB">
              <w:rPr>
                <w:sz w:val="20"/>
                <w:szCs w:val="22"/>
              </w:rPr>
              <w:t>14</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6</w:t>
            </w:r>
            <w:r w:rsidR="00AC44CB">
              <w:rPr>
                <w:sz w:val="20"/>
                <w:szCs w:val="22"/>
              </w:rPr>
              <w:t>6 1</w:t>
            </w:r>
            <w:r w:rsidRPr="00AE6EDB">
              <w:rPr>
                <w:sz w:val="20"/>
                <w:szCs w:val="22"/>
              </w:rPr>
              <w:t>16</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5</w:t>
            </w:r>
            <w:r w:rsidR="00AC44CB">
              <w:rPr>
                <w:sz w:val="20"/>
                <w:szCs w:val="22"/>
              </w:rPr>
              <w:t>6 7</w:t>
            </w:r>
            <w:r w:rsidRPr="00AE6EDB">
              <w:rPr>
                <w:sz w:val="20"/>
                <w:szCs w:val="22"/>
              </w:rPr>
              <w:t>19</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prepravná služba</w:t>
            </w:r>
          </w:p>
        </w:tc>
        <w:tc>
          <w:tcPr>
            <w:tcW w:w="364" w:type="pct"/>
            <w:noWrap/>
            <w:vAlign w:val="center"/>
          </w:tcPr>
          <w:p w:rsidR="00DF1178" w:rsidRPr="00AE6EDB" w:rsidRDefault="00DF1178" w:rsidP="00DF1178">
            <w:pPr>
              <w:ind w:right="-69"/>
              <w:jc w:val="right"/>
              <w:rPr>
                <w:sz w:val="20"/>
                <w:szCs w:val="18"/>
              </w:rPr>
            </w:pPr>
            <w:r w:rsidRPr="00AE6EDB">
              <w:rPr>
                <w:sz w:val="20"/>
                <w:szCs w:val="22"/>
              </w:rPr>
              <w:t>34</w:t>
            </w:r>
          </w:p>
        </w:tc>
        <w:tc>
          <w:tcPr>
            <w:tcW w:w="382" w:type="pct"/>
            <w:noWrap/>
            <w:vAlign w:val="center"/>
          </w:tcPr>
          <w:p w:rsidR="00DF1178" w:rsidRPr="00AE6EDB" w:rsidRDefault="00DF1178" w:rsidP="00DF1178">
            <w:pPr>
              <w:ind w:right="-69"/>
              <w:jc w:val="right"/>
              <w:rPr>
                <w:sz w:val="20"/>
                <w:szCs w:val="18"/>
              </w:rPr>
            </w:pPr>
            <w:r w:rsidRPr="00AE6EDB">
              <w:rPr>
                <w:sz w:val="20"/>
                <w:szCs w:val="22"/>
              </w:rPr>
              <w:t>42</w:t>
            </w:r>
          </w:p>
        </w:tc>
        <w:tc>
          <w:tcPr>
            <w:tcW w:w="401" w:type="pct"/>
            <w:noWrap/>
            <w:vAlign w:val="center"/>
          </w:tcPr>
          <w:p w:rsidR="00DF1178" w:rsidRPr="00AE6EDB" w:rsidRDefault="00AC44CB" w:rsidP="00DF1178">
            <w:pPr>
              <w:ind w:right="-69"/>
              <w:jc w:val="right"/>
              <w:rPr>
                <w:sz w:val="20"/>
                <w:szCs w:val="18"/>
              </w:rPr>
            </w:pPr>
            <w:r>
              <w:rPr>
                <w:sz w:val="20"/>
                <w:szCs w:val="22"/>
              </w:rPr>
              <w:t>7 8</w:t>
            </w:r>
            <w:r w:rsidR="00DF1178" w:rsidRPr="00AE6EDB">
              <w:rPr>
                <w:sz w:val="20"/>
                <w:szCs w:val="22"/>
              </w:rPr>
              <w:t>19</w:t>
            </w:r>
          </w:p>
        </w:tc>
        <w:tc>
          <w:tcPr>
            <w:tcW w:w="361" w:type="pct"/>
            <w:noWrap/>
            <w:vAlign w:val="center"/>
          </w:tcPr>
          <w:p w:rsidR="00DF1178" w:rsidRPr="00AE6EDB" w:rsidRDefault="00AC44CB" w:rsidP="00DF1178">
            <w:pPr>
              <w:ind w:right="-69"/>
              <w:jc w:val="right"/>
              <w:rPr>
                <w:sz w:val="20"/>
                <w:szCs w:val="18"/>
              </w:rPr>
            </w:pPr>
            <w:r>
              <w:rPr>
                <w:sz w:val="20"/>
                <w:szCs w:val="22"/>
              </w:rPr>
              <w:t>7 1</w:t>
            </w:r>
            <w:r w:rsidR="00DF1178" w:rsidRPr="00AE6EDB">
              <w:rPr>
                <w:sz w:val="20"/>
                <w:szCs w:val="22"/>
              </w:rPr>
              <w:t>88</w:t>
            </w:r>
          </w:p>
        </w:tc>
        <w:tc>
          <w:tcPr>
            <w:tcW w:w="769" w:type="pct"/>
            <w:noWrap/>
            <w:vAlign w:val="center"/>
          </w:tcPr>
          <w:p w:rsidR="00DF1178" w:rsidRPr="00AE6EDB" w:rsidRDefault="00DF1178" w:rsidP="00DF1178">
            <w:pPr>
              <w:ind w:right="-69"/>
              <w:jc w:val="right"/>
              <w:rPr>
                <w:sz w:val="20"/>
                <w:szCs w:val="18"/>
              </w:rPr>
            </w:pPr>
            <w:r w:rsidRPr="00AE6EDB">
              <w:rPr>
                <w:sz w:val="20"/>
                <w:szCs w:val="22"/>
              </w:rPr>
              <w:t>37</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38</w:t>
            </w:r>
            <w:r w:rsidR="0054295F">
              <w:rPr>
                <w:sz w:val="20"/>
                <w:szCs w:val="22"/>
              </w:rPr>
              <w:t>1 5</w:t>
            </w:r>
            <w:r w:rsidRPr="00AE6EDB">
              <w:rPr>
                <w:sz w:val="20"/>
                <w:szCs w:val="22"/>
              </w:rPr>
              <w:t>43</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42</w:t>
            </w:r>
            <w:r w:rsidR="0054295F">
              <w:rPr>
                <w:sz w:val="20"/>
                <w:szCs w:val="22"/>
              </w:rPr>
              <w:t>3 3</w:t>
            </w:r>
            <w:r w:rsidRPr="00AE6EDB">
              <w:rPr>
                <w:sz w:val="20"/>
                <w:szCs w:val="22"/>
              </w:rPr>
              <w:t>44</w:t>
            </w:r>
          </w:p>
        </w:tc>
      </w:tr>
      <w:tr w:rsidR="00D454A2" w:rsidRPr="00AE6EDB" w:rsidTr="00D454A2">
        <w:trPr>
          <w:trHeight w:val="255"/>
          <w:jc w:val="center"/>
        </w:trPr>
        <w:tc>
          <w:tcPr>
            <w:tcW w:w="1377" w:type="pct"/>
            <w:vAlign w:val="center"/>
            <w:hideMark/>
          </w:tcPr>
          <w:p w:rsidR="00DF1178" w:rsidRPr="00AE6EDB" w:rsidRDefault="00DF1178" w:rsidP="00DE0EEC">
            <w:pPr>
              <w:jc w:val="left"/>
              <w:rPr>
                <w:sz w:val="18"/>
                <w:szCs w:val="18"/>
              </w:rPr>
            </w:pPr>
            <w:r w:rsidRPr="00AE6EDB">
              <w:rPr>
                <w:sz w:val="18"/>
                <w:szCs w:val="18"/>
              </w:rPr>
              <w:t>sprievodcovská a predčitateľská služba</w:t>
            </w:r>
          </w:p>
        </w:tc>
        <w:tc>
          <w:tcPr>
            <w:tcW w:w="364" w:type="pct"/>
            <w:noWrap/>
            <w:vAlign w:val="center"/>
          </w:tcPr>
          <w:p w:rsidR="00DF1178" w:rsidRPr="00AE6EDB" w:rsidRDefault="00DF1178" w:rsidP="00DF1178">
            <w:pPr>
              <w:ind w:right="-69"/>
              <w:jc w:val="right"/>
              <w:rPr>
                <w:sz w:val="20"/>
                <w:szCs w:val="18"/>
              </w:rPr>
            </w:pPr>
            <w:r w:rsidRPr="00AE6EDB">
              <w:rPr>
                <w:sz w:val="20"/>
                <w:szCs w:val="22"/>
              </w:rPr>
              <w:t>6</w:t>
            </w:r>
          </w:p>
        </w:tc>
        <w:tc>
          <w:tcPr>
            <w:tcW w:w="382" w:type="pct"/>
            <w:noWrap/>
            <w:vAlign w:val="center"/>
          </w:tcPr>
          <w:p w:rsidR="00DF1178" w:rsidRPr="00AE6EDB" w:rsidRDefault="00DF1178" w:rsidP="00DF1178">
            <w:pPr>
              <w:ind w:right="-69"/>
              <w:jc w:val="right"/>
              <w:rPr>
                <w:sz w:val="20"/>
                <w:szCs w:val="18"/>
              </w:rPr>
            </w:pPr>
            <w:r w:rsidRPr="00AE6EDB">
              <w:rPr>
                <w:sz w:val="20"/>
                <w:szCs w:val="22"/>
              </w:rPr>
              <w:t>8</w:t>
            </w:r>
          </w:p>
        </w:tc>
        <w:tc>
          <w:tcPr>
            <w:tcW w:w="401" w:type="pct"/>
            <w:noWrap/>
            <w:vAlign w:val="center"/>
          </w:tcPr>
          <w:p w:rsidR="00DF1178" w:rsidRPr="00AE6EDB" w:rsidRDefault="00DF1178" w:rsidP="00DF1178">
            <w:pPr>
              <w:ind w:right="-69"/>
              <w:jc w:val="right"/>
              <w:rPr>
                <w:sz w:val="20"/>
                <w:szCs w:val="18"/>
              </w:rPr>
            </w:pPr>
            <w:r w:rsidRPr="00AE6EDB">
              <w:rPr>
                <w:sz w:val="20"/>
                <w:szCs w:val="22"/>
              </w:rPr>
              <w:t>198</w:t>
            </w:r>
          </w:p>
        </w:tc>
        <w:tc>
          <w:tcPr>
            <w:tcW w:w="361" w:type="pct"/>
            <w:noWrap/>
            <w:vAlign w:val="center"/>
          </w:tcPr>
          <w:p w:rsidR="00DF1178" w:rsidRPr="00AE6EDB" w:rsidRDefault="00DF1178" w:rsidP="00DF1178">
            <w:pPr>
              <w:ind w:right="-69"/>
              <w:jc w:val="right"/>
              <w:rPr>
                <w:sz w:val="20"/>
                <w:szCs w:val="18"/>
              </w:rPr>
            </w:pPr>
            <w:r w:rsidRPr="00AE6EDB">
              <w:rPr>
                <w:sz w:val="20"/>
                <w:szCs w:val="22"/>
              </w:rPr>
              <w:t>64</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tlmočnícka služba</w:t>
            </w:r>
          </w:p>
        </w:tc>
        <w:tc>
          <w:tcPr>
            <w:tcW w:w="364" w:type="pct"/>
            <w:noWrap/>
            <w:vAlign w:val="center"/>
          </w:tcPr>
          <w:p w:rsidR="00DF1178" w:rsidRPr="00AE6EDB" w:rsidRDefault="00DF1178" w:rsidP="00DF1178">
            <w:pPr>
              <w:ind w:right="-69"/>
              <w:jc w:val="right"/>
              <w:rPr>
                <w:sz w:val="20"/>
                <w:szCs w:val="18"/>
              </w:rPr>
            </w:pPr>
            <w:r w:rsidRPr="00AE6EDB">
              <w:rPr>
                <w:sz w:val="20"/>
                <w:szCs w:val="22"/>
              </w:rPr>
              <w:t>11</w:t>
            </w:r>
          </w:p>
        </w:tc>
        <w:tc>
          <w:tcPr>
            <w:tcW w:w="382" w:type="pct"/>
            <w:noWrap/>
            <w:vAlign w:val="center"/>
          </w:tcPr>
          <w:p w:rsidR="00DF1178" w:rsidRPr="00AE6EDB" w:rsidRDefault="00DF1178" w:rsidP="00DF1178">
            <w:pPr>
              <w:ind w:right="-69"/>
              <w:jc w:val="right"/>
              <w:rPr>
                <w:sz w:val="20"/>
                <w:szCs w:val="18"/>
              </w:rPr>
            </w:pPr>
            <w:r w:rsidRPr="00AE6EDB">
              <w:rPr>
                <w:sz w:val="20"/>
                <w:szCs w:val="22"/>
              </w:rPr>
              <w:t>9</w:t>
            </w:r>
          </w:p>
        </w:tc>
        <w:tc>
          <w:tcPr>
            <w:tcW w:w="401" w:type="pct"/>
            <w:noWrap/>
            <w:vAlign w:val="center"/>
          </w:tcPr>
          <w:p w:rsidR="00DF1178" w:rsidRPr="00AE6EDB" w:rsidRDefault="0054295F" w:rsidP="00DF1178">
            <w:pPr>
              <w:ind w:right="-69"/>
              <w:jc w:val="right"/>
              <w:rPr>
                <w:sz w:val="20"/>
                <w:szCs w:val="18"/>
              </w:rPr>
            </w:pPr>
            <w:r>
              <w:rPr>
                <w:sz w:val="20"/>
                <w:szCs w:val="22"/>
              </w:rPr>
              <w:t>3 3</w:t>
            </w:r>
            <w:r w:rsidR="00DF1178" w:rsidRPr="00AE6EDB">
              <w:rPr>
                <w:sz w:val="20"/>
                <w:szCs w:val="22"/>
              </w:rPr>
              <w:t>71</w:t>
            </w:r>
          </w:p>
        </w:tc>
        <w:tc>
          <w:tcPr>
            <w:tcW w:w="361" w:type="pct"/>
            <w:noWrap/>
            <w:vAlign w:val="center"/>
          </w:tcPr>
          <w:p w:rsidR="00DF1178" w:rsidRPr="00AE6EDB" w:rsidRDefault="0054295F" w:rsidP="00DF1178">
            <w:pPr>
              <w:ind w:right="-69"/>
              <w:jc w:val="right"/>
              <w:rPr>
                <w:sz w:val="20"/>
                <w:szCs w:val="18"/>
              </w:rPr>
            </w:pPr>
            <w:r>
              <w:rPr>
                <w:sz w:val="20"/>
                <w:szCs w:val="22"/>
              </w:rPr>
              <w:t>3 6</w:t>
            </w:r>
            <w:r w:rsidR="00DF1178" w:rsidRPr="00AE6EDB">
              <w:rPr>
                <w:sz w:val="20"/>
                <w:szCs w:val="22"/>
              </w:rPr>
              <w:t>29</w:t>
            </w:r>
          </w:p>
        </w:tc>
        <w:tc>
          <w:tcPr>
            <w:tcW w:w="769" w:type="pct"/>
            <w:noWrap/>
            <w:vAlign w:val="center"/>
          </w:tcPr>
          <w:p w:rsidR="00DF1178" w:rsidRPr="00AE6EDB" w:rsidRDefault="00DF1178" w:rsidP="00DF1178">
            <w:pPr>
              <w:ind w:right="-69"/>
              <w:jc w:val="right"/>
              <w:rPr>
                <w:sz w:val="20"/>
                <w:szCs w:val="18"/>
              </w:rPr>
            </w:pPr>
            <w:r w:rsidRPr="00AE6EDB">
              <w:rPr>
                <w:sz w:val="20"/>
                <w:szCs w:val="22"/>
              </w:rPr>
              <w:t>14</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11</w:t>
            </w:r>
            <w:r w:rsidR="0054295F">
              <w:rPr>
                <w:sz w:val="20"/>
                <w:szCs w:val="22"/>
              </w:rPr>
              <w:t>0 0</w:t>
            </w:r>
            <w:r w:rsidRPr="00AE6EDB">
              <w:rPr>
                <w:sz w:val="20"/>
                <w:szCs w:val="22"/>
              </w:rPr>
              <w:t>52</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10</w:t>
            </w:r>
            <w:r w:rsidR="00AC44CB">
              <w:rPr>
                <w:sz w:val="20"/>
                <w:szCs w:val="22"/>
              </w:rPr>
              <w:t>9 8</w:t>
            </w:r>
            <w:r w:rsidRPr="00AE6EDB">
              <w:rPr>
                <w:sz w:val="20"/>
                <w:szCs w:val="22"/>
              </w:rPr>
              <w:t>65</w:t>
            </w:r>
          </w:p>
        </w:tc>
      </w:tr>
      <w:tr w:rsidR="00D454A2" w:rsidRPr="00AE6EDB" w:rsidTr="00D454A2">
        <w:trPr>
          <w:trHeight w:val="255"/>
          <w:jc w:val="center"/>
        </w:trPr>
        <w:tc>
          <w:tcPr>
            <w:tcW w:w="1377" w:type="pct"/>
            <w:vAlign w:val="center"/>
            <w:hideMark/>
          </w:tcPr>
          <w:p w:rsidR="00DF1178" w:rsidRPr="00AE6EDB" w:rsidRDefault="00DF1178" w:rsidP="00DE0EEC">
            <w:pPr>
              <w:jc w:val="left"/>
              <w:rPr>
                <w:sz w:val="18"/>
                <w:szCs w:val="18"/>
              </w:rPr>
            </w:pPr>
            <w:r w:rsidRPr="00AE6EDB">
              <w:rPr>
                <w:sz w:val="18"/>
                <w:szCs w:val="18"/>
              </w:rPr>
              <w:t>sprostredkovanie tlmočníckej služby</w:t>
            </w:r>
          </w:p>
        </w:tc>
        <w:tc>
          <w:tcPr>
            <w:tcW w:w="364" w:type="pct"/>
            <w:noWrap/>
            <w:vAlign w:val="center"/>
          </w:tcPr>
          <w:p w:rsidR="00DF1178" w:rsidRPr="00AE6EDB" w:rsidRDefault="00DF1178" w:rsidP="00DF1178">
            <w:pPr>
              <w:ind w:right="-69"/>
              <w:jc w:val="right"/>
              <w:rPr>
                <w:sz w:val="20"/>
                <w:szCs w:val="18"/>
              </w:rPr>
            </w:pPr>
            <w:r w:rsidRPr="00AE6EDB">
              <w:rPr>
                <w:sz w:val="20"/>
                <w:szCs w:val="22"/>
              </w:rPr>
              <w:t>0</w:t>
            </w:r>
          </w:p>
        </w:tc>
        <w:tc>
          <w:tcPr>
            <w:tcW w:w="382" w:type="pct"/>
            <w:noWrap/>
            <w:vAlign w:val="center"/>
          </w:tcPr>
          <w:p w:rsidR="00DF1178" w:rsidRPr="00AE6EDB" w:rsidRDefault="00DF1178" w:rsidP="00DF1178">
            <w:pPr>
              <w:ind w:right="-69"/>
              <w:jc w:val="right"/>
              <w:rPr>
                <w:sz w:val="20"/>
                <w:szCs w:val="18"/>
              </w:rPr>
            </w:pPr>
            <w:r w:rsidRPr="00AE6EDB">
              <w:rPr>
                <w:sz w:val="20"/>
                <w:szCs w:val="22"/>
              </w:rPr>
              <w:t>0</w:t>
            </w:r>
          </w:p>
        </w:tc>
        <w:tc>
          <w:tcPr>
            <w:tcW w:w="401" w:type="pct"/>
            <w:noWrap/>
            <w:vAlign w:val="center"/>
          </w:tcPr>
          <w:p w:rsidR="00DF1178" w:rsidRPr="00AE6EDB" w:rsidRDefault="00DF1178" w:rsidP="00DF1178">
            <w:pPr>
              <w:ind w:right="-69"/>
              <w:jc w:val="right"/>
              <w:rPr>
                <w:sz w:val="20"/>
                <w:szCs w:val="18"/>
              </w:rPr>
            </w:pPr>
            <w:r w:rsidRPr="00AE6EDB">
              <w:rPr>
                <w:sz w:val="20"/>
                <w:szCs w:val="22"/>
              </w:rPr>
              <w:t>0</w:t>
            </w:r>
          </w:p>
        </w:tc>
        <w:tc>
          <w:tcPr>
            <w:tcW w:w="361" w:type="pct"/>
            <w:noWrap/>
            <w:vAlign w:val="center"/>
          </w:tcPr>
          <w:p w:rsidR="00DF1178" w:rsidRPr="00AE6EDB" w:rsidRDefault="00DF1178" w:rsidP="00DF1178">
            <w:pPr>
              <w:ind w:right="-69"/>
              <w:jc w:val="right"/>
              <w:rPr>
                <w:sz w:val="20"/>
                <w:szCs w:val="18"/>
              </w:rPr>
            </w:pPr>
            <w:r w:rsidRPr="00AE6EDB">
              <w:rPr>
                <w:sz w:val="20"/>
                <w:szCs w:val="22"/>
              </w:rPr>
              <w:t>0</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55"/>
          <w:jc w:val="center"/>
        </w:trPr>
        <w:tc>
          <w:tcPr>
            <w:tcW w:w="1377" w:type="pct"/>
            <w:vAlign w:val="center"/>
            <w:hideMark/>
          </w:tcPr>
          <w:p w:rsidR="00DF1178" w:rsidRPr="00AE6EDB" w:rsidRDefault="00DF1178" w:rsidP="00DE0EEC">
            <w:pPr>
              <w:jc w:val="left"/>
              <w:rPr>
                <w:sz w:val="18"/>
                <w:szCs w:val="18"/>
              </w:rPr>
            </w:pPr>
            <w:r w:rsidRPr="00AE6EDB">
              <w:rPr>
                <w:sz w:val="18"/>
                <w:szCs w:val="18"/>
              </w:rPr>
              <w:t>sprostredkovanie osobnej asistencie</w:t>
            </w:r>
          </w:p>
        </w:tc>
        <w:tc>
          <w:tcPr>
            <w:tcW w:w="364" w:type="pct"/>
            <w:noWrap/>
            <w:vAlign w:val="center"/>
          </w:tcPr>
          <w:p w:rsidR="00DF1178" w:rsidRPr="00AE6EDB" w:rsidRDefault="00DF1178" w:rsidP="00DF1178">
            <w:pPr>
              <w:ind w:right="-69"/>
              <w:jc w:val="right"/>
              <w:rPr>
                <w:sz w:val="20"/>
                <w:szCs w:val="18"/>
              </w:rPr>
            </w:pPr>
            <w:r w:rsidRPr="00AE6EDB">
              <w:rPr>
                <w:sz w:val="20"/>
                <w:szCs w:val="22"/>
              </w:rPr>
              <w:t>7</w:t>
            </w:r>
          </w:p>
        </w:tc>
        <w:tc>
          <w:tcPr>
            <w:tcW w:w="382" w:type="pct"/>
            <w:noWrap/>
            <w:vAlign w:val="center"/>
          </w:tcPr>
          <w:p w:rsidR="00DF1178" w:rsidRPr="00AE6EDB" w:rsidRDefault="00DF1178" w:rsidP="00DF1178">
            <w:pPr>
              <w:ind w:right="-69"/>
              <w:jc w:val="right"/>
              <w:rPr>
                <w:sz w:val="20"/>
                <w:szCs w:val="18"/>
              </w:rPr>
            </w:pPr>
            <w:r w:rsidRPr="00AE6EDB">
              <w:rPr>
                <w:sz w:val="20"/>
                <w:szCs w:val="22"/>
              </w:rPr>
              <w:t>5</w:t>
            </w:r>
          </w:p>
        </w:tc>
        <w:tc>
          <w:tcPr>
            <w:tcW w:w="401" w:type="pct"/>
            <w:noWrap/>
            <w:vAlign w:val="center"/>
          </w:tcPr>
          <w:p w:rsidR="00DF1178" w:rsidRPr="00AE6EDB" w:rsidRDefault="00DF1178" w:rsidP="00DF1178">
            <w:pPr>
              <w:ind w:right="-69"/>
              <w:jc w:val="right"/>
              <w:rPr>
                <w:sz w:val="20"/>
                <w:szCs w:val="18"/>
              </w:rPr>
            </w:pPr>
            <w:r w:rsidRPr="00AE6EDB">
              <w:rPr>
                <w:sz w:val="20"/>
                <w:szCs w:val="22"/>
              </w:rPr>
              <w:t>553</w:t>
            </w:r>
          </w:p>
        </w:tc>
        <w:tc>
          <w:tcPr>
            <w:tcW w:w="361" w:type="pct"/>
            <w:noWrap/>
            <w:vAlign w:val="center"/>
          </w:tcPr>
          <w:p w:rsidR="00DF1178" w:rsidRPr="00AE6EDB" w:rsidRDefault="00DF1178" w:rsidP="00DF1178">
            <w:pPr>
              <w:ind w:right="-69"/>
              <w:jc w:val="right"/>
              <w:rPr>
                <w:sz w:val="20"/>
                <w:szCs w:val="18"/>
              </w:rPr>
            </w:pPr>
            <w:r w:rsidRPr="00AE6EDB">
              <w:rPr>
                <w:sz w:val="20"/>
                <w:szCs w:val="22"/>
              </w:rPr>
              <w:t>960</w:t>
            </w:r>
          </w:p>
        </w:tc>
        <w:tc>
          <w:tcPr>
            <w:tcW w:w="769" w:type="pct"/>
            <w:noWrap/>
            <w:vAlign w:val="center"/>
          </w:tcPr>
          <w:p w:rsidR="00DF1178" w:rsidRPr="00AE6EDB" w:rsidRDefault="00DF1178" w:rsidP="00DF1178">
            <w:pPr>
              <w:ind w:right="-69"/>
              <w:jc w:val="right"/>
              <w:rPr>
                <w:sz w:val="20"/>
                <w:szCs w:val="18"/>
              </w:rPr>
            </w:pPr>
            <w:r w:rsidRPr="00AE6EDB">
              <w:rPr>
                <w:sz w:val="20"/>
                <w:szCs w:val="22"/>
              </w:rPr>
              <w:t>5</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0 6</w:t>
            </w:r>
            <w:r w:rsidRPr="00AE6EDB">
              <w:rPr>
                <w:sz w:val="20"/>
                <w:szCs w:val="22"/>
              </w:rPr>
              <w:t>50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2</w:t>
            </w:r>
            <w:r w:rsidR="0054295F">
              <w:rPr>
                <w:sz w:val="20"/>
                <w:szCs w:val="22"/>
              </w:rPr>
              <w:t>2 7</w:t>
            </w:r>
            <w:r w:rsidRPr="00AE6EDB">
              <w:rPr>
                <w:sz w:val="20"/>
                <w:szCs w:val="22"/>
              </w:rPr>
              <w:t>52</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požičiavanie pomôcok</w:t>
            </w:r>
          </w:p>
        </w:tc>
        <w:tc>
          <w:tcPr>
            <w:tcW w:w="364" w:type="pct"/>
            <w:noWrap/>
            <w:vAlign w:val="center"/>
          </w:tcPr>
          <w:p w:rsidR="00DF1178" w:rsidRPr="00AE6EDB" w:rsidRDefault="00DF1178" w:rsidP="00DF1178">
            <w:pPr>
              <w:ind w:right="-69"/>
              <w:jc w:val="right"/>
              <w:rPr>
                <w:sz w:val="20"/>
                <w:szCs w:val="18"/>
              </w:rPr>
            </w:pPr>
            <w:r w:rsidRPr="00AE6EDB">
              <w:rPr>
                <w:sz w:val="20"/>
                <w:szCs w:val="22"/>
              </w:rPr>
              <w:t>29</w:t>
            </w:r>
          </w:p>
        </w:tc>
        <w:tc>
          <w:tcPr>
            <w:tcW w:w="382" w:type="pct"/>
            <w:noWrap/>
            <w:vAlign w:val="center"/>
          </w:tcPr>
          <w:p w:rsidR="00DF1178" w:rsidRPr="00AE6EDB" w:rsidRDefault="00DF1178" w:rsidP="00DF1178">
            <w:pPr>
              <w:ind w:right="-69"/>
              <w:jc w:val="right"/>
              <w:rPr>
                <w:sz w:val="20"/>
                <w:szCs w:val="18"/>
              </w:rPr>
            </w:pPr>
            <w:r w:rsidRPr="00AE6EDB">
              <w:rPr>
                <w:sz w:val="20"/>
                <w:szCs w:val="22"/>
              </w:rPr>
              <w:t>28</w:t>
            </w:r>
          </w:p>
        </w:tc>
        <w:tc>
          <w:tcPr>
            <w:tcW w:w="401" w:type="pct"/>
            <w:noWrap/>
            <w:vAlign w:val="center"/>
          </w:tcPr>
          <w:p w:rsidR="00DF1178" w:rsidRPr="00AE6EDB" w:rsidRDefault="0054295F" w:rsidP="00DF1178">
            <w:pPr>
              <w:ind w:right="-69"/>
              <w:jc w:val="right"/>
              <w:rPr>
                <w:sz w:val="20"/>
                <w:szCs w:val="18"/>
              </w:rPr>
            </w:pPr>
            <w:r>
              <w:rPr>
                <w:sz w:val="20"/>
                <w:szCs w:val="22"/>
              </w:rPr>
              <w:t>1 2</w:t>
            </w:r>
            <w:r w:rsidR="00DF1178" w:rsidRPr="00AE6EDB">
              <w:rPr>
                <w:sz w:val="20"/>
                <w:szCs w:val="22"/>
              </w:rPr>
              <w:t>92</w:t>
            </w:r>
          </w:p>
        </w:tc>
        <w:tc>
          <w:tcPr>
            <w:tcW w:w="361" w:type="pct"/>
            <w:noWrap/>
            <w:vAlign w:val="center"/>
          </w:tcPr>
          <w:p w:rsidR="00DF1178" w:rsidRPr="00AE6EDB" w:rsidRDefault="0054295F" w:rsidP="00DF1178">
            <w:pPr>
              <w:ind w:right="-69"/>
              <w:jc w:val="right"/>
              <w:rPr>
                <w:sz w:val="20"/>
                <w:szCs w:val="18"/>
              </w:rPr>
            </w:pPr>
            <w:r>
              <w:rPr>
                <w:sz w:val="20"/>
                <w:szCs w:val="22"/>
              </w:rPr>
              <w:t>1 1</w:t>
            </w:r>
            <w:r w:rsidR="00DF1178" w:rsidRPr="00AE6EDB">
              <w:rPr>
                <w:sz w:val="20"/>
                <w:szCs w:val="22"/>
              </w:rPr>
              <w:t>55</w:t>
            </w:r>
          </w:p>
        </w:tc>
        <w:tc>
          <w:tcPr>
            <w:tcW w:w="769" w:type="pct"/>
            <w:noWrap/>
            <w:vAlign w:val="center"/>
          </w:tcPr>
          <w:p w:rsidR="00DF1178" w:rsidRPr="00AE6EDB" w:rsidRDefault="00DF1178" w:rsidP="00DF1178">
            <w:pPr>
              <w:ind w:right="-69"/>
              <w:jc w:val="right"/>
              <w:rPr>
                <w:sz w:val="20"/>
                <w:szCs w:val="18"/>
              </w:rPr>
            </w:pPr>
            <w:r w:rsidRPr="00AE6EDB">
              <w:rPr>
                <w:sz w:val="20"/>
                <w:szCs w:val="22"/>
              </w:rPr>
              <w:t>10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4</w:t>
            </w:r>
            <w:r w:rsidR="0054295F">
              <w:rPr>
                <w:sz w:val="20"/>
                <w:szCs w:val="22"/>
              </w:rPr>
              <w:t>4 6</w:t>
            </w:r>
            <w:r w:rsidRPr="00AE6EDB">
              <w:rPr>
                <w:sz w:val="20"/>
                <w:szCs w:val="22"/>
              </w:rPr>
              <w:t>09</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4</w:t>
            </w:r>
            <w:r w:rsidR="0054295F">
              <w:rPr>
                <w:sz w:val="20"/>
                <w:szCs w:val="22"/>
              </w:rPr>
              <w:t>0 8</w:t>
            </w:r>
            <w:r w:rsidRPr="00AE6EDB">
              <w:rPr>
                <w:sz w:val="20"/>
                <w:szCs w:val="22"/>
              </w:rPr>
              <w:t>47</w:t>
            </w:r>
          </w:p>
        </w:tc>
      </w:tr>
      <w:tr w:rsidR="00D454A2" w:rsidRPr="00AE6EDB" w:rsidTr="00D454A2">
        <w:trPr>
          <w:trHeight w:val="255"/>
          <w:jc w:val="center"/>
        </w:trPr>
        <w:tc>
          <w:tcPr>
            <w:tcW w:w="1377" w:type="pct"/>
            <w:vAlign w:val="center"/>
            <w:hideMark/>
          </w:tcPr>
          <w:p w:rsidR="00DF1178" w:rsidRPr="00AE6EDB" w:rsidRDefault="00DF1178" w:rsidP="00DE0EEC">
            <w:pPr>
              <w:jc w:val="left"/>
              <w:rPr>
                <w:sz w:val="18"/>
                <w:szCs w:val="18"/>
              </w:rPr>
            </w:pPr>
            <w:r w:rsidRPr="00AE6EDB">
              <w:rPr>
                <w:sz w:val="18"/>
                <w:szCs w:val="18"/>
              </w:rPr>
              <w:t xml:space="preserve">monitorovanie a signalizácia potreby pomoci </w:t>
            </w:r>
          </w:p>
        </w:tc>
        <w:tc>
          <w:tcPr>
            <w:tcW w:w="364" w:type="pct"/>
            <w:noWrap/>
            <w:vAlign w:val="center"/>
          </w:tcPr>
          <w:p w:rsidR="00DF1178" w:rsidRPr="00AE6EDB" w:rsidRDefault="00DF1178" w:rsidP="00DF1178">
            <w:pPr>
              <w:ind w:right="-69"/>
              <w:jc w:val="right"/>
              <w:rPr>
                <w:sz w:val="20"/>
                <w:szCs w:val="18"/>
              </w:rPr>
            </w:pPr>
            <w:r w:rsidRPr="00AE6EDB">
              <w:rPr>
                <w:sz w:val="20"/>
                <w:szCs w:val="22"/>
              </w:rPr>
              <w:t>2</w:t>
            </w:r>
          </w:p>
        </w:tc>
        <w:tc>
          <w:tcPr>
            <w:tcW w:w="382" w:type="pct"/>
            <w:noWrap/>
            <w:vAlign w:val="center"/>
          </w:tcPr>
          <w:p w:rsidR="00DF1178" w:rsidRPr="00AE6EDB" w:rsidRDefault="00DF1178" w:rsidP="00DF1178">
            <w:pPr>
              <w:ind w:right="-69"/>
              <w:jc w:val="right"/>
              <w:rPr>
                <w:sz w:val="20"/>
                <w:szCs w:val="18"/>
              </w:rPr>
            </w:pPr>
            <w:r w:rsidRPr="00AE6EDB">
              <w:rPr>
                <w:sz w:val="20"/>
                <w:szCs w:val="22"/>
              </w:rPr>
              <w:t>1</w:t>
            </w:r>
          </w:p>
        </w:tc>
        <w:tc>
          <w:tcPr>
            <w:tcW w:w="401" w:type="pct"/>
            <w:noWrap/>
            <w:vAlign w:val="center"/>
          </w:tcPr>
          <w:p w:rsidR="00DF1178" w:rsidRPr="00AE6EDB" w:rsidRDefault="00DF1178" w:rsidP="00DF1178">
            <w:pPr>
              <w:ind w:right="-69"/>
              <w:jc w:val="right"/>
              <w:rPr>
                <w:sz w:val="20"/>
                <w:szCs w:val="18"/>
              </w:rPr>
            </w:pPr>
            <w:r w:rsidRPr="00AE6EDB">
              <w:rPr>
                <w:sz w:val="20"/>
                <w:szCs w:val="22"/>
              </w:rPr>
              <w:t>270</w:t>
            </w:r>
          </w:p>
        </w:tc>
        <w:tc>
          <w:tcPr>
            <w:tcW w:w="361" w:type="pct"/>
            <w:noWrap/>
            <w:vAlign w:val="center"/>
          </w:tcPr>
          <w:p w:rsidR="00DF1178" w:rsidRPr="00AE6EDB" w:rsidRDefault="00DF1178" w:rsidP="00DF1178">
            <w:pPr>
              <w:ind w:right="-69"/>
              <w:jc w:val="right"/>
              <w:rPr>
                <w:sz w:val="20"/>
                <w:szCs w:val="18"/>
              </w:rPr>
            </w:pPr>
            <w:r w:rsidRPr="00AE6EDB">
              <w:rPr>
                <w:sz w:val="20"/>
                <w:szCs w:val="22"/>
              </w:rPr>
              <w:t>263</w:t>
            </w:r>
          </w:p>
        </w:tc>
        <w:tc>
          <w:tcPr>
            <w:tcW w:w="769" w:type="pct"/>
            <w:noWrap/>
            <w:vAlign w:val="center"/>
          </w:tcPr>
          <w:p w:rsidR="00DF1178" w:rsidRPr="00AE6EDB" w:rsidRDefault="00DF1178" w:rsidP="00DF1178">
            <w:pPr>
              <w:ind w:right="-69"/>
              <w:jc w:val="right"/>
              <w:rPr>
                <w:sz w:val="20"/>
                <w:szCs w:val="18"/>
              </w:rPr>
            </w:pPr>
            <w:r w:rsidRPr="00AE6EDB">
              <w:rPr>
                <w:sz w:val="20"/>
                <w:szCs w:val="22"/>
              </w:rPr>
              <w:t>5</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11</w:t>
            </w:r>
            <w:r w:rsidR="00AC44CB">
              <w:rPr>
                <w:sz w:val="20"/>
                <w:szCs w:val="22"/>
              </w:rPr>
              <w:t>5 4</w:t>
            </w:r>
            <w:r w:rsidRPr="00AE6EDB">
              <w:rPr>
                <w:sz w:val="20"/>
                <w:szCs w:val="22"/>
              </w:rPr>
              <w:t>85</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14</w:t>
            </w:r>
            <w:r w:rsidR="0054295F">
              <w:rPr>
                <w:sz w:val="20"/>
                <w:szCs w:val="22"/>
              </w:rPr>
              <w:t>0 3</w:t>
            </w:r>
            <w:r w:rsidRPr="00AE6EDB">
              <w:rPr>
                <w:sz w:val="20"/>
                <w:szCs w:val="22"/>
              </w:rPr>
              <w:t>57</w:t>
            </w:r>
          </w:p>
        </w:tc>
      </w:tr>
      <w:tr w:rsidR="00D454A2" w:rsidRPr="00AE6EDB" w:rsidTr="00D454A2">
        <w:trPr>
          <w:trHeight w:val="332"/>
          <w:jc w:val="center"/>
        </w:trPr>
        <w:tc>
          <w:tcPr>
            <w:tcW w:w="1377" w:type="pct"/>
            <w:vAlign w:val="center"/>
            <w:hideMark/>
          </w:tcPr>
          <w:p w:rsidR="00DF1178" w:rsidRPr="00AE6EDB" w:rsidRDefault="00DF1178" w:rsidP="00DE0EEC">
            <w:pPr>
              <w:jc w:val="left"/>
              <w:rPr>
                <w:sz w:val="18"/>
                <w:szCs w:val="18"/>
              </w:rPr>
            </w:pPr>
            <w:r w:rsidRPr="00AE6EDB">
              <w:rPr>
                <w:sz w:val="18"/>
                <w:szCs w:val="18"/>
              </w:rPr>
              <w:t>krízová pomoc prostredníctvom telekomunikačných technológií</w:t>
            </w:r>
          </w:p>
        </w:tc>
        <w:tc>
          <w:tcPr>
            <w:tcW w:w="364" w:type="pct"/>
            <w:noWrap/>
            <w:vAlign w:val="center"/>
          </w:tcPr>
          <w:p w:rsidR="00DF1178" w:rsidRPr="00AE6EDB" w:rsidRDefault="00DF1178" w:rsidP="00DF1178">
            <w:pPr>
              <w:ind w:right="-69"/>
              <w:jc w:val="right"/>
              <w:rPr>
                <w:sz w:val="20"/>
                <w:szCs w:val="18"/>
              </w:rPr>
            </w:pPr>
            <w:r w:rsidRPr="00AE6EDB">
              <w:rPr>
                <w:sz w:val="20"/>
                <w:szCs w:val="22"/>
              </w:rPr>
              <w:t>4</w:t>
            </w:r>
          </w:p>
        </w:tc>
        <w:tc>
          <w:tcPr>
            <w:tcW w:w="382" w:type="pct"/>
            <w:noWrap/>
            <w:vAlign w:val="center"/>
          </w:tcPr>
          <w:p w:rsidR="00DF1178" w:rsidRPr="00AE6EDB" w:rsidRDefault="00DF1178" w:rsidP="00DF1178">
            <w:pPr>
              <w:ind w:right="-69"/>
              <w:jc w:val="right"/>
              <w:rPr>
                <w:sz w:val="20"/>
                <w:szCs w:val="18"/>
              </w:rPr>
            </w:pPr>
            <w:r w:rsidRPr="00AE6EDB">
              <w:rPr>
                <w:sz w:val="20"/>
                <w:szCs w:val="22"/>
              </w:rPr>
              <w:t>7</w:t>
            </w:r>
          </w:p>
        </w:tc>
        <w:tc>
          <w:tcPr>
            <w:tcW w:w="401" w:type="pct"/>
            <w:noWrap/>
            <w:vAlign w:val="center"/>
          </w:tcPr>
          <w:p w:rsidR="00DF1178" w:rsidRPr="00AE6EDB" w:rsidRDefault="00DF1178" w:rsidP="00DF1178">
            <w:pPr>
              <w:ind w:right="-69"/>
              <w:jc w:val="right"/>
              <w:rPr>
                <w:sz w:val="20"/>
                <w:szCs w:val="18"/>
              </w:rPr>
            </w:pPr>
            <w:r w:rsidRPr="00AE6EDB">
              <w:rPr>
                <w:sz w:val="20"/>
                <w:szCs w:val="22"/>
              </w:rPr>
              <w:t>62</w:t>
            </w:r>
          </w:p>
        </w:tc>
        <w:tc>
          <w:tcPr>
            <w:tcW w:w="361" w:type="pct"/>
            <w:noWrap/>
            <w:vAlign w:val="center"/>
          </w:tcPr>
          <w:p w:rsidR="00DF1178" w:rsidRPr="00AE6EDB" w:rsidRDefault="0054295F" w:rsidP="00DF1178">
            <w:pPr>
              <w:ind w:right="-69"/>
              <w:jc w:val="right"/>
              <w:rPr>
                <w:sz w:val="20"/>
                <w:szCs w:val="18"/>
              </w:rPr>
            </w:pPr>
            <w:r>
              <w:rPr>
                <w:sz w:val="20"/>
                <w:szCs w:val="22"/>
              </w:rPr>
              <w:t>2 0</w:t>
            </w:r>
            <w:r w:rsidR="00DF1178" w:rsidRPr="00AE6EDB">
              <w:rPr>
                <w:sz w:val="20"/>
                <w:szCs w:val="22"/>
              </w:rPr>
              <w:t>80</w:t>
            </w:r>
          </w:p>
        </w:tc>
        <w:tc>
          <w:tcPr>
            <w:tcW w:w="769" w:type="pct"/>
            <w:noWrap/>
            <w:vAlign w:val="center"/>
          </w:tcPr>
          <w:p w:rsidR="00DF1178" w:rsidRPr="00AE6EDB" w:rsidRDefault="00DF1178" w:rsidP="00DF1178">
            <w:pPr>
              <w:ind w:right="-69"/>
              <w:jc w:val="right"/>
              <w:rPr>
                <w:sz w:val="20"/>
                <w:szCs w:val="18"/>
              </w:rPr>
            </w:pPr>
            <w:r w:rsidRPr="00AE6EDB">
              <w:rPr>
                <w:sz w:val="20"/>
                <w:szCs w:val="22"/>
              </w:rPr>
              <w:t>7</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1</w:t>
            </w:r>
            <w:r w:rsidR="0054295F">
              <w:rPr>
                <w:sz w:val="20"/>
                <w:szCs w:val="22"/>
              </w:rPr>
              <w:t>1 5</w:t>
            </w:r>
            <w:r w:rsidRPr="00AE6EDB">
              <w:rPr>
                <w:sz w:val="20"/>
                <w:szCs w:val="22"/>
              </w:rPr>
              <w:t>44</w:t>
            </w:r>
          </w:p>
        </w:tc>
        <w:tc>
          <w:tcPr>
            <w:tcW w:w="625" w:type="pct"/>
            <w:noWrap/>
            <w:vAlign w:val="center"/>
          </w:tcPr>
          <w:p w:rsidR="00DF1178" w:rsidRPr="00AE6EDB" w:rsidRDefault="00AC44CB" w:rsidP="00DF1178">
            <w:pPr>
              <w:tabs>
                <w:tab w:val="left" w:pos="1295"/>
              </w:tabs>
              <w:jc w:val="right"/>
              <w:rPr>
                <w:sz w:val="20"/>
                <w:szCs w:val="18"/>
              </w:rPr>
            </w:pPr>
            <w:r>
              <w:rPr>
                <w:sz w:val="20"/>
                <w:szCs w:val="22"/>
              </w:rPr>
              <w:t>9 9</w:t>
            </w:r>
            <w:r w:rsidR="00DF1178" w:rsidRPr="00AE6EDB">
              <w:rPr>
                <w:sz w:val="20"/>
                <w:szCs w:val="22"/>
              </w:rPr>
              <w:t>30</w:t>
            </w:r>
          </w:p>
        </w:tc>
      </w:tr>
      <w:tr w:rsidR="00D454A2" w:rsidRPr="00AE6EDB" w:rsidTr="00D454A2">
        <w:trPr>
          <w:trHeight w:val="270"/>
          <w:jc w:val="center"/>
        </w:trPr>
        <w:tc>
          <w:tcPr>
            <w:tcW w:w="1377" w:type="pct"/>
            <w:vAlign w:val="center"/>
            <w:hideMark/>
          </w:tcPr>
          <w:p w:rsidR="00DF1178" w:rsidRPr="00AE6EDB" w:rsidRDefault="00DF1178" w:rsidP="00DE0EEC">
            <w:pPr>
              <w:jc w:val="left"/>
              <w:rPr>
                <w:sz w:val="18"/>
                <w:szCs w:val="18"/>
              </w:rPr>
            </w:pPr>
            <w:r w:rsidRPr="00AE6EDB">
              <w:rPr>
                <w:sz w:val="18"/>
                <w:szCs w:val="18"/>
              </w:rPr>
              <w:t>pomoc pri výkone opatrovníckych práv a povinností</w:t>
            </w:r>
          </w:p>
        </w:tc>
        <w:tc>
          <w:tcPr>
            <w:tcW w:w="364" w:type="pct"/>
            <w:noWrap/>
            <w:vAlign w:val="center"/>
          </w:tcPr>
          <w:p w:rsidR="00DF1178" w:rsidRPr="00AE6EDB" w:rsidRDefault="00DF1178" w:rsidP="00DF1178">
            <w:pPr>
              <w:ind w:right="-69"/>
              <w:jc w:val="right"/>
              <w:rPr>
                <w:sz w:val="20"/>
                <w:szCs w:val="18"/>
              </w:rPr>
            </w:pPr>
            <w:r w:rsidRPr="00AE6EDB">
              <w:rPr>
                <w:sz w:val="20"/>
                <w:szCs w:val="22"/>
              </w:rPr>
              <w:t>1</w:t>
            </w:r>
          </w:p>
        </w:tc>
        <w:tc>
          <w:tcPr>
            <w:tcW w:w="382" w:type="pct"/>
            <w:noWrap/>
            <w:vAlign w:val="center"/>
          </w:tcPr>
          <w:p w:rsidR="00DF1178" w:rsidRPr="00AE6EDB" w:rsidRDefault="00DF1178" w:rsidP="00DF1178">
            <w:pPr>
              <w:ind w:right="-69"/>
              <w:jc w:val="right"/>
              <w:rPr>
                <w:sz w:val="20"/>
                <w:szCs w:val="18"/>
              </w:rPr>
            </w:pPr>
            <w:r w:rsidRPr="00AE6EDB">
              <w:rPr>
                <w:sz w:val="20"/>
                <w:szCs w:val="22"/>
              </w:rPr>
              <w:t>1</w:t>
            </w:r>
          </w:p>
        </w:tc>
        <w:tc>
          <w:tcPr>
            <w:tcW w:w="401" w:type="pct"/>
            <w:noWrap/>
            <w:vAlign w:val="center"/>
          </w:tcPr>
          <w:p w:rsidR="00DF1178" w:rsidRPr="00AE6EDB" w:rsidRDefault="00DF1178" w:rsidP="00DF1178">
            <w:pPr>
              <w:ind w:right="-69"/>
              <w:jc w:val="right"/>
              <w:rPr>
                <w:sz w:val="20"/>
                <w:szCs w:val="18"/>
              </w:rPr>
            </w:pPr>
            <w:r w:rsidRPr="00AE6EDB">
              <w:rPr>
                <w:sz w:val="20"/>
                <w:szCs w:val="22"/>
              </w:rPr>
              <w:t>42</w:t>
            </w:r>
          </w:p>
        </w:tc>
        <w:tc>
          <w:tcPr>
            <w:tcW w:w="361" w:type="pct"/>
            <w:noWrap/>
            <w:vAlign w:val="center"/>
          </w:tcPr>
          <w:p w:rsidR="00DF1178" w:rsidRPr="00AE6EDB" w:rsidRDefault="00DF1178" w:rsidP="00DF1178">
            <w:pPr>
              <w:ind w:right="-69"/>
              <w:jc w:val="right"/>
              <w:rPr>
                <w:sz w:val="20"/>
                <w:szCs w:val="18"/>
              </w:rPr>
            </w:pPr>
            <w:r w:rsidRPr="00AE6EDB">
              <w:rPr>
                <w:sz w:val="20"/>
                <w:szCs w:val="22"/>
              </w:rPr>
              <w:t>39</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 xml:space="preserve">denné centrum </w:t>
            </w:r>
          </w:p>
        </w:tc>
        <w:tc>
          <w:tcPr>
            <w:tcW w:w="364" w:type="pct"/>
            <w:noWrap/>
            <w:vAlign w:val="center"/>
          </w:tcPr>
          <w:p w:rsidR="00DF1178" w:rsidRPr="00AE6EDB" w:rsidRDefault="00DF1178" w:rsidP="00DF1178">
            <w:pPr>
              <w:ind w:right="-69"/>
              <w:jc w:val="right"/>
              <w:rPr>
                <w:sz w:val="20"/>
                <w:szCs w:val="18"/>
              </w:rPr>
            </w:pPr>
            <w:r w:rsidRPr="00AE6EDB">
              <w:rPr>
                <w:sz w:val="20"/>
                <w:szCs w:val="22"/>
              </w:rPr>
              <w:t>8</w:t>
            </w:r>
          </w:p>
        </w:tc>
        <w:tc>
          <w:tcPr>
            <w:tcW w:w="382" w:type="pct"/>
            <w:noWrap/>
            <w:vAlign w:val="center"/>
          </w:tcPr>
          <w:p w:rsidR="00DF1178" w:rsidRPr="00AE6EDB" w:rsidRDefault="00DF1178" w:rsidP="00DF1178">
            <w:pPr>
              <w:ind w:right="-69"/>
              <w:jc w:val="right"/>
              <w:rPr>
                <w:sz w:val="20"/>
                <w:szCs w:val="18"/>
              </w:rPr>
            </w:pPr>
            <w:r w:rsidRPr="00AE6EDB">
              <w:rPr>
                <w:sz w:val="20"/>
                <w:szCs w:val="22"/>
              </w:rPr>
              <w:t>5</w:t>
            </w:r>
          </w:p>
        </w:tc>
        <w:tc>
          <w:tcPr>
            <w:tcW w:w="401" w:type="pct"/>
            <w:noWrap/>
            <w:vAlign w:val="center"/>
          </w:tcPr>
          <w:p w:rsidR="00DF1178" w:rsidRPr="00AE6EDB" w:rsidRDefault="00DF1178" w:rsidP="00DF1178">
            <w:pPr>
              <w:ind w:right="-69"/>
              <w:jc w:val="right"/>
              <w:rPr>
                <w:sz w:val="20"/>
                <w:szCs w:val="18"/>
              </w:rPr>
            </w:pPr>
            <w:r w:rsidRPr="00AE6EDB">
              <w:rPr>
                <w:sz w:val="20"/>
                <w:szCs w:val="22"/>
              </w:rPr>
              <w:t>178</w:t>
            </w:r>
          </w:p>
        </w:tc>
        <w:tc>
          <w:tcPr>
            <w:tcW w:w="361" w:type="pct"/>
            <w:noWrap/>
            <w:vAlign w:val="center"/>
          </w:tcPr>
          <w:p w:rsidR="00DF1178" w:rsidRPr="00AE6EDB" w:rsidRDefault="00DF1178" w:rsidP="00DF1178">
            <w:pPr>
              <w:ind w:right="-69"/>
              <w:jc w:val="right"/>
              <w:rPr>
                <w:sz w:val="20"/>
                <w:szCs w:val="18"/>
              </w:rPr>
            </w:pPr>
            <w:r w:rsidRPr="00AE6EDB">
              <w:rPr>
                <w:sz w:val="20"/>
                <w:szCs w:val="22"/>
              </w:rPr>
              <w:t>143</w:t>
            </w:r>
          </w:p>
        </w:tc>
        <w:tc>
          <w:tcPr>
            <w:tcW w:w="769" w:type="pct"/>
            <w:noWrap/>
            <w:vAlign w:val="center"/>
          </w:tcPr>
          <w:p w:rsidR="00DF1178" w:rsidRPr="00AE6EDB" w:rsidRDefault="00DF1178" w:rsidP="00DF1178">
            <w:pPr>
              <w:ind w:right="-69"/>
              <w:jc w:val="right"/>
              <w:rPr>
                <w:sz w:val="20"/>
                <w:szCs w:val="18"/>
              </w:rPr>
            </w:pPr>
            <w:r w:rsidRPr="00AE6EDB">
              <w:rPr>
                <w:sz w:val="20"/>
                <w:szCs w:val="22"/>
              </w:rPr>
              <w:t>9</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8</w:t>
            </w:r>
            <w:r w:rsidR="00AC44CB">
              <w:rPr>
                <w:sz w:val="20"/>
                <w:szCs w:val="22"/>
              </w:rPr>
              <w:t>6 4</w:t>
            </w:r>
            <w:r w:rsidRPr="00AE6EDB">
              <w:rPr>
                <w:sz w:val="20"/>
                <w:szCs w:val="22"/>
              </w:rPr>
              <w:t>29</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8</w:t>
            </w:r>
            <w:r w:rsidR="00AC44CB">
              <w:rPr>
                <w:sz w:val="20"/>
                <w:szCs w:val="22"/>
              </w:rPr>
              <w:t>5 3</w:t>
            </w:r>
            <w:r w:rsidRPr="00AE6EDB">
              <w:rPr>
                <w:sz w:val="20"/>
                <w:szCs w:val="22"/>
              </w:rPr>
              <w:t>83</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integračné centrum</w:t>
            </w:r>
          </w:p>
        </w:tc>
        <w:tc>
          <w:tcPr>
            <w:tcW w:w="364" w:type="pct"/>
            <w:noWrap/>
            <w:vAlign w:val="center"/>
          </w:tcPr>
          <w:p w:rsidR="00DF1178" w:rsidRPr="00AE6EDB" w:rsidRDefault="00DF1178" w:rsidP="00DF1178">
            <w:pPr>
              <w:ind w:right="-69"/>
              <w:jc w:val="right"/>
              <w:rPr>
                <w:sz w:val="20"/>
                <w:szCs w:val="18"/>
              </w:rPr>
            </w:pPr>
            <w:r w:rsidRPr="00AE6EDB">
              <w:rPr>
                <w:sz w:val="20"/>
                <w:szCs w:val="22"/>
              </w:rPr>
              <w:t>3</w:t>
            </w:r>
          </w:p>
        </w:tc>
        <w:tc>
          <w:tcPr>
            <w:tcW w:w="382" w:type="pct"/>
            <w:noWrap/>
            <w:vAlign w:val="center"/>
          </w:tcPr>
          <w:p w:rsidR="00DF1178" w:rsidRPr="00AE6EDB" w:rsidRDefault="00DF1178" w:rsidP="00DF1178">
            <w:pPr>
              <w:ind w:right="-69"/>
              <w:jc w:val="right"/>
              <w:rPr>
                <w:sz w:val="20"/>
                <w:szCs w:val="18"/>
              </w:rPr>
            </w:pPr>
            <w:r w:rsidRPr="00AE6EDB">
              <w:rPr>
                <w:sz w:val="20"/>
                <w:szCs w:val="22"/>
              </w:rPr>
              <w:t>3</w:t>
            </w:r>
          </w:p>
        </w:tc>
        <w:tc>
          <w:tcPr>
            <w:tcW w:w="401" w:type="pct"/>
            <w:noWrap/>
            <w:vAlign w:val="center"/>
          </w:tcPr>
          <w:p w:rsidR="00DF1178" w:rsidRPr="00AE6EDB" w:rsidRDefault="0054295F" w:rsidP="00DF1178">
            <w:pPr>
              <w:ind w:right="-69"/>
              <w:jc w:val="right"/>
              <w:rPr>
                <w:sz w:val="20"/>
                <w:szCs w:val="18"/>
              </w:rPr>
            </w:pPr>
            <w:r>
              <w:rPr>
                <w:sz w:val="20"/>
                <w:szCs w:val="22"/>
              </w:rPr>
              <w:t>2 6</w:t>
            </w:r>
            <w:r w:rsidR="00DF1178" w:rsidRPr="00AE6EDB">
              <w:rPr>
                <w:sz w:val="20"/>
                <w:szCs w:val="22"/>
              </w:rPr>
              <w:t>33</w:t>
            </w:r>
          </w:p>
        </w:tc>
        <w:tc>
          <w:tcPr>
            <w:tcW w:w="361" w:type="pct"/>
            <w:noWrap/>
            <w:vAlign w:val="center"/>
          </w:tcPr>
          <w:p w:rsidR="00DF1178" w:rsidRPr="00AE6EDB" w:rsidRDefault="00DF1178" w:rsidP="00DF1178">
            <w:pPr>
              <w:ind w:right="-69"/>
              <w:jc w:val="right"/>
              <w:rPr>
                <w:sz w:val="20"/>
                <w:szCs w:val="18"/>
              </w:rPr>
            </w:pPr>
            <w:r w:rsidRPr="00AE6EDB">
              <w:rPr>
                <w:sz w:val="20"/>
                <w:szCs w:val="22"/>
              </w:rPr>
              <w:t>82</w:t>
            </w:r>
          </w:p>
        </w:tc>
        <w:tc>
          <w:tcPr>
            <w:tcW w:w="769" w:type="pct"/>
            <w:noWrap/>
            <w:vAlign w:val="center"/>
          </w:tcPr>
          <w:p w:rsidR="00DF1178" w:rsidRPr="00AE6EDB" w:rsidRDefault="00DF1178" w:rsidP="00DF1178">
            <w:pPr>
              <w:ind w:right="-69"/>
              <w:jc w:val="right"/>
              <w:rPr>
                <w:sz w:val="20"/>
                <w:szCs w:val="18"/>
              </w:rPr>
            </w:pPr>
            <w:r w:rsidRPr="00AE6EDB">
              <w:rPr>
                <w:sz w:val="20"/>
                <w:szCs w:val="22"/>
              </w:rPr>
              <w:t>3</w:t>
            </w:r>
          </w:p>
        </w:tc>
        <w:tc>
          <w:tcPr>
            <w:tcW w:w="721" w:type="pct"/>
            <w:noWrap/>
            <w:vAlign w:val="center"/>
          </w:tcPr>
          <w:p w:rsidR="00DF1178" w:rsidRPr="00AE6EDB" w:rsidRDefault="00AC44CB" w:rsidP="00DF1178">
            <w:pPr>
              <w:tabs>
                <w:tab w:val="left" w:pos="1295"/>
              </w:tabs>
              <w:jc w:val="right"/>
              <w:rPr>
                <w:sz w:val="20"/>
                <w:szCs w:val="18"/>
              </w:rPr>
            </w:pPr>
            <w:r>
              <w:rPr>
                <w:sz w:val="20"/>
                <w:szCs w:val="22"/>
              </w:rPr>
              <w:t>6 2</w:t>
            </w:r>
            <w:r w:rsidR="00DF1178" w:rsidRPr="00AE6EDB">
              <w:rPr>
                <w:sz w:val="20"/>
                <w:szCs w:val="22"/>
              </w:rPr>
              <w:t>69</w:t>
            </w:r>
          </w:p>
        </w:tc>
        <w:tc>
          <w:tcPr>
            <w:tcW w:w="625" w:type="pct"/>
            <w:noWrap/>
            <w:vAlign w:val="center"/>
          </w:tcPr>
          <w:p w:rsidR="00DF1178" w:rsidRPr="00AE6EDB" w:rsidRDefault="00AC44CB" w:rsidP="00DF1178">
            <w:pPr>
              <w:tabs>
                <w:tab w:val="left" w:pos="1295"/>
              </w:tabs>
              <w:jc w:val="right"/>
              <w:rPr>
                <w:sz w:val="20"/>
                <w:szCs w:val="18"/>
              </w:rPr>
            </w:pPr>
            <w:r>
              <w:rPr>
                <w:sz w:val="20"/>
                <w:szCs w:val="22"/>
              </w:rPr>
              <w:t>6 2</w:t>
            </w:r>
            <w:r w:rsidR="00DF1178" w:rsidRPr="00AE6EDB">
              <w:rPr>
                <w:sz w:val="20"/>
                <w:szCs w:val="22"/>
              </w:rPr>
              <w:t>69</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 xml:space="preserve">jedáleň </w:t>
            </w:r>
          </w:p>
        </w:tc>
        <w:tc>
          <w:tcPr>
            <w:tcW w:w="364" w:type="pct"/>
            <w:noWrap/>
            <w:vAlign w:val="center"/>
          </w:tcPr>
          <w:p w:rsidR="00DF1178" w:rsidRPr="00AE6EDB" w:rsidRDefault="00DF1178" w:rsidP="00DF1178">
            <w:pPr>
              <w:ind w:right="-69"/>
              <w:jc w:val="right"/>
              <w:rPr>
                <w:sz w:val="20"/>
                <w:szCs w:val="18"/>
              </w:rPr>
            </w:pPr>
            <w:r w:rsidRPr="00AE6EDB">
              <w:rPr>
                <w:sz w:val="20"/>
                <w:szCs w:val="22"/>
              </w:rPr>
              <w:t>17</w:t>
            </w:r>
          </w:p>
        </w:tc>
        <w:tc>
          <w:tcPr>
            <w:tcW w:w="382" w:type="pct"/>
            <w:noWrap/>
            <w:vAlign w:val="center"/>
          </w:tcPr>
          <w:p w:rsidR="00DF1178" w:rsidRPr="00AE6EDB" w:rsidRDefault="00DF1178" w:rsidP="00DF1178">
            <w:pPr>
              <w:ind w:right="-69"/>
              <w:jc w:val="right"/>
              <w:rPr>
                <w:sz w:val="20"/>
                <w:szCs w:val="18"/>
              </w:rPr>
            </w:pPr>
            <w:r w:rsidRPr="00AE6EDB">
              <w:rPr>
                <w:sz w:val="20"/>
                <w:szCs w:val="22"/>
              </w:rPr>
              <w:t>19</w:t>
            </w:r>
          </w:p>
        </w:tc>
        <w:tc>
          <w:tcPr>
            <w:tcW w:w="401" w:type="pct"/>
            <w:noWrap/>
            <w:vAlign w:val="center"/>
          </w:tcPr>
          <w:p w:rsidR="00DF1178" w:rsidRPr="00AE6EDB" w:rsidRDefault="00AC44CB" w:rsidP="00DF1178">
            <w:pPr>
              <w:ind w:right="-69"/>
              <w:jc w:val="right"/>
              <w:rPr>
                <w:sz w:val="20"/>
                <w:szCs w:val="18"/>
              </w:rPr>
            </w:pPr>
            <w:r>
              <w:rPr>
                <w:sz w:val="20"/>
                <w:szCs w:val="22"/>
              </w:rPr>
              <w:t>6 6</w:t>
            </w:r>
            <w:r w:rsidR="00DF1178" w:rsidRPr="00AE6EDB">
              <w:rPr>
                <w:sz w:val="20"/>
                <w:szCs w:val="22"/>
              </w:rPr>
              <w:t>08</w:t>
            </w:r>
          </w:p>
        </w:tc>
        <w:tc>
          <w:tcPr>
            <w:tcW w:w="361" w:type="pct"/>
            <w:noWrap/>
            <w:vAlign w:val="center"/>
          </w:tcPr>
          <w:p w:rsidR="00DF1178" w:rsidRPr="00AE6EDB" w:rsidRDefault="0054295F" w:rsidP="00DF1178">
            <w:pPr>
              <w:ind w:right="-69"/>
              <w:jc w:val="right"/>
              <w:rPr>
                <w:sz w:val="20"/>
                <w:szCs w:val="18"/>
              </w:rPr>
            </w:pPr>
            <w:r>
              <w:rPr>
                <w:sz w:val="20"/>
                <w:szCs w:val="22"/>
              </w:rPr>
              <w:t>1 2</w:t>
            </w:r>
            <w:r w:rsidR="00DF1178" w:rsidRPr="00AE6EDB">
              <w:rPr>
                <w:sz w:val="20"/>
                <w:szCs w:val="22"/>
              </w:rPr>
              <w:t>77</w:t>
            </w:r>
          </w:p>
        </w:tc>
        <w:tc>
          <w:tcPr>
            <w:tcW w:w="769" w:type="pct"/>
            <w:noWrap/>
            <w:vAlign w:val="center"/>
          </w:tcPr>
          <w:p w:rsidR="00DF1178" w:rsidRPr="00AE6EDB" w:rsidRDefault="00DF1178" w:rsidP="00DF1178">
            <w:pPr>
              <w:ind w:right="-69"/>
              <w:jc w:val="right"/>
              <w:rPr>
                <w:sz w:val="20"/>
                <w:szCs w:val="18"/>
              </w:rPr>
            </w:pPr>
            <w:r w:rsidRPr="00AE6EDB">
              <w:rPr>
                <w:sz w:val="20"/>
                <w:szCs w:val="22"/>
              </w:rPr>
              <w:t>37</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59</w:t>
            </w:r>
            <w:r w:rsidR="0054295F">
              <w:rPr>
                <w:sz w:val="20"/>
                <w:szCs w:val="22"/>
              </w:rPr>
              <w:t>0 2</w:t>
            </w:r>
            <w:r w:rsidRPr="00AE6EDB">
              <w:rPr>
                <w:sz w:val="20"/>
                <w:szCs w:val="22"/>
              </w:rPr>
              <w:t>93</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65</w:t>
            </w:r>
            <w:r w:rsidR="00AC44CB">
              <w:rPr>
                <w:sz w:val="20"/>
                <w:szCs w:val="22"/>
              </w:rPr>
              <w:t>9 7</w:t>
            </w:r>
            <w:r w:rsidRPr="00AE6EDB">
              <w:rPr>
                <w:sz w:val="20"/>
                <w:szCs w:val="22"/>
              </w:rPr>
              <w:t>42</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práčovňa</w:t>
            </w:r>
          </w:p>
        </w:tc>
        <w:tc>
          <w:tcPr>
            <w:tcW w:w="364" w:type="pct"/>
            <w:noWrap/>
            <w:vAlign w:val="center"/>
          </w:tcPr>
          <w:p w:rsidR="00DF1178" w:rsidRPr="00AE6EDB" w:rsidRDefault="00DF1178" w:rsidP="00DF1178">
            <w:pPr>
              <w:ind w:right="-69"/>
              <w:jc w:val="right"/>
              <w:rPr>
                <w:sz w:val="20"/>
                <w:szCs w:val="18"/>
              </w:rPr>
            </w:pPr>
            <w:r w:rsidRPr="00AE6EDB">
              <w:rPr>
                <w:sz w:val="20"/>
                <w:szCs w:val="22"/>
              </w:rPr>
              <w:t>3</w:t>
            </w:r>
          </w:p>
        </w:tc>
        <w:tc>
          <w:tcPr>
            <w:tcW w:w="382" w:type="pct"/>
            <w:noWrap/>
            <w:vAlign w:val="center"/>
          </w:tcPr>
          <w:p w:rsidR="00DF1178" w:rsidRPr="00AE6EDB" w:rsidRDefault="00DF1178" w:rsidP="00DF1178">
            <w:pPr>
              <w:ind w:right="-69"/>
              <w:jc w:val="right"/>
              <w:rPr>
                <w:sz w:val="20"/>
                <w:szCs w:val="18"/>
              </w:rPr>
            </w:pPr>
            <w:r w:rsidRPr="00AE6EDB">
              <w:rPr>
                <w:sz w:val="20"/>
                <w:szCs w:val="22"/>
              </w:rPr>
              <w:t>1</w:t>
            </w:r>
          </w:p>
        </w:tc>
        <w:tc>
          <w:tcPr>
            <w:tcW w:w="401" w:type="pct"/>
            <w:noWrap/>
            <w:vAlign w:val="center"/>
          </w:tcPr>
          <w:p w:rsidR="00DF1178" w:rsidRPr="00AE6EDB" w:rsidRDefault="00DF1178" w:rsidP="00DF1178">
            <w:pPr>
              <w:ind w:right="-69"/>
              <w:jc w:val="right"/>
              <w:rPr>
                <w:sz w:val="20"/>
                <w:szCs w:val="18"/>
              </w:rPr>
            </w:pPr>
            <w:r w:rsidRPr="00AE6EDB">
              <w:rPr>
                <w:sz w:val="20"/>
                <w:szCs w:val="22"/>
              </w:rPr>
              <w:t>582</w:t>
            </w:r>
          </w:p>
        </w:tc>
        <w:tc>
          <w:tcPr>
            <w:tcW w:w="361" w:type="pct"/>
            <w:noWrap/>
            <w:vAlign w:val="center"/>
          </w:tcPr>
          <w:p w:rsidR="00DF1178" w:rsidRPr="00AE6EDB" w:rsidRDefault="00DF1178" w:rsidP="00DF1178">
            <w:pPr>
              <w:ind w:right="-69"/>
              <w:jc w:val="right"/>
              <w:rPr>
                <w:sz w:val="20"/>
                <w:szCs w:val="18"/>
              </w:rPr>
            </w:pPr>
            <w:r w:rsidRPr="00AE6EDB">
              <w:rPr>
                <w:sz w:val="20"/>
                <w:szCs w:val="22"/>
              </w:rPr>
              <w:t>192</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stredisko osobnej hygieny</w:t>
            </w:r>
          </w:p>
        </w:tc>
        <w:tc>
          <w:tcPr>
            <w:tcW w:w="364" w:type="pct"/>
            <w:noWrap/>
            <w:vAlign w:val="center"/>
          </w:tcPr>
          <w:p w:rsidR="00DF1178" w:rsidRPr="00AE6EDB" w:rsidRDefault="00DF1178" w:rsidP="00DF1178">
            <w:pPr>
              <w:ind w:right="-69"/>
              <w:jc w:val="right"/>
              <w:rPr>
                <w:sz w:val="20"/>
                <w:szCs w:val="18"/>
              </w:rPr>
            </w:pPr>
            <w:r w:rsidRPr="00AE6EDB">
              <w:rPr>
                <w:sz w:val="20"/>
                <w:szCs w:val="22"/>
              </w:rPr>
              <w:t>4</w:t>
            </w:r>
          </w:p>
        </w:tc>
        <w:tc>
          <w:tcPr>
            <w:tcW w:w="382" w:type="pct"/>
            <w:noWrap/>
            <w:vAlign w:val="center"/>
          </w:tcPr>
          <w:p w:rsidR="00DF1178" w:rsidRPr="00AE6EDB" w:rsidRDefault="00DF1178" w:rsidP="00DF1178">
            <w:pPr>
              <w:ind w:right="-69"/>
              <w:jc w:val="right"/>
              <w:rPr>
                <w:sz w:val="20"/>
                <w:szCs w:val="18"/>
              </w:rPr>
            </w:pPr>
            <w:r w:rsidRPr="00AE6EDB">
              <w:rPr>
                <w:sz w:val="20"/>
                <w:szCs w:val="22"/>
              </w:rPr>
              <w:t>4</w:t>
            </w:r>
          </w:p>
        </w:tc>
        <w:tc>
          <w:tcPr>
            <w:tcW w:w="401" w:type="pct"/>
            <w:noWrap/>
            <w:vAlign w:val="center"/>
          </w:tcPr>
          <w:p w:rsidR="00DF1178" w:rsidRPr="00AE6EDB" w:rsidRDefault="00DF1178" w:rsidP="00DF1178">
            <w:pPr>
              <w:ind w:right="-69"/>
              <w:jc w:val="right"/>
              <w:rPr>
                <w:sz w:val="20"/>
                <w:szCs w:val="18"/>
              </w:rPr>
            </w:pPr>
            <w:r w:rsidRPr="00AE6EDB">
              <w:rPr>
                <w:sz w:val="20"/>
                <w:szCs w:val="22"/>
              </w:rPr>
              <w:t>1</w:t>
            </w:r>
            <w:r w:rsidR="0054295F">
              <w:rPr>
                <w:sz w:val="20"/>
                <w:szCs w:val="22"/>
              </w:rPr>
              <w:t>0 8</w:t>
            </w:r>
            <w:r w:rsidRPr="00AE6EDB">
              <w:rPr>
                <w:sz w:val="20"/>
                <w:szCs w:val="22"/>
              </w:rPr>
              <w:t>09</w:t>
            </w:r>
          </w:p>
        </w:tc>
        <w:tc>
          <w:tcPr>
            <w:tcW w:w="361" w:type="pct"/>
            <w:noWrap/>
            <w:vAlign w:val="center"/>
          </w:tcPr>
          <w:p w:rsidR="00DF1178" w:rsidRPr="00AE6EDB" w:rsidRDefault="0054295F" w:rsidP="00DF1178">
            <w:pPr>
              <w:ind w:right="-69"/>
              <w:jc w:val="right"/>
              <w:rPr>
                <w:sz w:val="20"/>
                <w:szCs w:val="18"/>
              </w:rPr>
            </w:pPr>
            <w:r>
              <w:rPr>
                <w:sz w:val="20"/>
                <w:szCs w:val="22"/>
              </w:rPr>
              <w:t>3 5</w:t>
            </w:r>
            <w:r w:rsidR="00DF1178" w:rsidRPr="00AE6EDB">
              <w:rPr>
                <w:sz w:val="20"/>
                <w:szCs w:val="22"/>
              </w:rPr>
              <w:t>08</w:t>
            </w:r>
          </w:p>
        </w:tc>
        <w:tc>
          <w:tcPr>
            <w:tcW w:w="769" w:type="pct"/>
            <w:noWrap/>
            <w:vAlign w:val="center"/>
          </w:tcPr>
          <w:p w:rsidR="00DF1178" w:rsidRPr="00AE6EDB" w:rsidRDefault="00DF1178" w:rsidP="00DF1178">
            <w:pPr>
              <w:ind w:right="-69"/>
              <w:jc w:val="right"/>
              <w:rPr>
                <w:sz w:val="20"/>
                <w:szCs w:val="18"/>
              </w:rPr>
            </w:pPr>
            <w:r w:rsidRPr="00AE6EDB">
              <w:rPr>
                <w:sz w:val="20"/>
                <w:szCs w:val="22"/>
              </w:rPr>
              <w:t>2</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4</w:t>
            </w:r>
            <w:r w:rsidR="0054295F">
              <w:rPr>
                <w:sz w:val="20"/>
                <w:szCs w:val="22"/>
              </w:rPr>
              <w:t>1 1</w:t>
            </w:r>
            <w:r w:rsidRPr="00AE6EDB">
              <w:rPr>
                <w:sz w:val="20"/>
                <w:szCs w:val="22"/>
              </w:rPr>
              <w:t>66</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4</w:t>
            </w:r>
            <w:r w:rsidR="00AC44CB">
              <w:rPr>
                <w:sz w:val="20"/>
                <w:szCs w:val="22"/>
              </w:rPr>
              <w:t>7 5</w:t>
            </w:r>
            <w:r w:rsidRPr="00AE6EDB">
              <w:rPr>
                <w:sz w:val="20"/>
                <w:szCs w:val="22"/>
              </w:rPr>
              <w:t>33</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základné sociálne poradenstvo</w:t>
            </w:r>
          </w:p>
        </w:tc>
        <w:tc>
          <w:tcPr>
            <w:tcW w:w="364" w:type="pct"/>
            <w:noWrap/>
            <w:vAlign w:val="center"/>
          </w:tcPr>
          <w:p w:rsidR="00DF1178" w:rsidRPr="00AE6EDB" w:rsidRDefault="00DF1178" w:rsidP="00DF1178">
            <w:pPr>
              <w:ind w:right="-69"/>
              <w:jc w:val="right"/>
              <w:rPr>
                <w:sz w:val="20"/>
                <w:szCs w:val="18"/>
              </w:rPr>
            </w:pPr>
            <w:r w:rsidRPr="00AE6EDB">
              <w:rPr>
                <w:sz w:val="20"/>
                <w:szCs w:val="22"/>
              </w:rPr>
              <w:t>69</w:t>
            </w:r>
          </w:p>
        </w:tc>
        <w:tc>
          <w:tcPr>
            <w:tcW w:w="382" w:type="pct"/>
            <w:noWrap/>
            <w:vAlign w:val="center"/>
          </w:tcPr>
          <w:p w:rsidR="00DF1178" w:rsidRPr="00AE6EDB" w:rsidRDefault="00DF1178" w:rsidP="00DF1178">
            <w:pPr>
              <w:ind w:right="-69"/>
              <w:jc w:val="right"/>
              <w:rPr>
                <w:sz w:val="20"/>
                <w:szCs w:val="18"/>
              </w:rPr>
            </w:pPr>
            <w:r w:rsidRPr="00AE6EDB">
              <w:rPr>
                <w:sz w:val="20"/>
                <w:szCs w:val="22"/>
              </w:rPr>
              <w:t>78</w:t>
            </w:r>
          </w:p>
        </w:tc>
        <w:tc>
          <w:tcPr>
            <w:tcW w:w="401" w:type="pct"/>
            <w:noWrap/>
            <w:vAlign w:val="center"/>
          </w:tcPr>
          <w:p w:rsidR="00DF1178" w:rsidRPr="00AE6EDB" w:rsidRDefault="00DF1178" w:rsidP="00DF1178">
            <w:pPr>
              <w:ind w:right="-69"/>
              <w:jc w:val="right"/>
              <w:rPr>
                <w:sz w:val="20"/>
                <w:szCs w:val="18"/>
              </w:rPr>
            </w:pPr>
            <w:r w:rsidRPr="00AE6EDB">
              <w:rPr>
                <w:sz w:val="20"/>
                <w:szCs w:val="22"/>
              </w:rPr>
              <w:t>1</w:t>
            </w:r>
            <w:r w:rsidR="0054295F">
              <w:rPr>
                <w:sz w:val="20"/>
                <w:szCs w:val="22"/>
              </w:rPr>
              <w:t>0 9</w:t>
            </w:r>
            <w:r w:rsidRPr="00AE6EDB">
              <w:rPr>
                <w:sz w:val="20"/>
                <w:szCs w:val="22"/>
              </w:rPr>
              <w:t>47</w:t>
            </w:r>
          </w:p>
        </w:tc>
        <w:tc>
          <w:tcPr>
            <w:tcW w:w="361" w:type="pct"/>
            <w:noWrap/>
            <w:vAlign w:val="center"/>
          </w:tcPr>
          <w:p w:rsidR="00DF1178" w:rsidRPr="00AE6EDB" w:rsidRDefault="00AC44CB" w:rsidP="00DF1178">
            <w:pPr>
              <w:ind w:right="-69"/>
              <w:jc w:val="right"/>
              <w:rPr>
                <w:sz w:val="20"/>
                <w:szCs w:val="18"/>
              </w:rPr>
            </w:pPr>
            <w:r>
              <w:rPr>
                <w:sz w:val="20"/>
                <w:szCs w:val="22"/>
              </w:rPr>
              <w:t>9 2</w:t>
            </w:r>
            <w:r w:rsidR="00DF1178" w:rsidRPr="00AE6EDB">
              <w:rPr>
                <w:sz w:val="20"/>
                <w:szCs w:val="22"/>
              </w:rPr>
              <w:t>97</w:t>
            </w:r>
          </w:p>
        </w:tc>
        <w:tc>
          <w:tcPr>
            <w:tcW w:w="769" w:type="pct"/>
            <w:noWrap/>
            <w:vAlign w:val="center"/>
          </w:tcPr>
          <w:p w:rsidR="00DF1178" w:rsidRPr="00AE6EDB" w:rsidRDefault="00DF1178" w:rsidP="00DF1178">
            <w:pPr>
              <w:ind w:right="-69"/>
              <w:jc w:val="right"/>
              <w:rPr>
                <w:sz w:val="20"/>
                <w:szCs w:val="18"/>
              </w:rPr>
            </w:pPr>
            <w:r w:rsidRPr="00AE6EDB">
              <w:rPr>
                <w:sz w:val="20"/>
                <w:szCs w:val="22"/>
              </w:rPr>
              <w:t>61</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82</w:t>
            </w:r>
            <w:r w:rsidR="0054295F">
              <w:rPr>
                <w:sz w:val="20"/>
                <w:szCs w:val="22"/>
              </w:rPr>
              <w:t>1 0</w:t>
            </w:r>
            <w:r w:rsidRPr="00AE6EDB">
              <w:rPr>
                <w:sz w:val="20"/>
                <w:szCs w:val="22"/>
              </w:rPr>
              <w:t>98</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60</w:t>
            </w:r>
            <w:r w:rsidR="0054295F">
              <w:rPr>
                <w:sz w:val="20"/>
                <w:szCs w:val="22"/>
              </w:rPr>
              <w:t>2 1</w:t>
            </w:r>
            <w:r w:rsidRPr="00AE6EDB">
              <w:rPr>
                <w:sz w:val="20"/>
                <w:szCs w:val="22"/>
              </w:rPr>
              <w:t>82</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špecializované sociálne poradenstvo</w:t>
            </w:r>
          </w:p>
        </w:tc>
        <w:tc>
          <w:tcPr>
            <w:tcW w:w="364" w:type="pct"/>
            <w:noWrap/>
            <w:vAlign w:val="center"/>
          </w:tcPr>
          <w:p w:rsidR="00DF1178" w:rsidRPr="00AE6EDB" w:rsidRDefault="00DF1178" w:rsidP="00DF1178">
            <w:pPr>
              <w:ind w:right="-69"/>
              <w:jc w:val="right"/>
              <w:rPr>
                <w:sz w:val="20"/>
                <w:szCs w:val="18"/>
              </w:rPr>
            </w:pPr>
            <w:r w:rsidRPr="00AE6EDB">
              <w:rPr>
                <w:sz w:val="20"/>
                <w:szCs w:val="22"/>
              </w:rPr>
              <w:t>69</w:t>
            </w:r>
          </w:p>
        </w:tc>
        <w:tc>
          <w:tcPr>
            <w:tcW w:w="382" w:type="pct"/>
            <w:noWrap/>
            <w:vAlign w:val="center"/>
          </w:tcPr>
          <w:p w:rsidR="00DF1178" w:rsidRPr="00AE6EDB" w:rsidRDefault="00DF1178" w:rsidP="00DF1178">
            <w:pPr>
              <w:ind w:right="-69"/>
              <w:jc w:val="right"/>
              <w:rPr>
                <w:sz w:val="20"/>
                <w:szCs w:val="18"/>
              </w:rPr>
            </w:pPr>
            <w:r w:rsidRPr="00AE6EDB">
              <w:rPr>
                <w:sz w:val="20"/>
                <w:szCs w:val="22"/>
              </w:rPr>
              <w:t>69</w:t>
            </w:r>
          </w:p>
        </w:tc>
        <w:tc>
          <w:tcPr>
            <w:tcW w:w="401" w:type="pct"/>
            <w:noWrap/>
            <w:vAlign w:val="center"/>
          </w:tcPr>
          <w:p w:rsidR="00DF1178" w:rsidRPr="00AE6EDB" w:rsidRDefault="00DF1178" w:rsidP="00DF1178">
            <w:pPr>
              <w:ind w:right="-69"/>
              <w:jc w:val="right"/>
              <w:rPr>
                <w:sz w:val="20"/>
                <w:szCs w:val="18"/>
              </w:rPr>
            </w:pPr>
            <w:r w:rsidRPr="00AE6EDB">
              <w:rPr>
                <w:sz w:val="20"/>
                <w:szCs w:val="22"/>
              </w:rPr>
              <w:t>1</w:t>
            </w:r>
            <w:r w:rsidR="0054295F">
              <w:rPr>
                <w:sz w:val="20"/>
                <w:szCs w:val="22"/>
              </w:rPr>
              <w:t>4 4</w:t>
            </w:r>
            <w:r w:rsidRPr="00AE6EDB">
              <w:rPr>
                <w:sz w:val="20"/>
                <w:szCs w:val="22"/>
              </w:rPr>
              <w:t>98</w:t>
            </w:r>
          </w:p>
        </w:tc>
        <w:tc>
          <w:tcPr>
            <w:tcW w:w="361" w:type="pct"/>
            <w:noWrap/>
            <w:vAlign w:val="center"/>
          </w:tcPr>
          <w:p w:rsidR="00DF1178" w:rsidRPr="00AE6EDB" w:rsidRDefault="00DF1178" w:rsidP="00DF1178">
            <w:pPr>
              <w:ind w:right="-69"/>
              <w:jc w:val="right"/>
              <w:rPr>
                <w:sz w:val="20"/>
                <w:szCs w:val="18"/>
              </w:rPr>
            </w:pPr>
            <w:r w:rsidRPr="00AE6EDB">
              <w:rPr>
                <w:sz w:val="20"/>
                <w:szCs w:val="22"/>
              </w:rPr>
              <w:t>1</w:t>
            </w:r>
            <w:r w:rsidR="0054295F">
              <w:rPr>
                <w:sz w:val="20"/>
                <w:szCs w:val="22"/>
              </w:rPr>
              <w:t>2 1</w:t>
            </w:r>
            <w:r w:rsidRPr="00AE6EDB">
              <w:rPr>
                <w:sz w:val="20"/>
                <w:szCs w:val="22"/>
              </w:rPr>
              <w:t>72</w:t>
            </w:r>
          </w:p>
        </w:tc>
        <w:tc>
          <w:tcPr>
            <w:tcW w:w="769" w:type="pct"/>
            <w:noWrap/>
            <w:vAlign w:val="center"/>
          </w:tcPr>
          <w:p w:rsidR="00DF1178" w:rsidRPr="00AE6EDB" w:rsidRDefault="00DF1178" w:rsidP="00DF1178">
            <w:pPr>
              <w:ind w:right="-69"/>
              <w:jc w:val="right"/>
              <w:rPr>
                <w:sz w:val="20"/>
                <w:szCs w:val="18"/>
              </w:rPr>
            </w:pPr>
            <w:r w:rsidRPr="00AE6EDB">
              <w:rPr>
                <w:sz w:val="20"/>
                <w:szCs w:val="22"/>
              </w:rPr>
              <w:t>130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88</w:t>
            </w:r>
            <w:r w:rsidR="0054295F">
              <w:rPr>
                <w:sz w:val="20"/>
                <w:szCs w:val="22"/>
              </w:rPr>
              <w:t>4 0</w:t>
            </w:r>
            <w:r w:rsidRPr="00AE6EDB">
              <w:rPr>
                <w:sz w:val="20"/>
                <w:szCs w:val="22"/>
              </w:rPr>
              <w:t>24</w:t>
            </w:r>
          </w:p>
        </w:tc>
        <w:tc>
          <w:tcPr>
            <w:tcW w:w="625" w:type="pct"/>
            <w:noWrap/>
            <w:vAlign w:val="center"/>
          </w:tcPr>
          <w:p w:rsidR="00DF1178" w:rsidRPr="00AE6EDB" w:rsidRDefault="0054295F" w:rsidP="00DF1178">
            <w:pPr>
              <w:tabs>
                <w:tab w:val="left" w:pos="1295"/>
              </w:tabs>
              <w:jc w:val="right"/>
              <w:rPr>
                <w:sz w:val="20"/>
                <w:szCs w:val="18"/>
              </w:rPr>
            </w:pPr>
            <w:r>
              <w:rPr>
                <w:sz w:val="20"/>
                <w:szCs w:val="22"/>
              </w:rPr>
              <w:t>2 3</w:t>
            </w:r>
            <w:r w:rsidR="00DF1178" w:rsidRPr="00AE6EDB">
              <w:rPr>
                <w:sz w:val="20"/>
                <w:szCs w:val="22"/>
              </w:rPr>
              <w:t>6</w:t>
            </w:r>
            <w:r>
              <w:rPr>
                <w:sz w:val="20"/>
                <w:szCs w:val="22"/>
              </w:rPr>
              <w:t>0 0</w:t>
            </w:r>
            <w:r w:rsidR="00DF1178" w:rsidRPr="00AE6EDB">
              <w:rPr>
                <w:sz w:val="20"/>
                <w:szCs w:val="22"/>
              </w:rPr>
              <w:t>78</w:t>
            </w:r>
          </w:p>
        </w:tc>
      </w:tr>
      <w:tr w:rsidR="00D454A2" w:rsidRPr="00AE6EDB" w:rsidTr="00D454A2">
        <w:trPr>
          <w:trHeight w:val="255"/>
          <w:jc w:val="center"/>
        </w:trPr>
        <w:tc>
          <w:tcPr>
            <w:tcW w:w="1377" w:type="pct"/>
            <w:noWrap/>
            <w:vAlign w:val="center"/>
            <w:hideMark/>
          </w:tcPr>
          <w:p w:rsidR="00DF1178" w:rsidRPr="00AE6EDB" w:rsidRDefault="00DF1178" w:rsidP="00DE0EEC">
            <w:pPr>
              <w:jc w:val="left"/>
              <w:rPr>
                <w:sz w:val="18"/>
                <w:szCs w:val="18"/>
              </w:rPr>
            </w:pPr>
            <w:r w:rsidRPr="00AE6EDB">
              <w:rPr>
                <w:sz w:val="18"/>
                <w:szCs w:val="18"/>
              </w:rPr>
              <w:t>sociálna rehabilitácia</w:t>
            </w:r>
          </w:p>
        </w:tc>
        <w:tc>
          <w:tcPr>
            <w:tcW w:w="364" w:type="pct"/>
            <w:noWrap/>
            <w:vAlign w:val="center"/>
          </w:tcPr>
          <w:p w:rsidR="00DF1178" w:rsidRPr="00AE6EDB" w:rsidRDefault="00DF1178" w:rsidP="00DF1178">
            <w:pPr>
              <w:ind w:right="-69"/>
              <w:jc w:val="right"/>
              <w:rPr>
                <w:sz w:val="20"/>
                <w:szCs w:val="18"/>
              </w:rPr>
            </w:pPr>
            <w:r w:rsidRPr="00AE6EDB">
              <w:rPr>
                <w:sz w:val="20"/>
                <w:szCs w:val="22"/>
              </w:rPr>
              <w:t>12</w:t>
            </w:r>
          </w:p>
        </w:tc>
        <w:tc>
          <w:tcPr>
            <w:tcW w:w="382" w:type="pct"/>
            <w:noWrap/>
            <w:vAlign w:val="center"/>
          </w:tcPr>
          <w:p w:rsidR="00DF1178" w:rsidRPr="00AE6EDB" w:rsidRDefault="00DF1178" w:rsidP="00DF1178">
            <w:pPr>
              <w:ind w:right="-69"/>
              <w:jc w:val="right"/>
              <w:rPr>
                <w:sz w:val="20"/>
                <w:szCs w:val="18"/>
              </w:rPr>
            </w:pPr>
            <w:r w:rsidRPr="00AE6EDB">
              <w:rPr>
                <w:sz w:val="20"/>
                <w:szCs w:val="22"/>
              </w:rPr>
              <w:t>10</w:t>
            </w:r>
          </w:p>
        </w:tc>
        <w:tc>
          <w:tcPr>
            <w:tcW w:w="401" w:type="pct"/>
            <w:noWrap/>
            <w:vAlign w:val="center"/>
          </w:tcPr>
          <w:p w:rsidR="00DF1178" w:rsidRPr="00AE6EDB" w:rsidRDefault="00DF1178" w:rsidP="00DF1178">
            <w:pPr>
              <w:ind w:right="-69"/>
              <w:jc w:val="right"/>
              <w:rPr>
                <w:sz w:val="20"/>
                <w:szCs w:val="18"/>
              </w:rPr>
            </w:pPr>
            <w:r w:rsidRPr="00AE6EDB">
              <w:rPr>
                <w:sz w:val="20"/>
                <w:szCs w:val="22"/>
              </w:rPr>
              <w:t>808</w:t>
            </w:r>
          </w:p>
        </w:tc>
        <w:tc>
          <w:tcPr>
            <w:tcW w:w="361" w:type="pct"/>
            <w:noWrap/>
            <w:vAlign w:val="center"/>
          </w:tcPr>
          <w:p w:rsidR="00DF1178" w:rsidRPr="00AE6EDB" w:rsidRDefault="00DF1178" w:rsidP="00DF1178">
            <w:pPr>
              <w:ind w:right="-69"/>
              <w:jc w:val="right"/>
              <w:rPr>
                <w:sz w:val="20"/>
                <w:szCs w:val="18"/>
              </w:rPr>
            </w:pPr>
            <w:r w:rsidRPr="00AE6EDB">
              <w:rPr>
                <w:sz w:val="20"/>
                <w:szCs w:val="22"/>
              </w:rPr>
              <w:t>918</w:t>
            </w:r>
          </w:p>
        </w:tc>
        <w:tc>
          <w:tcPr>
            <w:tcW w:w="769" w:type="pct"/>
            <w:noWrap/>
            <w:vAlign w:val="center"/>
          </w:tcPr>
          <w:p w:rsidR="00DF1178" w:rsidRPr="00AE6EDB" w:rsidRDefault="00DF1178" w:rsidP="00DF1178">
            <w:pPr>
              <w:ind w:right="-69"/>
              <w:jc w:val="right"/>
              <w:rPr>
                <w:sz w:val="20"/>
                <w:szCs w:val="18"/>
              </w:rPr>
            </w:pPr>
            <w:r w:rsidRPr="00AE6EDB">
              <w:rPr>
                <w:sz w:val="20"/>
                <w:szCs w:val="22"/>
              </w:rPr>
              <w:t>20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35</w:t>
            </w:r>
            <w:r w:rsidR="0054295F">
              <w:rPr>
                <w:sz w:val="20"/>
                <w:szCs w:val="22"/>
              </w:rPr>
              <w:t>3 4</w:t>
            </w:r>
            <w:r w:rsidRPr="00AE6EDB">
              <w:rPr>
                <w:sz w:val="20"/>
                <w:szCs w:val="22"/>
              </w:rPr>
              <w:t>94</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25</w:t>
            </w:r>
            <w:r w:rsidR="00AC44CB">
              <w:rPr>
                <w:sz w:val="20"/>
                <w:szCs w:val="22"/>
              </w:rPr>
              <w:t>5 2</w:t>
            </w:r>
            <w:r w:rsidRPr="00AE6EDB">
              <w:rPr>
                <w:sz w:val="20"/>
                <w:szCs w:val="22"/>
              </w:rPr>
              <w:t>94</w:t>
            </w:r>
          </w:p>
        </w:tc>
      </w:tr>
      <w:tr w:rsidR="00D454A2" w:rsidRPr="00AE6EDB" w:rsidTr="00D454A2">
        <w:trPr>
          <w:trHeight w:val="255"/>
          <w:jc w:val="center"/>
        </w:trPr>
        <w:tc>
          <w:tcPr>
            <w:tcW w:w="1377" w:type="pct"/>
            <w:noWrap/>
            <w:vAlign w:val="center"/>
          </w:tcPr>
          <w:p w:rsidR="00DF1178" w:rsidRPr="00AE6EDB" w:rsidRDefault="00DF1178" w:rsidP="00DE0EEC">
            <w:pPr>
              <w:jc w:val="left"/>
              <w:rPr>
                <w:sz w:val="18"/>
                <w:szCs w:val="18"/>
              </w:rPr>
            </w:pPr>
            <w:r w:rsidRPr="00AE6EDB">
              <w:rPr>
                <w:sz w:val="18"/>
                <w:szCs w:val="18"/>
              </w:rPr>
              <w:t>komunitné centrum</w:t>
            </w:r>
          </w:p>
        </w:tc>
        <w:tc>
          <w:tcPr>
            <w:tcW w:w="364" w:type="pct"/>
            <w:noWrap/>
            <w:vAlign w:val="center"/>
          </w:tcPr>
          <w:p w:rsidR="00DF1178" w:rsidRPr="00AE6EDB" w:rsidRDefault="00DF1178" w:rsidP="00DF1178">
            <w:pPr>
              <w:ind w:right="-69"/>
              <w:jc w:val="right"/>
              <w:rPr>
                <w:sz w:val="20"/>
                <w:szCs w:val="18"/>
              </w:rPr>
            </w:pPr>
            <w:r w:rsidRPr="00AE6EDB">
              <w:rPr>
                <w:sz w:val="20"/>
                <w:szCs w:val="22"/>
              </w:rPr>
              <w:t>-</w:t>
            </w:r>
          </w:p>
        </w:tc>
        <w:tc>
          <w:tcPr>
            <w:tcW w:w="382" w:type="pct"/>
            <w:noWrap/>
            <w:vAlign w:val="center"/>
          </w:tcPr>
          <w:p w:rsidR="00DF1178" w:rsidRPr="00AE6EDB" w:rsidRDefault="00DF1178" w:rsidP="00DF1178">
            <w:pPr>
              <w:ind w:right="-69"/>
              <w:jc w:val="right"/>
              <w:rPr>
                <w:sz w:val="20"/>
                <w:szCs w:val="18"/>
              </w:rPr>
            </w:pPr>
            <w:r w:rsidRPr="00AE6EDB">
              <w:rPr>
                <w:sz w:val="20"/>
                <w:szCs w:val="22"/>
              </w:rPr>
              <w:t>35</w:t>
            </w:r>
          </w:p>
        </w:tc>
        <w:tc>
          <w:tcPr>
            <w:tcW w:w="401" w:type="pct"/>
            <w:noWrap/>
            <w:vAlign w:val="center"/>
          </w:tcPr>
          <w:p w:rsidR="00DF1178" w:rsidRPr="00AE6EDB" w:rsidRDefault="00DF1178" w:rsidP="00DF1178">
            <w:pPr>
              <w:ind w:right="-69"/>
              <w:jc w:val="right"/>
              <w:rPr>
                <w:sz w:val="20"/>
                <w:szCs w:val="18"/>
              </w:rPr>
            </w:pPr>
            <w:r w:rsidRPr="00AE6EDB">
              <w:rPr>
                <w:sz w:val="20"/>
                <w:szCs w:val="22"/>
              </w:rPr>
              <w:t>-</w:t>
            </w:r>
          </w:p>
        </w:tc>
        <w:tc>
          <w:tcPr>
            <w:tcW w:w="361" w:type="pct"/>
            <w:noWrap/>
            <w:vAlign w:val="center"/>
          </w:tcPr>
          <w:p w:rsidR="00DF1178" w:rsidRPr="00AE6EDB" w:rsidRDefault="00DF1178" w:rsidP="00DF1178">
            <w:pPr>
              <w:ind w:right="-69"/>
              <w:jc w:val="right"/>
              <w:rPr>
                <w:sz w:val="20"/>
                <w:szCs w:val="18"/>
              </w:rPr>
            </w:pPr>
            <w:r w:rsidRPr="00AE6EDB">
              <w:rPr>
                <w:sz w:val="20"/>
                <w:szCs w:val="22"/>
              </w:rPr>
              <w:t>1</w:t>
            </w:r>
            <w:r w:rsidR="0054295F">
              <w:rPr>
                <w:sz w:val="20"/>
                <w:szCs w:val="22"/>
              </w:rPr>
              <w:t>3 6</w:t>
            </w:r>
            <w:r w:rsidRPr="00AE6EDB">
              <w:rPr>
                <w:sz w:val="20"/>
                <w:szCs w:val="22"/>
              </w:rPr>
              <w:t>82</w:t>
            </w:r>
          </w:p>
        </w:tc>
        <w:tc>
          <w:tcPr>
            <w:tcW w:w="769" w:type="pct"/>
            <w:noWrap/>
            <w:vAlign w:val="center"/>
          </w:tcPr>
          <w:p w:rsidR="00DF1178" w:rsidRPr="00AE6EDB" w:rsidRDefault="00DF1178" w:rsidP="00DF1178">
            <w:pPr>
              <w:ind w:right="-69"/>
              <w:jc w:val="right"/>
              <w:rPr>
                <w:sz w:val="20"/>
                <w:szCs w:val="18"/>
              </w:rPr>
            </w:pPr>
            <w:r w:rsidRPr="00AE6EDB">
              <w:rPr>
                <w:sz w:val="20"/>
                <w:szCs w:val="22"/>
              </w:rPr>
              <w:t>138</w:t>
            </w:r>
          </w:p>
        </w:tc>
        <w:tc>
          <w:tcPr>
            <w:tcW w:w="721" w:type="pct"/>
            <w:noWrap/>
            <w:vAlign w:val="center"/>
          </w:tcPr>
          <w:p w:rsidR="00DF1178" w:rsidRPr="00AE6EDB" w:rsidRDefault="0054295F" w:rsidP="00DF1178">
            <w:pPr>
              <w:tabs>
                <w:tab w:val="left" w:pos="1295"/>
              </w:tabs>
              <w:jc w:val="right"/>
              <w:rPr>
                <w:sz w:val="20"/>
                <w:szCs w:val="18"/>
              </w:rPr>
            </w:pPr>
            <w:r>
              <w:rPr>
                <w:sz w:val="20"/>
                <w:szCs w:val="22"/>
              </w:rPr>
              <w:t>1 2</w:t>
            </w:r>
            <w:r w:rsidR="00DF1178" w:rsidRPr="00AE6EDB">
              <w:rPr>
                <w:sz w:val="20"/>
                <w:szCs w:val="22"/>
              </w:rPr>
              <w:t>5</w:t>
            </w:r>
            <w:r w:rsidR="00AC44CB">
              <w:rPr>
                <w:sz w:val="20"/>
                <w:szCs w:val="22"/>
              </w:rPr>
              <w:t>5 3</w:t>
            </w:r>
            <w:r w:rsidR="00DF1178" w:rsidRPr="00AE6EDB">
              <w:rPr>
                <w:sz w:val="20"/>
                <w:szCs w:val="22"/>
              </w:rPr>
              <w:t>91</w:t>
            </w:r>
          </w:p>
        </w:tc>
        <w:tc>
          <w:tcPr>
            <w:tcW w:w="625" w:type="pct"/>
            <w:noWrap/>
            <w:vAlign w:val="center"/>
          </w:tcPr>
          <w:p w:rsidR="00DF1178" w:rsidRPr="00AE6EDB" w:rsidRDefault="0054295F" w:rsidP="00DF1178">
            <w:pPr>
              <w:tabs>
                <w:tab w:val="left" w:pos="1295"/>
              </w:tabs>
              <w:jc w:val="right"/>
              <w:rPr>
                <w:sz w:val="20"/>
                <w:szCs w:val="18"/>
              </w:rPr>
            </w:pPr>
            <w:r>
              <w:rPr>
                <w:sz w:val="20"/>
                <w:szCs w:val="22"/>
              </w:rPr>
              <w:t>1 3</w:t>
            </w:r>
            <w:r w:rsidR="00DF1178" w:rsidRPr="00AE6EDB">
              <w:rPr>
                <w:sz w:val="20"/>
                <w:szCs w:val="22"/>
              </w:rPr>
              <w:t>6</w:t>
            </w:r>
            <w:r w:rsidR="00AC44CB">
              <w:rPr>
                <w:sz w:val="20"/>
                <w:szCs w:val="22"/>
              </w:rPr>
              <w:t>7 0</w:t>
            </w:r>
            <w:r w:rsidR="00DF1178" w:rsidRPr="00AE6EDB">
              <w:rPr>
                <w:sz w:val="20"/>
                <w:szCs w:val="22"/>
              </w:rPr>
              <w:t>14</w:t>
            </w:r>
          </w:p>
        </w:tc>
      </w:tr>
      <w:tr w:rsidR="00D454A2" w:rsidRPr="00AE6EDB" w:rsidTr="00D454A2">
        <w:trPr>
          <w:trHeight w:val="255"/>
          <w:jc w:val="center"/>
        </w:trPr>
        <w:tc>
          <w:tcPr>
            <w:tcW w:w="1377" w:type="pct"/>
            <w:noWrap/>
            <w:vAlign w:val="center"/>
          </w:tcPr>
          <w:p w:rsidR="00DF1178" w:rsidRPr="00AE6EDB" w:rsidRDefault="00DF1178" w:rsidP="00DE0EEC">
            <w:pPr>
              <w:jc w:val="left"/>
              <w:rPr>
                <w:sz w:val="18"/>
                <w:szCs w:val="18"/>
              </w:rPr>
            </w:pPr>
            <w:r w:rsidRPr="00AE6EDB">
              <w:rPr>
                <w:sz w:val="18"/>
                <w:szCs w:val="18"/>
              </w:rPr>
              <w:t>podpora samostatného bývania</w:t>
            </w:r>
          </w:p>
        </w:tc>
        <w:tc>
          <w:tcPr>
            <w:tcW w:w="364" w:type="pct"/>
            <w:noWrap/>
            <w:vAlign w:val="center"/>
          </w:tcPr>
          <w:p w:rsidR="00DF1178" w:rsidRPr="00AE6EDB" w:rsidRDefault="00DF1178" w:rsidP="00DF1178">
            <w:pPr>
              <w:ind w:right="-69"/>
              <w:jc w:val="right"/>
              <w:rPr>
                <w:sz w:val="20"/>
                <w:szCs w:val="18"/>
              </w:rPr>
            </w:pPr>
            <w:r w:rsidRPr="00AE6EDB">
              <w:rPr>
                <w:sz w:val="20"/>
                <w:szCs w:val="22"/>
              </w:rPr>
              <w:t>-</w:t>
            </w:r>
          </w:p>
        </w:tc>
        <w:tc>
          <w:tcPr>
            <w:tcW w:w="382" w:type="pct"/>
            <w:noWrap/>
            <w:vAlign w:val="center"/>
          </w:tcPr>
          <w:p w:rsidR="00DF1178" w:rsidRPr="00AE6EDB" w:rsidRDefault="00DF1178" w:rsidP="00DF1178">
            <w:pPr>
              <w:ind w:right="-69"/>
              <w:jc w:val="right"/>
              <w:rPr>
                <w:sz w:val="20"/>
                <w:szCs w:val="18"/>
              </w:rPr>
            </w:pPr>
            <w:r w:rsidRPr="00AE6EDB">
              <w:rPr>
                <w:sz w:val="20"/>
                <w:szCs w:val="22"/>
              </w:rPr>
              <w:t>1</w:t>
            </w:r>
          </w:p>
        </w:tc>
        <w:tc>
          <w:tcPr>
            <w:tcW w:w="401" w:type="pct"/>
            <w:noWrap/>
            <w:vAlign w:val="center"/>
          </w:tcPr>
          <w:p w:rsidR="00DF1178" w:rsidRPr="00AE6EDB" w:rsidRDefault="00DF1178" w:rsidP="00DF1178">
            <w:pPr>
              <w:ind w:right="-69"/>
              <w:jc w:val="right"/>
              <w:rPr>
                <w:sz w:val="20"/>
                <w:szCs w:val="18"/>
              </w:rPr>
            </w:pPr>
            <w:r w:rsidRPr="00AE6EDB">
              <w:rPr>
                <w:sz w:val="20"/>
                <w:szCs w:val="22"/>
              </w:rPr>
              <w:t>-</w:t>
            </w:r>
          </w:p>
        </w:tc>
        <w:tc>
          <w:tcPr>
            <w:tcW w:w="361" w:type="pct"/>
            <w:noWrap/>
            <w:vAlign w:val="center"/>
          </w:tcPr>
          <w:p w:rsidR="00DF1178" w:rsidRPr="00AE6EDB" w:rsidRDefault="00DF1178" w:rsidP="00DF1178">
            <w:pPr>
              <w:ind w:right="-69"/>
              <w:jc w:val="right"/>
              <w:rPr>
                <w:sz w:val="20"/>
                <w:szCs w:val="18"/>
              </w:rPr>
            </w:pPr>
            <w:r w:rsidRPr="00AE6EDB">
              <w:rPr>
                <w:sz w:val="20"/>
                <w:szCs w:val="22"/>
              </w:rPr>
              <w:t>47</w:t>
            </w:r>
          </w:p>
        </w:tc>
        <w:tc>
          <w:tcPr>
            <w:tcW w:w="769" w:type="pct"/>
            <w:noWrap/>
            <w:vAlign w:val="center"/>
          </w:tcPr>
          <w:p w:rsidR="00DF1178" w:rsidRPr="00AE6EDB" w:rsidRDefault="00DF1178" w:rsidP="00DF1178">
            <w:pPr>
              <w:ind w:right="-69"/>
              <w:jc w:val="right"/>
              <w:rPr>
                <w:sz w:val="20"/>
                <w:szCs w:val="18"/>
              </w:rPr>
            </w:pPr>
            <w:r w:rsidRPr="00AE6EDB">
              <w:rPr>
                <w:sz w:val="20"/>
                <w:szCs w:val="22"/>
              </w:rPr>
              <w:t>1</w:t>
            </w:r>
          </w:p>
        </w:tc>
        <w:tc>
          <w:tcPr>
            <w:tcW w:w="721" w:type="pct"/>
            <w:noWrap/>
            <w:vAlign w:val="center"/>
          </w:tcPr>
          <w:p w:rsidR="00DF1178" w:rsidRPr="00AE6EDB" w:rsidRDefault="0054295F" w:rsidP="00DF1178">
            <w:pPr>
              <w:tabs>
                <w:tab w:val="left" w:pos="1295"/>
              </w:tabs>
              <w:jc w:val="right"/>
              <w:rPr>
                <w:sz w:val="20"/>
                <w:szCs w:val="18"/>
              </w:rPr>
            </w:pPr>
            <w:r>
              <w:rPr>
                <w:sz w:val="20"/>
                <w:szCs w:val="22"/>
              </w:rPr>
              <w:t>2 6</w:t>
            </w:r>
            <w:r w:rsidR="00DF1178" w:rsidRPr="00AE6EDB">
              <w:rPr>
                <w:sz w:val="20"/>
                <w:szCs w:val="22"/>
              </w:rPr>
              <w:t>19</w:t>
            </w:r>
          </w:p>
        </w:tc>
        <w:tc>
          <w:tcPr>
            <w:tcW w:w="625" w:type="pct"/>
            <w:noWrap/>
            <w:vAlign w:val="center"/>
          </w:tcPr>
          <w:p w:rsidR="00DF1178" w:rsidRPr="00AE6EDB" w:rsidRDefault="0054295F" w:rsidP="00DF1178">
            <w:pPr>
              <w:tabs>
                <w:tab w:val="left" w:pos="1295"/>
              </w:tabs>
              <w:jc w:val="right"/>
              <w:rPr>
                <w:sz w:val="20"/>
                <w:szCs w:val="18"/>
              </w:rPr>
            </w:pPr>
            <w:r>
              <w:rPr>
                <w:sz w:val="20"/>
                <w:szCs w:val="22"/>
              </w:rPr>
              <w:t>3 6</w:t>
            </w:r>
            <w:r w:rsidR="00DF1178" w:rsidRPr="00AE6EDB">
              <w:rPr>
                <w:sz w:val="20"/>
                <w:szCs w:val="22"/>
              </w:rPr>
              <w:t>50</w:t>
            </w:r>
          </w:p>
        </w:tc>
      </w:tr>
      <w:tr w:rsidR="00D454A2" w:rsidRPr="00AE6EDB" w:rsidTr="00D454A2">
        <w:trPr>
          <w:trHeight w:val="255"/>
          <w:jc w:val="center"/>
        </w:trPr>
        <w:tc>
          <w:tcPr>
            <w:tcW w:w="1377" w:type="pct"/>
            <w:noWrap/>
            <w:vAlign w:val="center"/>
          </w:tcPr>
          <w:p w:rsidR="00DF1178" w:rsidRPr="00AE6EDB" w:rsidRDefault="00DF1178" w:rsidP="00DE0EEC">
            <w:pPr>
              <w:jc w:val="left"/>
              <w:rPr>
                <w:sz w:val="18"/>
                <w:szCs w:val="18"/>
              </w:rPr>
            </w:pPr>
            <w:r w:rsidRPr="00AE6EDB">
              <w:rPr>
                <w:sz w:val="18"/>
                <w:szCs w:val="18"/>
              </w:rPr>
              <w:t>služba včasnej intervencie</w:t>
            </w:r>
          </w:p>
        </w:tc>
        <w:tc>
          <w:tcPr>
            <w:tcW w:w="364" w:type="pct"/>
            <w:noWrap/>
            <w:vAlign w:val="center"/>
          </w:tcPr>
          <w:p w:rsidR="00DF1178" w:rsidRPr="00AE6EDB" w:rsidRDefault="00DF1178" w:rsidP="00DF1178">
            <w:pPr>
              <w:ind w:right="-69"/>
              <w:jc w:val="right"/>
              <w:rPr>
                <w:sz w:val="20"/>
                <w:szCs w:val="18"/>
              </w:rPr>
            </w:pPr>
            <w:r w:rsidRPr="00AE6EDB">
              <w:rPr>
                <w:sz w:val="20"/>
                <w:szCs w:val="22"/>
              </w:rPr>
              <w:t>-</w:t>
            </w:r>
          </w:p>
        </w:tc>
        <w:tc>
          <w:tcPr>
            <w:tcW w:w="382" w:type="pct"/>
            <w:noWrap/>
            <w:vAlign w:val="center"/>
          </w:tcPr>
          <w:p w:rsidR="00DF1178" w:rsidRPr="00AE6EDB" w:rsidRDefault="00DF1178" w:rsidP="00DF1178">
            <w:pPr>
              <w:ind w:right="-69"/>
              <w:jc w:val="right"/>
              <w:rPr>
                <w:sz w:val="20"/>
                <w:szCs w:val="18"/>
              </w:rPr>
            </w:pPr>
            <w:r w:rsidRPr="00AE6EDB">
              <w:rPr>
                <w:sz w:val="20"/>
                <w:szCs w:val="22"/>
              </w:rPr>
              <w:t>5</w:t>
            </w:r>
          </w:p>
        </w:tc>
        <w:tc>
          <w:tcPr>
            <w:tcW w:w="401" w:type="pct"/>
            <w:noWrap/>
            <w:vAlign w:val="center"/>
          </w:tcPr>
          <w:p w:rsidR="00DF1178" w:rsidRPr="00AE6EDB" w:rsidRDefault="00DF1178" w:rsidP="00DF1178">
            <w:pPr>
              <w:ind w:right="-69"/>
              <w:jc w:val="right"/>
              <w:rPr>
                <w:sz w:val="20"/>
                <w:szCs w:val="18"/>
              </w:rPr>
            </w:pPr>
            <w:r w:rsidRPr="00AE6EDB">
              <w:rPr>
                <w:sz w:val="20"/>
                <w:szCs w:val="22"/>
              </w:rPr>
              <w:t>-</w:t>
            </w:r>
          </w:p>
        </w:tc>
        <w:tc>
          <w:tcPr>
            <w:tcW w:w="361" w:type="pct"/>
            <w:noWrap/>
            <w:vAlign w:val="center"/>
          </w:tcPr>
          <w:p w:rsidR="00DF1178" w:rsidRPr="00AE6EDB" w:rsidRDefault="00DF1178" w:rsidP="00DF1178">
            <w:pPr>
              <w:ind w:right="-69"/>
              <w:jc w:val="right"/>
              <w:rPr>
                <w:sz w:val="20"/>
                <w:szCs w:val="18"/>
              </w:rPr>
            </w:pPr>
            <w:r w:rsidRPr="00AE6EDB">
              <w:rPr>
                <w:sz w:val="20"/>
                <w:szCs w:val="22"/>
              </w:rPr>
              <w:t>173</w:t>
            </w:r>
          </w:p>
        </w:tc>
        <w:tc>
          <w:tcPr>
            <w:tcW w:w="769" w:type="pct"/>
            <w:noWrap/>
            <w:vAlign w:val="center"/>
          </w:tcPr>
          <w:p w:rsidR="00DF1178" w:rsidRPr="00AE6EDB" w:rsidRDefault="00DF1178" w:rsidP="00DF1178">
            <w:pPr>
              <w:ind w:right="-69"/>
              <w:jc w:val="right"/>
              <w:rPr>
                <w:sz w:val="20"/>
                <w:szCs w:val="18"/>
              </w:rPr>
            </w:pPr>
            <w:r w:rsidRPr="00AE6EDB">
              <w:rPr>
                <w:sz w:val="20"/>
                <w:szCs w:val="22"/>
              </w:rPr>
              <w:t>10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10</w:t>
            </w:r>
            <w:r w:rsidR="00AC44CB">
              <w:rPr>
                <w:sz w:val="20"/>
                <w:szCs w:val="22"/>
              </w:rPr>
              <w:t>7 2</w:t>
            </w:r>
            <w:r w:rsidRPr="00AE6EDB">
              <w:rPr>
                <w:sz w:val="20"/>
                <w:szCs w:val="22"/>
              </w:rPr>
              <w:t>20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14</w:t>
            </w:r>
            <w:r w:rsidR="00AC44CB">
              <w:rPr>
                <w:sz w:val="20"/>
                <w:szCs w:val="22"/>
              </w:rPr>
              <w:t>6 1</w:t>
            </w:r>
            <w:r w:rsidRPr="00AE6EDB">
              <w:rPr>
                <w:sz w:val="20"/>
                <w:szCs w:val="22"/>
              </w:rPr>
              <w:t>91</w:t>
            </w:r>
          </w:p>
        </w:tc>
      </w:tr>
      <w:tr w:rsidR="00D454A2" w:rsidRPr="00AE6EDB" w:rsidTr="00D454A2">
        <w:trPr>
          <w:trHeight w:val="255"/>
          <w:jc w:val="center"/>
        </w:trPr>
        <w:tc>
          <w:tcPr>
            <w:tcW w:w="1377" w:type="pct"/>
            <w:noWrap/>
            <w:vAlign w:val="center"/>
          </w:tcPr>
          <w:p w:rsidR="00DF1178" w:rsidRPr="00AE6EDB" w:rsidRDefault="00DF1178" w:rsidP="00DF1178">
            <w:pPr>
              <w:jc w:val="left"/>
              <w:rPr>
                <w:sz w:val="18"/>
                <w:szCs w:val="18"/>
              </w:rPr>
            </w:pPr>
            <w:r w:rsidRPr="00AE6EDB">
              <w:rPr>
                <w:sz w:val="18"/>
                <w:szCs w:val="18"/>
              </w:rPr>
              <w:t>stimulácia komplexného vývoja dieťaťa so zdravotným postihnutím</w:t>
            </w:r>
          </w:p>
        </w:tc>
        <w:tc>
          <w:tcPr>
            <w:tcW w:w="364" w:type="pct"/>
            <w:noWrap/>
            <w:vAlign w:val="center"/>
          </w:tcPr>
          <w:p w:rsidR="00DF1178" w:rsidRPr="00AE6EDB" w:rsidRDefault="00DF1178" w:rsidP="00DF1178">
            <w:pPr>
              <w:ind w:right="-69"/>
              <w:jc w:val="right"/>
              <w:rPr>
                <w:sz w:val="20"/>
                <w:szCs w:val="18"/>
              </w:rPr>
            </w:pPr>
            <w:r w:rsidRPr="00AE6EDB">
              <w:rPr>
                <w:sz w:val="20"/>
                <w:szCs w:val="22"/>
              </w:rPr>
              <w:t>-</w:t>
            </w:r>
          </w:p>
        </w:tc>
        <w:tc>
          <w:tcPr>
            <w:tcW w:w="382" w:type="pct"/>
            <w:noWrap/>
            <w:vAlign w:val="center"/>
          </w:tcPr>
          <w:p w:rsidR="00DF1178" w:rsidRPr="00AE6EDB" w:rsidRDefault="00DF1178" w:rsidP="00DF1178">
            <w:pPr>
              <w:ind w:right="-69"/>
              <w:jc w:val="right"/>
              <w:rPr>
                <w:sz w:val="20"/>
                <w:szCs w:val="18"/>
              </w:rPr>
            </w:pPr>
            <w:r w:rsidRPr="00AE6EDB">
              <w:rPr>
                <w:sz w:val="20"/>
                <w:szCs w:val="22"/>
              </w:rPr>
              <w:t>0</w:t>
            </w:r>
          </w:p>
        </w:tc>
        <w:tc>
          <w:tcPr>
            <w:tcW w:w="401" w:type="pct"/>
            <w:noWrap/>
            <w:vAlign w:val="center"/>
          </w:tcPr>
          <w:p w:rsidR="00DF1178" w:rsidRPr="00AE6EDB" w:rsidRDefault="00DF1178" w:rsidP="00DF1178">
            <w:pPr>
              <w:ind w:right="-69"/>
              <w:jc w:val="right"/>
              <w:rPr>
                <w:sz w:val="20"/>
                <w:szCs w:val="18"/>
              </w:rPr>
            </w:pPr>
            <w:r w:rsidRPr="00AE6EDB">
              <w:rPr>
                <w:sz w:val="20"/>
                <w:szCs w:val="22"/>
              </w:rPr>
              <w:t>-</w:t>
            </w:r>
          </w:p>
        </w:tc>
        <w:tc>
          <w:tcPr>
            <w:tcW w:w="361" w:type="pct"/>
            <w:noWrap/>
            <w:vAlign w:val="center"/>
          </w:tcPr>
          <w:p w:rsidR="00DF1178" w:rsidRPr="00AE6EDB" w:rsidRDefault="00DF1178" w:rsidP="00DF1178">
            <w:pPr>
              <w:ind w:right="-69"/>
              <w:jc w:val="right"/>
              <w:rPr>
                <w:sz w:val="20"/>
                <w:szCs w:val="18"/>
              </w:rPr>
            </w:pPr>
            <w:r w:rsidRPr="00AE6EDB">
              <w:rPr>
                <w:sz w:val="20"/>
                <w:szCs w:val="22"/>
              </w:rPr>
              <w:t>0</w:t>
            </w:r>
          </w:p>
        </w:tc>
        <w:tc>
          <w:tcPr>
            <w:tcW w:w="769" w:type="pct"/>
            <w:noWrap/>
            <w:vAlign w:val="center"/>
          </w:tcPr>
          <w:p w:rsidR="00DF1178" w:rsidRPr="00AE6EDB" w:rsidRDefault="00DF1178" w:rsidP="00DF1178">
            <w:pPr>
              <w:ind w:right="-69"/>
              <w:jc w:val="right"/>
              <w:rPr>
                <w:sz w:val="20"/>
                <w:szCs w:val="18"/>
              </w:rPr>
            </w:pPr>
            <w:r w:rsidRPr="00AE6EDB">
              <w:rPr>
                <w:sz w:val="20"/>
                <w:szCs w:val="22"/>
              </w:rPr>
              <w:t>0</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0</w:t>
            </w:r>
          </w:p>
        </w:tc>
      </w:tr>
      <w:tr w:rsidR="00D454A2" w:rsidRPr="00AE6EDB" w:rsidTr="00D454A2">
        <w:trPr>
          <w:trHeight w:val="255"/>
          <w:jc w:val="center"/>
        </w:trPr>
        <w:tc>
          <w:tcPr>
            <w:tcW w:w="1377" w:type="pct"/>
            <w:noWrap/>
            <w:vAlign w:val="center"/>
          </w:tcPr>
          <w:p w:rsidR="00DF1178" w:rsidRPr="00AE6EDB" w:rsidRDefault="00DF1178" w:rsidP="00DF1178">
            <w:pPr>
              <w:jc w:val="left"/>
              <w:rPr>
                <w:sz w:val="18"/>
                <w:szCs w:val="18"/>
              </w:rPr>
            </w:pPr>
            <w:r w:rsidRPr="00AE6EDB">
              <w:rPr>
                <w:sz w:val="18"/>
                <w:szCs w:val="18"/>
              </w:rPr>
              <w:t>terénna sociálna služba krízovej intervencie</w:t>
            </w:r>
          </w:p>
        </w:tc>
        <w:tc>
          <w:tcPr>
            <w:tcW w:w="364" w:type="pct"/>
            <w:noWrap/>
            <w:vAlign w:val="center"/>
          </w:tcPr>
          <w:p w:rsidR="00DF1178" w:rsidRPr="00AE6EDB" w:rsidRDefault="00DF1178" w:rsidP="00DF1178">
            <w:pPr>
              <w:ind w:right="-69"/>
              <w:jc w:val="right"/>
              <w:rPr>
                <w:sz w:val="20"/>
                <w:szCs w:val="18"/>
              </w:rPr>
            </w:pPr>
            <w:r w:rsidRPr="00AE6EDB">
              <w:rPr>
                <w:sz w:val="20"/>
                <w:szCs w:val="22"/>
              </w:rPr>
              <w:t>-</w:t>
            </w:r>
          </w:p>
        </w:tc>
        <w:tc>
          <w:tcPr>
            <w:tcW w:w="382" w:type="pct"/>
            <w:noWrap/>
            <w:vAlign w:val="center"/>
          </w:tcPr>
          <w:p w:rsidR="00DF1178" w:rsidRPr="00AE6EDB" w:rsidRDefault="00DF1178" w:rsidP="00DF1178">
            <w:pPr>
              <w:ind w:right="-69"/>
              <w:jc w:val="right"/>
              <w:rPr>
                <w:sz w:val="20"/>
                <w:szCs w:val="18"/>
              </w:rPr>
            </w:pPr>
            <w:r w:rsidRPr="00AE6EDB">
              <w:rPr>
                <w:sz w:val="20"/>
                <w:szCs w:val="22"/>
              </w:rPr>
              <w:t>8</w:t>
            </w:r>
          </w:p>
        </w:tc>
        <w:tc>
          <w:tcPr>
            <w:tcW w:w="401" w:type="pct"/>
            <w:noWrap/>
            <w:vAlign w:val="center"/>
          </w:tcPr>
          <w:p w:rsidR="00DF1178" w:rsidRPr="00AE6EDB" w:rsidRDefault="00DF1178" w:rsidP="00DF1178">
            <w:pPr>
              <w:ind w:right="-69"/>
              <w:jc w:val="right"/>
              <w:rPr>
                <w:sz w:val="20"/>
                <w:szCs w:val="18"/>
              </w:rPr>
            </w:pPr>
            <w:r w:rsidRPr="00AE6EDB">
              <w:rPr>
                <w:sz w:val="20"/>
                <w:szCs w:val="22"/>
              </w:rPr>
              <w:t>-</w:t>
            </w:r>
          </w:p>
        </w:tc>
        <w:tc>
          <w:tcPr>
            <w:tcW w:w="361" w:type="pct"/>
            <w:noWrap/>
            <w:vAlign w:val="center"/>
          </w:tcPr>
          <w:p w:rsidR="00DF1178" w:rsidRPr="00AE6EDB" w:rsidRDefault="0054295F" w:rsidP="00DF1178">
            <w:pPr>
              <w:ind w:right="-69"/>
              <w:jc w:val="right"/>
              <w:rPr>
                <w:sz w:val="20"/>
                <w:szCs w:val="18"/>
              </w:rPr>
            </w:pPr>
            <w:r>
              <w:rPr>
                <w:sz w:val="20"/>
                <w:szCs w:val="22"/>
              </w:rPr>
              <w:t>2 7</w:t>
            </w:r>
            <w:r w:rsidR="00DF1178" w:rsidRPr="00AE6EDB">
              <w:rPr>
                <w:sz w:val="20"/>
                <w:szCs w:val="22"/>
              </w:rPr>
              <w:t>01</w:t>
            </w:r>
          </w:p>
        </w:tc>
        <w:tc>
          <w:tcPr>
            <w:tcW w:w="769" w:type="pct"/>
            <w:noWrap/>
            <w:vAlign w:val="center"/>
          </w:tcPr>
          <w:p w:rsidR="00DF1178" w:rsidRPr="00AE6EDB" w:rsidRDefault="00DF1178" w:rsidP="00DF1178">
            <w:pPr>
              <w:ind w:right="-69"/>
              <w:jc w:val="right"/>
              <w:rPr>
                <w:sz w:val="20"/>
                <w:szCs w:val="18"/>
              </w:rPr>
            </w:pPr>
            <w:r w:rsidRPr="00AE6EDB">
              <w:rPr>
                <w:sz w:val="20"/>
                <w:szCs w:val="22"/>
              </w:rPr>
              <w:t>22</w:t>
            </w:r>
          </w:p>
        </w:tc>
        <w:tc>
          <w:tcPr>
            <w:tcW w:w="721" w:type="pct"/>
            <w:noWrap/>
            <w:vAlign w:val="center"/>
          </w:tcPr>
          <w:p w:rsidR="00DF1178" w:rsidRPr="00AE6EDB" w:rsidRDefault="00DF1178" w:rsidP="00DF1178">
            <w:pPr>
              <w:tabs>
                <w:tab w:val="left" w:pos="1295"/>
              </w:tabs>
              <w:jc w:val="right"/>
              <w:rPr>
                <w:sz w:val="20"/>
                <w:szCs w:val="18"/>
              </w:rPr>
            </w:pPr>
            <w:r w:rsidRPr="00AE6EDB">
              <w:rPr>
                <w:sz w:val="20"/>
                <w:szCs w:val="22"/>
              </w:rPr>
              <w:t>1</w:t>
            </w:r>
            <w:r w:rsidR="00AC44CB">
              <w:rPr>
                <w:sz w:val="20"/>
                <w:szCs w:val="22"/>
              </w:rPr>
              <w:t>5 5</w:t>
            </w:r>
            <w:r w:rsidRPr="00AE6EDB">
              <w:rPr>
                <w:sz w:val="20"/>
                <w:szCs w:val="22"/>
              </w:rPr>
              <w:t>55</w:t>
            </w:r>
          </w:p>
        </w:tc>
        <w:tc>
          <w:tcPr>
            <w:tcW w:w="625" w:type="pct"/>
            <w:noWrap/>
            <w:vAlign w:val="center"/>
          </w:tcPr>
          <w:p w:rsidR="00DF1178" w:rsidRPr="00AE6EDB" w:rsidRDefault="00DF1178" w:rsidP="00DF1178">
            <w:pPr>
              <w:tabs>
                <w:tab w:val="left" w:pos="1295"/>
              </w:tabs>
              <w:jc w:val="right"/>
              <w:rPr>
                <w:sz w:val="20"/>
                <w:szCs w:val="18"/>
              </w:rPr>
            </w:pPr>
            <w:r w:rsidRPr="00AE6EDB">
              <w:rPr>
                <w:sz w:val="20"/>
                <w:szCs w:val="22"/>
              </w:rPr>
              <w:t>1</w:t>
            </w:r>
            <w:r w:rsidR="0054295F">
              <w:rPr>
                <w:sz w:val="20"/>
                <w:szCs w:val="22"/>
              </w:rPr>
              <w:t>3 5</w:t>
            </w:r>
            <w:r w:rsidRPr="00AE6EDB">
              <w:rPr>
                <w:sz w:val="20"/>
                <w:szCs w:val="22"/>
              </w:rPr>
              <w:t>89</w:t>
            </w:r>
          </w:p>
        </w:tc>
      </w:tr>
      <w:tr w:rsidR="00D454A2" w:rsidRPr="00AE6EDB" w:rsidTr="00D454A2">
        <w:trPr>
          <w:trHeight w:val="270"/>
          <w:jc w:val="center"/>
        </w:trPr>
        <w:tc>
          <w:tcPr>
            <w:tcW w:w="1377" w:type="pct"/>
            <w:noWrap/>
            <w:vAlign w:val="center"/>
            <w:hideMark/>
          </w:tcPr>
          <w:p w:rsidR="00DF1178" w:rsidRPr="00AE6EDB" w:rsidRDefault="00DF1178" w:rsidP="00DE0EEC">
            <w:pPr>
              <w:jc w:val="left"/>
              <w:rPr>
                <w:b/>
                <w:bCs/>
                <w:sz w:val="18"/>
                <w:szCs w:val="18"/>
              </w:rPr>
            </w:pPr>
            <w:r w:rsidRPr="00AE6EDB">
              <w:rPr>
                <w:b/>
                <w:bCs/>
                <w:sz w:val="18"/>
                <w:szCs w:val="18"/>
              </w:rPr>
              <w:t>SPOLU</w:t>
            </w:r>
          </w:p>
        </w:tc>
        <w:tc>
          <w:tcPr>
            <w:tcW w:w="364" w:type="pct"/>
            <w:noWrap/>
            <w:vAlign w:val="center"/>
          </w:tcPr>
          <w:p w:rsidR="00DF1178" w:rsidRPr="00AE6EDB" w:rsidRDefault="00DF1178" w:rsidP="00DF1178">
            <w:pPr>
              <w:ind w:right="-69"/>
              <w:jc w:val="right"/>
              <w:rPr>
                <w:b/>
                <w:bCs/>
                <w:color w:val="000000"/>
                <w:sz w:val="20"/>
                <w:szCs w:val="18"/>
              </w:rPr>
            </w:pPr>
            <w:r w:rsidRPr="00AE6EDB">
              <w:rPr>
                <w:b/>
                <w:sz w:val="20"/>
                <w:szCs w:val="22"/>
              </w:rPr>
              <w:t>418</w:t>
            </w:r>
          </w:p>
        </w:tc>
        <w:tc>
          <w:tcPr>
            <w:tcW w:w="382" w:type="pct"/>
            <w:noWrap/>
            <w:vAlign w:val="center"/>
          </w:tcPr>
          <w:p w:rsidR="00DF1178" w:rsidRPr="00AE6EDB" w:rsidRDefault="00DF1178" w:rsidP="00DF1178">
            <w:pPr>
              <w:ind w:right="-69"/>
              <w:jc w:val="right"/>
              <w:rPr>
                <w:b/>
                <w:bCs/>
                <w:color w:val="000000"/>
                <w:sz w:val="20"/>
                <w:szCs w:val="18"/>
              </w:rPr>
            </w:pPr>
            <w:r w:rsidRPr="00AE6EDB">
              <w:rPr>
                <w:b/>
                <w:sz w:val="20"/>
                <w:szCs w:val="22"/>
              </w:rPr>
              <w:t>491</w:t>
            </w:r>
          </w:p>
        </w:tc>
        <w:tc>
          <w:tcPr>
            <w:tcW w:w="401" w:type="pct"/>
            <w:noWrap/>
            <w:vAlign w:val="center"/>
          </w:tcPr>
          <w:p w:rsidR="00DF1178" w:rsidRPr="00AE6EDB" w:rsidRDefault="00DF1178" w:rsidP="00DF1178">
            <w:pPr>
              <w:ind w:right="-69"/>
              <w:jc w:val="right"/>
              <w:rPr>
                <w:b/>
                <w:bCs/>
                <w:color w:val="000000"/>
                <w:sz w:val="20"/>
                <w:szCs w:val="18"/>
              </w:rPr>
            </w:pPr>
            <w:r w:rsidRPr="00AE6EDB">
              <w:rPr>
                <w:b/>
                <w:sz w:val="20"/>
                <w:szCs w:val="22"/>
              </w:rPr>
              <w:t>8</w:t>
            </w:r>
            <w:r w:rsidR="0054295F">
              <w:rPr>
                <w:b/>
                <w:sz w:val="20"/>
                <w:szCs w:val="22"/>
              </w:rPr>
              <w:t>3 1</w:t>
            </w:r>
            <w:r w:rsidRPr="00AE6EDB">
              <w:rPr>
                <w:b/>
                <w:sz w:val="20"/>
                <w:szCs w:val="22"/>
              </w:rPr>
              <w:t>37</w:t>
            </w:r>
          </w:p>
        </w:tc>
        <w:tc>
          <w:tcPr>
            <w:tcW w:w="361" w:type="pct"/>
            <w:noWrap/>
            <w:vAlign w:val="center"/>
          </w:tcPr>
          <w:p w:rsidR="00DF1178" w:rsidRPr="00AE6EDB" w:rsidRDefault="00DF1178" w:rsidP="00DF1178">
            <w:pPr>
              <w:ind w:right="-69"/>
              <w:jc w:val="right"/>
              <w:rPr>
                <w:b/>
                <w:bCs/>
                <w:color w:val="000000"/>
                <w:sz w:val="20"/>
                <w:szCs w:val="18"/>
              </w:rPr>
            </w:pPr>
            <w:r w:rsidRPr="00AE6EDB">
              <w:rPr>
                <w:b/>
                <w:sz w:val="20"/>
                <w:szCs w:val="22"/>
              </w:rPr>
              <w:t>7</w:t>
            </w:r>
            <w:r w:rsidR="00AC44CB">
              <w:rPr>
                <w:b/>
                <w:sz w:val="20"/>
                <w:szCs w:val="22"/>
              </w:rPr>
              <w:t>8 4</w:t>
            </w:r>
            <w:r w:rsidRPr="00AE6EDB">
              <w:rPr>
                <w:b/>
                <w:sz w:val="20"/>
                <w:szCs w:val="22"/>
              </w:rPr>
              <w:t>82</w:t>
            </w:r>
          </w:p>
        </w:tc>
        <w:tc>
          <w:tcPr>
            <w:tcW w:w="769" w:type="pct"/>
            <w:noWrap/>
            <w:vAlign w:val="center"/>
          </w:tcPr>
          <w:p w:rsidR="00DF1178" w:rsidRPr="00AE6EDB" w:rsidRDefault="0054295F" w:rsidP="00DF1178">
            <w:pPr>
              <w:ind w:right="-69"/>
              <w:jc w:val="right"/>
              <w:rPr>
                <w:b/>
                <w:bCs/>
                <w:color w:val="000000"/>
                <w:sz w:val="20"/>
                <w:szCs w:val="18"/>
              </w:rPr>
            </w:pPr>
            <w:r>
              <w:rPr>
                <w:b/>
                <w:sz w:val="20"/>
                <w:szCs w:val="22"/>
              </w:rPr>
              <w:t>3 5</w:t>
            </w:r>
            <w:r w:rsidR="00DF1178" w:rsidRPr="00AE6EDB">
              <w:rPr>
                <w:b/>
                <w:sz w:val="20"/>
                <w:szCs w:val="22"/>
              </w:rPr>
              <w:t>43</w:t>
            </w:r>
          </w:p>
        </w:tc>
        <w:tc>
          <w:tcPr>
            <w:tcW w:w="721" w:type="pct"/>
            <w:noWrap/>
            <w:vAlign w:val="center"/>
          </w:tcPr>
          <w:p w:rsidR="00DF1178" w:rsidRPr="00AE6EDB" w:rsidRDefault="00DF1178" w:rsidP="00DF1178">
            <w:pPr>
              <w:tabs>
                <w:tab w:val="left" w:pos="1295"/>
              </w:tabs>
              <w:jc w:val="right"/>
              <w:rPr>
                <w:b/>
                <w:bCs/>
                <w:color w:val="000000"/>
                <w:sz w:val="20"/>
                <w:szCs w:val="18"/>
              </w:rPr>
            </w:pPr>
            <w:r w:rsidRPr="00AE6EDB">
              <w:rPr>
                <w:b/>
                <w:sz w:val="20"/>
                <w:szCs w:val="22"/>
              </w:rPr>
              <w:t>2</w:t>
            </w:r>
            <w:r w:rsidR="00AC44CB">
              <w:rPr>
                <w:b/>
                <w:sz w:val="20"/>
                <w:szCs w:val="22"/>
              </w:rPr>
              <w:t>9 4</w:t>
            </w:r>
            <w:r w:rsidRPr="00AE6EDB">
              <w:rPr>
                <w:b/>
                <w:sz w:val="20"/>
                <w:szCs w:val="22"/>
              </w:rPr>
              <w:t>1</w:t>
            </w:r>
            <w:r w:rsidR="00AC44CB">
              <w:rPr>
                <w:b/>
                <w:sz w:val="20"/>
                <w:szCs w:val="22"/>
              </w:rPr>
              <w:t>7 1</w:t>
            </w:r>
            <w:r w:rsidRPr="00AE6EDB">
              <w:rPr>
                <w:b/>
                <w:sz w:val="20"/>
                <w:szCs w:val="22"/>
              </w:rPr>
              <w:t>76</w:t>
            </w:r>
          </w:p>
        </w:tc>
        <w:tc>
          <w:tcPr>
            <w:tcW w:w="625" w:type="pct"/>
            <w:noWrap/>
            <w:vAlign w:val="center"/>
          </w:tcPr>
          <w:p w:rsidR="00DF1178" w:rsidRPr="00AE6EDB" w:rsidRDefault="00DF1178" w:rsidP="00DF1178">
            <w:pPr>
              <w:tabs>
                <w:tab w:val="left" w:pos="1295"/>
              </w:tabs>
              <w:jc w:val="right"/>
              <w:rPr>
                <w:b/>
                <w:bCs/>
                <w:color w:val="000000"/>
                <w:sz w:val="20"/>
                <w:szCs w:val="18"/>
              </w:rPr>
            </w:pPr>
            <w:r w:rsidRPr="00AE6EDB">
              <w:rPr>
                <w:b/>
                <w:sz w:val="20"/>
                <w:szCs w:val="22"/>
              </w:rPr>
              <w:t>2</w:t>
            </w:r>
            <w:r w:rsidR="00AC44CB">
              <w:rPr>
                <w:b/>
                <w:sz w:val="20"/>
                <w:szCs w:val="22"/>
              </w:rPr>
              <w:t>9 9</w:t>
            </w:r>
            <w:r w:rsidRPr="00AE6EDB">
              <w:rPr>
                <w:b/>
                <w:sz w:val="20"/>
                <w:szCs w:val="22"/>
              </w:rPr>
              <w:t>3</w:t>
            </w:r>
            <w:r w:rsidR="0054295F">
              <w:rPr>
                <w:b/>
                <w:sz w:val="20"/>
                <w:szCs w:val="22"/>
              </w:rPr>
              <w:t>4 8</w:t>
            </w:r>
            <w:r w:rsidRPr="00AE6EDB">
              <w:rPr>
                <w:b/>
                <w:sz w:val="20"/>
                <w:szCs w:val="22"/>
              </w:rPr>
              <w:t>82</w:t>
            </w:r>
          </w:p>
        </w:tc>
      </w:tr>
    </w:tbl>
    <w:p w:rsidR="00DF1178" w:rsidRPr="00AE6EDB" w:rsidRDefault="000A7585" w:rsidP="000A7585">
      <w:pPr>
        <w:pStyle w:val="zdroj"/>
        <w:rPr>
          <w:lang w:eastAsia="cs-CZ"/>
        </w:rPr>
      </w:pPr>
      <w:r w:rsidRPr="00AE6EDB">
        <w:rPr>
          <w:lang w:eastAsia="cs-CZ"/>
        </w:rPr>
        <w:t xml:space="preserve">Zdroj: V( MPSVR SR) 7- 01 </w:t>
      </w:r>
    </w:p>
    <w:p w:rsidR="00DF1178" w:rsidRPr="00AE6EDB" w:rsidRDefault="00DF1178" w:rsidP="000A7585">
      <w:pPr>
        <w:pStyle w:val="zdroj"/>
        <w:rPr>
          <w:highlight w:val="cyan"/>
          <w:lang w:eastAsia="cs-CZ"/>
        </w:rPr>
        <w:sectPr w:rsidR="00DF1178" w:rsidRPr="00AE6EDB" w:rsidSect="00DF1178">
          <w:pgSz w:w="11906" w:h="16838"/>
          <w:pgMar w:top="1417" w:right="1417" w:bottom="1417" w:left="1417" w:header="708" w:footer="708" w:gutter="0"/>
          <w:cols w:space="708"/>
          <w:docGrid w:linePitch="360"/>
        </w:sectPr>
      </w:pPr>
    </w:p>
    <w:p w:rsidR="000A7585" w:rsidRPr="00AE6EDB" w:rsidRDefault="000A7585" w:rsidP="000A7585">
      <w:pPr>
        <w:pStyle w:val="Nadpis7"/>
      </w:pPr>
      <w:r w:rsidRPr="00AE6EDB">
        <w:t>Tabuľka 30 Počet zamestnancov, objemy platov a vybrané zložky platu v eurách za rok 201</w:t>
      </w:r>
      <w:r w:rsidR="00581AAF" w:rsidRPr="00AE6EDB">
        <w:t>5</w:t>
      </w:r>
      <w:r w:rsidRPr="00AE6EDB">
        <w:t xml:space="preserve"> v zariadeniach sociálnych služieb </w:t>
      </w:r>
      <w:r w:rsidRPr="00AE6EDB">
        <w:br/>
        <w:t>podľa agregovaných zamestnaní</w:t>
      </w:r>
    </w:p>
    <w:tbl>
      <w:tblPr>
        <w:tblW w:w="1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0A7585" w:rsidRPr="00AE6EDB" w:rsidTr="00DE0EEC">
        <w:trPr>
          <w:trHeight w:val="300"/>
          <w:jc w:val="center"/>
        </w:trPr>
        <w:tc>
          <w:tcPr>
            <w:tcW w:w="4183" w:type="dxa"/>
            <w:vMerge w:val="restart"/>
            <w:shd w:val="clear" w:color="auto" w:fill="FF9999" w:themeFill="accent3" w:themeFillTint="66"/>
            <w:noWrap/>
            <w:vAlign w:val="center"/>
            <w:hideMark/>
          </w:tcPr>
          <w:p w:rsidR="000A7585" w:rsidRPr="00AE6EDB" w:rsidRDefault="000A7585" w:rsidP="00DE0EEC">
            <w:pPr>
              <w:jc w:val="center"/>
              <w:rPr>
                <w:b/>
                <w:sz w:val="18"/>
                <w:szCs w:val="18"/>
              </w:rPr>
            </w:pPr>
            <w:r w:rsidRPr="00AE6EDB">
              <w:rPr>
                <w:b/>
                <w:sz w:val="18"/>
                <w:szCs w:val="18"/>
              </w:rPr>
              <w:t>Kategória zamestnancov</w:t>
            </w:r>
          </w:p>
        </w:tc>
        <w:tc>
          <w:tcPr>
            <w:tcW w:w="753"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Počet</w:t>
            </w:r>
          </w:p>
          <w:p w:rsidR="000A7585" w:rsidRPr="00AE6EDB" w:rsidRDefault="000A7585" w:rsidP="00DE0EEC">
            <w:pPr>
              <w:ind w:left="113" w:right="113"/>
              <w:jc w:val="left"/>
              <w:rPr>
                <w:b/>
                <w:sz w:val="18"/>
                <w:szCs w:val="18"/>
              </w:rPr>
            </w:pPr>
            <w:r w:rsidRPr="00AE6EDB">
              <w:rPr>
                <w:b/>
                <w:sz w:val="18"/>
                <w:szCs w:val="18"/>
              </w:rPr>
              <w:t>zamestnancov</w:t>
            </w:r>
          </w:p>
        </w:tc>
        <w:tc>
          <w:tcPr>
            <w:tcW w:w="851"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z toho</w:t>
            </w:r>
          </w:p>
          <w:p w:rsidR="000A7585" w:rsidRPr="00AE6EDB" w:rsidRDefault="000A7585" w:rsidP="00DE0EEC">
            <w:pPr>
              <w:ind w:left="113" w:right="113"/>
              <w:jc w:val="left"/>
              <w:rPr>
                <w:b/>
                <w:sz w:val="18"/>
                <w:szCs w:val="18"/>
              </w:rPr>
            </w:pPr>
            <w:r w:rsidRPr="00AE6EDB">
              <w:rPr>
                <w:b/>
                <w:sz w:val="18"/>
                <w:szCs w:val="18"/>
              </w:rPr>
              <w:t>ženy</w:t>
            </w:r>
          </w:p>
        </w:tc>
        <w:tc>
          <w:tcPr>
            <w:tcW w:w="1134"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Celkový</w:t>
            </w:r>
          </w:p>
          <w:p w:rsidR="000A7585" w:rsidRPr="00AE6EDB" w:rsidRDefault="000A7585" w:rsidP="00DE0EEC">
            <w:pPr>
              <w:ind w:left="113" w:right="113"/>
              <w:jc w:val="left"/>
              <w:rPr>
                <w:b/>
                <w:sz w:val="18"/>
                <w:szCs w:val="18"/>
              </w:rPr>
            </w:pPr>
            <w:r w:rsidRPr="00AE6EDB">
              <w:rPr>
                <w:b/>
                <w:sz w:val="18"/>
                <w:szCs w:val="18"/>
              </w:rPr>
              <w:t>plat - objem</w:t>
            </w:r>
          </w:p>
        </w:tc>
        <w:tc>
          <w:tcPr>
            <w:tcW w:w="850"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Celkový</w:t>
            </w:r>
          </w:p>
          <w:p w:rsidR="000A7585" w:rsidRPr="00AE6EDB" w:rsidRDefault="000A7585" w:rsidP="00DE0EEC">
            <w:pPr>
              <w:ind w:left="113" w:right="113"/>
              <w:jc w:val="left"/>
              <w:rPr>
                <w:b/>
                <w:sz w:val="18"/>
                <w:szCs w:val="18"/>
              </w:rPr>
            </w:pPr>
            <w:r w:rsidRPr="00AE6EDB">
              <w:rPr>
                <w:b/>
                <w:sz w:val="18"/>
                <w:szCs w:val="18"/>
              </w:rPr>
              <w:t>plat</w:t>
            </w:r>
          </w:p>
        </w:tc>
        <w:tc>
          <w:tcPr>
            <w:tcW w:w="851"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Funkčný</w:t>
            </w:r>
          </w:p>
          <w:p w:rsidR="000A7585" w:rsidRPr="00AE6EDB" w:rsidRDefault="000A7585" w:rsidP="00DE0EEC">
            <w:pPr>
              <w:ind w:left="113" w:right="113"/>
              <w:jc w:val="left"/>
              <w:rPr>
                <w:b/>
                <w:sz w:val="18"/>
                <w:szCs w:val="18"/>
              </w:rPr>
            </w:pPr>
            <w:r w:rsidRPr="00AE6EDB">
              <w:rPr>
                <w:b/>
                <w:sz w:val="18"/>
                <w:szCs w:val="18"/>
              </w:rPr>
              <w:t>plat</w:t>
            </w:r>
          </w:p>
        </w:tc>
        <w:tc>
          <w:tcPr>
            <w:tcW w:w="3543" w:type="dxa"/>
            <w:gridSpan w:val="5"/>
            <w:shd w:val="clear" w:color="auto" w:fill="FF9999" w:themeFill="accent3" w:themeFillTint="66"/>
            <w:noWrap/>
            <w:vAlign w:val="center"/>
            <w:hideMark/>
          </w:tcPr>
          <w:p w:rsidR="000A7585" w:rsidRPr="00AE6EDB" w:rsidRDefault="000A7585" w:rsidP="00DE0EEC">
            <w:pPr>
              <w:jc w:val="center"/>
              <w:rPr>
                <w:b/>
                <w:sz w:val="18"/>
                <w:szCs w:val="18"/>
              </w:rPr>
            </w:pPr>
            <w:r w:rsidRPr="00AE6EDB">
              <w:rPr>
                <w:b/>
                <w:sz w:val="18"/>
                <w:szCs w:val="18"/>
              </w:rPr>
              <w:t>z toho</w:t>
            </w:r>
          </w:p>
        </w:tc>
        <w:tc>
          <w:tcPr>
            <w:tcW w:w="556" w:type="dxa"/>
            <w:vMerge w:val="restart"/>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Odmeny</w:t>
            </w:r>
          </w:p>
        </w:tc>
        <w:tc>
          <w:tcPr>
            <w:tcW w:w="745" w:type="dxa"/>
            <w:vMerge w:val="restart"/>
            <w:shd w:val="clear" w:color="auto" w:fill="FF9999" w:themeFill="accent3" w:themeFillTint="66"/>
            <w:noWrap/>
            <w:vAlign w:val="center"/>
            <w:hideMark/>
          </w:tcPr>
          <w:p w:rsidR="000A7585" w:rsidRPr="00AE6EDB" w:rsidRDefault="000A7585" w:rsidP="00DE0EEC">
            <w:pPr>
              <w:jc w:val="center"/>
              <w:rPr>
                <w:b/>
                <w:sz w:val="18"/>
                <w:szCs w:val="18"/>
              </w:rPr>
            </w:pPr>
            <w:r w:rsidRPr="00AE6EDB">
              <w:rPr>
                <w:b/>
                <w:sz w:val="18"/>
                <w:szCs w:val="18"/>
              </w:rPr>
              <w:t>Plat</w:t>
            </w:r>
          </w:p>
          <w:p w:rsidR="000A7585" w:rsidRPr="00AE6EDB" w:rsidRDefault="000A7585" w:rsidP="00DE0EEC">
            <w:pPr>
              <w:jc w:val="center"/>
              <w:rPr>
                <w:b/>
                <w:sz w:val="18"/>
                <w:szCs w:val="18"/>
              </w:rPr>
            </w:pPr>
            <w:r w:rsidRPr="00AE6EDB">
              <w:rPr>
                <w:b/>
                <w:sz w:val="18"/>
                <w:szCs w:val="18"/>
              </w:rPr>
              <w:t>za</w:t>
            </w:r>
          </w:p>
          <w:p w:rsidR="000A7585" w:rsidRPr="00AE6EDB" w:rsidRDefault="000A7585" w:rsidP="00DE0EEC">
            <w:pPr>
              <w:jc w:val="center"/>
              <w:rPr>
                <w:b/>
                <w:sz w:val="18"/>
                <w:szCs w:val="18"/>
              </w:rPr>
            </w:pPr>
            <w:r w:rsidRPr="00AE6EDB">
              <w:rPr>
                <w:b/>
                <w:sz w:val="18"/>
                <w:szCs w:val="18"/>
              </w:rPr>
              <w:t>nadčas</w:t>
            </w:r>
          </w:p>
        </w:tc>
        <w:tc>
          <w:tcPr>
            <w:tcW w:w="891" w:type="dxa"/>
            <w:vMerge w:val="restart"/>
            <w:shd w:val="clear" w:color="auto" w:fill="FF9999" w:themeFill="accent3" w:themeFillTint="66"/>
            <w:noWrap/>
            <w:vAlign w:val="center"/>
            <w:hideMark/>
          </w:tcPr>
          <w:p w:rsidR="000A7585" w:rsidRPr="00AE6EDB" w:rsidRDefault="000A7585" w:rsidP="00DE0EEC">
            <w:pPr>
              <w:jc w:val="center"/>
              <w:rPr>
                <w:b/>
                <w:sz w:val="18"/>
                <w:szCs w:val="18"/>
              </w:rPr>
            </w:pPr>
            <w:r w:rsidRPr="00AE6EDB">
              <w:rPr>
                <w:b/>
                <w:sz w:val="18"/>
                <w:szCs w:val="18"/>
              </w:rPr>
              <w:t>Doplatky</w:t>
            </w:r>
          </w:p>
          <w:p w:rsidR="000A7585" w:rsidRPr="00AE6EDB" w:rsidRDefault="000A7585" w:rsidP="00DE0EEC">
            <w:pPr>
              <w:jc w:val="center"/>
              <w:rPr>
                <w:b/>
                <w:sz w:val="18"/>
                <w:szCs w:val="18"/>
              </w:rPr>
            </w:pPr>
            <w:r w:rsidRPr="00AE6EDB">
              <w:rPr>
                <w:b/>
                <w:sz w:val="18"/>
                <w:szCs w:val="18"/>
              </w:rPr>
              <w:t>a ostatné</w:t>
            </w:r>
          </w:p>
          <w:p w:rsidR="000A7585" w:rsidRPr="00AE6EDB" w:rsidRDefault="000A7585" w:rsidP="00DE0EEC">
            <w:pPr>
              <w:jc w:val="center"/>
              <w:rPr>
                <w:b/>
                <w:sz w:val="18"/>
                <w:szCs w:val="18"/>
              </w:rPr>
            </w:pPr>
            <w:r w:rsidRPr="00AE6EDB">
              <w:rPr>
                <w:b/>
                <w:sz w:val="18"/>
                <w:szCs w:val="18"/>
              </w:rPr>
              <w:t>príplatky</w:t>
            </w:r>
          </w:p>
        </w:tc>
      </w:tr>
      <w:tr w:rsidR="000A7585" w:rsidRPr="00AE6EDB" w:rsidTr="00DE0EEC">
        <w:trPr>
          <w:trHeight w:val="1329"/>
          <w:jc w:val="center"/>
        </w:trPr>
        <w:tc>
          <w:tcPr>
            <w:tcW w:w="4183"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center"/>
              <w:rPr>
                <w:b/>
                <w:sz w:val="18"/>
                <w:szCs w:val="18"/>
              </w:rPr>
            </w:pPr>
          </w:p>
        </w:tc>
        <w:tc>
          <w:tcPr>
            <w:tcW w:w="753"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left"/>
              <w:rPr>
                <w:b/>
                <w:sz w:val="18"/>
                <w:szCs w:val="18"/>
              </w:rPr>
            </w:pPr>
          </w:p>
        </w:tc>
        <w:tc>
          <w:tcPr>
            <w:tcW w:w="1134"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left"/>
              <w:rPr>
                <w:b/>
                <w:sz w:val="18"/>
                <w:szCs w:val="18"/>
              </w:rPr>
            </w:pPr>
          </w:p>
        </w:tc>
        <w:tc>
          <w:tcPr>
            <w:tcW w:w="850"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left"/>
              <w:rPr>
                <w:b/>
                <w:sz w:val="18"/>
                <w:szCs w:val="18"/>
              </w:rPr>
            </w:pPr>
          </w:p>
        </w:tc>
        <w:tc>
          <w:tcPr>
            <w:tcW w:w="708" w:type="dxa"/>
            <w:tcBorders>
              <w:bottom w:val="single" w:sz="4" w:space="0" w:color="auto"/>
            </w:tcBorders>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tarifný</w:t>
            </w:r>
          </w:p>
          <w:p w:rsidR="000A7585" w:rsidRPr="00AE6EDB" w:rsidRDefault="000A7585" w:rsidP="00DE0EEC">
            <w:pPr>
              <w:ind w:left="113" w:right="113"/>
              <w:jc w:val="left"/>
              <w:rPr>
                <w:b/>
                <w:sz w:val="18"/>
                <w:szCs w:val="18"/>
              </w:rPr>
            </w:pPr>
            <w:r w:rsidRPr="00AE6EDB">
              <w:rPr>
                <w:b/>
                <w:sz w:val="18"/>
                <w:szCs w:val="18"/>
              </w:rPr>
              <w:t>plat</w:t>
            </w:r>
          </w:p>
        </w:tc>
        <w:tc>
          <w:tcPr>
            <w:tcW w:w="709" w:type="dxa"/>
            <w:tcBorders>
              <w:bottom w:val="single" w:sz="4" w:space="0" w:color="auto"/>
            </w:tcBorders>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riadenie</w:t>
            </w:r>
          </w:p>
        </w:tc>
        <w:tc>
          <w:tcPr>
            <w:tcW w:w="709" w:type="dxa"/>
            <w:tcBorders>
              <w:bottom w:val="single" w:sz="4" w:space="0" w:color="auto"/>
            </w:tcBorders>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osobný</w:t>
            </w:r>
          </w:p>
        </w:tc>
        <w:tc>
          <w:tcPr>
            <w:tcW w:w="709" w:type="dxa"/>
            <w:tcBorders>
              <w:bottom w:val="single" w:sz="4" w:space="0" w:color="auto"/>
            </w:tcBorders>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platová</w:t>
            </w:r>
          </w:p>
          <w:p w:rsidR="000A7585" w:rsidRPr="00AE6EDB" w:rsidRDefault="000A7585" w:rsidP="00DE0EEC">
            <w:pPr>
              <w:ind w:left="113" w:right="113"/>
              <w:jc w:val="left"/>
              <w:rPr>
                <w:b/>
                <w:sz w:val="18"/>
                <w:szCs w:val="18"/>
              </w:rPr>
            </w:pPr>
            <w:r w:rsidRPr="00AE6EDB">
              <w:rPr>
                <w:b/>
                <w:sz w:val="18"/>
                <w:szCs w:val="18"/>
              </w:rPr>
              <w:t>kompenzácia</w:t>
            </w:r>
          </w:p>
        </w:tc>
        <w:tc>
          <w:tcPr>
            <w:tcW w:w="708" w:type="dxa"/>
            <w:tcBorders>
              <w:bottom w:val="single" w:sz="4" w:space="0" w:color="auto"/>
            </w:tcBorders>
            <w:shd w:val="clear" w:color="auto" w:fill="FF9999" w:themeFill="accent3" w:themeFillTint="66"/>
            <w:noWrap/>
            <w:textDirection w:val="btLr"/>
            <w:vAlign w:val="center"/>
            <w:hideMark/>
          </w:tcPr>
          <w:p w:rsidR="000A7585" w:rsidRPr="00AE6EDB" w:rsidRDefault="000A7585" w:rsidP="00DE0EEC">
            <w:pPr>
              <w:ind w:left="113" w:right="113"/>
              <w:jc w:val="left"/>
              <w:rPr>
                <w:b/>
                <w:sz w:val="18"/>
                <w:szCs w:val="18"/>
              </w:rPr>
            </w:pPr>
            <w:r w:rsidRPr="00AE6EDB">
              <w:rPr>
                <w:b/>
                <w:sz w:val="18"/>
                <w:szCs w:val="18"/>
              </w:rPr>
              <w:t>zmennosť</w:t>
            </w:r>
          </w:p>
        </w:tc>
        <w:tc>
          <w:tcPr>
            <w:tcW w:w="556"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center"/>
              <w:rPr>
                <w:b/>
                <w:sz w:val="18"/>
                <w:szCs w:val="18"/>
              </w:rPr>
            </w:pPr>
          </w:p>
        </w:tc>
        <w:tc>
          <w:tcPr>
            <w:tcW w:w="745"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center"/>
              <w:rPr>
                <w:b/>
                <w:sz w:val="18"/>
                <w:szCs w:val="18"/>
              </w:rPr>
            </w:pPr>
          </w:p>
        </w:tc>
        <w:tc>
          <w:tcPr>
            <w:tcW w:w="891" w:type="dxa"/>
            <w:vMerge/>
            <w:tcBorders>
              <w:bottom w:val="single" w:sz="4" w:space="0" w:color="auto"/>
            </w:tcBorders>
            <w:shd w:val="clear" w:color="auto" w:fill="FF9999" w:themeFill="accent3" w:themeFillTint="66"/>
            <w:noWrap/>
            <w:vAlign w:val="center"/>
            <w:hideMark/>
          </w:tcPr>
          <w:p w:rsidR="000A7585" w:rsidRPr="00AE6EDB" w:rsidRDefault="000A7585" w:rsidP="00DE0EEC">
            <w:pPr>
              <w:jc w:val="center"/>
              <w:rPr>
                <w:b/>
                <w:sz w:val="18"/>
                <w:szCs w:val="18"/>
              </w:rPr>
            </w:pPr>
          </w:p>
        </w:tc>
      </w:tr>
      <w:tr w:rsidR="000A7585" w:rsidRPr="00AE6EDB" w:rsidTr="00DE0EEC">
        <w:trPr>
          <w:trHeight w:val="315"/>
          <w:jc w:val="center"/>
        </w:trPr>
        <w:tc>
          <w:tcPr>
            <w:tcW w:w="4183" w:type="dxa"/>
            <w:vMerge/>
            <w:shd w:val="clear" w:color="auto" w:fill="FF9999" w:themeFill="accent3" w:themeFillTint="66"/>
            <w:noWrap/>
            <w:vAlign w:val="center"/>
            <w:hideMark/>
          </w:tcPr>
          <w:p w:rsidR="000A7585" w:rsidRPr="00AE6EDB" w:rsidRDefault="000A7585" w:rsidP="00DE0EEC">
            <w:pPr>
              <w:jc w:val="center"/>
              <w:rPr>
                <w:sz w:val="18"/>
                <w:szCs w:val="18"/>
              </w:rPr>
            </w:pPr>
          </w:p>
        </w:tc>
        <w:tc>
          <w:tcPr>
            <w:tcW w:w="753"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(osoby)</w:t>
            </w:r>
          </w:p>
        </w:tc>
        <w:tc>
          <w:tcPr>
            <w:tcW w:w="851"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(osoby)</w:t>
            </w:r>
          </w:p>
        </w:tc>
        <w:tc>
          <w:tcPr>
            <w:tcW w:w="1134"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w:t>
            </w:r>
          </w:p>
        </w:tc>
        <w:tc>
          <w:tcPr>
            <w:tcW w:w="850"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851"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08"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09"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09"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09"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08"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556"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745"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c>
          <w:tcPr>
            <w:tcW w:w="891" w:type="dxa"/>
            <w:shd w:val="clear" w:color="auto" w:fill="FF9999" w:themeFill="accent3" w:themeFillTint="66"/>
            <w:noWrap/>
            <w:vAlign w:val="center"/>
            <w:hideMark/>
          </w:tcPr>
          <w:p w:rsidR="000A7585" w:rsidRPr="00AE6EDB" w:rsidRDefault="000A7585" w:rsidP="00DE0EEC">
            <w:pPr>
              <w:jc w:val="center"/>
              <w:rPr>
                <w:sz w:val="18"/>
                <w:szCs w:val="18"/>
              </w:rPr>
            </w:pPr>
            <w:r w:rsidRPr="00AE6EDB">
              <w:rPr>
                <w:sz w:val="18"/>
                <w:szCs w:val="18"/>
              </w:rPr>
              <w:t xml:space="preserve">[€/ </w:t>
            </w:r>
            <w:proofErr w:type="spellStart"/>
            <w:r w:rsidRPr="00AE6EDB">
              <w:rPr>
                <w:sz w:val="18"/>
                <w:szCs w:val="18"/>
              </w:rPr>
              <w:t>mes</w:t>
            </w:r>
            <w:proofErr w:type="spellEnd"/>
            <w:r w:rsidRPr="00AE6EDB">
              <w:rPr>
                <w:sz w:val="18"/>
                <w:szCs w:val="18"/>
              </w:rPr>
              <w:t>]</w:t>
            </w:r>
          </w:p>
        </w:tc>
      </w:tr>
      <w:tr w:rsidR="00581AAF" w:rsidRPr="00AE6EDB" w:rsidTr="00581AAF">
        <w:trPr>
          <w:trHeight w:val="315"/>
          <w:jc w:val="center"/>
        </w:trPr>
        <w:tc>
          <w:tcPr>
            <w:tcW w:w="4183" w:type="dxa"/>
            <w:shd w:val="clear" w:color="auto" w:fill="auto"/>
            <w:noWrap/>
            <w:vAlign w:val="center"/>
            <w:hideMark/>
          </w:tcPr>
          <w:p w:rsidR="00581AAF" w:rsidRPr="00AE6EDB" w:rsidRDefault="00581AAF" w:rsidP="00DE0EEC">
            <w:pPr>
              <w:jc w:val="center"/>
              <w:rPr>
                <w:sz w:val="18"/>
                <w:szCs w:val="18"/>
              </w:rPr>
            </w:pPr>
            <w:r w:rsidRPr="00AE6EDB">
              <w:rPr>
                <w:sz w:val="18"/>
                <w:szCs w:val="18"/>
              </w:rPr>
              <w:t>SPOLU</w:t>
            </w:r>
          </w:p>
        </w:tc>
        <w:tc>
          <w:tcPr>
            <w:tcW w:w="753" w:type="dxa"/>
            <w:shd w:val="clear" w:color="auto" w:fill="auto"/>
            <w:noWrap/>
            <w:vAlign w:val="center"/>
            <w:hideMark/>
          </w:tcPr>
          <w:p w:rsidR="00581AAF" w:rsidRPr="00AE6EDB" w:rsidRDefault="00581AAF" w:rsidP="00581AAF">
            <w:pPr>
              <w:jc w:val="right"/>
              <w:rPr>
                <w:sz w:val="18"/>
                <w:szCs w:val="18"/>
              </w:rPr>
            </w:pPr>
            <w:r w:rsidRPr="00AE6EDB">
              <w:rPr>
                <w:sz w:val="18"/>
                <w:szCs w:val="18"/>
              </w:rPr>
              <w:t>1</w:t>
            </w:r>
            <w:r w:rsidR="00AC44CB">
              <w:rPr>
                <w:sz w:val="18"/>
                <w:szCs w:val="18"/>
              </w:rPr>
              <w:t>6 0</w:t>
            </w:r>
            <w:r w:rsidRPr="00AE6EDB">
              <w:rPr>
                <w:sz w:val="18"/>
                <w:szCs w:val="18"/>
              </w:rPr>
              <w:t>27</w:t>
            </w:r>
          </w:p>
        </w:tc>
        <w:tc>
          <w:tcPr>
            <w:tcW w:w="851" w:type="dxa"/>
            <w:shd w:val="clear" w:color="auto" w:fill="auto"/>
            <w:noWrap/>
            <w:vAlign w:val="center"/>
            <w:hideMark/>
          </w:tcPr>
          <w:p w:rsidR="00581AAF" w:rsidRPr="00AE6EDB" w:rsidRDefault="00581AAF" w:rsidP="00581AAF">
            <w:pPr>
              <w:jc w:val="right"/>
              <w:rPr>
                <w:sz w:val="18"/>
                <w:szCs w:val="18"/>
              </w:rPr>
            </w:pPr>
            <w:r w:rsidRPr="00AE6EDB">
              <w:rPr>
                <w:sz w:val="18"/>
                <w:szCs w:val="18"/>
              </w:rPr>
              <w:t>1</w:t>
            </w:r>
            <w:r w:rsidR="0054295F">
              <w:rPr>
                <w:sz w:val="18"/>
                <w:szCs w:val="18"/>
              </w:rPr>
              <w:t>3 8</w:t>
            </w:r>
            <w:r w:rsidRPr="00AE6EDB">
              <w:rPr>
                <w:sz w:val="18"/>
                <w:szCs w:val="18"/>
              </w:rPr>
              <w:t>70</w:t>
            </w:r>
          </w:p>
        </w:tc>
        <w:tc>
          <w:tcPr>
            <w:tcW w:w="1134" w:type="dxa"/>
            <w:shd w:val="clear" w:color="auto" w:fill="auto"/>
            <w:noWrap/>
            <w:vAlign w:val="center"/>
            <w:hideMark/>
          </w:tcPr>
          <w:p w:rsidR="00581AAF" w:rsidRPr="00AE6EDB" w:rsidRDefault="00581AAF" w:rsidP="00581AAF">
            <w:pPr>
              <w:jc w:val="right"/>
              <w:rPr>
                <w:sz w:val="18"/>
                <w:szCs w:val="18"/>
              </w:rPr>
            </w:pPr>
            <w:r w:rsidRPr="00AE6EDB">
              <w:rPr>
                <w:sz w:val="18"/>
                <w:szCs w:val="18"/>
              </w:rPr>
              <w:t>10</w:t>
            </w:r>
            <w:r w:rsidR="0054295F">
              <w:rPr>
                <w:sz w:val="18"/>
                <w:szCs w:val="18"/>
              </w:rPr>
              <w:t>0 8</w:t>
            </w:r>
            <w:r w:rsidRPr="00AE6EDB">
              <w:rPr>
                <w:sz w:val="18"/>
                <w:szCs w:val="18"/>
              </w:rPr>
              <w:t>3</w:t>
            </w:r>
            <w:r w:rsidR="0054295F">
              <w:rPr>
                <w:sz w:val="18"/>
                <w:szCs w:val="18"/>
              </w:rPr>
              <w:t>3 3</w:t>
            </w:r>
            <w:r w:rsidRPr="00AE6EDB">
              <w:rPr>
                <w:sz w:val="18"/>
                <w:szCs w:val="18"/>
              </w:rPr>
              <w:t>16</w:t>
            </w:r>
          </w:p>
        </w:tc>
        <w:tc>
          <w:tcPr>
            <w:tcW w:w="850" w:type="dxa"/>
            <w:shd w:val="clear" w:color="auto" w:fill="auto"/>
            <w:noWrap/>
            <w:vAlign w:val="center"/>
            <w:hideMark/>
          </w:tcPr>
          <w:p w:rsidR="00581AAF" w:rsidRPr="00AE6EDB" w:rsidRDefault="00581AAF" w:rsidP="00581AAF">
            <w:pPr>
              <w:jc w:val="right"/>
              <w:rPr>
                <w:sz w:val="18"/>
                <w:szCs w:val="18"/>
              </w:rPr>
            </w:pPr>
            <w:r w:rsidRPr="00AE6EDB">
              <w:rPr>
                <w:sz w:val="18"/>
                <w:szCs w:val="18"/>
              </w:rPr>
              <w:t>638</w:t>
            </w:r>
          </w:p>
        </w:tc>
        <w:tc>
          <w:tcPr>
            <w:tcW w:w="851" w:type="dxa"/>
            <w:shd w:val="clear" w:color="auto" w:fill="auto"/>
            <w:noWrap/>
            <w:vAlign w:val="center"/>
            <w:hideMark/>
          </w:tcPr>
          <w:p w:rsidR="00581AAF" w:rsidRPr="00AE6EDB" w:rsidRDefault="00581AAF" w:rsidP="00581AAF">
            <w:pPr>
              <w:jc w:val="right"/>
              <w:rPr>
                <w:sz w:val="18"/>
                <w:szCs w:val="18"/>
              </w:rPr>
            </w:pPr>
            <w:r w:rsidRPr="00AE6EDB">
              <w:rPr>
                <w:sz w:val="18"/>
                <w:szCs w:val="18"/>
              </w:rPr>
              <w:t>472</w:t>
            </w:r>
          </w:p>
        </w:tc>
        <w:tc>
          <w:tcPr>
            <w:tcW w:w="708" w:type="dxa"/>
            <w:shd w:val="clear" w:color="auto" w:fill="auto"/>
            <w:noWrap/>
            <w:vAlign w:val="center"/>
            <w:hideMark/>
          </w:tcPr>
          <w:p w:rsidR="00581AAF" w:rsidRPr="00AE6EDB" w:rsidRDefault="00581AAF" w:rsidP="00581AAF">
            <w:pPr>
              <w:jc w:val="right"/>
              <w:rPr>
                <w:sz w:val="18"/>
                <w:szCs w:val="18"/>
              </w:rPr>
            </w:pPr>
            <w:r w:rsidRPr="00AE6EDB">
              <w:rPr>
                <w:sz w:val="18"/>
                <w:szCs w:val="18"/>
              </w:rPr>
              <w:t>386</w:t>
            </w:r>
          </w:p>
        </w:tc>
        <w:tc>
          <w:tcPr>
            <w:tcW w:w="709" w:type="dxa"/>
            <w:shd w:val="clear" w:color="auto" w:fill="auto"/>
            <w:noWrap/>
            <w:vAlign w:val="center"/>
            <w:hideMark/>
          </w:tcPr>
          <w:p w:rsidR="00581AAF" w:rsidRPr="00AE6EDB" w:rsidRDefault="00581AAF" w:rsidP="00581AAF">
            <w:pPr>
              <w:jc w:val="right"/>
              <w:rPr>
                <w:sz w:val="18"/>
                <w:szCs w:val="18"/>
              </w:rPr>
            </w:pPr>
            <w:r w:rsidRPr="00AE6EDB">
              <w:rPr>
                <w:sz w:val="18"/>
                <w:szCs w:val="18"/>
              </w:rPr>
              <w:t>6</w:t>
            </w:r>
          </w:p>
        </w:tc>
        <w:tc>
          <w:tcPr>
            <w:tcW w:w="709" w:type="dxa"/>
            <w:shd w:val="clear" w:color="auto" w:fill="auto"/>
            <w:noWrap/>
            <w:vAlign w:val="center"/>
            <w:hideMark/>
          </w:tcPr>
          <w:p w:rsidR="00581AAF" w:rsidRPr="00AE6EDB" w:rsidRDefault="00581AAF" w:rsidP="00581AAF">
            <w:pPr>
              <w:jc w:val="right"/>
              <w:rPr>
                <w:sz w:val="18"/>
                <w:szCs w:val="18"/>
              </w:rPr>
            </w:pPr>
            <w:r w:rsidRPr="00AE6EDB">
              <w:rPr>
                <w:sz w:val="18"/>
                <w:szCs w:val="18"/>
              </w:rPr>
              <w:t>69</w:t>
            </w:r>
          </w:p>
        </w:tc>
        <w:tc>
          <w:tcPr>
            <w:tcW w:w="709" w:type="dxa"/>
            <w:shd w:val="clear" w:color="auto" w:fill="auto"/>
            <w:noWrap/>
            <w:vAlign w:val="center"/>
            <w:hideMark/>
          </w:tcPr>
          <w:p w:rsidR="00581AAF" w:rsidRPr="00AE6EDB" w:rsidRDefault="00581AAF" w:rsidP="00581AAF">
            <w:pPr>
              <w:jc w:val="right"/>
              <w:rPr>
                <w:sz w:val="18"/>
                <w:szCs w:val="18"/>
              </w:rPr>
            </w:pPr>
            <w:r w:rsidRPr="00AE6EDB">
              <w:rPr>
                <w:sz w:val="18"/>
                <w:szCs w:val="18"/>
              </w:rPr>
              <w:t>5</w:t>
            </w:r>
          </w:p>
        </w:tc>
        <w:tc>
          <w:tcPr>
            <w:tcW w:w="708" w:type="dxa"/>
            <w:shd w:val="clear" w:color="auto" w:fill="auto"/>
            <w:noWrap/>
            <w:vAlign w:val="center"/>
            <w:hideMark/>
          </w:tcPr>
          <w:p w:rsidR="00581AAF" w:rsidRPr="00AE6EDB" w:rsidRDefault="00581AAF" w:rsidP="00581AAF">
            <w:pPr>
              <w:jc w:val="right"/>
              <w:rPr>
                <w:sz w:val="18"/>
                <w:szCs w:val="18"/>
              </w:rPr>
            </w:pPr>
            <w:r w:rsidRPr="00AE6EDB">
              <w:rPr>
                <w:sz w:val="18"/>
                <w:szCs w:val="18"/>
              </w:rPr>
              <w:t>6</w:t>
            </w:r>
          </w:p>
        </w:tc>
        <w:tc>
          <w:tcPr>
            <w:tcW w:w="556" w:type="dxa"/>
            <w:shd w:val="clear" w:color="auto" w:fill="auto"/>
            <w:noWrap/>
            <w:vAlign w:val="center"/>
            <w:hideMark/>
          </w:tcPr>
          <w:p w:rsidR="00581AAF" w:rsidRPr="00AE6EDB" w:rsidRDefault="00581AAF" w:rsidP="00581AAF">
            <w:pPr>
              <w:jc w:val="right"/>
              <w:rPr>
                <w:sz w:val="18"/>
                <w:szCs w:val="18"/>
              </w:rPr>
            </w:pPr>
            <w:r w:rsidRPr="00AE6EDB">
              <w:rPr>
                <w:sz w:val="18"/>
                <w:szCs w:val="18"/>
              </w:rPr>
              <w:t>45</w:t>
            </w:r>
          </w:p>
        </w:tc>
        <w:tc>
          <w:tcPr>
            <w:tcW w:w="745" w:type="dxa"/>
            <w:shd w:val="clear" w:color="auto" w:fill="auto"/>
            <w:noWrap/>
            <w:vAlign w:val="center"/>
            <w:hideMark/>
          </w:tcPr>
          <w:p w:rsidR="00581AAF" w:rsidRPr="00AE6EDB" w:rsidRDefault="00581AAF" w:rsidP="00581AAF">
            <w:pPr>
              <w:jc w:val="right"/>
              <w:rPr>
                <w:sz w:val="18"/>
                <w:szCs w:val="18"/>
              </w:rPr>
            </w:pPr>
            <w:r w:rsidRPr="00AE6EDB">
              <w:rPr>
                <w:sz w:val="18"/>
                <w:szCs w:val="18"/>
              </w:rPr>
              <w:t>3</w:t>
            </w:r>
          </w:p>
        </w:tc>
        <w:tc>
          <w:tcPr>
            <w:tcW w:w="891" w:type="dxa"/>
            <w:shd w:val="clear" w:color="auto" w:fill="auto"/>
            <w:noWrap/>
            <w:vAlign w:val="center"/>
            <w:hideMark/>
          </w:tcPr>
          <w:p w:rsidR="00581AAF" w:rsidRPr="00AE6EDB" w:rsidRDefault="00581AAF" w:rsidP="00581AAF">
            <w:pPr>
              <w:jc w:val="right"/>
              <w:rPr>
                <w:sz w:val="18"/>
                <w:szCs w:val="18"/>
              </w:rPr>
            </w:pPr>
            <w:r w:rsidRPr="00AE6EDB">
              <w:rPr>
                <w:sz w:val="18"/>
                <w:szCs w:val="18"/>
              </w:rPr>
              <w:t>42</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 xml:space="preserve">Odborní a administratívni zamestnanci </w:t>
            </w:r>
          </w:p>
        </w:tc>
        <w:tc>
          <w:tcPr>
            <w:tcW w:w="753" w:type="dxa"/>
            <w:shd w:val="clear" w:color="000000" w:fill="FFFFFF"/>
            <w:noWrap/>
            <w:vAlign w:val="center"/>
          </w:tcPr>
          <w:p w:rsidR="00581AAF" w:rsidRPr="00AE6EDB" w:rsidRDefault="0054295F">
            <w:pPr>
              <w:jc w:val="right"/>
              <w:rPr>
                <w:sz w:val="18"/>
                <w:szCs w:val="18"/>
              </w:rPr>
            </w:pPr>
            <w:r>
              <w:rPr>
                <w:sz w:val="18"/>
                <w:szCs w:val="18"/>
              </w:rPr>
              <w:t>1 2</w:t>
            </w:r>
            <w:r w:rsidR="00581AAF" w:rsidRPr="00AE6EDB">
              <w:rPr>
                <w:sz w:val="18"/>
                <w:szCs w:val="18"/>
              </w:rPr>
              <w:t>73</w:t>
            </w:r>
          </w:p>
        </w:tc>
        <w:tc>
          <w:tcPr>
            <w:tcW w:w="851" w:type="dxa"/>
            <w:shd w:val="clear" w:color="000000" w:fill="FFFFFF"/>
            <w:noWrap/>
            <w:vAlign w:val="center"/>
          </w:tcPr>
          <w:p w:rsidR="00581AAF" w:rsidRPr="00AE6EDB" w:rsidRDefault="0054295F">
            <w:pPr>
              <w:jc w:val="right"/>
              <w:rPr>
                <w:sz w:val="18"/>
                <w:szCs w:val="18"/>
              </w:rPr>
            </w:pPr>
            <w:r>
              <w:rPr>
                <w:sz w:val="18"/>
                <w:szCs w:val="18"/>
              </w:rPr>
              <w:t>1 0</w:t>
            </w:r>
            <w:r w:rsidR="00581AAF" w:rsidRPr="00AE6EDB">
              <w:rPr>
                <w:sz w:val="18"/>
                <w:szCs w:val="18"/>
              </w:rPr>
              <w:t>48</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1</w:t>
            </w:r>
            <w:r w:rsidR="0054295F">
              <w:rPr>
                <w:sz w:val="18"/>
                <w:szCs w:val="18"/>
              </w:rPr>
              <w:t>2 4</w:t>
            </w:r>
            <w:r w:rsidRPr="00AE6EDB">
              <w:rPr>
                <w:sz w:val="18"/>
                <w:szCs w:val="18"/>
              </w:rPr>
              <w:t>3</w:t>
            </w:r>
            <w:r w:rsidR="0054295F">
              <w:rPr>
                <w:sz w:val="18"/>
                <w:szCs w:val="18"/>
              </w:rPr>
              <w:t>1 2</w:t>
            </w:r>
            <w:r w:rsidRPr="00AE6EDB">
              <w:rPr>
                <w:sz w:val="18"/>
                <w:szCs w:val="18"/>
              </w:rPr>
              <w:t>71</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918</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692</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498</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152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92</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17</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 xml:space="preserve">Vychovávatelia </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89</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84</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72</w:t>
            </w:r>
            <w:r w:rsidR="00AC44CB">
              <w:rPr>
                <w:sz w:val="18"/>
                <w:szCs w:val="18"/>
              </w:rPr>
              <w:t>7 9</w:t>
            </w:r>
            <w:r w:rsidRPr="00AE6EDB">
              <w:rPr>
                <w:sz w:val="18"/>
                <w:szCs w:val="18"/>
              </w:rPr>
              <w:t>02</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803</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584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509</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62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63</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22</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Pomocní vychovávatelia</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108</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86</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73</w:t>
            </w:r>
            <w:r w:rsidR="00AC44CB">
              <w:rPr>
                <w:sz w:val="18"/>
                <w:szCs w:val="18"/>
              </w:rPr>
              <w:t>8 8</w:t>
            </w:r>
            <w:r w:rsidRPr="00AE6EDB">
              <w:rPr>
                <w:sz w:val="18"/>
                <w:szCs w:val="18"/>
              </w:rPr>
              <w:t>02</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709</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514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453</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55</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37</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60</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Zamestnanci zabezpečujúci poskytovanie zdravotnej starostlivosti</w:t>
            </w:r>
          </w:p>
        </w:tc>
        <w:tc>
          <w:tcPr>
            <w:tcW w:w="753" w:type="dxa"/>
            <w:shd w:val="clear" w:color="000000" w:fill="FFFFFF"/>
            <w:noWrap/>
            <w:vAlign w:val="center"/>
          </w:tcPr>
          <w:p w:rsidR="00581AAF" w:rsidRPr="00AE6EDB" w:rsidRDefault="0054295F">
            <w:pPr>
              <w:jc w:val="right"/>
              <w:rPr>
                <w:sz w:val="18"/>
                <w:szCs w:val="18"/>
              </w:rPr>
            </w:pPr>
            <w:r>
              <w:rPr>
                <w:sz w:val="18"/>
                <w:szCs w:val="18"/>
              </w:rPr>
              <w:t>1 6</w:t>
            </w:r>
            <w:r w:rsidR="00581AAF" w:rsidRPr="00AE6EDB">
              <w:rPr>
                <w:sz w:val="18"/>
                <w:szCs w:val="18"/>
              </w:rPr>
              <w:t>63</w:t>
            </w:r>
          </w:p>
        </w:tc>
        <w:tc>
          <w:tcPr>
            <w:tcW w:w="851" w:type="dxa"/>
            <w:shd w:val="clear" w:color="000000" w:fill="FFFFFF"/>
            <w:noWrap/>
            <w:vAlign w:val="center"/>
          </w:tcPr>
          <w:p w:rsidR="00581AAF" w:rsidRPr="00AE6EDB" w:rsidRDefault="0054295F">
            <w:pPr>
              <w:jc w:val="right"/>
              <w:rPr>
                <w:sz w:val="18"/>
                <w:szCs w:val="18"/>
              </w:rPr>
            </w:pPr>
            <w:r>
              <w:rPr>
                <w:sz w:val="18"/>
                <w:szCs w:val="18"/>
              </w:rPr>
              <w:t>1 6</w:t>
            </w:r>
            <w:r w:rsidR="00581AAF" w:rsidRPr="00AE6EDB">
              <w:rPr>
                <w:sz w:val="18"/>
                <w:szCs w:val="18"/>
              </w:rPr>
              <w:t>33</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1</w:t>
            </w:r>
            <w:r w:rsidR="0054295F">
              <w:rPr>
                <w:sz w:val="18"/>
                <w:szCs w:val="18"/>
              </w:rPr>
              <w:t>3 0</w:t>
            </w:r>
            <w:r w:rsidRPr="00AE6EDB">
              <w:rPr>
                <w:sz w:val="18"/>
                <w:szCs w:val="18"/>
              </w:rPr>
              <w:t>4</w:t>
            </w:r>
            <w:r w:rsidR="00AC44CB">
              <w:rPr>
                <w:sz w:val="18"/>
                <w:szCs w:val="18"/>
              </w:rPr>
              <w:t>8 3</w:t>
            </w:r>
            <w:r w:rsidRPr="00AE6EDB">
              <w:rPr>
                <w:sz w:val="18"/>
                <w:szCs w:val="18"/>
              </w:rPr>
              <w:t>89</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765</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550</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451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8</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73</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8</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8</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51</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69</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Pomocní zdravotnícki zamestnanci</w:t>
            </w:r>
          </w:p>
        </w:tc>
        <w:tc>
          <w:tcPr>
            <w:tcW w:w="753" w:type="dxa"/>
            <w:shd w:val="clear" w:color="000000" w:fill="FFFFFF"/>
            <w:noWrap/>
            <w:vAlign w:val="center"/>
          </w:tcPr>
          <w:p w:rsidR="00581AAF" w:rsidRPr="00AE6EDB" w:rsidRDefault="0054295F">
            <w:pPr>
              <w:jc w:val="right"/>
              <w:rPr>
                <w:sz w:val="18"/>
                <w:szCs w:val="18"/>
              </w:rPr>
            </w:pPr>
            <w:r>
              <w:rPr>
                <w:sz w:val="18"/>
                <w:szCs w:val="18"/>
              </w:rPr>
              <w:t>1 1</w:t>
            </w:r>
            <w:r w:rsidR="00581AAF" w:rsidRPr="00AE6EDB">
              <w:rPr>
                <w:sz w:val="18"/>
                <w:szCs w:val="18"/>
              </w:rPr>
              <w:t>00</w:t>
            </w:r>
          </w:p>
        </w:tc>
        <w:tc>
          <w:tcPr>
            <w:tcW w:w="851" w:type="dxa"/>
            <w:shd w:val="clear" w:color="000000" w:fill="FFFFFF"/>
            <w:noWrap/>
            <w:vAlign w:val="center"/>
          </w:tcPr>
          <w:p w:rsidR="00581AAF" w:rsidRPr="00AE6EDB" w:rsidRDefault="0054295F">
            <w:pPr>
              <w:jc w:val="right"/>
              <w:rPr>
                <w:sz w:val="18"/>
                <w:szCs w:val="18"/>
              </w:rPr>
            </w:pPr>
            <w:r>
              <w:rPr>
                <w:sz w:val="18"/>
                <w:szCs w:val="18"/>
              </w:rPr>
              <w:t>1 0</w:t>
            </w:r>
            <w:r w:rsidR="00581AAF" w:rsidRPr="00AE6EDB">
              <w:rPr>
                <w:sz w:val="18"/>
                <w:szCs w:val="18"/>
              </w:rPr>
              <w:t>25</w:t>
            </w:r>
          </w:p>
        </w:tc>
        <w:tc>
          <w:tcPr>
            <w:tcW w:w="1134" w:type="dxa"/>
            <w:shd w:val="clear" w:color="000000" w:fill="FFFFFF"/>
            <w:noWrap/>
            <w:vAlign w:val="center"/>
          </w:tcPr>
          <w:p w:rsidR="00581AAF" w:rsidRPr="00AE6EDB" w:rsidRDefault="00AC44CB">
            <w:pPr>
              <w:jc w:val="right"/>
              <w:rPr>
                <w:sz w:val="18"/>
                <w:szCs w:val="18"/>
              </w:rPr>
            </w:pPr>
            <w:r>
              <w:rPr>
                <w:sz w:val="18"/>
                <w:szCs w:val="18"/>
              </w:rPr>
              <w:t>6 6</w:t>
            </w:r>
            <w:r w:rsidR="00581AAF" w:rsidRPr="00AE6EDB">
              <w:rPr>
                <w:sz w:val="18"/>
                <w:szCs w:val="18"/>
              </w:rPr>
              <w:t>6</w:t>
            </w:r>
            <w:r>
              <w:rPr>
                <w:sz w:val="18"/>
                <w:szCs w:val="18"/>
              </w:rPr>
              <w:t>9 7</w:t>
            </w:r>
            <w:r w:rsidR="00581AAF" w:rsidRPr="00AE6EDB">
              <w:rPr>
                <w:sz w:val="18"/>
                <w:szCs w:val="18"/>
              </w:rPr>
              <w:t>34</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594</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416</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351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44</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10</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10</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39</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3</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70</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Zamestnanci vykonávajúci sociálnu agendu</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198</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179</w:t>
            </w:r>
          </w:p>
        </w:tc>
        <w:tc>
          <w:tcPr>
            <w:tcW w:w="1134" w:type="dxa"/>
            <w:shd w:val="clear" w:color="000000" w:fill="FFFFFF"/>
            <w:noWrap/>
            <w:vAlign w:val="center"/>
          </w:tcPr>
          <w:p w:rsidR="00581AAF" w:rsidRPr="00AE6EDB" w:rsidRDefault="0054295F">
            <w:pPr>
              <w:jc w:val="right"/>
              <w:rPr>
                <w:sz w:val="18"/>
                <w:szCs w:val="18"/>
              </w:rPr>
            </w:pPr>
            <w:r>
              <w:rPr>
                <w:sz w:val="18"/>
                <w:szCs w:val="18"/>
              </w:rPr>
              <w:t>1 4</w:t>
            </w:r>
            <w:r w:rsidR="00581AAF" w:rsidRPr="00AE6EDB">
              <w:rPr>
                <w:sz w:val="18"/>
                <w:szCs w:val="18"/>
              </w:rPr>
              <w:t>7</w:t>
            </w:r>
            <w:r>
              <w:rPr>
                <w:sz w:val="18"/>
                <w:szCs w:val="18"/>
              </w:rPr>
              <w:t>0 6</w:t>
            </w:r>
            <w:r w:rsidR="00581AAF" w:rsidRPr="00AE6EDB">
              <w:rPr>
                <w:sz w:val="18"/>
                <w:szCs w:val="18"/>
              </w:rPr>
              <w:t>76</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759</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587</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464</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14</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105</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52</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18</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Zamestnanci vykonávajúci sociálnu prácu</w:t>
            </w:r>
          </w:p>
        </w:tc>
        <w:tc>
          <w:tcPr>
            <w:tcW w:w="753" w:type="dxa"/>
            <w:shd w:val="clear" w:color="000000" w:fill="FFFFFF"/>
            <w:noWrap/>
            <w:vAlign w:val="center"/>
          </w:tcPr>
          <w:p w:rsidR="00581AAF" w:rsidRPr="00AE6EDB" w:rsidRDefault="0054295F">
            <w:pPr>
              <w:jc w:val="right"/>
              <w:rPr>
                <w:sz w:val="18"/>
                <w:szCs w:val="18"/>
              </w:rPr>
            </w:pPr>
            <w:r>
              <w:rPr>
                <w:sz w:val="18"/>
                <w:szCs w:val="18"/>
              </w:rPr>
              <w:t>1 2</w:t>
            </w:r>
            <w:r w:rsidR="00581AAF" w:rsidRPr="00AE6EDB">
              <w:rPr>
                <w:sz w:val="18"/>
                <w:szCs w:val="18"/>
              </w:rPr>
              <w:t>71</w:t>
            </w:r>
          </w:p>
        </w:tc>
        <w:tc>
          <w:tcPr>
            <w:tcW w:w="851" w:type="dxa"/>
            <w:shd w:val="clear" w:color="000000" w:fill="FFFFFF"/>
            <w:noWrap/>
            <w:vAlign w:val="center"/>
          </w:tcPr>
          <w:p w:rsidR="00581AAF" w:rsidRPr="00AE6EDB" w:rsidRDefault="0054295F">
            <w:pPr>
              <w:jc w:val="right"/>
              <w:rPr>
                <w:sz w:val="18"/>
                <w:szCs w:val="18"/>
              </w:rPr>
            </w:pPr>
            <w:r>
              <w:rPr>
                <w:sz w:val="18"/>
                <w:szCs w:val="18"/>
              </w:rPr>
              <w:t>1 1</w:t>
            </w:r>
            <w:r w:rsidR="00581AAF" w:rsidRPr="00AE6EDB">
              <w:rPr>
                <w:sz w:val="18"/>
                <w:szCs w:val="18"/>
              </w:rPr>
              <w:t>30</w:t>
            </w:r>
          </w:p>
        </w:tc>
        <w:tc>
          <w:tcPr>
            <w:tcW w:w="1134" w:type="dxa"/>
            <w:shd w:val="clear" w:color="000000" w:fill="FFFFFF"/>
            <w:noWrap/>
            <w:vAlign w:val="center"/>
          </w:tcPr>
          <w:p w:rsidR="00581AAF" w:rsidRPr="00AE6EDB" w:rsidRDefault="00AC44CB">
            <w:pPr>
              <w:jc w:val="right"/>
              <w:rPr>
                <w:sz w:val="18"/>
                <w:szCs w:val="18"/>
              </w:rPr>
            </w:pPr>
            <w:r>
              <w:rPr>
                <w:sz w:val="18"/>
                <w:szCs w:val="18"/>
              </w:rPr>
              <w:t>9 1</w:t>
            </w:r>
            <w:r w:rsidR="00581AAF" w:rsidRPr="00AE6EDB">
              <w:rPr>
                <w:sz w:val="18"/>
                <w:szCs w:val="18"/>
              </w:rPr>
              <w:t>9</w:t>
            </w:r>
            <w:r w:rsidR="0054295F">
              <w:rPr>
                <w:sz w:val="18"/>
                <w:szCs w:val="18"/>
              </w:rPr>
              <w:t>0 3</w:t>
            </w:r>
            <w:r w:rsidR="00581AAF" w:rsidRPr="00AE6EDB">
              <w:rPr>
                <w:sz w:val="18"/>
                <w:szCs w:val="18"/>
              </w:rPr>
              <w:t>65</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699</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535</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443</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6</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79</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51</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19</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Ergoterapeuti</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258</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227</w:t>
            </w:r>
          </w:p>
        </w:tc>
        <w:tc>
          <w:tcPr>
            <w:tcW w:w="1134" w:type="dxa"/>
            <w:shd w:val="clear" w:color="000000" w:fill="FFFFFF"/>
            <w:noWrap/>
            <w:vAlign w:val="center"/>
          </w:tcPr>
          <w:p w:rsidR="00581AAF" w:rsidRPr="00AE6EDB" w:rsidRDefault="0054295F">
            <w:pPr>
              <w:jc w:val="right"/>
              <w:rPr>
                <w:sz w:val="18"/>
                <w:szCs w:val="18"/>
              </w:rPr>
            </w:pPr>
            <w:r>
              <w:rPr>
                <w:sz w:val="18"/>
                <w:szCs w:val="18"/>
              </w:rPr>
              <w:t>1 6</w:t>
            </w:r>
            <w:r w:rsidR="00581AAF" w:rsidRPr="00AE6EDB">
              <w:rPr>
                <w:sz w:val="18"/>
                <w:szCs w:val="18"/>
              </w:rPr>
              <w:t>2</w:t>
            </w:r>
            <w:r>
              <w:rPr>
                <w:sz w:val="18"/>
                <w:szCs w:val="18"/>
              </w:rPr>
              <w:t>0 6</w:t>
            </w:r>
            <w:r w:rsidR="00581AAF" w:rsidRPr="00AE6EDB">
              <w:rPr>
                <w:sz w:val="18"/>
                <w:szCs w:val="18"/>
              </w:rPr>
              <w:t>01</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651</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512</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421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81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6</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38</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12</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Psychológovia</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28</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28</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20</w:t>
            </w:r>
            <w:r w:rsidR="00AC44CB">
              <w:rPr>
                <w:sz w:val="18"/>
                <w:szCs w:val="18"/>
              </w:rPr>
              <w:t>6 7</w:t>
            </w:r>
            <w:r w:rsidRPr="00AE6EDB">
              <w:rPr>
                <w:sz w:val="18"/>
                <w:szCs w:val="18"/>
              </w:rPr>
              <w:t>80</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711</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574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483</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78</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6</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44</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5</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Špeciálni pedagógovia</w:t>
            </w:r>
          </w:p>
        </w:tc>
        <w:tc>
          <w:tcPr>
            <w:tcW w:w="753" w:type="dxa"/>
            <w:shd w:val="clear" w:color="000000" w:fill="FFFFFF"/>
            <w:noWrap/>
            <w:vAlign w:val="center"/>
          </w:tcPr>
          <w:p w:rsidR="00581AAF" w:rsidRPr="00AE6EDB" w:rsidRDefault="00581AAF">
            <w:pPr>
              <w:jc w:val="right"/>
              <w:rPr>
                <w:sz w:val="18"/>
                <w:szCs w:val="18"/>
              </w:rPr>
            </w:pPr>
            <w:r w:rsidRPr="00AE6EDB">
              <w:rPr>
                <w:sz w:val="18"/>
                <w:szCs w:val="18"/>
              </w:rPr>
              <w:t>43</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38</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36</w:t>
            </w:r>
            <w:r w:rsidR="0054295F">
              <w:rPr>
                <w:sz w:val="18"/>
                <w:szCs w:val="18"/>
              </w:rPr>
              <w:t>3 1</w:t>
            </w:r>
            <w:r w:rsidRPr="00AE6EDB">
              <w:rPr>
                <w:sz w:val="18"/>
                <w:szCs w:val="18"/>
              </w:rPr>
              <w:t>59</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761</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569</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506</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10</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37</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43</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Opatrovateľky z povolania</w:t>
            </w:r>
          </w:p>
        </w:tc>
        <w:tc>
          <w:tcPr>
            <w:tcW w:w="753" w:type="dxa"/>
            <w:shd w:val="clear" w:color="000000" w:fill="FFFFFF"/>
            <w:noWrap/>
            <w:vAlign w:val="center"/>
          </w:tcPr>
          <w:p w:rsidR="00581AAF" w:rsidRPr="00AE6EDB" w:rsidRDefault="0054295F">
            <w:pPr>
              <w:jc w:val="right"/>
              <w:rPr>
                <w:sz w:val="18"/>
                <w:szCs w:val="18"/>
              </w:rPr>
            </w:pPr>
            <w:r>
              <w:rPr>
                <w:sz w:val="18"/>
                <w:szCs w:val="18"/>
              </w:rPr>
              <w:t>4 1</w:t>
            </w:r>
            <w:r w:rsidR="00581AAF" w:rsidRPr="00AE6EDB">
              <w:rPr>
                <w:sz w:val="18"/>
                <w:szCs w:val="18"/>
              </w:rPr>
              <w:t>35</w:t>
            </w:r>
          </w:p>
        </w:tc>
        <w:tc>
          <w:tcPr>
            <w:tcW w:w="851" w:type="dxa"/>
            <w:shd w:val="clear" w:color="000000" w:fill="FFFFFF"/>
            <w:noWrap/>
            <w:vAlign w:val="center"/>
          </w:tcPr>
          <w:p w:rsidR="00581AAF" w:rsidRPr="00AE6EDB" w:rsidRDefault="0054295F">
            <w:pPr>
              <w:jc w:val="right"/>
              <w:rPr>
                <w:sz w:val="18"/>
                <w:szCs w:val="18"/>
              </w:rPr>
            </w:pPr>
            <w:r>
              <w:rPr>
                <w:sz w:val="18"/>
                <w:szCs w:val="18"/>
              </w:rPr>
              <w:t>3 7</w:t>
            </w:r>
            <w:r w:rsidR="00581AAF" w:rsidRPr="00AE6EDB">
              <w:rPr>
                <w:sz w:val="18"/>
                <w:szCs w:val="18"/>
              </w:rPr>
              <w:t>92</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2</w:t>
            </w:r>
            <w:r w:rsidR="0054295F">
              <w:rPr>
                <w:sz w:val="18"/>
                <w:szCs w:val="18"/>
              </w:rPr>
              <w:t>2 1</w:t>
            </w:r>
            <w:r w:rsidRPr="00AE6EDB">
              <w:rPr>
                <w:sz w:val="18"/>
                <w:szCs w:val="18"/>
              </w:rPr>
              <w:t>4</w:t>
            </w:r>
            <w:r w:rsidR="00AC44CB">
              <w:rPr>
                <w:sz w:val="18"/>
                <w:szCs w:val="18"/>
              </w:rPr>
              <w:t>9 5</w:t>
            </w:r>
            <w:r w:rsidRPr="00AE6EDB">
              <w:rPr>
                <w:sz w:val="18"/>
                <w:szCs w:val="18"/>
              </w:rPr>
              <w:t>22</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571</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411</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350</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46</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5</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9</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34</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61</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Remeselní, manuálni alebo manipulační zamestnanci</w:t>
            </w:r>
          </w:p>
        </w:tc>
        <w:tc>
          <w:tcPr>
            <w:tcW w:w="753" w:type="dxa"/>
            <w:shd w:val="clear" w:color="000000" w:fill="FFFFFF"/>
            <w:noWrap/>
            <w:vAlign w:val="center"/>
          </w:tcPr>
          <w:p w:rsidR="00581AAF" w:rsidRPr="00AE6EDB" w:rsidRDefault="0054295F">
            <w:pPr>
              <w:jc w:val="right"/>
              <w:rPr>
                <w:sz w:val="18"/>
                <w:szCs w:val="18"/>
              </w:rPr>
            </w:pPr>
            <w:r>
              <w:rPr>
                <w:sz w:val="18"/>
                <w:szCs w:val="18"/>
              </w:rPr>
              <w:t>2 7</w:t>
            </w:r>
            <w:r w:rsidR="00581AAF" w:rsidRPr="00AE6EDB">
              <w:rPr>
                <w:sz w:val="18"/>
                <w:szCs w:val="18"/>
              </w:rPr>
              <w:t>72</w:t>
            </w:r>
          </w:p>
        </w:tc>
        <w:tc>
          <w:tcPr>
            <w:tcW w:w="851" w:type="dxa"/>
            <w:shd w:val="clear" w:color="000000" w:fill="FFFFFF"/>
            <w:noWrap/>
            <w:vAlign w:val="center"/>
          </w:tcPr>
          <w:p w:rsidR="00581AAF" w:rsidRPr="00AE6EDB" w:rsidRDefault="0054295F">
            <w:pPr>
              <w:jc w:val="right"/>
              <w:rPr>
                <w:sz w:val="18"/>
                <w:szCs w:val="18"/>
              </w:rPr>
            </w:pPr>
            <w:r>
              <w:rPr>
                <w:sz w:val="18"/>
                <w:szCs w:val="18"/>
              </w:rPr>
              <w:t>1 9</w:t>
            </w:r>
            <w:r w:rsidR="00581AAF" w:rsidRPr="00AE6EDB">
              <w:rPr>
                <w:sz w:val="18"/>
                <w:szCs w:val="18"/>
              </w:rPr>
              <w:t>93</w:t>
            </w:r>
          </w:p>
        </w:tc>
        <w:tc>
          <w:tcPr>
            <w:tcW w:w="1134" w:type="dxa"/>
            <w:shd w:val="clear" w:color="000000" w:fill="FFFFFF"/>
            <w:noWrap/>
            <w:vAlign w:val="center"/>
          </w:tcPr>
          <w:p w:rsidR="00581AAF" w:rsidRPr="00AE6EDB" w:rsidRDefault="00581AAF">
            <w:pPr>
              <w:jc w:val="right"/>
              <w:rPr>
                <w:sz w:val="18"/>
                <w:szCs w:val="18"/>
              </w:rPr>
            </w:pPr>
            <w:r w:rsidRPr="00AE6EDB">
              <w:rPr>
                <w:sz w:val="18"/>
                <w:szCs w:val="18"/>
              </w:rPr>
              <w:t>1</w:t>
            </w:r>
            <w:r w:rsidR="0054295F">
              <w:rPr>
                <w:sz w:val="18"/>
                <w:szCs w:val="18"/>
              </w:rPr>
              <w:t>4 3</w:t>
            </w:r>
            <w:r w:rsidRPr="00AE6EDB">
              <w:rPr>
                <w:sz w:val="18"/>
                <w:szCs w:val="18"/>
              </w:rPr>
              <w:t>3</w:t>
            </w:r>
            <w:r w:rsidR="0054295F">
              <w:rPr>
                <w:sz w:val="18"/>
                <w:szCs w:val="18"/>
              </w:rPr>
              <w:t>2 2</w:t>
            </w:r>
            <w:r w:rsidRPr="00AE6EDB">
              <w:rPr>
                <w:sz w:val="18"/>
                <w:szCs w:val="18"/>
              </w:rPr>
              <w:t>76</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517</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393</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328</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0</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57</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5</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37</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22</w:t>
            </w:r>
          </w:p>
        </w:tc>
      </w:tr>
      <w:tr w:rsidR="00581AAF" w:rsidRPr="00AE6EDB" w:rsidTr="00DE0EEC">
        <w:trPr>
          <w:trHeight w:val="300"/>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Zamestnanci stravovacích prevádzok</w:t>
            </w:r>
          </w:p>
        </w:tc>
        <w:tc>
          <w:tcPr>
            <w:tcW w:w="753" w:type="dxa"/>
            <w:shd w:val="clear" w:color="000000" w:fill="FFFFFF"/>
            <w:noWrap/>
            <w:vAlign w:val="center"/>
          </w:tcPr>
          <w:p w:rsidR="00581AAF" w:rsidRPr="00AE6EDB" w:rsidRDefault="0054295F">
            <w:pPr>
              <w:jc w:val="right"/>
              <w:rPr>
                <w:sz w:val="18"/>
                <w:szCs w:val="18"/>
              </w:rPr>
            </w:pPr>
            <w:r>
              <w:rPr>
                <w:sz w:val="18"/>
                <w:szCs w:val="18"/>
              </w:rPr>
              <w:t>1 4</w:t>
            </w:r>
            <w:r w:rsidR="00581AAF" w:rsidRPr="00AE6EDB">
              <w:rPr>
                <w:sz w:val="18"/>
                <w:szCs w:val="18"/>
              </w:rPr>
              <w:t>39</w:t>
            </w:r>
          </w:p>
        </w:tc>
        <w:tc>
          <w:tcPr>
            <w:tcW w:w="851" w:type="dxa"/>
            <w:shd w:val="clear" w:color="000000" w:fill="FFFFFF"/>
            <w:noWrap/>
            <w:vAlign w:val="center"/>
          </w:tcPr>
          <w:p w:rsidR="00581AAF" w:rsidRPr="00AE6EDB" w:rsidRDefault="0054295F">
            <w:pPr>
              <w:jc w:val="right"/>
              <w:rPr>
                <w:sz w:val="18"/>
                <w:szCs w:val="18"/>
              </w:rPr>
            </w:pPr>
            <w:r>
              <w:rPr>
                <w:sz w:val="18"/>
                <w:szCs w:val="18"/>
              </w:rPr>
              <w:t>1 3</w:t>
            </w:r>
            <w:r w:rsidR="00581AAF" w:rsidRPr="00AE6EDB">
              <w:rPr>
                <w:sz w:val="18"/>
                <w:szCs w:val="18"/>
              </w:rPr>
              <w:t>09</w:t>
            </w:r>
          </w:p>
        </w:tc>
        <w:tc>
          <w:tcPr>
            <w:tcW w:w="1134" w:type="dxa"/>
            <w:shd w:val="clear" w:color="000000" w:fill="FFFFFF"/>
            <w:noWrap/>
            <w:vAlign w:val="center"/>
          </w:tcPr>
          <w:p w:rsidR="00581AAF" w:rsidRPr="00AE6EDB" w:rsidRDefault="00AC44CB">
            <w:pPr>
              <w:jc w:val="right"/>
              <w:rPr>
                <w:sz w:val="18"/>
                <w:szCs w:val="18"/>
              </w:rPr>
            </w:pPr>
            <w:r>
              <w:rPr>
                <w:sz w:val="18"/>
                <w:szCs w:val="18"/>
              </w:rPr>
              <w:t>8 1</w:t>
            </w:r>
            <w:r w:rsidR="00581AAF" w:rsidRPr="00AE6EDB">
              <w:rPr>
                <w:sz w:val="18"/>
                <w:szCs w:val="18"/>
              </w:rPr>
              <w:t>3</w:t>
            </w:r>
            <w:r w:rsidR="0054295F">
              <w:rPr>
                <w:sz w:val="18"/>
                <w:szCs w:val="18"/>
              </w:rPr>
              <w:t>4 3</w:t>
            </w:r>
            <w:r w:rsidR="00581AAF" w:rsidRPr="00AE6EDB">
              <w:rPr>
                <w:sz w:val="18"/>
                <w:szCs w:val="18"/>
              </w:rPr>
              <w:t>32</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561</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415</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346</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59</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1</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6</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41</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2</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42</w:t>
            </w:r>
          </w:p>
        </w:tc>
      </w:tr>
      <w:tr w:rsidR="00581AAF" w:rsidRPr="00AE6EDB" w:rsidTr="00DE0EEC">
        <w:trPr>
          <w:trHeight w:val="315"/>
          <w:jc w:val="center"/>
        </w:trPr>
        <w:tc>
          <w:tcPr>
            <w:tcW w:w="4183" w:type="dxa"/>
            <w:shd w:val="clear" w:color="000000" w:fill="FFFFFF"/>
            <w:noWrap/>
            <w:vAlign w:val="center"/>
          </w:tcPr>
          <w:p w:rsidR="00581AAF" w:rsidRPr="00AE6EDB" w:rsidRDefault="00581AAF" w:rsidP="00DE0EEC">
            <w:pPr>
              <w:rPr>
                <w:sz w:val="18"/>
                <w:szCs w:val="18"/>
              </w:rPr>
            </w:pPr>
            <w:r w:rsidRPr="00AE6EDB">
              <w:rPr>
                <w:sz w:val="18"/>
                <w:szCs w:val="18"/>
              </w:rPr>
              <w:t>Neuvedené zamestnanie</w:t>
            </w:r>
          </w:p>
        </w:tc>
        <w:tc>
          <w:tcPr>
            <w:tcW w:w="753" w:type="dxa"/>
            <w:shd w:val="clear" w:color="000000" w:fill="FFFFFF"/>
            <w:noWrap/>
            <w:vAlign w:val="center"/>
          </w:tcPr>
          <w:p w:rsidR="00581AAF" w:rsidRPr="00AE6EDB" w:rsidRDefault="0054295F">
            <w:pPr>
              <w:jc w:val="right"/>
              <w:rPr>
                <w:sz w:val="18"/>
                <w:szCs w:val="18"/>
              </w:rPr>
            </w:pPr>
            <w:r>
              <w:rPr>
                <w:sz w:val="18"/>
                <w:szCs w:val="18"/>
              </w:rPr>
              <w:t>1 6</w:t>
            </w:r>
            <w:r w:rsidR="00581AAF" w:rsidRPr="00AE6EDB">
              <w:rPr>
                <w:sz w:val="18"/>
                <w:szCs w:val="18"/>
              </w:rPr>
              <w:t>50</w:t>
            </w:r>
          </w:p>
        </w:tc>
        <w:tc>
          <w:tcPr>
            <w:tcW w:w="851" w:type="dxa"/>
            <w:shd w:val="clear" w:color="000000" w:fill="FFFFFF"/>
            <w:noWrap/>
            <w:vAlign w:val="center"/>
          </w:tcPr>
          <w:p w:rsidR="00581AAF" w:rsidRPr="00AE6EDB" w:rsidRDefault="0054295F">
            <w:pPr>
              <w:jc w:val="right"/>
              <w:rPr>
                <w:sz w:val="18"/>
                <w:szCs w:val="18"/>
              </w:rPr>
            </w:pPr>
            <w:r>
              <w:rPr>
                <w:sz w:val="18"/>
                <w:szCs w:val="18"/>
              </w:rPr>
              <w:t>1 2</w:t>
            </w:r>
            <w:r w:rsidR="00581AAF" w:rsidRPr="00AE6EDB">
              <w:rPr>
                <w:sz w:val="18"/>
                <w:szCs w:val="18"/>
              </w:rPr>
              <w:t>98</w:t>
            </w:r>
          </w:p>
        </w:tc>
        <w:tc>
          <w:tcPr>
            <w:tcW w:w="1134" w:type="dxa"/>
            <w:shd w:val="clear" w:color="000000" w:fill="FFFFFF"/>
            <w:noWrap/>
            <w:vAlign w:val="center"/>
          </w:tcPr>
          <w:p w:rsidR="00581AAF" w:rsidRPr="00AE6EDB" w:rsidRDefault="00AC44CB">
            <w:pPr>
              <w:jc w:val="right"/>
              <w:rPr>
                <w:sz w:val="18"/>
                <w:szCs w:val="18"/>
              </w:rPr>
            </w:pPr>
            <w:r>
              <w:rPr>
                <w:sz w:val="18"/>
                <w:szCs w:val="18"/>
              </w:rPr>
              <w:t>9 7</w:t>
            </w:r>
            <w:r w:rsidR="00581AAF" w:rsidRPr="00AE6EDB">
              <w:rPr>
                <w:sz w:val="18"/>
                <w:szCs w:val="18"/>
              </w:rPr>
              <w:t>4</w:t>
            </w:r>
            <w:r>
              <w:rPr>
                <w:sz w:val="18"/>
                <w:szCs w:val="18"/>
              </w:rPr>
              <w:t>9 5</w:t>
            </w:r>
            <w:r w:rsidR="00581AAF" w:rsidRPr="00AE6EDB">
              <w:rPr>
                <w:sz w:val="18"/>
                <w:szCs w:val="18"/>
              </w:rPr>
              <w:t>06</w:t>
            </w:r>
          </w:p>
        </w:tc>
        <w:tc>
          <w:tcPr>
            <w:tcW w:w="850" w:type="dxa"/>
            <w:shd w:val="clear" w:color="000000" w:fill="FFFFFF"/>
            <w:noWrap/>
            <w:vAlign w:val="center"/>
          </w:tcPr>
          <w:p w:rsidR="00581AAF" w:rsidRPr="00AE6EDB" w:rsidRDefault="00581AAF">
            <w:pPr>
              <w:jc w:val="right"/>
              <w:rPr>
                <w:sz w:val="18"/>
                <w:szCs w:val="18"/>
              </w:rPr>
            </w:pPr>
            <w:r w:rsidRPr="00AE6EDB">
              <w:rPr>
                <w:sz w:val="18"/>
                <w:szCs w:val="18"/>
              </w:rPr>
              <w:t>650</w:t>
            </w:r>
          </w:p>
        </w:tc>
        <w:tc>
          <w:tcPr>
            <w:tcW w:w="851" w:type="dxa"/>
            <w:shd w:val="clear" w:color="000000" w:fill="FFFFFF"/>
            <w:noWrap/>
            <w:vAlign w:val="center"/>
          </w:tcPr>
          <w:p w:rsidR="00581AAF" w:rsidRPr="00AE6EDB" w:rsidRDefault="00581AAF">
            <w:pPr>
              <w:jc w:val="right"/>
              <w:rPr>
                <w:sz w:val="18"/>
                <w:szCs w:val="18"/>
              </w:rPr>
            </w:pPr>
            <w:r w:rsidRPr="00AE6EDB">
              <w:rPr>
                <w:sz w:val="18"/>
                <w:szCs w:val="18"/>
              </w:rPr>
              <w:t>490</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392</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7</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81</w:t>
            </w:r>
          </w:p>
        </w:tc>
        <w:tc>
          <w:tcPr>
            <w:tcW w:w="709" w:type="dxa"/>
            <w:shd w:val="clear" w:color="000000" w:fill="FFFFFF"/>
            <w:noWrap/>
            <w:vAlign w:val="center"/>
          </w:tcPr>
          <w:p w:rsidR="00581AAF" w:rsidRPr="00AE6EDB" w:rsidRDefault="00581AAF">
            <w:pPr>
              <w:jc w:val="right"/>
              <w:rPr>
                <w:sz w:val="18"/>
                <w:szCs w:val="18"/>
              </w:rPr>
            </w:pPr>
            <w:r w:rsidRPr="00AE6EDB">
              <w:rPr>
                <w:sz w:val="18"/>
                <w:szCs w:val="18"/>
              </w:rPr>
              <w:t>4</w:t>
            </w:r>
          </w:p>
        </w:tc>
        <w:tc>
          <w:tcPr>
            <w:tcW w:w="708" w:type="dxa"/>
            <w:shd w:val="clear" w:color="000000" w:fill="FFFFFF"/>
            <w:noWrap/>
            <w:vAlign w:val="center"/>
          </w:tcPr>
          <w:p w:rsidR="00581AAF" w:rsidRPr="00AE6EDB" w:rsidRDefault="00581AAF">
            <w:pPr>
              <w:jc w:val="right"/>
              <w:rPr>
                <w:sz w:val="18"/>
                <w:szCs w:val="18"/>
              </w:rPr>
            </w:pPr>
            <w:r w:rsidRPr="00AE6EDB">
              <w:rPr>
                <w:sz w:val="18"/>
                <w:szCs w:val="18"/>
              </w:rPr>
              <w:t>5</w:t>
            </w:r>
          </w:p>
        </w:tc>
        <w:tc>
          <w:tcPr>
            <w:tcW w:w="556" w:type="dxa"/>
            <w:shd w:val="clear" w:color="000000" w:fill="FFFFFF"/>
            <w:noWrap/>
            <w:vAlign w:val="center"/>
          </w:tcPr>
          <w:p w:rsidR="00581AAF" w:rsidRPr="00AE6EDB" w:rsidRDefault="00581AAF">
            <w:pPr>
              <w:jc w:val="right"/>
              <w:rPr>
                <w:sz w:val="18"/>
                <w:szCs w:val="18"/>
              </w:rPr>
            </w:pPr>
            <w:r w:rsidRPr="00AE6EDB">
              <w:rPr>
                <w:sz w:val="18"/>
                <w:szCs w:val="18"/>
              </w:rPr>
              <w:t>44</w:t>
            </w:r>
          </w:p>
        </w:tc>
        <w:tc>
          <w:tcPr>
            <w:tcW w:w="745" w:type="dxa"/>
            <w:shd w:val="clear" w:color="000000" w:fill="FFFFFF"/>
            <w:noWrap/>
            <w:vAlign w:val="center"/>
          </w:tcPr>
          <w:p w:rsidR="00581AAF" w:rsidRPr="00AE6EDB" w:rsidRDefault="00581AAF">
            <w:pPr>
              <w:jc w:val="right"/>
              <w:rPr>
                <w:sz w:val="18"/>
                <w:szCs w:val="18"/>
              </w:rPr>
            </w:pPr>
            <w:r w:rsidRPr="00AE6EDB">
              <w:rPr>
                <w:sz w:val="18"/>
                <w:szCs w:val="18"/>
              </w:rPr>
              <w:t>6</w:t>
            </w:r>
          </w:p>
        </w:tc>
        <w:tc>
          <w:tcPr>
            <w:tcW w:w="891" w:type="dxa"/>
            <w:shd w:val="clear" w:color="000000" w:fill="FFFFFF"/>
            <w:noWrap/>
            <w:vAlign w:val="center"/>
          </w:tcPr>
          <w:p w:rsidR="00581AAF" w:rsidRPr="00AE6EDB" w:rsidRDefault="00581AAF">
            <w:pPr>
              <w:jc w:val="right"/>
              <w:rPr>
                <w:sz w:val="18"/>
                <w:szCs w:val="18"/>
              </w:rPr>
            </w:pPr>
            <w:r w:rsidRPr="00AE6EDB">
              <w:rPr>
                <w:sz w:val="18"/>
                <w:szCs w:val="18"/>
              </w:rPr>
              <w:t>35</w:t>
            </w:r>
          </w:p>
        </w:tc>
      </w:tr>
    </w:tbl>
    <w:p w:rsidR="000A7585" w:rsidRPr="00AE6EDB" w:rsidRDefault="000A7585" w:rsidP="000A7585">
      <w:pPr>
        <w:rPr>
          <w:bCs/>
          <w:i/>
          <w:sz w:val="18"/>
          <w:szCs w:val="18"/>
        </w:rPr>
      </w:pPr>
      <w:r w:rsidRPr="00AE6EDB">
        <w:rPr>
          <w:i/>
          <w:sz w:val="18"/>
          <w:szCs w:val="18"/>
        </w:rPr>
        <w:t xml:space="preserve">Zdroj: </w:t>
      </w:r>
      <w:r w:rsidRPr="00AE6EDB">
        <w:rPr>
          <w:bCs/>
          <w:i/>
          <w:sz w:val="18"/>
          <w:szCs w:val="18"/>
        </w:rPr>
        <w:t>PLATY (MPSVR SR) 1-02</w:t>
      </w:r>
    </w:p>
    <w:p w:rsidR="000A7585" w:rsidRPr="00AE6EDB" w:rsidRDefault="000A7585" w:rsidP="000A7585">
      <w:pPr>
        <w:rPr>
          <w:bCs/>
          <w:i/>
          <w:sz w:val="18"/>
          <w:szCs w:val="18"/>
          <w:highlight w:val="cyan"/>
        </w:rPr>
      </w:pPr>
    </w:p>
    <w:p w:rsidR="000A7585" w:rsidRPr="00AE6EDB" w:rsidRDefault="000A7585" w:rsidP="000A7585">
      <w:pPr>
        <w:rPr>
          <w:bCs/>
          <w:i/>
          <w:sz w:val="18"/>
          <w:szCs w:val="18"/>
          <w:highlight w:val="cyan"/>
        </w:rPr>
      </w:pPr>
    </w:p>
    <w:p w:rsidR="000A7585" w:rsidRPr="00AE6EDB" w:rsidRDefault="000A7585" w:rsidP="000A7585">
      <w:pPr>
        <w:rPr>
          <w:bCs/>
          <w:i/>
          <w:sz w:val="18"/>
          <w:szCs w:val="18"/>
          <w:highlight w:val="cyan"/>
        </w:rPr>
      </w:pPr>
    </w:p>
    <w:p w:rsidR="000A7585" w:rsidRPr="00AE6EDB" w:rsidRDefault="000A7585" w:rsidP="000A7585">
      <w:pPr>
        <w:rPr>
          <w:bCs/>
          <w:i/>
          <w:sz w:val="18"/>
          <w:szCs w:val="18"/>
          <w:highlight w:val="cyan"/>
        </w:rPr>
      </w:pPr>
    </w:p>
    <w:p w:rsidR="000A7585" w:rsidRPr="00AE6EDB" w:rsidRDefault="000A7585" w:rsidP="000A7585">
      <w:pPr>
        <w:rPr>
          <w:bCs/>
          <w:i/>
          <w:sz w:val="18"/>
          <w:szCs w:val="18"/>
          <w:highlight w:val="cyan"/>
        </w:rPr>
      </w:pPr>
    </w:p>
    <w:p w:rsidR="000A7585" w:rsidRPr="00AE6EDB" w:rsidRDefault="000A7585" w:rsidP="000A7585">
      <w:pPr>
        <w:rPr>
          <w:bCs/>
          <w:i/>
          <w:sz w:val="18"/>
          <w:szCs w:val="18"/>
          <w:highlight w:val="cyan"/>
        </w:rPr>
      </w:pPr>
    </w:p>
    <w:p w:rsidR="000A7585" w:rsidRPr="00AE6EDB" w:rsidRDefault="000A7585" w:rsidP="000A7585">
      <w:pPr>
        <w:jc w:val="center"/>
        <w:rPr>
          <w:b/>
          <w:highlight w:val="cyan"/>
        </w:rPr>
        <w:sectPr w:rsidR="000A7585" w:rsidRPr="00AE6EDB" w:rsidSect="004F3C97">
          <w:pgSz w:w="16838" w:h="11906" w:orient="landscape"/>
          <w:pgMar w:top="1417" w:right="1417" w:bottom="1417" w:left="1417" w:header="708" w:footer="708" w:gutter="0"/>
          <w:cols w:space="708"/>
          <w:docGrid w:linePitch="360"/>
        </w:sectPr>
      </w:pPr>
    </w:p>
    <w:p w:rsidR="000A7585" w:rsidRPr="00AE6EDB" w:rsidRDefault="000A7585" w:rsidP="000A7585">
      <w:pPr>
        <w:pStyle w:val="Nadpis7"/>
      </w:pPr>
      <w:bookmarkStart w:id="873" w:name="_Toc325438272"/>
      <w:bookmarkStart w:id="874" w:name="_Toc325441015"/>
      <w:bookmarkStart w:id="875" w:name="_Toc325626827"/>
      <w:bookmarkStart w:id="876" w:name="_Toc326217088"/>
      <w:bookmarkStart w:id="877" w:name="_Toc356482760"/>
      <w:bookmarkStart w:id="878" w:name="_Toc325438273"/>
      <w:bookmarkStart w:id="879" w:name="_Toc325441016"/>
      <w:r w:rsidRPr="00AE6EDB">
        <w:t>Tabuľka 31 Hrubé výdavky na sociálnu ochranu, 201</w:t>
      </w:r>
      <w:r w:rsidR="00EC2604" w:rsidRPr="00AE6EDB">
        <w:t>3</w:t>
      </w:r>
    </w:p>
    <w:tbl>
      <w:tblPr>
        <w:tblW w:w="9610" w:type="dxa"/>
        <w:jc w:val="center"/>
        <w:tblLayout w:type="fixed"/>
        <w:tblCellMar>
          <w:left w:w="45" w:type="dxa"/>
          <w:right w:w="45" w:type="dxa"/>
        </w:tblCellMar>
        <w:tblLook w:val="04A0" w:firstRow="1" w:lastRow="0" w:firstColumn="1" w:lastColumn="0" w:noHBand="0" w:noVBand="1"/>
      </w:tblPr>
      <w:tblGrid>
        <w:gridCol w:w="1277"/>
        <w:gridCol w:w="977"/>
        <w:gridCol w:w="1081"/>
        <w:gridCol w:w="1134"/>
        <w:gridCol w:w="1275"/>
        <w:gridCol w:w="993"/>
        <w:gridCol w:w="813"/>
        <w:gridCol w:w="1149"/>
        <w:gridCol w:w="911"/>
      </w:tblGrid>
      <w:tr w:rsidR="000A7585" w:rsidRPr="00AE6EDB" w:rsidTr="00DE0EEC">
        <w:trPr>
          <w:trHeight w:val="610"/>
          <w:jc w:val="center"/>
        </w:trPr>
        <w:tc>
          <w:tcPr>
            <w:tcW w:w="1277"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0A7585" w:rsidRPr="00AE6EDB" w:rsidRDefault="000A7585" w:rsidP="00DE0EEC">
            <w:pPr>
              <w:rPr>
                <w:b/>
                <w:sz w:val="20"/>
                <w:szCs w:val="20"/>
              </w:rPr>
            </w:pPr>
            <w:r w:rsidRPr="00AE6EDB">
              <w:rPr>
                <w:b/>
                <w:sz w:val="20"/>
                <w:szCs w:val="20"/>
              </w:rPr>
              <w:t>Územie</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Výdavky na sociálnu ochranu ako</w:t>
            </w:r>
            <w:r w:rsidR="005676EF">
              <w:rPr>
                <w:b/>
                <w:sz w:val="20"/>
                <w:szCs w:val="20"/>
              </w:rPr>
              <w:t> %</w:t>
            </w:r>
            <w:r w:rsidRPr="00AE6EDB">
              <w:rPr>
                <w:b/>
                <w:sz w:val="20"/>
                <w:szCs w:val="20"/>
              </w:rPr>
              <w:t xml:space="preserve"> z HDP</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Výdavky na sociálnu ochranu v PPS na obyvateľa</w:t>
            </w:r>
          </w:p>
        </w:tc>
        <w:tc>
          <w:tcPr>
            <w:tcW w:w="6275" w:type="dxa"/>
            <w:gridSpan w:val="6"/>
            <w:tcBorders>
              <w:top w:val="single" w:sz="4" w:space="0" w:color="auto"/>
              <w:left w:val="nil"/>
              <w:right w:val="single" w:sz="4" w:space="0" w:color="auto"/>
            </w:tcBorders>
            <w:shd w:val="clear" w:color="auto" w:fill="FF9999" w:themeFill="accent3" w:themeFillTint="66"/>
            <w:vAlign w:val="center"/>
            <w:hideMark/>
          </w:tcPr>
          <w:p w:rsidR="000A7585" w:rsidRPr="00AE6EDB" w:rsidRDefault="000A7585" w:rsidP="001D21D4">
            <w:pPr>
              <w:jc w:val="center"/>
              <w:rPr>
                <w:b/>
                <w:sz w:val="20"/>
                <w:szCs w:val="20"/>
              </w:rPr>
            </w:pPr>
            <w:r w:rsidRPr="00AE6EDB">
              <w:rPr>
                <w:b/>
                <w:sz w:val="20"/>
                <w:szCs w:val="20"/>
              </w:rPr>
              <w:t>Výdavky na sociálne dávky podľa účelov (v</w:t>
            </w:r>
            <w:r w:rsidR="005676EF">
              <w:rPr>
                <w:b/>
                <w:sz w:val="20"/>
                <w:szCs w:val="20"/>
              </w:rPr>
              <w:t> %</w:t>
            </w:r>
            <w:r w:rsidRPr="00AE6EDB">
              <w:rPr>
                <w:b/>
                <w:sz w:val="20"/>
                <w:szCs w:val="20"/>
              </w:rPr>
              <w:t>)</w:t>
            </w:r>
          </w:p>
        </w:tc>
      </w:tr>
      <w:tr w:rsidR="000A7585" w:rsidRPr="00AE6EDB" w:rsidTr="00DE0EEC">
        <w:trPr>
          <w:trHeight w:val="1005"/>
          <w:jc w:val="center"/>
        </w:trPr>
        <w:tc>
          <w:tcPr>
            <w:tcW w:w="1277" w:type="dxa"/>
            <w:vMerge/>
            <w:tcBorders>
              <w:left w:val="single" w:sz="4" w:space="0" w:color="auto"/>
              <w:bottom w:val="single" w:sz="4" w:space="0" w:color="auto"/>
              <w:right w:val="single" w:sz="4" w:space="0" w:color="auto"/>
            </w:tcBorders>
            <w:shd w:val="clear" w:color="auto" w:fill="FF9999" w:themeFill="accent3" w:themeFillTint="66"/>
            <w:hideMark/>
          </w:tcPr>
          <w:p w:rsidR="000A7585" w:rsidRPr="00AE6EDB" w:rsidRDefault="000A7585" w:rsidP="00DE0EEC">
            <w:pPr>
              <w:rPr>
                <w:b/>
                <w:sz w:val="20"/>
                <w:szCs w:val="20"/>
              </w:rPr>
            </w:pPr>
          </w:p>
        </w:tc>
        <w:tc>
          <w:tcPr>
            <w:tcW w:w="97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p>
        </w:tc>
        <w:tc>
          <w:tcPr>
            <w:tcW w:w="1081"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p>
        </w:tc>
        <w:tc>
          <w:tcPr>
            <w:tcW w:w="1134" w:type="dxa"/>
            <w:tcBorders>
              <w:top w:val="single" w:sz="4" w:space="0" w:color="auto"/>
              <w:left w:val="nil"/>
              <w:bottom w:val="single" w:sz="4" w:space="0" w:color="auto"/>
              <w:right w:val="nil"/>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Dávky v starobe a pre pozostalých</w:t>
            </w:r>
          </w:p>
        </w:tc>
        <w:tc>
          <w:tcPr>
            <w:tcW w:w="1275"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Nemocenské, zdravotná starostlivosť</w:t>
            </w:r>
          </w:p>
        </w:tc>
        <w:tc>
          <w:tcPr>
            <w:tcW w:w="993"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 xml:space="preserve">Dávky pre zdravotne </w:t>
            </w:r>
            <w:proofErr w:type="spellStart"/>
            <w:r w:rsidRPr="00AE6EDB">
              <w:rPr>
                <w:b/>
                <w:sz w:val="20"/>
                <w:szCs w:val="20"/>
              </w:rPr>
              <w:t>postihnu-tých</w:t>
            </w:r>
            <w:proofErr w:type="spellEnd"/>
          </w:p>
        </w:tc>
        <w:tc>
          <w:tcPr>
            <w:tcW w:w="813"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Dávky pre rodiny a deti</w:t>
            </w:r>
          </w:p>
        </w:tc>
        <w:tc>
          <w:tcPr>
            <w:tcW w:w="1149"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Dávky v </w:t>
            </w:r>
            <w:proofErr w:type="spellStart"/>
            <w:r w:rsidRPr="00AE6EDB">
              <w:rPr>
                <w:b/>
                <w:sz w:val="20"/>
                <w:szCs w:val="20"/>
              </w:rPr>
              <w:t>neza-mestnanosti</w:t>
            </w:r>
            <w:proofErr w:type="spellEnd"/>
          </w:p>
        </w:tc>
        <w:tc>
          <w:tcPr>
            <w:tcW w:w="9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Bývanie, sociálne vylúčenie</w:t>
            </w:r>
          </w:p>
        </w:tc>
      </w:tr>
      <w:tr w:rsidR="001D21D4"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1D21D4" w:rsidRPr="00AE6EDB" w:rsidRDefault="001D21D4" w:rsidP="00DE0EEC">
            <w:pPr>
              <w:rPr>
                <w:b/>
                <w:bCs/>
                <w:sz w:val="20"/>
                <w:szCs w:val="20"/>
              </w:rPr>
            </w:pPr>
            <w:r w:rsidRPr="00AE6EDB">
              <w:rPr>
                <w:b/>
                <w:bCs/>
                <w:sz w:val="20"/>
                <w:szCs w:val="20"/>
              </w:rPr>
              <w:t>EU28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67"/>
              <w:jc w:val="right"/>
              <w:rPr>
                <w:sz w:val="20"/>
                <w:szCs w:val="20"/>
              </w:rPr>
            </w:pPr>
            <w:r w:rsidRPr="00AE6EDB">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171"/>
              <w:jc w:val="right"/>
              <w:rPr>
                <w:sz w:val="20"/>
                <w:szCs w:val="20"/>
              </w:rPr>
            </w:pPr>
            <w:r w:rsidRPr="00AE6EDB">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r>
      <w:tr w:rsidR="001D21D4"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1D21D4" w:rsidRPr="00AE6EDB" w:rsidRDefault="001D21D4" w:rsidP="00DE0EEC">
            <w:pPr>
              <w:rPr>
                <w:b/>
                <w:bCs/>
                <w:sz w:val="20"/>
                <w:szCs w:val="20"/>
              </w:rPr>
            </w:pPr>
            <w:r w:rsidRPr="00AE6EDB">
              <w:rPr>
                <w:b/>
                <w:bCs/>
                <w:sz w:val="20"/>
                <w:szCs w:val="20"/>
              </w:rPr>
              <w:t>EU15</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67"/>
              <w:jc w:val="right"/>
              <w:rPr>
                <w:sz w:val="20"/>
                <w:szCs w:val="20"/>
              </w:rPr>
            </w:pPr>
            <w:r w:rsidRPr="00AE6EDB">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171"/>
              <w:jc w:val="right"/>
              <w:rPr>
                <w:sz w:val="20"/>
                <w:szCs w:val="20"/>
              </w:rPr>
            </w:pPr>
            <w:r w:rsidRPr="00AE6EDB">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r>
      <w:tr w:rsidR="001D21D4"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1D21D4" w:rsidRPr="00AE6EDB" w:rsidRDefault="001D21D4" w:rsidP="00DE0EEC">
            <w:pPr>
              <w:rPr>
                <w:b/>
                <w:bCs/>
                <w:sz w:val="20"/>
                <w:szCs w:val="20"/>
              </w:rPr>
            </w:pPr>
            <w:r w:rsidRPr="00AE6EDB">
              <w:rPr>
                <w:b/>
                <w:bCs/>
                <w:sz w:val="20"/>
                <w:szCs w:val="20"/>
              </w:rPr>
              <w:t>EA18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67"/>
              <w:jc w:val="right"/>
              <w:rPr>
                <w:sz w:val="20"/>
                <w:szCs w:val="20"/>
              </w:rPr>
            </w:pPr>
            <w:r w:rsidRPr="00AE6EDB">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1D21D4" w:rsidRPr="00AE6EDB" w:rsidRDefault="001D21D4" w:rsidP="00DE0EEC">
            <w:pPr>
              <w:ind w:right="171"/>
              <w:jc w:val="right"/>
              <w:rPr>
                <w:sz w:val="20"/>
                <w:szCs w:val="20"/>
              </w:rPr>
            </w:pPr>
            <w:r w:rsidRPr="00AE6EDB">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1D21D4" w:rsidRPr="00AE6EDB" w:rsidRDefault="001D21D4" w:rsidP="00DE0EEC">
            <w:pPr>
              <w:ind w:right="171"/>
              <w:jc w:val="right"/>
              <w:rPr>
                <w:sz w:val="20"/>
                <w:szCs w:val="20"/>
              </w:rPr>
            </w:pPr>
            <w:r w:rsidRPr="00AE6EDB">
              <w:rPr>
                <w:sz w:val="20"/>
                <w:szCs w:val="20"/>
              </w:rPr>
              <w:t>:</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Belgicko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28,9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8 8</w:t>
            </w:r>
            <w:r w:rsidR="001E3198" w:rsidRPr="00AE6EDB">
              <w:rPr>
                <w:sz w:val="20"/>
                <w:szCs w:val="20"/>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3,7</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Bulharsko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17,0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2 2</w:t>
            </w:r>
            <w:r w:rsidR="001E3198" w:rsidRPr="00AE6EDB">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10,5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1,6</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Česká republika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85" w:rsidRPr="00AE6EDB" w:rsidRDefault="00EC2604" w:rsidP="00DE0EEC">
            <w:pPr>
              <w:ind w:right="67"/>
              <w:jc w:val="right"/>
              <w:rPr>
                <w:sz w:val="20"/>
                <w:szCs w:val="20"/>
              </w:rPr>
            </w:pPr>
            <w:r w:rsidRPr="00AE6EDB">
              <w:rPr>
                <w:sz w:val="20"/>
                <w:szCs w:val="20"/>
              </w:rPr>
              <w:t>19,6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85" w:rsidRPr="00AE6EDB" w:rsidRDefault="0054295F" w:rsidP="00DE0EEC">
            <w:pPr>
              <w:ind w:right="171"/>
              <w:jc w:val="right"/>
              <w:rPr>
                <w:sz w:val="20"/>
                <w:szCs w:val="20"/>
              </w:rPr>
            </w:pPr>
            <w:r>
              <w:rPr>
                <w:sz w:val="20"/>
                <w:szCs w:val="20"/>
              </w:rPr>
              <w:t>4 4</w:t>
            </w:r>
            <w:r w:rsidR="001E3198" w:rsidRPr="00AE6EDB">
              <w:rPr>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30,6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6,7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9,1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3,4</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2,9</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Dánsko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31,7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1E3198" w:rsidP="00DE0EEC">
            <w:pPr>
              <w:ind w:right="171"/>
              <w:jc w:val="right"/>
              <w:rPr>
                <w:sz w:val="20"/>
                <w:szCs w:val="20"/>
              </w:rPr>
            </w:pPr>
            <w:r w:rsidRPr="00AE6EDB">
              <w:rPr>
                <w:sz w:val="20"/>
                <w:szCs w:val="20"/>
              </w:rPr>
              <w:t>1</w:t>
            </w:r>
            <w:r w:rsidR="0054295F">
              <w:rPr>
                <w:sz w:val="20"/>
                <w:szCs w:val="20"/>
              </w:rPr>
              <w:t>0 3</w:t>
            </w:r>
            <w:r w:rsidRPr="00AE6EDB">
              <w:rPr>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13,2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6,4</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Nemecko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27,7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9 3</w:t>
            </w:r>
            <w:r w:rsidR="001E3198" w:rsidRPr="00AE6EDB">
              <w:rPr>
                <w:sz w:val="20"/>
                <w:szCs w:val="20"/>
              </w:rPr>
              <w:t>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Estónsko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14,6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2 9</w:t>
            </w:r>
            <w:r w:rsidR="001E3198" w:rsidRPr="00AE6EDB">
              <w:rPr>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44,7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12,0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1,0</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Írsko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20,7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6 5</w:t>
            </w:r>
            <w:r w:rsidR="001E3198" w:rsidRPr="00AE6EDB">
              <w:rPr>
                <w:sz w:val="20"/>
                <w:szCs w:val="20"/>
              </w:rPr>
              <w:t>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13,4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14,7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3,0</w:t>
            </w:r>
          </w:p>
        </w:tc>
      </w:tr>
      <w:tr w:rsidR="001D21D4"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1D4" w:rsidRPr="00AE6EDB" w:rsidRDefault="001D21D4" w:rsidP="00DE0EEC">
            <w:pPr>
              <w:rPr>
                <w:sz w:val="20"/>
                <w:szCs w:val="20"/>
              </w:rPr>
            </w:pPr>
            <w:r w:rsidRPr="00AE6EDB">
              <w:rPr>
                <w:sz w:val="20"/>
                <w:szCs w:val="20"/>
              </w:rPr>
              <w:t>Grécko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21D4" w:rsidRPr="00AE6EDB" w:rsidRDefault="001D21D4" w:rsidP="00DE0EEC">
            <w:pPr>
              <w:ind w:right="67"/>
              <w:jc w:val="right"/>
              <w:rPr>
                <w:sz w:val="20"/>
                <w:szCs w:val="20"/>
              </w:rPr>
            </w:pPr>
            <w:r w:rsidRPr="00AE6EDB">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21D4" w:rsidRPr="00AE6EDB" w:rsidRDefault="001D21D4" w:rsidP="00DE0EEC">
            <w:pPr>
              <w:ind w:right="171"/>
              <w:jc w:val="right"/>
              <w:rPr>
                <w:sz w:val="20"/>
                <w:szCs w:val="20"/>
              </w:rPr>
            </w:pPr>
            <w:r w:rsidRPr="00AE6EDB">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Španielsko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25,2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6 0</w:t>
            </w:r>
            <w:r w:rsidR="001E3198" w:rsidRPr="00AE6EDB">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13,0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1,3</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Francúzsko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31,7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9 2</w:t>
            </w:r>
            <w:r w:rsidR="001E3198" w:rsidRPr="00AE6EDB">
              <w:rPr>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5,1</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Chorvátsko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3 4</w:t>
            </w:r>
            <w:r w:rsidR="001E3198" w:rsidRPr="00AE6EDB">
              <w:rPr>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17,0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0,3</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Taliansko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28,6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7 4</w:t>
            </w:r>
            <w:r w:rsidR="001E3198" w:rsidRPr="00AE6EDB">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0,8</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Cyprus</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21,8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4 9</w:t>
            </w:r>
            <w:r w:rsidR="001E3198" w:rsidRPr="00AE6EDB">
              <w:rPr>
                <w:sz w:val="20"/>
                <w:szCs w:val="20"/>
              </w:rPr>
              <w:t>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6,6</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Lotyšsko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14,2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2 4</w:t>
            </w:r>
            <w:r w:rsidR="001E3198" w:rsidRPr="00AE6EDB">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54,7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1,8</w:t>
            </w:r>
          </w:p>
        </w:tc>
      </w:tr>
      <w:tr w:rsidR="000A7585" w:rsidRPr="00AE6EDB" w:rsidTr="00DE0EEC">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Litva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14,5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2 9</w:t>
            </w:r>
            <w:r w:rsidR="001E3198" w:rsidRPr="00AE6EDB">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9,5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4,2</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Luxembursko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22,7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1E3198" w:rsidP="00DE0EEC">
            <w:pPr>
              <w:ind w:right="171"/>
              <w:jc w:val="right"/>
              <w:rPr>
                <w:sz w:val="20"/>
                <w:szCs w:val="20"/>
              </w:rPr>
            </w:pPr>
            <w:r w:rsidRPr="00AE6EDB">
              <w:rPr>
                <w:sz w:val="20"/>
                <w:szCs w:val="20"/>
              </w:rPr>
              <w:t>1</w:t>
            </w:r>
            <w:r w:rsidR="0054295F">
              <w:rPr>
                <w:sz w:val="20"/>
                <w:szCs w:val="20"/>
              </w:rPr>
              <w:t>4 2</w:t>
            </w:r>
            <w:r w:rsidRPr="00AE6EDB">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10,8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15,9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3,5</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Maďarsko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20,6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3 8</w:t>
            </w:r>
            <w:r w:rsidR="001E3198" w:rsidRPr="00AE6EDB">
              <w:rPr>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23,9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12,1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2,1</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Malta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18,5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4 0</w:t>
            </w:r>
            <w:r w:rsidR="001E3198" w:rsidRPr="00AE6EDB">
              <w:rPr>
                <w:sz w:val="20"/>
                <w:szCs w:val="2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53,8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1,9</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Holandsko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29,3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9 9</w:t>
            </w:r>
            <w:r w:rsidR="001E3198" w:rsidRPr="00AE6EDB">
              <w:rPr>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6,5</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Rakúsko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DE0EEC">
            <w:pPr>
              <w:ind w:right="67"/>
              <w:jc w:val="right"/>
              <w:rPr>
                <w:sz w:val="20"/>
                <w:szCs w:val="20"/>
              </w:rPr>
            </w:pPr>
            <w:r w:rsidRPr="00AE6EDB">
              <w:rPr>
                <w:sz w:val="20"/>
                <w:szCs w:val="20"/>
              </w:rPr>
              <w:t>28,9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9 7</w:t>
            </w:r>
            <w:r w:rsidR="001E3198" w:rsidRPr="00AE6EDB">
              <w:rPr>
                <w:sz w:val="20"/>
                <w:szCs w:val="20"/>
              </w:rPr>
              <w:t>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9,3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1,7</w:t>
            </w:r>
          </w:p>
        </w:tc>
      </w:tr>
      <w:tr w:rsidR="001D21D4"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1D4" w:rsidRPr="00AE6EDB" w:rsidRDefault="001D21D4" w:rsidP="00DE0EEC">
            <w:pPr>
              <w:rPr>
                <w:sz w:val="20"/>
                <w:szCs w:val="20"/>
              </w:rPr>
            </w:pPr>
            <w:r w:rsidRPr="00AE6EDB">
              <w:rPr>
                <w:sz w:val="20"/>
                <w:szCs w:val="20"/>
              </w:rPr>
              <w:t>Poľsko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21D4" w:rsidRPr="00AE6EDB" w:rsidRDefault="001D21D4" w:rsidP="00DE0EEC">
            <w:pPr>
              <w:ind w:right="67"/>
              <w:jc w:val="right"/>
              <w:rPr>
                <w:sz w:val="20"/>
                <w:szCs w:val="20"/>
              </w:rPr>
            </w:pPr>
            <w:r w:rsidRPr="00AE6EDB">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21D4" w:rsidRPr="00AE6EDB" w:rsidRDefault="001D21D4" w:rsidP="00DE0EEC">
            <w:pPr>
              <w:ind w:right="171"/>
              <w:jc w:val="right"/>
              <w:rPr>
                <w:sz w:val="20"/>
                <w:szCs w:val="20"/>
              </w:rPr>
            </w:pPr>
            <w:r w:rsidRPr="00AE6EDB">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1D21D4" w:rsidRPr="00AE6EDB" w:rsidRDefault="001D21D4" w:rsidP="00DE0EEC">
            <w:pPr>
              <w:ind w:right="171"/>
              <w:jc w:val="right"/>
              <w:rPr>
                <w:sz w:val="20"/>
                <w:szCs w:val="20"/>
              </w:rPr>
            </w:pPr>
            <w:r w:rsidRPr="00AE6EDB">
              <w:rPr>
                <w:sz w:val="20"/>
                <w:szCs w:val="20"/>
              </w:rPr>
              <w:t>:</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 xml:space="preserve">Portugalsko </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26,1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5 3</w:t>
            </w:r>
            <w:r w:rsidR="001E3198" w:rsidRPr="00AE6EDB">
              <w:rPr>
                <w:sz w:val="20"/>
                <w:szCs w:val="20"/>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0,9</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Rumunsko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14,5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2 1</w:t>
            </w:r>
            <w:r w:rsidR="001E3198" w:rsidRPr="00AE6EDB">
              <w:rPr>
                <w:sz w:val="20"/>
                <w:szCs w:val="2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1,3</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Slovinsko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24,5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5 2</w:t>
            </w:r>
            <w:r w:rsidR="001E3198" w:rsidRPr="00AE6EDB">
              <w:rPr>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8,0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3,4</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2,8</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0A7585" w:rsidRPr="00AE6EDB" w:rsidRDefault="000A7585" w:rsidP="00DE0EEC">
            <w:pPr>
              <w:rPr>
                <w:sz w:val="20"/>
                <w:szCs w:val="20"/>
              </w:rPr>
            </w:pPr>
            <w:r w:rsidRPr="00AE6EDB">
              <w:rPr>
                <w:sz w:val="20"/>
                <w:szCs w:val="20"/>
              </w:rPr>
              <w:t>SR</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0A7585" w:rsidRPr="00AE6EDB" w:rsidRDefault="00EC2604" w:rsidP="00EC2604">
            <w:pPr>
              <w:ind w:right="97"/>
              <w:jc w:val="right"/>
              <w:rPr>
                <w:sz w:val="20"/>
                <w:szCs w:val="20"/>
              </w:rPr>
            </w:pPr>
            <w:r w:rsidRPr="00AE6EDB">
              <w:rPr>
                <w:sz w:val="20"/>
                <w:szCs w:val="20"/>
              </w:rPr>
              <w:t>17,9</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0A7585" w:rsidRPr="00AE6EDB" w:rsidRDefault="0054295F" w:rsidP="00DE0EEC">
            <w:pPr>
              <w:ind w:right="171"/>
              <w:jc w:val="right"/>
              <w:rPr>
                <w:sz w:val="20"/>
                <w:szCs w:val="20"/>
              </w:rPr>
            </w:pPr>
            <w:r>
              <w:rPr>
                <w:sz w:val="20"/>
                <w:szCs w:val="20"/>
              </w:rPr>
              <w:t>3 7</w:t>
            </w:r>
            <w:r w:rsidR="001E3198" w:rsidRPr="00AE6EDB">
              <w:rPr>
                <w:sz w:val="20"/>
                <w:szCs w:val="20"/>
              </w:rPr>
              <w:t>61</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44,5</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30,9</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9,0</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9,7</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3,4</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0A7585" w:rsidRPr="00AE6EDB" w:rsidRDefault="001D21D4" w:rsidP="00DE0EEC">
            <w:pPr>
              <w:ind w:right="171"/>
              <w:jc w:val="right"/>
              <w:rPr>
                <w:sz w:val="20"/>
                <w:szCs w:val="20"/>
              </w:rPr>
            </w:pPr>
            <w:r w:rsidRPr="00AE6EDB">
              <w:rPr>
                <w:sz w:val="20"/>
                <w:szCs w:val="20"/>
              </w:rPr>
              <w:t>2,5</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Fínsko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30,4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9 1</w:t>
            </w:r>
            <w:r w:rsidR="001E3198" w:rsidRPr="00AE6EDB">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10,7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4,6</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Švédsko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29,4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9 5</w:t>
            </w:r>
            <w:r w:rsidR="001E3198" w:rsidRPr="00AE6EDB">
              <w:rPr>
                <w:sz w:val="20"/>
                <w:szCs w:val="20"/>
              </w:rPr>
              <w:t>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12,2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10,5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4,0</w:t>
            </w:r>
          </w:p>
        </w:tc>
      </w:tr>
      <w:tr w:rsidR="000A7585" w:rsidRPr="00AE6EDB" w:rsidTr="00DE0EEC">
        <w:trPr>
          <w:trHeight w:val="255"/>
          <w:jc w:val="center"/>
        </w:trPr>
        <w:tc>
          <w:tcPr>
            <w:tcW w:w="1277"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0A7585" w:rsidRPr="00AE6EDB" w:rsidRDefault="000A7585" w:rsidP="00DE0EEC">
            <w:pPr>
              <w:rPr>
                <w:sz w:val="20"/>
                <w:szCs w:val="20"/>
              </w:rPr>
            </w:pPr>
            <w:r w:rsidRPr="00AE6EDB">
              <w:rPr>
                <w:sz w:val="20"/>
                <w:szCs w:val="20"/>
              </w:rPr>
              <w:t>Spojené kráľovstvo</w:t>
            </w:r>
          </w:p>
        </w:tc>
        <w:tc>
          <w:tcPr>
            <w:tcW w:w="977" w:type="dxa"/>
            <w:tcBorders>
              <w:top w:val="single" w:sz="4" w:space="0" w:color="auto"/>
              <w:left w:val="single" w:sz="4" w:space="0" w:color="auto"/>
              <w:bottom w:val="double" w:sz="4" w:space="0" w:color="auto"/>
              <w:right w:val="single" w:sz="4" w:space="0" w:color="auto"/>
            </w:tcBorders>
            <w:shd w:val="clear" w:color="auto" w:fill="auto"/>
            <w:noWrap/>
            <w:vAlign w:val="center"/>
          </w:tcPr>
          <w:p w:rsidR="000A7585" w:rsidRPr="00AE6EDB" w:rsidRDefault="00EC2604" w:rsidP="00EC2604">
            <w:pPr>
              <w:ind w:right="97"/>
              <w:jc w:val="right"/>
              <w:rPr>
                <w:sz w:val="20"/>
                <w:szCs w:val="20"/>
              </w:rPr>
            </w:pPr>
            <w:r w:rsidRPr="00AE6EDB">
              <w:rPr>
                <w:sz w:val="20"/>
                <w:szCs w:val="20"/>
              </w:rPr>
              <w:t>27,8</w:t>
            </w:r>
          </w:p>
        </w:tc>
        <w:tc>
          <w:tcPr>
            <w:tcW w:w="1081" w:type="dxa"/>
            <w:tcBorders>
              <w:top w:val="single" w:sz="4" w:space="0" w:color="auto"/>
              <w:left w:val="single" w:sz="4" w:space="0" w:color="auto"/>
              <w:bottom w:val="double" w:sz="4" w:space="0" w:color="auto"/>
              <w:right w:val="single" w:sz="4" w:space="0" w:color="auto"/>
            </w:tcBorders>
            <w:shd w:val="clear" w:color="auto" w:fill="auto"/>
            <w:noWrap/>
            <w:vAlign w:val="center"/>
          </w:tcPr>
          <w:p w:rsidR="000A7585" w:rsidRPr="00AE6EDB" w:rsidRDefault="00AC44CB" w:rsidP="00DE0EEC">
            <w:pPr>
              <w:ind w:right="171"/>
              <w:jc w:val="right"/>
              <w:rPr>
                <w:sz w:val="20"/>
                <w:szCs w:val="20"/>
              </w:rPr>
            </w:pPr>
            <w:r>
              <w:rPr>
                <w:sz w:val="20"/>
                <w:szCs w:val="20"/>
              </w:rPr>
              <w:t>7 7</w:t>
            </w:r>
            <w:r w:rsidR="001E3198" w:rsidRPr="00AE6EDB">
              <w:rPr>
                <w:sz w:val="20"/>
                <w:szCs w:val="20"/>
              </w:rPr>
              <w:t>95</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42,7</w:t>
            </w:r>
          </w:p>
        </w:tc>
        <w:tc>
          <w:tcPr>
            <w:tcW w:w="1275"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30,5</w:t>
            </w:r>
          </w:p>
        </w:tc>
        <w:tc>
          <w:tcPr>
            <w:tcW w:w="993"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6,3</w:t>
            </w:r>
          </w:p>
        </w:tc>
        <w:tc>
          <w:tcPr>
            <w:tcW w:w="813"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10,7</w:t>
            </w:r>
          </w:p>
        </w:tc>
        <w:tc>
          <w:tcPr>
            <w:tcW w:w="1149"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2,1</w:t>
            </w:r>
          </w:p>
        </w:tc>
        <w:tc>
          <w:tcPr>
            <w:tcW w:w="911" w:type="dxa"/>
            <w:tcBorders>
              <w:top w:val="single" w:sz="4" w:space="0" w:color="auto"/>
              <w:left w:val="single" w:sz="4" w:space="0" w:color="auto"/>
              <w:bottom w:val="double" w:sz="4" w:space="0" w:color="auto"/>
              <w:right w:val="single" w:sz="4" w:space="0" w:color="auto"/>
            </w:tcBorders>
            <w:shd w:val="clear" w:color="auto" w:fill="auto"/>
            <w:vAlign w:val="center"/>
          </w:tcPr>
          <w:p w:rsidR="000A7585" w:rsidRPr="00AE6EDB" w:rsidRDefault="001D21D4" w:rsidP="00DE0EEC">
            <w:pPr>
              <w:ind w:right="171"/>
              <w:jc w:val="right"/>
              <w:rPr>
                <w:sz w:val="20"/>
                <w:szCs w:val="20"/>
              </w:rPr>
            </w:pPr>
            <w:r w:rsidRPr="00AE6EDB">
              <w:rPr>
                <w:sz w:val="20"/>
                <w:szCs w:val="20"/>
              </w:rPr>
              <w:t>7,9</w:t>
            </w:r>
          </w:p>
        </w:tc>
      </w:tr>
      <w:tr w:rsidR="000A7585" w:rsidRPr="00AE6EDB" w:rsidTr="00DE0EEC">
        <w:trPr>
          <w:trHeight w:val="255"/>
          <w:jc w:val="center"/>
        </w:trPr>
        <w:tc>
          <w:tcPr>
            <w:tcW w:w="1277" w:type="dxa"/>
            <w:tcBorders>
              <w:top w:val="doub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Island</w:t>
            </w:r>
          </w:p>
        </w:tc>
        <w:tc>
          <w:tcPr>
            <w:tcW w:w="977" w:type="dxa"/>
            <w:tcBorders>
              <w:top w:val="doub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23,4</w:t>
            </w:r>
          </w:p>
        </w:tc>
        <w:tc>
          <w:tcPr>
            <w:tcW w:w="1081" w:type="dxa"/>
            <w:tcBorders>
              <w:top w:val="doub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7 3</w:t>
            </w:r>
            <w:r w:rsidR="001E3198" w:rsidRPr="00AE6EDB">
              <w:rPr>
                <w:sz w:val="20"/>
                <w:szCs w:val="20"/>
              </w:rPr>
              <w:t>35</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27,1</w:t>
            </w:r>
          </w:p>
        </w:tc>
        <w:tc>
          <w:tcPr>
            <w:tcW w:w="1275"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35,4</w:t>
            </w: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15,9</w:t>
            </w:r>
          </w:p>
        </w:tc>
        <w:tc>
          <w:tcPr>
            <w:tcW w:w="813"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11,5</w:t>
            </w:r>
          </w:p>
        </w:tc>
        <w:tc>
          <w:tcPr>
            <w:tcW w:w="1149"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4,1</w:t>
            </w:r>
          </w:p>
        </w:tc>
        <w:tc>
          <w:tcPr>
            <w:tcW w:w="911" w:type="dxa"/>
            <w:tcBorders>
              <w:top w:val="doub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6,0</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Nórsko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24,4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1E3198" w:rsidP="00DE0EEC">
            <w:pPr>
              <w:ind w:right="171"/>
              <w:jc w:val="right"/>
              <w:rPr>
                <w:sz w:val="20"/>
                <w:szCs w:val="20"/>
              </w:rPr>
            </w:pPr>
            <w:r w:rsidRPr="00AE6EDB">
              <w:rPr>
                <w:sz w:val="20"/>
                <w:szCs w:val="20"/>
              </w:rPr>
              <w:t>1</w:t>
            </w:r>
            <w:r w:rsidR="0054295F">
              <w:rPr>
                <w:sz w:val="20"/>
                <w:szCs w:val="20"/>
              </w:rPr>
              <w:t>1 3</w:t>
            </w:r>
            <w:r w:rsidRPr="00AE6EDB">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16,4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12,4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2,4</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Švajčiarsko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24,2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AC44CB" w:rsidP="00DE0EEC">
            <w:pPr>
              <w:ind w:right="171"/>
              <w:jc w:val="right"/>
              <w:rPr>
                <w:sz w:val="20"/>
                <w:szCs w:val="20"/>
              </w:rPr>
            </w:pPr>
            <w:r>
              <w:rPr>
                <w:sz w:val="20"/>
                <w:szCs w:val="20"/>
              </w:rPr>
              <w:t>9 5</w:t>
            </w:r>
            <w:r w:rsidR="001E3198" w:rsidRPr="00AE6EDB">
              <w:rPr>
                <w:sz w:val="20"/>
                <w:szCs w:val="20"/>
              </w:rPr>
              <w:t>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47,8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29,8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9,5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3,3</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Srbsko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22,8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2 2</w:t>
            </w:r>
            <w:r w:rsidR="001E3198" w:rsidRPr="00AE6EDB">
              <w:rPr>
                <w:sz w:val="20"/>
                <w:szCs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7,7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5,5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2,2</w:t>
            </w:r>
          </w:p>
        </w:tc>
      </w:tr>
      <w:tr w:rsidR="000A7585" w:rsidRPr="00AE6EDB" w:rsidTr="00DE0EEC">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A7585" w:rsidRPr="00AE6EDB" w:rsidRDefault="000A7585" w:rsidP="00DE0EEC">
            <w:pPr>
              <w:rPr>
                <w:sz w:val="20"/>
                <w:szCs w:val="20"/>
              </w:rPr>
            </w:pPr>
            <w:r w:rsidRPr="00AE6EDB">
              <w:rPr>
                <w:sz w:val="20"/>
                <w:szCs w:val="20"/>
              </w:rPr>
              <w:t>Turecko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EC2604" w:rsidP="00EC2604">
            <w:pPr>
              <w:ind w:right="97"/>
              <w:jc w:val="right"/>
              <w:rPr>
                <w:sz w:val="20"/>
                <w:szCs w:val="20"/>
              </w:rPr>
            </w:pPr>
            <w:r w:rsidRPr="00AE6EDB">
              <w:rPr>
                <w:sz w:val="20"/>
                <w:szCs w:val="20"/>
              </w:rPr>
              <w:t>13,8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AE6EDB" w:rsidRDefault="0054295F" w:rsidP="00DE0EEC">
            <w:pPr>
              <w:ind w:right="171"/>
              <w:jc w:val="right"/>
              <w:rPr>
                <w:sz w:val="20"/>
                <w:szCs w:val="20"/>
              </w:rPr>
            </w:pPr>
            <w:r>
              <w:rPr>
                <w:sz w:val="20"/>
                <w:szCs w:val="20"/>
              </w:rPr>
              <w:t>1 9</w:t>
            </w:r>
            <w:r w:rsidR="001E3198" w:rsidRPr="00AE6EDB">
              <w:rPr>
                <w:sz w:val="20"/>
                <w:szCs w:val="20"/>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3,2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0A7585" w:rsidRPr="00AE6EDB" w:rsidRDefault="001D21D4" w:rsidP="00DE0EEC">
            <w:pPr>
              <w:ind w:right="171"/>
              <w:jc w:val="right"/>
              <w:rPr>
                <w:sz w:val="20"/>
                <w:szCs w:val="20"/>
              </w:rPr>
            </w:pPr>
            <w:r w:rsidRPr="00AE6EDB">
              <w:rPr>
                <w:sz w:val="20"/>
                <w:szCs w:val="20"/>
              </w:rPr>
              <w:t>1,5</w:t>
            </w:r>
          </w:p>
        </w:tc>
      </w:tr>
    </w:tbl>
    <w:p w:rsidR="000A7585" w:rsidRPr="00AE6EDB" w:rsidRDefault="000A7585" w:rsidP="000A7585">
      <w:pPr>
        <w:pStyle w:val="zdroj"/>
        <w:spacing w:after="0"/>
        <w:ind w:firstLine="0"/>
      </w:pPr>
      <w:r w:rsidRPr="00AE6EDB">
        <w:t xml:space="preserve">Predbežné údaje: </w:t>
      </w:r>
      <w:r w:rsidR="00EC2604" w:rsidRPr="00AE6EDB">
        <w:t>DK, DE, ES, FR, IT, LV, LT, NL, SI, SK, SE, UK, TR</w:t>
      </w:r>
    </w:p>
    <w:p w:rsidR="00EC2604" w:rsidRPr="00AE6EDB" w:rsidRDefault="00EC2604" w:rsidP="00EC2604">
      <w:pPr>
        <w:pStyle w:val="zdroj"/>
        <w:spacing w:before="0" w:after="0"/>
        <w:ind w:firstLine="0"/>
      </w:pPr>
      <w:r w:rsidRPr="00AE6EDB">
        <w:t>: údaj nie je k dispozícii</w:t>
      </w:r>
    </w:p>
    <w:p w:rsidR="000A7585" w:rsidRPr="00AE6EDB" w:rsidRDefault="000A7585" w:rsidP="00EC2604">
      <w:pPr>
        <w:pStyle w:val="zdroj"/>
        <w:spacing w:before="0" w:after="0"/>
        <w:ind w:firstLine="0"/>
      </w:pPr>
      <w:r w:rsidRPr="00AE6EDB">
        <w:t>* vrátane daňového bonusu</w:t>
      </w:r>
    </w:p>
    <w:p w:rsidR="000A7585" w:rsidRPr="00AE6EDB" w:rsidRDefault="000A7585" w:rsidP="000A7585">
      <w:pPr>
        <w:pStyle w:val="zdroj"/>
        <w:spacing w:before="0"/>
        <w:ind w:firstLine="0"/>
      </w:pPr>
      <w:r w:rsidRPr="00AE6EDB">
        <w:t xml:space="preserve">Zdroj: </w:t>
      </w:r>
      <w:proofErr w:type="spellStart"/>
      <w:r w:rsidRPr="00AE6EDB">
        <w:t>Eurostat</w:t>
      </w:r>
      <w:proofErr w:type="spellEnd"/>
      <w:r w:rsidRPr="00AE6EDB">
        <w:t xml:space="preserve"> ESSPROS</w:t>
      </w:r>
    </w:p>
    <w:p w:rsidR="000A7585" w:rsidRPr="00AE6EDB" w:rsidRDefault="000A7585" w:rsidP="000A7585">
      <w:pPr>
        <w:pStyle w:val="Nadpis7"/>
      </w:pPr>
      <w:r w:rsidRPr="00AE6EDB">
        <w:rPr>
          <w:highlight w:val="cyan"/>
        </w:rPr>
        <w:br w:type="page"/>
      </w:r>
      <w:r w:rsidRPr="00AE6EDB">
        <w:t>Tabuľka 32 Príjmy na sociálnu ochranu, 201</w:t>
      </w:r>
      <w:r w:rsidR="00A144DC" w:rsidRPr="00AE6EDB">
        <w:t>3</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0"/>
        <w:gridCol w:w="1203"/>
        <w:gridCol w:w="1589"/>
        <w:gridCol w:w="1282"/>
        <w:gridCol w:w="938"/>
        <w:gridCol w:w="1080"/>
      </w:tblGrid>
      <w:tr w:rsidR="000A7585" w:rsidRPr="00AE6EDB" w:rsidTr="00DE0EEC">
        <w:trPr>
          <w:trHeight w:val="227"/>
          <w:jc w:val="center"/>
        </w:trPr>
        <w:tc>
          <w:tcPr>
            <w:tcW w:w="1741" w:type="dxa"/>
            <w:vMerge w:val="restart"/>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Príjmy</w:t>
            </w:r>
          </w:p>
        </w:tc>
        <w:tc>
          <w:tcPr>
            <w:tcW w:w="740" w:type="dxa"/>
            <w:vMerge w:val="restart"/>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Príjmy v</w:t>
            </w:r>
            <w:r w:rsidR="005676EF">
              <w:rPr>
                <w:b/>
                <w:bCs/>
                <w:sz w:val="20"/>
                <w:szCs w:val="20"/>
              </w:rPr>
              <w:t> %</w:t>
            </w:r>
            <w:r w:rsidRPr="00AE6EDB">
              <w:rPr>
                <w:b/>
                <w:bCs/>
                <w:sz w:val="20"/>
                <w:szCs w:val="20"/>
              </w:rPr>
              <w:t xml:space="preserve"> HDP</w:t>
            </w:r>
          </w:p>
        </w:tc>
        <w:tc>
          <w:tcPr>
            <w:tcW w:w="1203" w:type="dxa"/>
            <w:vMerge w:val="restart"/>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Príjmy v PPS na obyvateľa</w:t>
            </w:r>
          </w:p>
        </w:tc>
        <w:tc>
          <w:tcPr>
            <w:tcW w:w="4889" w:type="dxa"/>
            <w:gridSpan w:val="4"/>
            <w:shd w:val="clear" w:color="auto" w:fill="FF9999" w:themeFill="accent3" w:themeFillTint="66"/>
            <w:noWrap/>
            <w:vAlign w:val="center"/>
            <w:hideMark/>
          </w:tcPr>
          <w:p w:rsidR="000A7585" w:rsidRPr="00AE6EDB" w:rsidRDefault="000A7585" w:rsidP="00DE0EEC">
            <w:pPr>
              <w:jc w:val="center"/>
              <w:rPr>
                <w:b/>
                <w:bCs/>
                <w:sz w:val="20"/>
                <w:szCs w:val="20"/>
              </w:rPr>
            </w:pPr>
            <w:r w:rsidRPr="00AE6EDB">
              <w:rPr>
                <w:b/>
                <w:bCs/>
                <w:sz w:val="20"/>
                <w:szCs w:val="20"/>
              </w:rPr>
              <w:t>Štruktúra príjmov (%)</w:t>
            </w:r>
          </w:p>
        </w:tc>
      </w:tr>
      <w:tr w:rsidR="000A7585" w:rsidRPr="00AE6EDB" w:rsidTr="00DE0EEC">
        <w:trPr>
          <w:trHeight w:val="227"/>
          <w:jc w:val="center"/>
        </w:trPr>
        <w:tc>
          <w:tcPr>
            <w:tcW w:w="1741" w:type="dxa"/>
            <w:vMerge/>
            <w:shd w:val="clear" w:color="auto" w:fill="FF9999" w:themeFill="accent3" w:themeFillTint="66"/>
            <w:vAlign w:val="center"/>
            <w:hideMark/>
          </w:tcPr>
          <w:p w:rsidR="000A7585" w:rsidRPr="00AE6EDB" w:rsidRDefault="000A7585" w:rsidP="00DE0EEC">
            <w:pPr>
              <w:rPr>
                <w:b/>
                <w:bCs/>
                <w:sz w:val="20"/>
                <w:szCs w:val="20"/>
              </w:rPr>
            </w:pPr>
          </w:p>
        </w:tc>
        <w:tc>
          <w:tcPr>
            <w:tcW w:w="740" w:type="dxa"/>
            <w:vMerge/>
            <w:shd w:val="clear" w:color="auto" w:fill="FF9999" w:themeFill="accent3" w:themeFillTint="66"/>
            <w:vAlign w:val="center"/>
            <w:hideMark/>
          </w:tcPr>
          <w:p w:rsidR="000A7585" w:rsidRPr="00AE6EDB" w:rsidRDefault="000A7585" w:rsidP="00DE0EEC">
            <w:pPr>
              <w:rPr>
                <w:b/>
                <w:bCs/>
                <w:sz w:val="20"/>
                <w:szCs w:val="20"/>
              </w:rPr>
            </w:pPr>
          </w:p>
        </w:tc>
        <w:tc>
          <w:tcPr>
            <w:tcW w:w="1203" w:type="dxa"/>
            <w:vMerge/>
            <w:shd w:val="clear" w:color="auto" w:fill="FF9999" w:themeFill="accent3" w:themeFillTint="66"/>
            <w:vAlign w:val="center"/>
            <w:hideMark/>
          </w:tcPr>
          <w:p w:rsidR="000A7585" w:rsidRPr="00AE6EDB" w:rsidRDefault="000A7585" w:rsidP="00DE0EEC">
            <w:pPr>
              <w:rPr>
                <w:b/>
                <w:bCs/>
                <w:sz w:val="20"/>
                <w:szCs w:val="20"/>
              </w:rPr>
            </w:pPr>
          </w:p>
        </w:tc>
        <w:tc>
          <w:tcPr>
            <w:tcW w:w="1589" w:type="dxa"/>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Sociálne príspevky zamestnávateľov</w:t>
            </w:r>
          </w:p>
        </w:tc>
        <w:tc>
          <w:tcPr>
            <w:tcW w:w="1282" w:type="dxa"/>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Sociálne príspevky chránených osôb</w:t>
            </w:r>
          </w:p>
        </w:tc>
        <w:tc>
          <w:tcPr>
            <w:tcW w:w="938" w:type="dxa"/>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Verejná správa</w:t>
            </w:r>
          </w:p>
        </w:tc>
        <w:tc>
          <w:tcPr>
            <w:tcW w:w="1080" w:type="dxa"/>
            <w:shd w:val="clear" w:color="auto" w:fill="FF9999" w:themeFill="accent3" w:themeFillTint="66"/>
            <w:vAlign w:val="center"/>
            <w:hideMark/>
          </w:tcPr>
          <w:p w:rsidR="000A7585" w:rsidRPr="00AE6EDB" w:rsidRDefault="000A7585" w:rsidP="00DE0EEC">
            <w:pPr>
              <w:jc w:val="center"/>
              <w:rPr>
                <w:b/>
                <w:bCs/>
                <w:sz w:val="20"/>
                <w:szCs w:val="20"/>
              </w:rPr>
            </w:pPr>
            <w:r w:rsidRPr="00AE6EDB">
              <w:rPr>
                <w:b/>
                <w:bCs/>
                <w:sz w:val="20"/>
                <w:szCs w:val="20"/>
              </w:rPr>
              <w:t>Iné príjmy</w:t>
            </w:r>
          </w:p>
        </w:tc>
      </w:tr>
      <w:tr w:rsidR="000A7585" w:rsidRPr="00AE6EDB" w:rsidTr="00A144DC">
        <w:trPr>
          <w:trHeight w:val="255"/>
          <w:jc w:val="center"/>
        </w:trPr>
        <w:tc>
          <w:tcPr>
            <w:tcW w:w="1741" w:type="dxa"/>
            <w:shd w:val="clear" w:color="000000" w:fill="FFCCCC" w:themeFill="accent3" w:themeFillTint="33"/>
            <w:noWrap/>
            <w:vAlign w:val="center"/>
            <w:hideMark/>
          </w:tcPr>
          <w:p w:rsidR="000A7585" w:rsidRPr="00AE6EDB" w:rsidRDefault="000A7585" w:rsidP="00DE0EEC">
            <w:pPr>
              <w:rPr>
                <w:b/>
                <w:bCs/>
                <w:sz w:val="20"/>
                <w:szCs w:val="20"/>
              </w:rPr>
            </w:pPr>
            <w:r w:rsidRPr="00AE6EDB">
              <w:rPr>
                <w:b/>
                <w:bCs/>
                <w:sz w:val="20"/>
                <w:szCs w:val="20"/>
              </w:rPr>
              <w:t>EU28</w:t>
            </w:r>
          </w:p>
        </w:tc>
        <w:tc>
          <w:tcPr>
            <w:tcW w:w="740"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203"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589" w:type="dxa"/>
            <w:shd w:val="clear" w:color="000000" w:fill="FFCCCC" w:themeFill="accent3" w:themeFillTint="33"/>
            <w:noWrap/>
            <w:vAlign w:val="center"/>
          </w:tcPr>
          <w:p w:rsidR="00B0048F" w:rsidRPr="00AE6EDB" w:rsidRDefault="00B0048F" w:rsidP="00B0048F">
            <w:pPr>
              <w:jc w:val="right"/>
              <w:rPr>
                <w:sz w:val="20"/>
                <w:szCs w:val="20"/>
              </w:rPr>
            </w:pPr>
            <w:r w:rsidRPr="00AE6EDB">
              <w:rPr>
                <w:sz w:val="20"/>
                <w:szCs w:val="20"/>
              </w:rPr>
              <w:t>:</w:t>
            </w:r>
          </w:p>
        </w:tc>
        <w:tc>
          <w:tcPr>
            <w:tcW w:w="1282"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938"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1080"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r>
      <w:tr w:rsidR="000A7585" w:rsidRPr="00AE6EDB" w:rsidTr="00A144DC">
        <w:trPr>
          <w:trHeight w:val="255"/>
          <w:jc w:val="center"/>
        </w:trPr>
        <w:tc>
          <w:tcPr>
            <w:tcW w:w="1741" w:type="dxa"/>
            <w:shd w:val="clear" w:color="000000" w:fill="FFCCCC" w:themeFill="accent3" w:themeFillTint="33"/>
            <w:noWrap/>
            <w:vAlign w:val="center"/>
            <w:hideMark/>
          </w:tcPr>
          <w:p w:rsidR="000A7585" w:rsidRPr="00AE6EDB" w:rsidRDefault="000A7585" w:rsidP="00DE0EEC">
            <w:pPr>
              <w:rPr>
                <w:b/>
                <w:bCs/>
                <w:sz w:val="20"/>
                <w:szCs w:val="20"/>
              </w:rPr>
            </w:pPr>
            <w:r w:rsidRPr="00AE6EDB">
              <w:rPr>
                <w:b/>
                <w:bCs/>
                <w:sz w:val="20"/>
                <w:szCs w:val="20"/>
              </w:rPr>
              <w:t>EU15</w:t>
            </w:r>
          </w:p>
        </w:tc>
        <w:tc>
          <w:tcPr>
            <w:tcW w:w="740"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203"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589"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1282"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938"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1080"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r>
      <w:tr w:rsidR="000A7585" w:rsidRPr="00AE6EDB" w:rsidTr="00A144DC">
        <w:trPr>
          <w:trHeight w:val="255"/>
          <w:jc w:val="center"/>
        </w:trPr>
        <w:tc>
          <w:tcPr>
            <w:tcW w:w="1741" w:type="dxa"/>
            <w:shd w:val="clear" w:color="000000" w:fill="FFCCCC" w:themeFill="accent3" w:themeFillTint="33"/>
            <w:noWrap/>
            <w:vAlign w:val="center"/>
            <w:hideMark/>
          </w:tcPr>
          <w:p w:rsidR="000A7585" w:rsidRPr="00AE6EDB" w:rsidRDefault="000A7585" w:rsidP="00DE0EEC">
            <w:pPr>
              <w:rPr>
                <w:b/>
                <w:bCs/>
                <w:sz w:val="20"/>
                <w:szCs w:val="20"/>
              </w:rPr>
            </w:pPr>
            <w:r w:rsidRPr="00AE6EDB">
              <w:rPr>
                <w:b/>
                <w:bCs/>
                <w:sz w:val="20"/>
                <w:szCs w:val="20"/>
              </w:rPr>
              <w:t>EA18</w:t>
            </w:r>
          </w:p>
        </w:tc>
        <w:tc>
          <w:tcPr>
            <w:tcW w:w="740"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203" w:type="dxa"/>
            <w:shd w:val="clear" w:color="000000" w:fill="FFCCCC" w:themeFill="accent3" w:themeFillTint="33"/>
            <w:noWrap/>
            <w:vAlign w:val="center"/>
          </w:tcPr>
          <w:p w:rsidR="000A7585" w:rsidRPr="00AE6EDB" w:rsidRDefault="00A144DC" w:rsidP="00DE0EEC">
            <w:pPr>
              <w:jc w:val="right"/>
              <w:rPr>
                <w:sz w:val="20"/>
                <w:szCs w:val="20"/>
              </w:rPr>
            </w:pPr>
            <w:r w:rsidRPr="00AE6EDB">
              <w:rPr>
                <w:sz w:val="20"/>
                <w:szCs w:val="20"/>
              </w:rPr>
              <w:t>:</w:t>
            </w:r>
          </w:p>
        </w:tc>
        <w:tc>
          <w:tcPr>
            <w:tcW w:w="1589"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1282"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938"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c>
          <w:tcPr>
            <w:tcW w:w="1080" w:type="dxa"/>
            <w:shd w:val="clear" w:color="000000" w:fill="FFCCCC" w:themeFill="accent3" w:themeFillTint="33"/>
            <w:noWrap/>
            <w:vAlign w:val="center"/>
          </w:tcPr>
          <w:p w:rsidR="000A7585" w:rsidRPr="00AE6EDB" w:rsidRDefault="00B0048F" w:rsidP="00DE0EEC">
            <w:pPr>
              <w:jc w:val="right"/>
              <w:rPr>
                <w:sz w:val="20"/>
                <w:szCs w:val="20"/>
              </w:rPr>
            </w:pPr>
            <w:r w:rsidRPr="00AE6EDB">
              <w:rPr>
                <w:sz w:val="20"/>
                <w:szCs w:val="20"/>
              </w:rPr>
              <w:t>:</w:t>
            </w:r>
          </w:p>
        </w:tc>
      </w:tr>
      <w:tr w:rsidR="000A7585" w:rsidRPr="00AE6EDB" w:rsidTr="00A144DC">
        <w:trPr>
          <w:trHeight w:val="255"/>
          <w:jc w:val="center"/>
        </w:trPr>
        <w:tc>
          <w:tcPr>
            <w:tcW w:w="1741" w:type="dxa"/>
            <w:shd w:val="clear" w:color="auto" w:fill="auto"/>
            <w:noWrap/>
            <w:vAlign w:val="center"/>
            <w:hideMark/>
          </w:tcPr>
          <w:p w:rsidR="000A7585" w:rsidRPr="00AE6EDB" w:rsidRDefault="000A7585" w:rsidP="00DE0EEC">
            <w:pPr>
              <w:rPr>
                <w:sz w:val="20"/>
                <w:szCs w:val="20"/>
              </w:rPr>
            </w:pPr>
            <w:r w:rsidRPr="00AE6EDB">
              <w:rPr>
                <w:sz w:val="20"/>
                <w:szCs w:val="20"/>
              </w:rPr>
              <w:t>Belgicko</w:t>
            </w:r>
          </w:p>
        </w:tc>
        <w:tc>
          <w:tcPr>
            <w:tcW w:w="740" w:type="dxa"/>
            <w:shd w:val="clear" w:color="auto" w:fill="auto"/>
            <w:noWrap/>
            <w:vAlign w:val="center"/>
          </w:tcPr>
          <w:p w:rsidR="000A7585" w:rsidRPr="00AE6EDB" w:rsidRDefault="00A144DC" w:rsidP="00DE0EEC">
            <w:pPr>
              <w:jc w:val="right"/>
              <w:rPr>
                <w:sz w:val="20"/>
                <w:szCs w:val="20"/>
              </w:rPr>
            </w:pPr>
            <w:r w:rsidRPr="00AE6EDB">
              <w:rPr>
                <w:sz w:val="20"/>
                <w:szCs w:val="20"/>
              </w:rPr>
              <w:t>30,8</w:t>
            </w:r>
          </w:p>
        </w:tc>
        <w:tc>
          <w:tcPr>
            <w:tcW w:w="1203" w:type="dxa"/>
            <w:shd w:val="clear" w:color="auto" w:fill="auto"/>
            <w:noWrap/>
            <w:vAlign w:val="center"/>
          </w:tcPr>
          <w:p w:rsidR="000A7585" w:rsidRPr="00AE6EDB" w:rsidRDefault="00AC44CB" w:rsidP="00DE0EEC">
            <w:pPr>
              <w:jc w:val="right"/>
              <w:rPr>
                <w:sz w:val="20"/>
                <w:szCs w:val="20"/>
              </w:rPr>
            </w:pPr>
            <w:r>
              <w:rPr>
                <w:sz w:val="20"/>
                <w:szCs w:val="20"/>
              </w:rPr>
              <w:t>9 4</w:t>
            </w:r>
            <w:r w:rsidR="00A144DC" w:rsidRPr="00AE6EDB">
              <w:rPr>
                <w:sz w:val="20"/>
                <w:szCs w:val="20"/>
              </w:rPr>
              <w:t>54</w:t>
            </w:r>
          </w:p>
        </w:tc>
        <w:tc>
          <w:tcPr>
            <w:tcW w:w="1589" w:type="dxa"/>
            <w:shd w:val="clear" w:color="auto" w:fill="auto"/>
            <w:noWrap/>
            <w:vAlign w:val="center"/>
          </w:tcPr>
          <w:p w:rsidR="000A7585" w:rsidRPr="00AE6EDB" w:rsidRDefault="00B0048F" w:rsidP="00DE0EEC">
            <w:pPr>
              <w:jc w:val="right"/>
              <w:rPr>
                <w:sz w:val="20"/>
                <w:szCs w:val="20"/>
              </w:rPr>
            </w:pPr>
            <w:r w:rsidRPr="00AE6EDB">
              <w:rPr>
                <w:sz w:val="20"/>
                <w:szCs w:val="20"/>
              </w:rPr>
              <w:t>40,03</w:t>
            </w:r>
          </w:p>
        </w:tc>
        <w:tc>
          <w:tcPr>
            <w:tcW w:w="1282" w:type="dxa"/>
            <w:shd w:val="clear" w:color="auto" w:fill="auto"/>
            <w:noWrap/>
            <w:vAlign w:val="center"/>
          </w:tcPr>
          <w:p w:rsidR="000A7585" w:rsidRPr="00AE6EDB" w:rsidRDefault="00B0048F" w:rsidP="00DE0EEC">
            <w:pPr>
              <w:jc w:val="right"/>
              <w:rPr>
                <w:sz w:val="20"/>
                <w:szCs w:val="20"/>
              </w:rPr>
            </w:pPr>
            <w:r w:rsidRPr="00AE6EDB">
              <w:rPr>
                <w:sz w:val="20"/>
                <w:szCs w:val="20"/>
              </w:rPr>
              <w:t>19,75</w:t>
            </w:r>
          </w:p>
        </w:tc>
        <w:tc>
          <w:tcPr>
            <w:tcW w:w="938" w:type="dxa"/>
            <w:shd w:val="clear" w:color="auto" w:fill="auto"/>
            <w:noWrap/>
            <w:vAlign w:val="center"/>
          </w:tcPr>
          <w:p w:rsidR="000A7585" w:rsidRPr="00AE6EDB" w:rsidRDefault="00B0048F" w:rsidP="00DE0EEC">
            <w:pPr>
              <w:jc w:val="right"/>
              <w:rPr>
                <w:sz w:val="20"/>
                <w:szCs w:val="20"/>
              </w:rPr>
            </w:pPr>
            <w:r w:rsidRPr="00AE6EDB">
              <w:rPr>
                <w:sz w:val="20"/>
                <w:szCs w:val="20"/>
              </w:rPr>
              <w:t>38,02</w:t>
            </w:r>
          </w:p>
        </w:tc>
        <w:tc>
          <w:tcPr>
            <w:tcW w:w="1080" w:type="dxa"/>
            <w:shd w:val="clear" w:color="auto" w:fill="auto"/>
            <w:noWrap/>
            <w:vAlign w:val="center"/>
          </w:tcPr>
          <w:p w:rsidR="000A7585" w:rsidRPr="00AE6EDB" w:rsidRDefault="00B0048F" w:rsidP="00DE0EEC">
            <w:pPr>
              <w:jc w:val="right"/>
              <w:rPr>
                <w:sz w:val="20"/>
                <w:szCs w:val="20"/>
              </w:rPr>
            </w:pPr>
            <w:r w:rsidRPr="00AE6EDB">
              <w:rPr>
                <w:sz w:val="20"/>
                <w:szCs w:val="20"/>
              </w:rPr>
              <w:t>2,20</w:t>
            </w:r>
          </w:p>
        </w:tc>
      </w:tr>
      <w:tr w:rsidR="000A7585" w:rsidRPr="00AE6EDB" w:rsidTr="00A144DC">
        <w:trPr>
          <w:trHeight w:val="255"/>
          <w:jc w:val="center"/>
        </w:trPr>
        <w:tc>
          <w:tcPr>
            <w:tcW w:w="1741" w:type="dxa"/>
            <w:shd w:val="clear" w:color="auto" w:fill="auto"/>
            <w:noWrap/>
            <w:vAlign w:val="center"/>
            <w:hideMark/>
          </w:tcPr>
          <w:p w:rsidR="000A7585" w:rsidRPr="00AE6EDB" w:rsidRDefault="000A7585" w:rsidP="00DE0EEC">
            <w:pPr>
              <w:rPr>
                <w:sz w:val="20"/>
                <w:szCs w:val="20"/>
              </w:rPr>
            </w:pPr>
            <w:r w:rsidRPr="00AE6EDB">
              <w:rPr>
                <w:sz w:val="20"/>
                <w:szCs w:val="20"/>
              </w:rPr>
              <w:t>Bulharsko</w:t>
            </w:r>
          </w:p>
        </w:tc>
        <w:tc>
          <w:tcPr>
            <w:tcW w:w="740" w:type="dxa"/>
            <w:shd w:val="clear" w:color="auto" w:fill="auto"/>
            <w:noWrap/>
            <w:vAlign w:val="center"/>
          </w:tcPr>
          <w:p w:rsidR="000A7585" w:rsidRPr="00AE6EDB" w:rsidRDefault="00A144DC" w:rsidP="00DE0EEC">
            <w:pPr>
              <w:jc w:val="right"/>
              <w:rPr>
                <w:sz w:val="20"/>
                <w:szCs w:val="20"/>
              </w:rPr>
            </w:pPr>
            <w:r w:rsidRPr="00AE6EDB">
              <w:rPr>
                <w:sz w:val="20"/>
                <w:szCs w:val="20"/>
              </w:rPr>
              <w:t>19,2</w:t>
            </w:r>
          </w:p>
        </w:tc>
        <w:tc>
          <w:tcPr>
            <w:tcW w:w="1203" w:type="dxa"/>
            <w:shd w:val="clear" w:color="auto" w:fill="auto"/>
            <w:noWrap/>
            <w:vAlign w:val="center"/>
          </w:tcPr>
          <w:p w:rsidR="000A7585" w:rsidRPr="00AE6EDB" w:rsidRDefault="0054295F" w:rsidP="00DE0EEC">
            <w:pPr>
              <w:jc w:val="right"/>
              <w:rPr>
                <w:sz w:val="20"/>
                <w:szCs w:val="20"/>
              </w:rPr>
            </w:pPr>
            <w:r>
              <w:rPr>
                <w:sz w:val="20"/>
                <w:szCs w:val="20"/>
              </w:rPr>
              <w:t>2 5</w:t>
            </w:r>
            <w:r w:rsidR="00A144DC" w:rsidRPr="00AE6EDB">
              <w:rPr>
                <w:sz w:val="20"/>
                <w:szCs w:val="20"/>
              </w:rPr>
              <w:t>26</w:t>
            </w:r>
          </w:p>
        </w:tc>
        <w:tc>
          <w:tcPr>
            <w:tcW w:w="1589" w:type="dxa"/>
            <w:shd w:val="clear" w:color="auto" w:fill="auto"/>
            <w:noWrap/>
            <w:vAlign w:val="center"/>
          </w:tcPr>
          <w:p w:rsidR="000A7585" w:rsidRPr="00AE6EDB" w:rsidRDefault="00B0048F" w:rsidP="00DE0EEC">
            <w:pPr>
              <w:jc w:val="right"/>
              <w:rPr>
                <w:sz w:val="20"/>
                <w:szCs w:val="20"/>
              </w:rPr>
            </w:pPr>
            <w:r w:rsidRPr="00AE6EDB">
              <w:rPr>
                <w:sz w:val="20"/>
                <w:szCs w:val="20"/>
              </w:rPr>
              <w:t>31,66</w:t>
            </w:r>
          </w:p>
        </w:tc>
        <w:tc>
          <w:tcPr>
            <w:tcW w:w="1282" w:type="dxa"/>
            <w:shd w:val="clear" w:color="auto" w:fill="auto"/>
            <w:noWrap/>
            <w:vAlign w:val="center"/>
          </w:tcPr>
          <w:p w:rsidR="000A7585" w:rsidRPr="00AE6EDB" w:rsidRDefault="00B0048F" w:rsidP="00DE0EEC">
            <w:pPr>
              <w:jc w:val="right"/>
              <w:rPr>
                <w:sz w:val="20"/>
                <w:szCs w:val="20"/>
              </w:rPr>
            </w:pPr>
            <w:r w:rsidRPr="00AE6EDB">
              <w:rPr>
                <w:sz w:val="20"/>
                <w:szCs w:val="20"/>
              </w:rPr>
              <w:t>17,49</w:t>
            </w:r>
          </w:p>
        </w:tc>
        <w:tc>
          <w:tcPr>
            <w:tcW w:w="938" w:type="dxa"/>
            <w:shd w:val="clear" w:color="auto" w:fill="auto"/>
            <w:noWrap/>
            <w:vAlign w:val="center"/>
          </w:tcPr>
          <w:p w:rsidR="000A7585" w:rsidRPr="00AE6EDB" w:rsidRDefault="00B0048F" w:rsidP="00DE0EEC">
            <w:pPr>
              <w:jc w:val="right"/>
              <w:rPr>
                <w:sz w:val="20"/>
                <w:szCs w:val="20"/>
              </w:rPr>
            </w:pPr>
            <w:r w:rsidRPr="00AE6EDB">
              <w:rPr>
                <w:sz w:val="20"/>
                <w:szCs w:val="20"/>
              </w:rPr>
              <w:t>48,80</w:t>
            </w:r>
          </w:p>
        </w:tc>
        <w:tc>
          <w:tcPr>
            <w:tcW w:w="1080" w:type="dxa"/>
            <w:shd w:val="clear" w:color="auto" w:fill="auto"/>
            <w:noWrap/>
            <w:vAlign w:val="center"/>
          </w:tcPr>
          <w:p w:rsidR="000A7585" w:rsidRPr="00AE6EDB" w:rsidRDefault="00B0048F" w:rsidP="00DE0EEC">
            <w:pPr>
              <w:jc w:val="right"/>
              <w:rPr>
                <w:sz w:val="20"/>
                <w:szCs w:val="20"/>
              </w:rPr>
            </w:pPr>
            <w:r w:rsidRPr="00AE6EDB">
              <w:rPr>
                <w:sz w:val="20"/>
                <w:szCs w:val="20"/>
              </w:rPr>
              <w:t>2,04</w:t>
            </w:r>
          </w:p>
        </w:tc>
      </w:tr>
      <w:tr w:rsidR="000A7585" w:rsidRPr="00AE6EDB" w:rsidTr="00A144DC">
        <w:trPr>
          <w:trHeight w:val="255"/>
          <w:jc w:val="center"/>
        </w:trPr>
        <w:tc>
          <w:tcPr>
            <w:tcW w:w="1741" w:type="dxa"/>
            <w:shd w:val="clear" w:color="auto" w:fill="auto"/>
            <w:noWrap/>
            <w:vAlign w:val="center"/>
            <w:hideMark/>
          </w:tcPr>
          <w:p w:rsidR="000A7585" w:rsidRPr="00AE6EDB" w:rsidRDefault="000A7585" w:rsidP="00DE0EEC">
            <w:pPr>
              <w:rPr>
                <w:sz w:val="20"/>
                <w:szCs w:val="20"/>
              </w:rPr>
            </w:pPr>
            <w:r w:rsidRPr="00AE6EDB">
              <w:rPr>
                <w:sz w:val="20"/>
                <w:szCs w:val="20"/>
              </w:rPr>
              <w:t>Česká republika</w:t>
            </w:r>
          </w:p>
        </w:tc>
        <w:tc>
          <w:tcPr>
            <w:tcW w:w="740" w:type="dxa"/>
            <w:shd w:val="clear" w:color="auto" w:fill="auto"/>
            <w:noWrap/>
            <w:vAlign w:val="center"/>
          </w:tcPr>
          <w:p w:rsidR="000A7585" w:rsidRPr="00AE6EDB" w:rsidRDefault="00A144DC" w:rsidP="00DE0EEC">
            <w:pPr>
              <w:jc w:val="right"/>
              <w:rPr>
                <w:sz w:val="20"/>
                <w:szCs w:val="20"/>
              </w:rPr>
            </w:pPr>
            <w:r w:rsidRPr="00AE6EDB">
              <w:rPr>
                <w:sz w:val="20"/>
                <w:szCs w:val="20"/>
              </w:rPr>
              <w:t>21,0</w:t>
            </w:r>
          </w:p>
        </w:tc>
        <w:tc>
          <w:tcPr>
            <w:tcW w:w="1203" w:type="dxa"/>
            <w:shd w:val="clear" w:color="auto" w:fill="auto"/>
            <w:noWrap/>
            <w:vAlign w:val="center"/>
          </w:tcPr>
          <w:p w:rsidR="000A7585" w:rsidRPr="00AE6EDB" w:rsidRDefault="0054295F" w:rsidP="00DE0EEC">
            <w:pPr>
              <w:jc w:val="right"/>
              <w:rPr>
                <w:sz w:val="20"/>
                <w:szCs w:val="20"/>
              </w:rPr>
            </w:pPr>
            <w:r>
              <w:rPr>
                <w:sz w:val="20"/>
                <w:szCs w:val="20"/>
              </w:rPr>
              <w:t>4 8</w:t>
            </w:r>
            <w:r w:rsidR="00A144DC" w:rsidRPr="00AE6EDB">
              <w:rPr>
                <w:sz w:val="20"/>
                <w:szCs w:val="20"/>
              </w:rPr>
              <w:t>2</w:t>
            </w:r>
          </w:p>
        </w:tc>
        <w:tc>
          <w:tcPr>
            <w:tcW w:w="1589" w:type="dxa"/>
            <w:shd w:val="clear" w:color="auto" w:fill="auto"/>
            <w:noWrap/>
            <w:vAlign w:val="center"/>
          </w:tcPr>
          <w:p w:rsidR="000A7585" w:rsidRPr="00AE6EDB" w:rsidRDefault="00B0048F" w:rsidP="00DE0EEC">
            <w:pPr>
              <w:jc w:val="right"/>
              <w:rPr>
                <w:sz w:val="20"/>
                <w:szCs w:val="20"/>
              </w:rPr>
            </w:pPr>
            <w:r w:rsidRPr="00AE6EDB">
              <w:rPr>
                <w:sz w:val="20"/>
                <w:szCs w:val="20"/>
              </w:rPr>
              <w:t>47,11</w:t>
            </w:r>
          </w:p>
        </w:tc>
        <w:tc>
          <w:tcPr>
            <w:tcW w:w="1282" w:type="dxa"/>
            <w:shd w:val="clear" w:color="auto" w:fill="auto"/>
            <w:noWrap/>
            <w:vAlign w:val="center"/>
          </w:tcPr>
          <w:p w:rsidR="000A7585" w:rsidRPr="00AE6EDB" w:rsidRDefault="00B0048F" w:rsidP="00DE0EEC">
            <w:pPr>
              <w:jc w:val="right"/>
              <w:rPr>
                <w:sz w:val="20"/>
                <w:szCs w:val="20"/>
              </w:rPr>
            </w:pPr>
            <w:r w:rsidRPr="00AE6EDB">
              <w:rPr>
                <w:sz w:val="20"/>
                <w:szCs w:val="20"/>
              </w:rPr>
              <w:t>23,21</w:t>
            </w:r>
          </w:p>
        </w:tc>
        <w:tc>
          <w:tcPr>
            <w:tcW w:w="938" w:type="dxa"/>
            <w:shd w:val="clear" w:color="auto" w:fill="auto"/>
            <w:noWrap/>
            <w:vAlign w:val="center"/>
          </w:tcPr>
          <w:p w:rsidR="000A7585" w:rsidRPr="00AE6EDB" w:rsidRDefault="00B0048F" w:rsidP="00DE0EEC">
            <w:pPr>
              <w:jc w:val="right"/>
              <w:rPr>
                <w:sz w:val="20"/>
                <w:szCs w:val="20"/>
              </w:rPr>
            </w:pPr>
            <w:r w:rsidRPr="00AE6EDB">
              <w:rPr>
                <w:sz w:val="20"/>
                <w:szCs w:val="20"/>
              </w:rPr>
              <w:t>28,23</w:t>
            </w:r>
          </w:p>
        </w:tc>
        <w:tc>
          <w:tcPr>
            <w:tcW w:w="1080" w:type="dxa"/>
            <w:shd w:val="clear" w:color="auto" w:fill="auto"/>
            <w:noWrap/>
            <w:vAlign w:val="center"/>
          </w:tcPr>
          <w:p w:rsidR="000A7585" w:rsidRPr="00AE6EDB" w:rsidRDefault="00B0048F" w:rsidP="00DE0EEC">
            <w:pPr>
              <w:jc w:val="right"/>
              <w:rPr>
                <w:sz w:val="20"/>
                <w:szCs w:val="20"/>
              </w:rPr>
            </w:pPr>
            <w:r w:rsidRPr="00AE6EDB">
              <w:rPr>
                <w:sz w:val="20"/>
                <w:szCs w:val="20"/>
              </w:rPr>
              <w:t>1,44</w:t>
            </w:r>
          </w:p>
        </w:tc>
      </w:tr>
      <w:tr w:rsidR="000A7585" w:rsidRPr="00AE6EDB" w:rsidTr="00A144DC">
        <w:trPr>
          <w:trHeight w:val="255"/>
          <w:jc w:val="center"/>
        </w:trPr>
        <w:tc>
          <w:tcPr>
            <w:tcW w:w="1741" w:type="dxa"/>
            <w:shd w:val="clear" w:color="auto" w:fill="auto"/>
            <w:noWrap/>
            <w:vAlign w:val="center"/>
            <w:hideMark/>
          </w:tcPr>
          <w:p w:rsidR="000A7585" w:rsidRPr="00AE6EDB" w:rsidRDefault="000A7585" w:rsidP="00DE0EEC">
            <w:pPr>
              <w:rPr>
                <w:sz w:val="20"/>
                <w:szCs w:val="20"/>
              </w:rPr>
            </w:pPr>
            <w:r w:rsidRPr="00AE6EDB">
              <w:rPr>
                <w:sz w:val="20"/>
                <w:szCs w:val="20"/>
              </w:rPr>
              <w:t>Dánsko</w:t>
            </w:r>
          </w:p>
        </w:tc>
        <w:tc>
          <w:tcPr>
            <w:tcW w:w="740" w:type="dxa"/>
            <w:shd w:val="clear" w:color="auto" w:fill="auto"/>
            <w:noWrap/>
            <w:vAlign w:val="center"/>
          </w:tcPr>
          <w:p w:rsidR="000A7585" w:rsidRPr="00AE6EDB" w:rsidRDefault="00A144DC" w:rsidP="00DE0EEC">
            <w:pPr>
              <w:jc w:val="right"/>
              <w:rPr>
                <w:sz w:val="20"/>
                <w:szCs w:val="20"/>
              </w:rPr>
            </w:pPr>
            <w:r w:rsidRPr="00AE6EDB">
              <w:rPr>
                <w:sz w:val="20"/>
                <w:szCs w:val="20"/>
              </w:rPr>
              <w:t>37,3</w:t>
            </w:r>
          </w:p>
        </w:tc>
        <w:tc>
          <w:tcPr>
            <w:tcW w:w="1203" w:type="dxa"/>
            <w:shd w:val="clear" w:color="auto" w:fill="auto"/>
            <w:noWrap/>
            <w:vAlign w:val="center"/>
          </w:tcPr>
          <w:p w:rsidR="000A7585" w:rsidRPr="00AE6EDB" w:rsidRDefault="00A144DC" w:rsidP="00DE0EEC">
            <w:pPr>
              <w:jc w:val="right"/>
              <w:rPr>
                <w:sz w:val="20"/>
                <w:szCs w:val="20"/>
              </w:rPr>
            </w:pPr>
            <w:r w:rsidRPr="00AE6EDB">
              <w:rPr>
                <w:sz w:val="20"/>
                <w:szCs w:val="20"/>
              </w:rPr>
              <w:t>1</w:t>
            </w:r>
            <w:r w:rsidR="0054295F">
              <w:rPr>
                <w:sz w:val="20"/>
                <w:szCs w:val="20"/>
              </w:rPr>
              <w:t>2 1</w:t>
            </w:r>
            <w:r w:rsidRPr="00AE6EDB">
              <w:rPr>
                <w:sz w:val="20"/>
                <w:szCs w:val="20"/>
              </w:rPr>
              <w:t>24</w:t>
            </w:r>
          </w:p>
        </w:tc>
        <w:tc>
          <w:tcPr>
            <w:tcW w:w="1589" w:type="dxa"/>
            <w:shd w:val="clear" w:color="auto" w:fill="auto"/>
            <w:noWrap/>
            <w:vAlign w:val="center"/>
          </w:tcPr>
          <w:p w:rsidR="000A7585" w:rsidRPr="00AE6EDB" w:rsidRDefault="00B0048F" w:rsidP="00DE0EEC">
            <w:pPr>
              <w:jc w:val="right"/>
              <w:rPr>
                <w:sz w:val="20"/>
                <w:szCs w:val="20"/>
              </w:rPr>
            </w:pPr>
            <w:r w:rsidRPr="00AE6EDB">
              <w:rPr>
                <w:sz w:val="20"/>
                <w:szCs w:val="20"/>
              </w:rPr>
              <w:t>11,41</w:t>
            </w:r>
          </w:p>
        </w:tc>
        <w:tc>
          <w:tcPr>
            <w:tcW w:w="1282" w:type="dxa"/>
            <w:shd w:val="clear" w:color="auto" w:fill="auto"/>
            <w:noWrap/>
            <w:vAlign w:val="center"/>
          </w:tcPr>
          <w:p w:rsidR="000A7585" w:rsidRPr="00AE6EDB" w:rsidRDefault="00B0048F" w:rsidP="00DE0EEC">
            <w:pPr>
              <w:jc w:val="right"/>
              <w:rPr>
                <w:sz w:val="20"/>
                <w:szCs w:val="20"/>
              </w:rPr>
            </w:pPr>
            <w:r w:rsidRPr="00AE6EDB">
              <w:rPr>
                <w:sz w:val="20"/>
                <w:szCs w:val="20"/>
              </w:rPr>
              <w:t>8,04</w:t>
            </w:r>
          </w:p>
        </w:tc>
        <w:tc>
          <w:tcPr>
            <w:tcW w:w="938" w:type="dxa"/>
            <w:shd w:val="clear" w:color="auto" w:fill="auto"/>
            <w:noWrap/>
            <w:vAlign w:val="center"/>
          </w:tcPr>
          <w:p w:rsidR="000A7585" w:rsidRPr="00AE6EDB" w:rsidRDefault="00B0048F" w:rsidP="00DE0EEC">
            <w:pPr>
              <w:jc w:val="right"/>
              <w:rPr>
                <w:sz w:val="20"/>
                <w:szCs w:val="20"/>
              </w:rPr>
            </w:pPr>
            <w:r w:rsidRPr="00AE6EDB">
              <w:rPr>
                <w:sz w:val="20"/>
                <w:szCs w:val="20"/>
              </w:rPr>
              <w:t>75,60</w:t>
            </w:r>
          </w:p>
        </w:tc>
        <w:tc>
          <w:tcPr>
            <w:tcW w:w="1080" w:type="dxa"/>
            <w:shd w:val="clear" w:color="auto" w:fill="auto"/>
            <w:noWrap/>
            <w:vAlign w:val="center"/>
          </w:tcPr>
          <w:p w:rsidR="000A7585" w:rsidRPr="00AE6EDB" w:rsidRDefault="00B0048F" w:rsidP="00DE0EEC">
            <w:pPr>
              <w:jc w:val="right"/>
              <w:rPr>
                <w:sz w:val="20"/>
                <w:szCs w:val="20"/>
              </w:rPr>
            </w:pPr>
            <w:r w:rsidRPr="00AE6EDB">
              <w:rPr>
                <w:sz w:val="20"/>
                <w:szCs w:val="20"/>
              </w:rPr>
              <w:t>4,96</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Nemecko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30,8</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0 4</w:t>
            </w:r>
            <w:r w:rsidRPr="00AE6EDB">
              <w:rPr>
                <w:sz w:val="20"/>
                <w:szCs w:val="20"/>
              </w:rPr>
              <w:t>20</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34,57</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30,32</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33,39</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1,72</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Estónsko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14,4</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2 8</w:t>
            </w:r>
            <w:r w:rsidR="00B0048F" w:rsidRPr="00AE6EDB">
              <w:rPr>
                <w:sz w:val="20"/>
                <w:szCs w:val="20"/>
              </w:rPr>
              <w:t>76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79,90</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1,23</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18,72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0,16</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Írsko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22,3</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7 0</w:t>
            </w:r>
            <w:r w:rsidR="00B0048F" w:rsidRPr="00AE6EDB">
              <w:rPr>
                <w:sz w:val="20"/>
                <w:szCs w:val="20"/>
              </w:rPr>
              <w:t>74</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25,19</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7,94</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63,42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3,45</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Grécko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Španielsko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24,9</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5 9</w:t>
            </w:r>
            <w:r w:rsidR="00B0048F" w:rsidRPr="00AE6EDB">
              <w:rPr>
                <w:sz w:val="20"/>
                <w:szCs w:val="20"/>
              </w:rPr>
              <w:t>62</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42,02</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12,27</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43,39</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2,32</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Francúzsko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33,6</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9 7</w:t>
            </w:r>
            <w:r w:rsidR="00B0048F" w:rsidRPr="00AE6EDB">
              <w:rPr>
                <w:sz w:val="20"/>
                <w:szCs w:val="20"/>
              </w:rPr>
              <w:t>61</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41,51</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20,38</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34,72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3,39</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Chorvátsko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22,7</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3 6</w:t>
            </w:r>
            <w:r w:rsidR="00B0048F" w:rsidRPr="00AE6EDB">
              <w:rPr>
                <w:sz w:val="20"/>
                <w:szCs w:val="20"/>
              </w:rPr>
              <w:t>62</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24,68</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32,58</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10,17</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2,58</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Taliansko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30,4</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7 8</w:t>
            </w:r>
            <w:r w:rsidR="00B0048F" w:rsidRPr="00AE6EDB">
              <w:rPr>
                <w:sz w:val="20"/>
                <w:szCs w:val="20"/>
              </w:rPr>
              <w:t>81</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35,39</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14,85</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47,77</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1,99</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Cyprus</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22,1</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5 0</w:t>
            </w:r>
            <w:r w:rsidR="00B0048F" w:rsidRPr="00AE6EDB">
              <w:rPr>
                <w:sz w:val="20"/>
                <w:szCs w:val="20"/>
              </w:rPr>
              <w:t>71</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22,15</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17,20</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52,18</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8,48</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Lotyšsko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14,4</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2 4</w:t>
            </w:r>
            <w:r w:rsidR="00B0048F" w:rsidRPr="00AE6EDB">
              <w:rPr>
                <w:sz w:val="20"/>
                <w:szCs w:val="20"/>
              </w:rPr>
              <w:t>86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43,80</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18,65</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36,62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0,93</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Litva</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14,7</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2 9</w:t>
            </w:r>
            <w:r w:rsidR="00B0048F" w:rsidRPr="00AE6EDB">
              <w:rPr>
                <w:sz w:val="20"/>
                <w:szCs w:val="20"/>
              </w:rPr>
              <w:t>76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52,41</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17,15</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29,31</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1,13</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Luxembursko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25,3</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AC44CB">
              <w:rPr>
                <w:sz w:val="20"/>
                <w:szCs w:val="20"/>
              </w:rPr>
              <w:t>5 8</w:t>
            </w:r>
            <w:r w:rsidRPr="00AE6EDB">
              <w:rPr>
                <w:sz w:val="20"/>
                <w:szCs w:val="20"/>
              </w:rPr>
              <w:t>48</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25,66</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23,18</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44,79</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6,37</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Maďarsko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21,5</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4 0</w:t>
            </w:r>
            <w:r w:rsidR="00B0048F" w:rsidRPr="00AE6EDB">
              <w:rPr>
                <w:sz w:val="20"/>
                <w:szCs w:val="20"/>
              </w:rPr>
              <w:t>23</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37,00</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22,87</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37,94</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2,18</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Malta</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18,7</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4 1</w:t>
            </w:r>
            <w:r w:rsidR="00B0048F" w:rsidRPr="00AE6EDB">
              <w:rPr>
                <w:sz w:val="20"/>
                <w:szCs w:val="20"/>
              </w:rPr>
              <w:t>49</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31,8</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13,41</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52,72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2,06</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Holandsko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34,1</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1 6</w:t>
            </w:r>
            <w:r w:rsidRPr="00AE6EDB">
              <w:rPr>
                <w:sz w:val="20"/>
                <w:szCs w:val="20"/>
              </w:rPr>
              <w:t>06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30,88</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36,41</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19,14</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13,57</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Rakúsko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29,7</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0 0</w:t>
            </w:r>
            <w:r w:rsidRPr="00AE6EDB">
              <w:rPr>
                <w:sz w:val="20"/>
                <w:szCs w:val="20"/>
              </w:rPr>
              <w:t>48</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36,42</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26,09</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35,75</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1,73</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Poľsko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Portugalsko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28,3</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5 8</w:t>
            </w:r>
            <w:r w:rsidR="00B0048F" w:rsidRPr="00AE6EDB">
              <w:rPr>
                <w:sz w:val="20"/>
                <w:szCs w:val="20"/>
              </w:rPr>
              <w:t>37</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28,39</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15,21</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47,31</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9,09</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Rumunsko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14,8</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2 2</w:t>
            </w:r>
            <w:r w:rsidR="00B0048F" w:rsidRPr="00AE6EDB">
              <w:rPr>
                <w:sz w:val="20"/>
                <w:szCs w:val="20"/>
              </w:rPr>
              <w:t>07</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35,21</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14,48</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49,23</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1,08</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Slovinsko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25,0</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5 3</w:t>
            </w:r>
            <w:r w:rsidR="00B0048F" w:rsidRPr="00AE6EDB">
              <w:rPr>
                <w:sz w:val="20"/>
                <w:szCs w:val="20"/>
              </w:rPr>
              <w:t>06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26,06</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37,63</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35,02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1,29</w:t>
            </w:r>
          </w:p>
        </w:tc>
      </w:tr>
      <w:tr w:rsidR="00B0048F" w:rsidRPr="00AE6EDB" w:rsidTr="00A144DC">
        <w:trPr>
          <w:trHeight w:val="255"/>
          <w:jc w:val="center"/>
        </w:trPr>
        <w:tc>
          <w:tcPr>
            <w:tcW w:w="1741" w:type="dxa"/>
            <w:shd w:val="clear" w:color="000000" w:fill="FFCCCC" w:themeFill="accent3" w:themeFillTint="33"/>
            <w:noWrap/>
            <w:vAlign w:val="center"/>
            <w:hideMark/>
          </w:tcPr>
          <w:p w:rsidR="00B0048F" w:rsidRPr="00AE6EDB" w:rsidRDefault="00B0048F" w:rsidP="00DE0EEC">
            <w:pPr>
              <w:rPr>
                <w:b/>
                <w:bCs/>
                <w:sz w:val="20"/>
                <w:szCs w:val="20"/>
              </w:rPr>
            </w:pPr>
            <w:r w:rsidRPr="00AE6EDB">
              <w:rPr>
                <w:b/>
                <w:bCs/>
                <w:sz w:val="20"/>
                <w:szCs w:val="20"/>
              </w:rPr>
              <w:t xml:space="preserve">Slovensko </w:t>
            </w:r>
          </w:p>
        </w:tc>
        <w:tc>
          <w:tcPr>
            <w:tcW w:w="740" w:type="dxa"/>
            <w:shd w:val="clear" w:color="000000" w:fill="FFCCCC" w:themeFill="accent3" w:themeFillTint="33"/>
            <w:noWrap/>
            <w:vAlign w:val="center"/>
          </w:tcPr>
          <w:p w:rsidR="00B0048F" w:rsidRPr="00AE6EDB" w:rsidRDefault="00B0048F" w:rsidP="00DE0EEC">
            <w:pPr>
              <w:jc w:val="right"/>
              <w:rPr>
                <w:sz w:val="20"/>
                <w:szCs w:val="20"/>
              </w:rPr>
            </w:pPr>
            <w:r w:rsidRPr="00AE6EDB">
              <w:rPr>
                <w:sz w:val="20"/>
                <w:szCs w:val="20"/>
              </w:rPr>
              <w:t>18,9</w:t>
            </w:r>
          </w:p>
        </w:tc>
        <w:tc>
          <w:tcPr>
            <w:tcW w:w="1203" w:type="dxa"/>
            <w:shd w:val="clear" w:color="000000" w:fill="FFCCCC" w:themeFill="accent3" w:themeFillTint="33"/>
            <w:noWrap/>
            <w:vAlign w:val="center"/>
          </w:tcPr>
          <w:p w:rsidR="00B0048F" w:rsidRPr="00AE6EDB" w:rsidRDefault="0054295F" w:rsidP="00DE0EEC">
            <w:pPr>
              <w:jc w:val="right"/>
              <w:rPr>
                <w:sz w:val="20"/>
                <w:szCs w:val="20"/>
              </w:rPr>
            </w:pPr>
            <w:r>
              <w:rPr>
                <w:sz w:val="20"/>
                <w:szCs w:val="20"/>
              </w:rPr>
              <w:t>3 9</w:t>
            </w:r>
            <w:r w:rsidR="00B0048F" w:rsidRPr="00AE6EDB">
              <w:rPr>
                <w:sz w:val="20"/>
                <w:szCs w:val="20"/>
              </w:rPr>
              <w:t>89</w:t>
            </w:r>
          </w:p>
        </w:tc>
        <w:tc>
          <w:tcPr>
            <w:tcW w:w="1589" w:type="dxa"/>
            <w:shd w:val="clear" w:color="000000" w:fill="FFCCCC" w:themeFill="accent3" w:themeFillTint="33"/>
            <w:noWrap/>
            <w:vAlign w:val="center"/>
          </w:tcPr>
          <w:p w:rsidR="00B0048F" w:rsidRPr="00AE6EDB" w:rsidRDefault="00B0048F" w:rsidP="00DE0EEC">
            <w:pPr>
              <w:jc w:val="right"/>
              <w:rPr>
                <w:sz w:val="20"/>
                <w:szCs w:val="20"/>
              </w:rPr>
            </w:pPr>
            <w:r w:rsidRPr="00AE6EDB">
              <w:rPr>
                <w:sz w:val="20"/>
                <w:szCs w:val="20"/>
              </w:rPr>
              <w:t>44,36</w:t>
            </w:r>
          </w:p>
        </w:tc>
        <w:tc>
          <w:tcPr>
            <w:tcW w:w="1282" w:type="dxa"/>
            <w:shd w:val="clear" w:color="000000" w:fill="FFCCCC" w:themeFill="accent3" w:themeFillTint="33"/>
            <w:noWrap/>
            <w:vAlign w:val="center"/>
          </w:tcPr>
          <w:p w:rsidR="00B0048F" w:rsidRPr="00AE6EDB" w:rsidRDefault="00B0048F" w:rsidP="00DE0EEC">
            <w:pPr>
              <w:jc w:val="right"/>
              <w:rPr>
                <w:sz w:val="20"/>
                <w:szCs w:val="20"/>
              </w:rPr>
            </w:pPr>
            <w:r w:rsidRPr="00AE6EDB">
              <w:rPr>
                <w:sz w:val="20"/>
                <w:szCs w:val="20"/>
              </w:rPr>
              <w:t>20,52</w:t>
            </w:r>
          </w:p>
        </w:tc>
        <w:tc>
          <w:tcPr>
            <w:tcW w:w="938" w:type="dxa"/>
            <w:shd w:val="clear" w:color="000000" w:fill="FFCCCC" w:themeFill="accent3" w:themeFillTint="33"/>
            <w:noWrap/>
            <w:vAlign w:val="center"/>
          </w:tcPr>
          <w:p w:rsidR="00B0048F" w:rsidRPr="00AE6EDB" w:rsidRDefault="00B0048F" w:rsidP="00DE0EEC">
            <w:pPr>
              <w:jc w:val="right"/>
              <w:rPr>
                <w:sz w:val="20"/>
                <w:szCs w:val="20"/>
              </w:rPr>
            </w:pPr>
            <w:r w:rsidRPr="00AE6EDB">
              <w:rPr>
                <w:sz w:val="20"/>
                <w:szCs w:val="20"/>
              </w:rPr>
              <w:t>33,08</w:t>
            </w:r>
          </w:p>
        </w:tc>
        <w:tc>
          <w:tcPr>
            <w:tcW w:w="1080" w:type="dxa"/>
            <w:shd w:val="clear" w:color="000000" w:fill="FFCCCC" w:themeFill="accent3" w:themeFillTint="33"/>
            <w:noWrap/>
            <w:vAlign w:val="center"/>
          </w:tcPr>
          <w:p w:rsidR="00B0048F" w:rsidRPr="00AE6EDB" w:rsidRDefault="00B0048F" w:rsidP="00DE0EEC">
            <w:pPr>
              <w:jc w:val="right"/>
              <w:rPr>
                <w:sz w:val="20"/>
                <w:szCs w:val="20"/>
              </w:rPr>
            </w:pPr>
            <w:r w:rsidRPr="00AE6EDB">
              <w:rPr>
                <w:sz w:val="20"/>
                <w:szCs w:val="20"/>
              </w:rPr>
              <w:t>2,05</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Fínsko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32,7</w:t>
            </w:r>
          </w:p>
        </w:tc>
        <w:tc>
          <w:tcPr>
            <w:tcW w:w="1203" w:type="dxa"/>
            <w:shd w:val="clear" w:color="auto" w:fill="auto"/>
            <w:noWrap/>
            <w:vAlign w:val="center"/>
          </w:tcPr>
          <w:p w:rsidR="00B0048F" w:rsidRPr="00AE6EDB" w:rsidRDefault="00AC44CB" w:rsidP="00DE0EEC">
            <w:pPr>
              <w:jc w:val="right"/>
              <w:rPr>
                <w:sz w:val="20"/>
                <w:szCs w:val="20"/>
              </w:rPr>
            </w:pPr>
            <w:r>
              <w:rPr>
                <w:sz w:val="20"/>
                <w:szCs w:val="20"/>
              </w:rPr>
              <w:t>9 8</w:t>
            </w:r>
            <w:r w:rsidR="00B0048F" w:rsidRPr="00AE6EDB">
              <w:rPr>
                <w:sz w:val="20"/>
                <w:szCs w:val="20"/>
              </w:rPr>
              <w:t>32</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34,51</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12,50</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47,44</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5,55</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Švédsko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31,2</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0 1</w:t>
            </w:r>
            <w:r w:rsidRPr="00AE6EDB">
              <w:rPr>
                <w:sz w:val="20"/>
                <w:szCs w:val="20"/>
              </w:rPr>
              <w:t>66</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36,44</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9,51</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51,99</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2,06</w:t>
            </w:r>
          </w:p>
        </w:tc>
      </w:tr>
      <w:tr w:rsidR="00B0048F" w:rsidRPr="00AE6EDB" w:rsidTr="00A144DC">
        <w:trPr>
          <w:trHeight w:val="255"/>
          <w:jc w:val="center"/>
        </w:trPr>
        <w:tc>
          <w:tcPr>
            <w:tcW w:w="1741" w:type="dxa"/>
            <w:tcBorders>
              <w:bottom w:val="double" w:sz="4" w:space="0" w:color="auto"/>
            </w:tcBorders>
            <w:shd w:val="clear" w:color="auto" w:fill="auto"/>
            <w:noWrap/>
            <w:vAlign w:val="center"/>
            <w:hideMark/>
          </w:tcPr>
          <w:p w:rsidR="00B0048F" w:rsidRPr="00AE6EDB" w:rsidRDefault="00B0048F" w:rsidP="00DE0EEC">
            <w:pPr>
              <w:rPr>
                <w:sz w:val="20"/>
                <w:szCs w:val="20"/>
              </w:rPr>
            </w:pPr>
            <w:r w:rsidRPr="00AE6EDB">
              <w:rPr>
                <w:sz w:val="20"/>
                <w:szCs w:val="20"/>
              </w:rPr>
              <w:t>Spojené kráľovstvo</w:t>
            </w:r>
          </w:p>
        </w:tc>
        <w:tc>
          <w:tcPr>
            <w:tcW w:w="740" w:type="dxa"/>
            <w:tcBorders>
              <w:bottom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28,4</w:t>
            </w:r>
          </w:p>
        </w:tc>
        <w:tc>
          <w:tcPr>
            <w:tcW w:w="1203" w:type="dxa"/>
            <w:tcBorders>
              <w:bottom w:val="double" w:sz="4" w:space="0" w:color="auto"/>
            </w:tcBorders>
            <w:shd w:val="clear" w:color="auto" w:fill="auto"/>
            <w:noWrap/>
            <w:vAlign w:val="center"/>
          </w:tcPr>
          <w:p w:rsidR="00B0048F" w:rsidRPr="00AE6EDB" w:rsidRDefault="00AC44CB" w:rsidP="00DE0EEC">
            <w:pPr>
              <w:jc w:val="right"/>
              <w:rPr>
                <w:sz w:val="20"/>
                <w:szCs w:val="20"/>
              </w:rPr>
            </w:pPr>
            <w:r>
              <w:rPr>
                <w:sz w:val="20"/>
                <w:szCs w:val="20"/>
              </w:rPr>
              <w:t>7 9</w:t>
            </w:r>
            <w:r w:rsidR="00B0048F" w:rsidRPr="00AE6EDB">
              <w:rPr>
                <w:sz w:val="20"/>
                <w:szCs w:val="20"/>
              </w:rPr>
              <w:t>63</w:t>
            </w:r>
          </w:p>
        </w:tc>
        <w:tc>
          <w:tcPr>
            <w:tcW w:w="1589" w:type="dxa"/>
            <w:tcBorders>
              <w:bottom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28,89</w:t>
            </w:r>
          </w:p>
        </w:tc>
        <w:tc>
          <w:tcPr>
            <w:tcW w:w="1282" w:type="dxa"/>
            <w:tcBorders>
              <w:bottom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12,75</w:t>
            </w:r>
          </w:p>
        </w:tc>
        <w:tc>
          <w:tcPr>
            <w:tcW w:w="938" w:type="dxa"/>
            <w:tcBorders>
              <w:bottom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51,13</w:t>
            </w:r>
          </w:p>
        </w:tc>
        <w:tc>
          <w:tcPr>
            <w:tcW w:w="1080" w:type="dxa"/>
            <w:tcBorders>
              <w:bottom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7,23</w:t>
            </w:r>
          </w:p>
        </w:tc>
      </w:tr>
      <w:tr w:rsidR="00B0048F" w:rsidRPr="00AE6EDB" w:rsidTr="00A144DC">
        <w:trPr>
          <w:trHeight w:val="255"/>
          <w:jc w:val="center"/>
        </w:trPr>
        <w:tc>
          <w:tcPr>
            <w:tcW w:w="1741" w:type="dxa"/>
            <w:tcBorders>
              <w:top w:val="double" w:sz="4" w:space="0" w:color="auto"/>
            </w:tcBorders>
            <w:shd w:val="clear" w:color="auto" w:fill="auto"/>
            <w:noWrap/>
            <w:vAlign w:val="center"/>
            <w:hideMark/>
          </w:tcPr>
          <w:p w:rsidR="00B0048F" w:rsidRPr="00AE6EDB" w:rsidRDefault="00B0048F" w:rsidP="00DE0EEC">
            <w:pPr>
              <w:rPr>
                <w:sz w:val="20"/>
                <w:szCs w:val="20"/>
              </w:rPr>
            </w:pPr>
            <w:r w:rsidRPr="00AE6EDB">
              <w:rPr>
                <w:sz w:val="20"/>
                <w:szCs w:val="20"/>
              </w:rPr>
              <w:t>Island</w:t>
            </w:r>
          </w:p>
        </w:tc>
        <w:tc>
          <w:tcPr>
            <w:tcW w:w="740" w:type="dxa"/>
            <w:tcBorders>
              <w:top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30,0</w:t>
            </w:r>
          </w:p>
        </w:tc>
        <w:tc>
          <w:tcPr>
            <w:tcW w:w="1203" w:type="dxa"/>
            <w:tcBorders>
              <w:top w:val="double" w:sz="4" w:space="0" w:color="auto"/>
            </w:tcBorders>
            <w:shd w:val="clear" w:color="auto" w:fill="auto"/>
            <w:noWrap/>
            <w:vAlign w:val="center"/>
          </w:tcPr>
          <w:p w:rsidR="00B0048F" w:rsidRPr="00AE6EDB" w:rsidRDefault="00AC44CB" w:rsidP="00DE0EEC">
            <w:pPr>
              <w:jc w:val="right"/>
              <w:rPr>
                <w:sz w:val="20"/>
                <w:szCs w:val="20"/>
              </w:rPr>
            </w:pPr>
            <w:r>
              <w:rPr>
                <w:sz w:val="20"/>
                <w:szCs w:val="20"/>
              </w:rPr>
              <w:t>9 4</w:t>
            </w:r>
            <w:r w:rsidR="00B0048F" w:rsidRPr="00AE6EDB">
              <w:rPr>
                <w:sz w:val="20"/>
                <w:szCs w:val="20"/>
              </w:rPr>
              <w:t>07</w:t>
            </w:r>
          </w:p>
        </w:tc>
        <w:tc>
          <w:tcPr>
            <w:tcW w:w="1589" w:type="dxa"/>
            <w:tcBorders>
              <w:top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31,98</w:t>
            </w:r>
          </w:p>
        </w:tc>
        <w:tc>
          <w:tcPr>
            <w:tcW w:w="1282" w:type="dxa"/>
            <w:tcBorders>
              <w:top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6,25</w:t>
            </w:r>
          </w:p>
        </w:tc>
        <w:tc>
          <w:tcPr>
            <w:tcW w:w="938" w:type="dxa"/>
            <w:tcBorders>
              <w:top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48,75</w:t>
            </w:r>
          </w:p>
        </w:tc>
        <w:tc>
          <w:tcPr>
            <w:tcW w:w="1080" w:type="dxa"/>
            <w:tcBorders>
              <w:top w:val="double" w:sz="4" w:space="0" w:color="auto"/>
            </w:tcBorders>
            <w:shd w:val="clear" w:color="auto" w:fill="auto"/>
            <w:noWrap/>
            <w:vAlign w:val="center"/>
          </w:tcPr>
          <w:p w:rsidR="00B0048F" w:rsidRPr="00AE6EDB" w:rsidRDefault="00B0048F" w:rsidP="00DE0EEC">
            <w:pPr>
              <w:jc w:val="right"/>
              <w:rPr>
                <w:sz w:val="20"/>
                <w:szCs w:val="20"/>
              </w:rPr>
            </w:pPr>
            <w:r w:rsidRPr="00AE6EDB">
              <w:rPr>
                <w:sz w:val="20"/>
                <w:szCs w:val="20"/>
              </w:rPr>
              <w:t>13,03</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Nórsko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25,5</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1 8</w:t>
            </w:r>
            <w:r w:rsidRPr="00AE6EDB">
              <w:rPr>
                <w:sz w:val="20"/>
                <w:szCs w:val="20"/>
              </w:rPr>
              <w:t>13</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32,55</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14,94</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52,45</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0,06</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Švajčiarsko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31,2</w:t>
            </w:r>
          </w:p>
        </w:tc>
        <w:tc>
          <w:tcPr>
            <w:tcW w:w="1203" w:type="dxa"/>
            <w:shd w:val="clear" w:color="auto" w:fill="auto"/>
            <w:noWrap/>
            <w:vAlign w:val="center"/>
          </w:tcPr>
          <w:p w:rsidR="00B0048F" w:rsidRPr="00AE6EDB" w:rsidRDefault="00B0048F" w:rsidP="00DE0EEC">
            <w:pPr>
              <w:jc w:val="right"/>
              <w:rPr>
                <w:sz w:val="20"/>
                <w:szCs w:val="20"/>
              </w:rPr>
            </w:pPr>
            <w:r w:rsidRPr="00AE6EDB">
              <w:rPr>
                <w:sz w:val="20"/>
                <w:szCs w:val="20"/>
              </w:rPr>
              <w:t>1</w:t>
            </w:r>
            <w:r w:rsidR="0054295F">
              <w:rPr>
                <w:sz w:val="20"/>
                <w:szCs w:val="20"/>
              </w:rPr>
              <w:t>2 3</w:t>
            </w:r>
            <w:r w:rsidRPr="00AE6EDB">
              <w:rPr>
                <w:sz w:val="20"/>
                <w:szCs w:val="20"/>
              </w:rPr>
              <w:t>61</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31,57</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34,48</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24,12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9,83</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Srbsko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23,4</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2 2</w:t>
            </w:r>
            <w:r w:rsidR="00B0048F" w:rsidRPr="00AE6EDB">
              <w:rPr>
                <w:sz w:val="20"/>
                <w:szCs w:val="20"/>
              </w:rPr>
              <w:t>89</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27,73</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29,44</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42,22</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0,61</w:t>
            </w:r>
          </w:p>
        </w:tc>
      </w:tr>
      <w:tr w:rsidR="00B0048F" w:rsidRPr="00AE6EDB" w:rsidTr="00A144DC">
        <w:trPr>
          <w:trHeight w:val="255"/>
          <w:jc w:val="center"/>
        </w:trPr>
        <w:tc>
          <w:tcPr>
            <w:tcW w:w="1741" w:type="dxa"/>
            <w:shd w:val="clear" w:color="auto" w:fill="auto"/>
            <w:noWrap/>
            <w:vAlign w:val="center"/>
            <w:hideMark/>
          </w:tcPr>
          <w:p w:rsidR="00B0048F" w:rsidRPr="00AE6EDB" w:rsidRDefault="00B0048F" w:rsidP="00DE0EEC">
            <w:pPr>
              <w:rPr>
                <w:sz w:val="20"/>
                <w:szCs w:val="20"/>
              </w:rPr>
            </w:pPr>
            <w:r w:rsidRPr="00AE6EDB">
              <w:rPr>
                <w:sz w:val="20"/>
                <w:szCs w:val="20"/>
              </w:rPr>
              <w:t>Turecko</w:t>
            </w:r>
          </w:p>
        </w:tc>
        <w:tc>
          <w:tcPr>
            <w:tcW w:w="740" w:type="dxa"/>
            <w:shd w:val="clear" w:color="auto" w:fill="auto"/>
            <w:noWrap/>
            <w:vAlign w:val="center"/>
          </w:tcPr>
          <w:p w:rsidR="00B0048F" w:rsidRPr="00AE6EDB" w:rsidRDefault="00B0048F" w:rsidP="00DE0EEC">
            <w:pPr>
              <w:jc w:val="right"/>
              <w:rPr>
                <w:sz w:val="20"/>
                <w:szCs w:val="20"/>
              </w:rPr>
            </w:pPr>
            <w:r w:rsidRPr="00AE6EDB">
              <w:rPr>
                <w:sz w:val="20"/>
                <w:szCs w:val="20"/>
              </w:rPr>
              <w:t>16,0</w:t>
            </w:r>
          </w:p>
        </w:tc>
        <w:tc>
          <w:tcPr>
            <w:tcW w:w="1203" w:type="dxa"/>
            <w:shd w:val="clear" w:color="auto" w:fill="auto"/>
            <w:noWrap/>
            <w:vAlign w:val="center"/>
          </w:tcPr>
          <w:p w:rsidR="00B0048F" w:rsidRPr="00AE6EDB" w:rsidRDefault="0054295F" w:rsidP="00DE0EEC">
            <w:pPr>
              <w:jc w:val="right"/>
              <w:rPr>
                <w:sz w:val="20"/>
                <w:szCs w:val="20"/>
              </w:rPr>
            </w:pPr>
            <w:r>
              <w:rPr>
                <w:sz w:val="20"/>
                <w:szCs w:val="20"/>
              </w:rPr>
              <w:t>2 2</w:t>
            </w:r>
            <w:r w:rsidR="00B0048F" w:rsidRPr="00AE6EDB">
              <w:rPr>
                <w:sz w:val="20"/>
                <w:szCs w:val="20"/>
              </w:rPr>
              <w:t>38</w:t>
            </w:r>
          </w:p>
        </w:tc>
        <w:tc>
          <w:tcPr>
            <w:tcW w:w="1589" w:type="dxa"/>
            <w:shd w:val="clear" w:color="auto" w:fill="auto"/>
            <w:noWrap/>
            <w:vAlign w:val="center"/>
          </w:tcPr>
          <w:p w:rsidR="00B0048F" w:rsidRPr="00AE6EDB" w:rsidRDefault="00B0048F" w:rsidP="00DE0EEC">
            <w:pPr>
              <w:jc w:val="right"/>
              <w:rPr>
                <w:sz w:val="20"/>
                <w:szCs w:val="20"/>
              </w:rPr>
            </w:pPr>
            <w:r w:rsidRPr="00AE6EDB">
              <w:rPr>
                <w:sz w:val="20"/>
                <w:szCs w:val="20"/>
              </w:rPr>
              <w:t>27,51</w:t>
            </w:r>
          </w:p>
        </w:tc>
        <w:tc>
          <w:tcPr>
            <w:tcW w:w="1282" w:type="dxa"/>
            <w:shd w:val="clear" w:color="auto" w:fill="auto"/>
            <w:noWrap/>
            <w:vAlign w:val="center"/>
          </w:tcPr>
          <w:p w:rsidR="00B0048F" w:rsidRPr="00AE6EDB" w:rsidRDefault="00B0048F" w:rsidP="00DE0EEC">
            <w:pPr>
              <w:jc w:val="right"/>
              <w:rPr>
                <w:sz w:val="20"/>
                <w:szCs w:val="20"/>
              </w:rPr>
            </w:pPr>
            <w:r w:rsidRPr="00AE6EDB">
              <w:rPr>
                <w:sz w:val="20"/>
                <w:szCs w:val="20"/>
              </w:rPr>
              <w:t>25,06</w:t>
            </w:r>
          </w:p>
        </w:tc>
        <w:tc>
          <w:tcPr>
            <w:tcW w:w="938" w:type="dxa"/>
            <w:shd w:val="clear" w:color="auto" w:fill="auto"/>
            <w:noWrap/>
            <w:vAlign w:val="center"/>
          </w:tcPr>
          <w:p w:rsidR="00B0048F" w:rsidRPr="00AE6EDB" w:rsidRDefault="00B0048F" w:rsidP="00DE0EEC">
            <w:pPr>
              <w:jc w:val="right"/>
              <w:rPr>
                <w:sz w:val="20"/>
                <w:szCs w:val="20"/>
              </w:rPr>
            </w:pPr>
            <w:r w:rsidRPr="00AE6EDB">
              <w:rPr>
                <w:sz w:val="20"/>
                <w:szCs w:val="20"/>
              </w:rPr>
              <w:t>41,38</w:t>
            </w:r>
          </w:p>
        </w:tc>
        <w:tc>
          <w:tcPr>
            <w:tcW w:w="1080" w:type="dxa"/>
            <w:shd w:val="clear" w:color="auto" w:fill="auto"/>
            <w:noWrap/>
            <w:vAlign w:val="center"/>
          </w:tcPr>
          <w:p w:rsidR="00B0048F" w:rsidRPr="00AE6EDB" w:rsidRDefault="00B0048F" w:rsidP="00DE0EEC">
            <w:pPr>
              <w:jc w:val="right"/>
              <w:rPr>
                <w:sz w:val="20"/>
                <w:szCs w:val="20"/>
              </w:rPr>
            </w:pPr>
            <w:r w:rsidRPr="00AE6EDB">
              <w:rPr>
                <w:sz w:val="20"/>
                <w:szCs w:val="20"/>
              </w:rPr>
              <w:t>6,05</w:t>
            </w:r>
          </w:p>
        </w:tc>
      </w:tr>
    </w:tbl>
    <w:p w:rsidR="001D21D4" w:rsidRPr="00AE6EDB" w:rsidRDefault="001D21D4" w:rsidP="00A144DC">
      <w:pPr>
        <w:pStyle w:val="zdroj"/>
        <w:spacing w:after="0"/>
        <w:ind w:left="284" w:firstLine="0"/>
      </w:pPr>
      <w:r w:rsidRPr="00AE6EDB">
        <w:t>Predbežné údaje: DK, DE, ES, FR, IT, LV, LT, NL, SI, SK, SE, UK, TR</w:t>
      </w:r>
    </w:p>
    <w:p w:rsidR="000A7585" w:rsidRPr="00AE6EDB" w:rsidRDefault="001D21D4" w:rsidP="00A144DC">
      <w:pPr>
        <w:pStyle w:val="zdroj"/>
        <w:spacing w:before="0" w:after="0"/>
        <w:ind w:left="284" w:firstLine="0"/>
      </w:pPr>
      <w:r w:rsidRPr="00AE6EDB">
        <w:t>: údaj nie je k dispozícii</w:t>
      </w:r>
    </w:p>
    <w:p w:rsidR="000A7585" w:rsidRPr="00AE6EDB" w:rsidRDefault="000A7585" w:rsidP="000A7585">
      <w:pPr>
        <w:pStyle w:val="zdroj"/>
        <w:spacing w:before="0"/>
        <w:ind w:left="284" w:firstLine="0"/>
      </w:pPr>
      <w:r w:rsidRPr="00AE6EDB">
        <w:t xml:space="preserve">Zdroj: </w:t>
      </w:r>
      <w:proofErr w:type="spellStart"/>
      <w:r w:rsidRPr="00AE6EDB">
        <w:t>Eurostat</w:t>
      </w:r>
      <w:proofErr w:type="spellEnd"/>
      <w:r w:rsidRPr="00AE6EDB">
        <w:t xml:space="preserve"> ESSPROS</w:t>
      </w:r>
    </w:p>
    <w:p w:rsidR="000A7585" w:rsidRPr="00AE6EDB" w:rsidRDefault="000A7585" w:rsidP="000A7585">
      <w:pPr>
        <w:rPr>
          <w:highlight w:val="cyan"/>
        </w:rPr>
      </w:pPr>
    </w:p>
    <w:p w:rsidR="000A7585" w:rsidRPr="00AE6EDB" w:rsidRDefault="000A7585" w:rsidP="000A7585">
      <w:pPr>
        <w:rPr>
          <w:b/>
          <w:bCs/>
          <w:highlight w:val="cyan"/>
        </w:rPr>
        <w:sectPr w:rsidR="000A7585" w:rsidRPr="00AE6EDB" w:rsidSect="004F3C97">
          <w:pgSz w:w="11906" w:h="16838"/>
          <w:pgMar w:top="1417" w:right="1417" w:bottom="1417" w:left="1417" w:header="708" w:footer="708" w:gutter="0"/>
          <w:cols w:space="708"/>
          <w:docGrid w:linePitch="360"/>
        </w:sectPr>
      </w:pPr>
    </w:p>
    <w:p w:rsidR="000A7585" w:rsidRPr="00AE6EDB" w:rsidRDefault="000A7585" w:rsidP="000A7585">
      <w:pPr>
        <w:spacing w:after="120"/>
        <w:jc w:val="center"/>
        <w:outlineLvl w:val="6"/>
        <w:rPr>
          <w:b/>
        </w:rPr>
      </w:pPr>
      <w:r w:rsidRPr="00AE6EDB">
        <w:rPr>
          <w:b/>
        </w:rPr>
        <w:t>Tabuľka 33 Výdavky na dôchodky a štruktúra podľa kategórií dôchodkov, 201</w:t>
      </w:r>
      <w:r w:rsidR="004669D4" w:rsidRPr="00AE6EDB">
        <w:rPr>
          <w:b/>
        </w:rPr>
        <w:t>3</w:t>
      </w:r>
    </w:p>
    <w:tbl>
      <w:tblPr>
        <w:tblStyle w:val="Mriekatabuky"/>
        <w:tblW w:w="10376" w:type="dxa"/>
        <w:jc w:val="center"/>
        <w:tblLayout w:type="fixed"/>
        <w:tblLook w:val="04A0" w:firstRow="1" w:lastRow="0" w:firstColumn="1" w:lastColumn="0" w:noHBand="0" w:noVBand="1"/>
      </w:tblPr>
      <w:tblGrid>
        <w:gridCol w:w="907"/>
        <w:gridCol w:w="1077"/>
        <w:gridCol w:w="1020"/>
        <w:gridCol w:w="624"/>
        <w:gridCol w:w="907"/>
        <w:gridCol w:w="1020"/>
        <w:gridCol w:w="964"/>
        <w:gridCol w:w="964"/>
        <w:gridCol w:w="1077"/>
        <w:gridCol w:w="796"/>
        <w:gridCol w:w="1020"/>
      </w:tblGrid>
      <w:tr w:rsidR="000A7585" w:rsidRPr="00AE6EDB" w:rsidTr="00DE0EEC">
        <w:trPr>
          <w:jc w:val="center"/>
        </w:trPr>
        <w:tc>
          <w:tcPr>
            <w:tcW w:w="907" w:type="dxa"/>
            <w:vMerge w:val="restart"/>
            <w:shd w:val="clear" w:color="auto" w:fill="FF9999" w:themeFill="accent3" w:themeFillTint="66"/>
            <w:vAlign w:val="bottom"/>
          </w:tcPr>
          <w:p w:rsidR="000A7585" w:rsidRPr="00AE6EDB" w:rsidRDefault="000A7585" w:rsidP="00DE0EEC">
            <w:pPr>
              <w:spacing w:after="120"/>
              <w:ind w:firstLine="0"/>
              <w:jc w:val="center"/>
              <w:outlineLvl w:val="6"/>
              <w:rPr>
                <w:b/>
              </w:rPr>
            </w:pPr>
            <w:r w:rsidRPr="00AE6EDB">
              <w:rPr>
                <w:b/>
                <w:sz w:val="20"/>
              </w:rPr>
              <w:t>Územie</w:t>
            </w:r>
          </w:p>
        </w:tc>
        <w:tc>
          <w:tcPr>
            <w:tcW w:w="2721" w:type="dxa"/>
            <w:gridSpan w:val="3"/>
            <w:shd w:val="clear" w:color="auto" w:fill="FF9999" w:themeFill="accent3" w:themeFillTint="66"/>
            <w:vAlign w:val="bottom"/>
          </w:tcPr>
          <w:p w:rsidR="000A7585" w:rsidRPr="00AE6EDB" w:rsidRDefault="000A7585" w:rsidP="00DE0EEC">
            <w:pPr>
              <w:spacing w:after="120"/>
              <w:ind w:firstLine="0"/>
              <w:jc w:val="center"/>
              <w:outlineLvl w:val="6"/>
              <w:rPr>
                <w:b/>
                <w:sz w:val="20"/>
              </w:rPr>
            </w:pPr>
            <w:r w:rsidRPr="00AE6EDB">
              <w:rPr>
                <w:b/>
                <w:sz w:val="20"/>
              </w:rPr>
              <w:t>Výdavky na dôchodky spolu</w:t>
            </w:r>
          </w:p>
        </w:tc>
        <w:tc>
          <w:tcPr>
            <w:tcW w:w="6748" w:type="dxa"/>
            <w:gridSpan w:val="7"/>
            <w:shd w:val="clear" w:color="auto" w:fill="FF9999" w:themeFill="accent3" w:themeFillTint="66"/>
            <w:vAlign w:val="bottom"/>
          </w:tcPr>
          <w:p w:rsidR="000A7585" w:rsidRPr="00AE6EDB" w:rsidRDefault="000A7585" w:rsidP="00DE0EEC">
            <w:pPr>
              <w:spacing w:after="120"/>
              <w:ind w:firstLine="0"/>
              <w:jc w:val="center"/>
              <w:outlineLvl w:val="6"/>
              <w:rPr>
                <w:b/>
                <w:sz w:val="20"/>
              </w:rPr>
            </w:pPr>
            <w:r w:rsidRPr="00AE6EDB">
              <w:rPr>
                <w:b/>
                <w:sz w:val="20"/>
              </w:rPr>
              <w:t>Štruktúra výdavkov na dôchodky podľa kategórií (%)</w:t>
            </w:r>
          </w:p>
        </w:tc>
      </w:tr>
      <w:tr w:rsidR="000A7585" w:rsidRPr="00AE6EDB" w:rsidTr="00DE0EEC">
        <w:trPr>
          <w:jc w:val="center"/>
        </w:trPr>
        <w:tc>
          <w:tcPr>
            <w:tcW w:w="907" w:type="dxa"/>
            <w:vMerge/>
            <w:tcBorders>
              <w:bottom w:val="single" w:sz="4" w:space="0" w:color="auto"/>
            </w:tcBorders>
            <w:shd w:val="clear" w:color="auto" w:fill="FF9999" w:themeFill="accent3" w:themeFillTint="66"/>
            <w:vAlign w:val="bottom"/>
          </w:tcPr>
          <w:p w:rsidR="000A7585" w:rsidRPr="00AE6EDB" w:rsidRDefault="000A7585" w:rsidP="00DE0EEC">
            <w:pPr>
              <w:spacing w:after="120"/>
              <w:ind w:firstLine="0"/>
              <w:jc w:val="center"/>
              <w:outlineLvl w:val="6"/>
              <w:rPr>
                <w:b/>
              </w:rPr>
            </w:pPr>
          </w:p>
        </w:tc>
        <w:tc>
          <w:tcPr>
            <w:tcW w:w="1077"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v € na obyvateľa (stále ceny 2005)</w:t>
            </w:r>
          </w:p>
        </w:tc>
        <w:tc>
          <w:tcPr>
            <w:tcW w:w="1020"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v PPS na obyvateľa</w:t>
            </w:r>
          </w:p>
        </w:tc>
        <w:tc>
          <w:tcPr>
            <w:tcW w:w="624"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v</w:t>
            </w:r>
            <w:r w:rsidR="005676EF">
              <w:rPr>
                <w:b/>
                <w:sz w:val="18"/>
                <w:szCs w:val="18"/>
              </w:rPr>
              <w:t> %</w:t>
            </w:r>
            <w:r w:rsidRPr="00AE6EDB">
              <w:rPr>
                <w:b/>
                <w:sz w:val="18"/>
                <w:szCs w:val="18"/>
              </w:rPr>
              <w:t xml:space="preserve"> HDP</w:t>
            </w:r>
          </w:p>
        </w:tc>
        <w:tc>
          <w:tcPr>
            <w:tcW w:w="907"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starobný</w:t>
            </w:r>
          </w:p>
        </w:tc>
        <w:tc>
          <w:tcPr>
            <w:tcW w:w="1020"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predpokla</w:t>
            </w:r>
            <w:r w:rsidRPr="00AE6EDB">
              <w:rPr>
                <w:b/>
                <w:sz w:val="18"/>
                <w:szCs w:val="18"/>
              </w:rPr>
              <w:softHyphen/>
              <w:t>daný starobný</w:t>
            </w:r>
          </w:p>
        </w:tc>
        <w:tc>
          <w:tcPr>
            <w:tcW w:w="964"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čiastočný starobný</w:t>
            </w:r>
          </w:p>
        </w:tc>
        <w:tc>
          <w:tcPr>
            <w:tcW w:w="964"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invalidný</w:t>
            </w:r>
          </w:p>
        </w:tc>
        <w:tc>
          <w:tcPr>
            <w:tcW w:w="1077"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predčasný v dôsledku zníženej pracovnej schopnosti</w:t>
            </w:r>
          </w:p>
        </w:tc>
        <w:tc>
          <w:tcPr>
            <w:tcW w:w="796"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pozosta</w:t>
            </w:r>
            <w:r w:rsidRPr="00AE6EDB">
              <w:rPr>
                <w:b/>
                <w:sz w:val="18"/>
                <w:szCs w:val="18"/>
              </w:rPr>
              <w:softHyphen/>
              <w:t>lostné</w:t>
            </w:r>
          </w:p>
        </w:tc>
        <w:tc>
          <w:tcPr>
            <w:tcW w:w="1020" w:type="dxa"/>
            <w:tcBorders>
              <w:bottom w:val="single" w:sz="4" w:space="0" w:color="auto"/>
            </w:tcBorders>
            <w:shd w:val="clear" w:color="auto" w:fill="FF9999" w:themeFill="accent3" w:themeFillTint="66"/>
            <w:vAlign w:val="bottom"/>
          </w:tcPr>
          <w:p w:rsidR="000A7585" w:rsidRPr="00AE6EDB" w:rsidRDefault="000A7585" w:rsidP="00DE0EEC">
            <w:pPr>
              <w:ind w:firstLine="0"/>
              <w:jc w:val="center"/>
              <w:rPr>
                <w:b/>
                <w:sz w:val="18"/>
                <w:szCs w:val="18"/>
              </w:rPr>
            </w:pPr>
            <w:r w:rsidRPr="00AE6EDB">
              <w:rPr>
                <w:b/>
                <w:sz w:val="18"/>
                <w:szCs w:val="18"/>
              </w:rPr>
              <w:t>predčasný z dôvodov trhu práce</w:t>
            </w:r>
          </w:p>
        </w:tc>
      </w:tr>
      <w:tr w:rsidR="000A7585" w:rsidRPr="00AE6EDB" w:rsidTr="00DE0EEC">
        <w:trPr>
          <w:trHeight w:val="295"/>
          <w:jc w:val="center"/>
        </w:trPr>
        <w:tc>
          <w:tcPr>
            <w:tcW w:w="907" w:type="dxa"/>
            <w:shd w:val="clear" w:color="auto" w:fill="FFCCCC" w:themeFill="accent3" w:themeFillTint="33"/>
            <w:vAlign w:val="center"/>
          </w:tcPr>
          <w:p w:rsidR="000A7585" w:rsidRPr="00AE6EDB" w:rsidRDefault="000A7585" w:rsidP="00DE0EEC">
            <w:pPr>
              <w:ind w:firstLine="0"/>
              <w:jc w:val="center"/>
              <w:rPr>
                <w:b/>
                <w:bCs/>
                <w:sz w:val="20"/>
                <w:szCs w:val="20"/>
              </w:rPr>
            </w:pPr>
            <w:r w:rsidRPr="00AE6EDB">
              <w:rPr>
                <w:b/>
                <w:bCs/>
                <w:sz w:val="20"/>
                <w:szCs w:val="20"/>
              </w:rPr>
              <w:t>EU28</w:t>
            </w:r>
          </w:p>
        </w:tc>
        <w:tc>
          <w:tcPr>
            <w:tcW w:w="1077"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624"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907" w:type="dxa"/>
            <w:shd w:val="clear" w:color="auto" w:fill="FFCCCC" w:themeFill="accent3" w:themeFillTint="33"/>
            <w:vAlign w:val="bottom"/>
          </w:tcPr>
          <w:p w:rsidR="000A7585" w:rsidRPr="00AE6EDB" w:rsidRDefault="000A7585"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77"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796"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r>
      <w:tr w:rsidR="000A7585" w:rsidRPr="00AE6EDB" w:rsidTr="00DE0EEC">
        <w:trPr>
          <w:trHeight w:val="295"/>
          <w:jc w:val="center"/>
        </w:trPr>
        <w:tc>
          <w:tcPr>
            <w:tcW w:w="907" w:type="dxa"/>
            <w:shd w:val="clear" w:color="auto" w:fill="FFCCCC" w:themeFill="accent3" w:themeFillTint="33"/>
            <w:vAlign w:val="center"/>
          </w:tcPr>
          <w:p w:rsidR="000A7585" w:rsidRPr="00AE6EDB" w:rsidRDefault="000A7585" w:rsidP="00DE0EEC">
            <w:pPr>
              <w:ind w:firstLine="0"/>
              <w:jc w:val="center"/>
              <w:rPr>
                <w:b/>
                <w:bCs/>
                <w:sz w:val="20"/>
                <w:szCs w:val="20"/>
              </w:rPr>
            </w:pPr>
            <w:r w:rsidRPr="00AE6EDB">
              <w:rPr>
                <w:b/>
                <w:bCs/>
                <w:sz w:val="20"/>
                <w:szCs w:val="20"/>
              </w:rPr>
              <w:t>EU15</w:t>
            </w:r>
          </w:p>
        </w:tc>
        <w:tc>
          <w:tcPr>
            <w:tcW w:w="1077"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624"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907" w:type="dxa"/>
            <w:shd w:val="clear" w:color="auto" w:fill="FFCCCC" w:themeFill="accent3" w:themeFillTint="33"/>
            <w:vAlign w:val="bottom"/>
          </w:tcPr>
          <w:p w:rsidR="000A7585" w:rsidRPr="00AE6EDB" w:rsidRDefault="000A7585"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77"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796"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r>
      <w:tr w:rsidR="000A7585" w:rsidRPr="00AE6EDB" w:rsidTr="00DE0EEC">
        <w:trPr>
          <w:trHeight w:val="295"/>
          <w:jc w:val="center"/>
        </w:trPr>
        <w:tc>
          <w:tcPr>
            <w:tcW w:w="907" w:type="dxa"/>
            <w:shd w:val="clear" w:color="auto" w:fill="FFCCCC" w:themeFill="accent3" w:themeFillTint="33"/>
            <w:vAlign w:val="center"/>
          </w:tcPr>
          <w:p w:rsidR="000A7585" w:rsidRPr="00AE6EDB" w:rsidRDefault="000A7585" w:rsidP="00DE0EEC">
            <w:pPr>
              <w:ind w:firstLine="0"/>
              <w:jc w:val="center"/>
              <w:rPr>
                <w:b/>
                <w:bCs/>
                <w:sz w:val="20"/>
                <w:szCs w:val="20"/>
              </w:rPr>
            </w:pPr>
            <w:r w:rsidRPr="00AE6EDB">
              <w:rPr>
                <w:b/>
                <w:bCs/>
                <w:sz w:val="20"/>
                <w:szCs w:val="20"/>
              </w:rPr>
              <w:t>EA18</w:t>
            </w:r>
          </w:p>
        </w:tc>
        <w:tc>
          <w:tcPr>
            <w:tcW w:w="1077"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624" w:type="dxa"/>
            <w:shd w:val="clear" w:color="auto" w:fill="FFCCCC" w:themeFill="accent3" w:themeFillTint="33"/>
            <w:vAlign w:val="bottom"/>
          </w:tcPr>
          <w:p w:rsidR="000A7585" w:rsidRPr="00AE6EDB" w:rsidRDefault="004669D4" w:rsidP="00DE0EEC">
            <w:pPr>
              <w:ind w:firstLine="0"/>
              <w:jc w:val="right"/>
              <w:rPr>
                <w:sz w:val="20"/>
                <w:szCs w:val="20"/>
              </w:rPr>
            </w:pPr>
            <w:r w:rsidRPr="00AE6EDB">
              <w:rPr>
                <w:sz w:val="20"/>
                <w:szCs w:val="20"/>
              </w:rPr>
              <w:t>:</w:t>
            </w:r>
          </w:p>
        </w:tc>
        <w:tc>
          <w:tcPr>
            <w:tcW w:w="907" w:type="dxa"/>
            <w:shd w:val="clear" w:color="auto" w:fill="FFCCCC" w:themeFill="accent3" w:themeFillTint="33"/>
            <w:vAlign w:val="bottom"/>
          </w:tcPr>
          <w:p w:rsidR="000A7585" w:rsidRPr="00AE6EDB" w:rsidRDefault="000A7585" w:rsidP="00DE0EEC">
            <w:pPr>
              <w:ind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964"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77"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796"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c>
          <w:tcPr>
            <w:tcW w:w="1020" w:type="dxa"/>
            <w:shd w:val="clear" w:color="auto" w:fill="FFCCCC" w:themeFill="accent3" w:themeFillTint="33"/>
            <w:vAlign w:val="bottom"/>
          </w:tcPr>
          <w:p w:rsidR="000A7585" w:rsidRPr="00AE6EDB" w:rsidRDefault="000A7585" w:rsidP="00E95D5A">
            <w:pPr>
              <w:ind w:right="113" w:firstLine="0"/>
              <w:jc w:val="right"/>
              <w:rPr>
                <w:sz w:val="20"/>
                <w:szCs w:val="20"/>
              </w:rPr>
            </w:pPr>
            <w:r w:rsidRPr="00AE6EDB">
              <w:rPr>
                <w:sz w:val="20"/>
                <w:szCs w:val="20"/>
              </w:rPr>
              <w:t>:</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BE</w:t>
            </w:r>
          </w:p>
        </w:tc>
        <w:tc>
          <w:tcPr>
            <w:tcW w:w="1077" w:type="dxa"/>
            <w:vAlign w:val="bottom"/>
          </w:tcPr>
          <w:p w:rsidR="000A7585" w:rsidRPr="00AE6EDB" w:rsidRDefault="0054295F" w:rsidP="00DE0EEC">
            <w:pPr>
              <w:ind w:firstLine="0"/>
              <w:jc w:val="right"/>
              <w:rPr>
                <w:sz w:val="20"/>
                <w:szCs w:val="20"/>
              </w:rPr>
            </w:pPr>
            <w:r>
              <w:rPr>
                <w:sz w:val="20"/>
                <w:szCs w:val="20"/>
              </w:rPr>
              <w:t>2 4</w:t>
            </w:r>
            <w:r w:rsidR="004669D4" w:rsidRPr="00AE6EDB">
              <w:rPr>
                <w:sz w:val="20"/>
                <w:szCs w:val="20"/>
              </w:rPr>
              <w:t>81</w:t>
            </w:r>
          </w:p>
        </w:tc>
        <w:tc>
          <w:tcPr>
            <w:tcW w:w="1020" w:type="dxa"/>
            <w:vAlign w:val="bottom"/>
          </w:tcPr>
          <w:p w:rsidR="000A7585" w:rsidRPr="00AE6EDB" w:rsidRDefault="0054295F" w:rsidP="00DE0EEC">
            <w:pPr>
              <w:ind w:firstLine="0"/>
              <w:jc w:val="right"/>
              <w:rPr>
                <w:sz w:val="20"/>
                <w:szCs w:val="20"/>
              </w:rPr>
            </w:pPr>
            <w:r>
              <w:rPr>
                <w:sz w:val="20"/>
                <w:szCs w:val="20"/>
              </w:rPr>
              <w:t>2 5</w:t>
            </w:r>
            <w:r w:rsidR="00592637" w:rsidRPr="00AE6EDB">
              <w:rPr>
                <w:sz w:val="20"/>
                <w:szCs w:val="20"/>
              </w:rPr>
              <w:t>66</w:t>
            </w:r>
          </w:p>
        </w:tc>
        <w:tc>
          <w:tcPr>
            <w:tcW w:w="624" w:type="dxa"/>
            <w:vAlign w:val="bottom"/>
          </w:tcPr>
          <w:p w:rsidR="000A7585" w:rsidRPr="00AE6EDB" w:rsidRDefault="00592637" w:rsidP="00DE0EEC">
            <w:pPr>
              <w:ind w:firstLine="0"/>
              <w:jc w:val="right"/>
              <w:rPr>
                <w:sz w:val="20"/>
                <w:szCs w:val="20"/>
              </w:rPr>
            </w:pPr>
            <w:r w:rsidRPr="00AE6EDB">
              <w:rPr>
                <w:sz w:val="20"/>
                <w:szCs w:val="20"/>
              </w:rPr>
              <w:t>8,4</w:t>
            </w:r>
          </w:p>
        </w:tc>
        <w:tc>
          <w:tcPr>
            <w:tcW w:w="907" w:type="dxa"/>
            <w:vAlign w:val="bottom"/>
          </w:tcPr>
          <w:p w:rsidR="000A7585" w:rsidRPr="00AE6EDB" w:rsidRDefault="002D61E4" w:rsidP="00DE0EEC">
            <w:pPr>
              <w:ind w:right="113" w:firstLine="0"/>
              <w:jc w:val="right"/>
              <w:rPr>
                <w:sz w:val="20"/>
                <w:szCs w:val="20"/>
              </w:rPr>
            </w:pPr>
            <w:r w:rsidRPr="00AE6EDB">
              <w:rPr>
                <w:sz w:val="20"/>
                <w:szCs w:val="20"/>
              </w:rPr>
              <w:t>67,3</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13,8</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15,6</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3,3</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BG</w:t>
            </w:r>
          </w:p>
        </w:tc>
        <w:tc>
          <w:tcPr>
            <w:tcW w:w="1077" w:type="dxa"/>
            <w:vAlign w:val="bottom"/>
          </w:tcPr>
          <w:p w:rsidR="000A7585" w:rsidRPr="00AE6EDB" w:rsidRDefault="004669D4" w:rsidP="00DE0EEC">
            <w:pPr>
              <w:ind w:firstLine="0"/>
              <w:jc w:val="right"/>
              <w:rPr>
                <w:sz w:val="20"/>
                <w:szCs w:val="20"/>
              </w:rPr>
            </w:pPr>
            <w:r w:rsidRPr="00AE6EDB">
              <w:rPr>
                <w:sz w:val="20"/>
                <w:szCs w:val="20"/>
              </w:rPr>
              <w:t>282</w:t>
            </w:r>
          </w:p>
        </w:tc>
        <w:tc>
          <w:tcPr>
            <w:tcW w:w="1020" w:type="dxa"/>
            <w:vAlign w:val="bottom"/>
          </w:tcPr>
          <w:p w:rsidR="000A7585" w:rsidRPr="00AE6EDB" w:rsidRDefault="00592637" w:rsidP="00DE0EEC">
            <w:pPr>
              <w:ind w:firstLine="0"/>
              <w:jc w:val="right"/>
              <w:rPr>
                <w:sz w:val="20"/>
                <w:szCs w:val="20"/>
              </w:rPr>
            </w:pPr>
            <w:r w:rsidRPr="00AE6EDB">
              <w:rPr>
                <w:sz w:val="20"/>
                <w:szCs w:val="20"/>
              </w:rPr>
              <w:t>862</w:t>
            </w:r>
          </w:p>
        </w:tc>
        <w:tc>
          <w:tcPr>
            <w:tcW w:w="624" w:type="dxa"/>
            <w:vAlign w:val="bottom"/>
          </w:tcPr>
          <w:p w:rsidR="000A7585" w:rsidRPr="00AE6EDB" w:rsidRDefault="00592637" w:rsidP="00DE0EEC">
            <w:pPr>
              <w:ind w:firstLine="0"/>
              <w:jc w:val="right"/>
              <w:rPr>
                <w:sz w:val="20"/>
                <w:szCs w:val="20"/>
              </w:rPr>
            </w:pPr>
            <w:r w:rsidRPr="00AE6EDB">
              <w:rPr>
                <w:sz w:val="20"/>
                <w:szCs w:val="20"/>
              </w:rPr>
              <w:t>6,6</w:t>
            </w:r>
          </w:p>
        </w:tc>
        <w:tc>
          <w:tcPr>
            <w:tcW w:w="907" w:type="dxa"/>
            <w:vAlign w:val="bottom"/>
          </w:tcPr>
          <w:p w:rsidR="000A7585" w:rsidRPr="00AE6EDB" w:rsidRDefault="002D61E4" w:rsidP="00DE0EEC">
            <w:pPr>
              <w:ind w:right="113" w:firstLine="0"/>
              <w:jc w:val="right"/>
              <w:rPr>
                <w:sz w:val="20"/>
                <w:szCs w:val="20"/>
              </w:rPr>
            </w:pPr>
            <w:r w:rsidRPr="00AE6EDB">
              <w:rPr>
                <w:sz w:val="20"/>
                <w:szCs w:val="20"/>
              </w:rPr>
              <w:t>7</w:t>
            </w:r>
            <w:r w:rsidR="00E95D5A" w:rsidRPr="00AE6EDB">
              <w:rPr>
                <w:sz w:val="20"/>
                <w:szCs w:val="20"/>
              </w:rPr>
              <w:t>6,2</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10,7</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9,2</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3,8</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CZ</w:t>
            </w:r>
          </w:p>
        </w:tc>
        <w:tc>
          <w:tcPr>
            <w:tcW w:w="1077" w:type="dxa"/>
            <w:vAlign w:val="bottom"/>
          </w:tcPr>
          <w:p w:rsidR="000A7585" w:rsidRPr="00AE6EDB" w:rsidRDefault="004669D4" w:rsidP="00DE0EEC">
            <w:pPr>
              <w:ind w:firstLine="0"/>
              <w:jc w:val="right"/>
              <w:rPr>
                <w:sz w:val="20"/>
                <w:szCs w:val="20"/>
              </w:rPr>
            </w:pPr>
            <w:r w:rsidRPr="00AE6EDB">
              <w:rPr>
                <w:sz w:val="20"/>
                <w:szCs w:val="20"/>
              </w:rPr>
              <w:t>841</w:t>
            </w:r>
          </w:p>
        </w:tc>
        <w:tc>
          <w:tcPr>
            <w:tcW w:w="1020" w:type="dxa"/>
            <w:vAlign w:val="bottom"/>
          </w:tcPr>
          <w:p w:rsidR="000A7585" w:rsidRPr="00AE6EDB" w:rsidRDefault="0054295F" w:rsidP="00DE0EEC">
            <w:pPr>
              <w:ind w:firstLine="0"/>
              <w:jc w:val="right"/>
              <w:rPr>
                <w:sz w:val="20"/>
                <w:szCs w:val="20"/>
              </w:rPr>
            </w:pPr>
            <w:r>
              <w:rPr>
                <w:sz w:val="20"/>
                <w:szCs w:val="20"/>
              </w:rPr>
              <w:t>1 7</w:t>
            </w:r>
            <w:r w:rsidR="00592637" w:rsidRPr="00AE6EDB">
              <w:rPr>
                <w:sz w:val="20"/>
                <w:szCs w:val="20"/>
              </w:rPr>
              <w:t>03</w:t>
            </w:r>
          </w:p>
        </w:tc>
        <w:tc>
          <w:tcPr>
            <w:tcW w:w="624" w:type="dxa"/>
            <w:vAlign w:val="bottom"/>
          </w:tcPr>
          <w:p w:rsidR="000A7585" w:rsidRPr="00AE6EDB" w:rsidRDefault="00592637" w:rsidP="00DE0EEC">
            <w:pPr>
              <w:ind w:firstLine="0"/>
              <w:jc w:val="right"/>
              <w:rPr>
                <w:sz w:val="20"/>
                <w:szCs w:val="20"/>
              </w:rPr>
            </w:pPr>
            <w:r w:rsidRPr="00AE6EDB">
              <w:rPr>
                <w:sz w:val="20"/>
                <w:szCs w:val="20"/>
              </w:rPr>
              <w:t>7,4</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79,4</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2,5</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10,5</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0,1</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7,4</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DK</w:t>
            </w:r>
          </w:p>
        </w:tc>
        <w:tc>
          <w:tcPr>
            <w:tcW w:w="1077" w:type="dxa"/>
            <w:vAlign w:val="bottom"/>
          </w:tcPr>
          <w:p w:rsidR="000A7585" w:rsidRPr="00AE6EDB" w:rsidRDefault="0054295F" w:rsidP="00DE0EEC">
            <w:pPr>
              <w:ind w:firstLine="0"/>
              <w:jc w:val="right"/>
              <w:rPr>
                <w:sz w:val="20"/>
                <w:szCs w:val="20"/>
              </w:rPr>
            </w:pPr>
            <w:r>
              <w:rPr>
                <w:sz w:val="20"/>
                <w:szCs w:val="20"/>
              </w:rPr>
              <w:t>3 3</w:t>
            </w:r>
            <w:r w:rsidR="004669D4" w:rsidRPr="00AE6EDB">
              <w:rPr>
                <w:sz w:val="20"/>
                <w:szCs w:val="20"/>
              </w:rPr>
              <w:t>07</w:t>
            </w:r>
          </w:p>
        </w:tc>
        <w:tc>
          <w:tcPr>
            <w:tcW w:w="1020" w:type="dxa"/>
            <w:vAlign w:val="bottom"/>
          </w:tcPr>
          <w:p w:rsidR="000A7585" w:rsidRPr="00AE6EDB" w:rsidRDefault="0054295F" w:rsidP="00DE0EEC">
            <w:pPr>
              <w:ind w:firstLine="0"/>
              <w:jc w:val="right"/>
              <w:rPr>
                <w:sz w:val="20"/>
                <w:szCs w:val="20"/>
              </w:rPr>
            </w:pPr>
            <w:r>
              <w:rPr>
                <w:sz w:val="20"/>
                <w:szCs w:val="20"/>
              </w:rPr>
              <w:t>2 7</w:t>
            </w:r>
            <w:r w:rsidR="00592637" w:rsidRPr="00AE6EDB">
              <w:rPr>
                <w:sz w:val="20"/>
                <w:szCs w:val="20"/>
              </w:rPr>
              <w:t>88</w:t>
            </w:r>
          </w:p>
        </w:tc>
        <w:tc>
          <w:tcPr>
            <w:tcW w:w="624" w:type="dxa"/>
            <w:vAlign w:val="bottom"/>
          </w:tcPr>
          <w:p w:rsidR="000A7585" w:rsidRPr="00AE6EDB" w:rsidRDefault="00592637" w:rsidP="00DE0EEC">
            <w:pPr>
              <w:ind w:firstLine="0"/>
              <w:jc w:val="right"/>
              <w:rPr>
                <w:sz w:val="20"/>
                <w:szCs w:val="20"/>
              </w:rPr>
            </w:pPr>
            <w:r w:rsidRPr="00AE6EDB">
              <w:rPr>
                <w:sz w:val="20"/>
                <w:szCs w:val="20"/>
              </w:rPr>
              <w:t>8,6</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63,0</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7,0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0,1</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16,5</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13,5</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DE</w:t>
            </w:r>
          </w:p>
        </w:tc>
        <w:tc>
          <w:tcPr>
            <w:tcW w:w="1077" w:type="dxa"/>
            <w:vAlign w:val="bottom"/>
          </w:tcPr>
          <w:p w:rsidR="000A7585" w:rsidRPr="00AE6EDB" w:rsidRDefault="0054295F" w:rsidP="00DE0EEC">
            <w:pPr>
              <w:ind w:firstLine="0"/>
              <w:jc w:val="right"/>
              <w:rPr>
                <w:sz w:val="20"/>
                <w:szCs w:val="20"/>
              </w:rPr>
            </w:pPr>
            <w:r>
              <w:rPr>
                <w:sz w:val="20"/>
                <w:szCs w:val="20"/>
              </w:rPr>
              <w:t>2 6</w:t>
            </w:r>
            <w:r w:rsidR="004669D4" w:rsidRPr="00AE6EDB">
              <w:rPr>
                <w:sz w:val="20"/>
                <w:szCs w:val="20"/>
              </w:rPr>
              <w:t>35</w:t>
            </w:r>
          </w:p>
        </w:tc>
        <w:tc>
          <w:tcPr>
            <w:tcW w:w="1020" w:type="dxa"/>
            <w:vAlign w:val="bottom"/>
          </w:tcPr>
          <w:p w:rsidR="000A7585" w:rsidRPr="00AE6EDB" w:rsidRDefault="00592637" w:rsidP="00DE0EEC">
            <w:pPr>
              <w:ind w:firstLine="0"/>
              <w:jc w:val="right"/>
              <w:rPr>
                <w:sz w:val="20"/>
                <w:szCs w:val="20"/>
              </w:rPr>
            </w:pPr>
            <w:r w:rsidRPr="00AE6EDB">
              <w:rPr>
                <w:sz w:val="20"/>
                <w:szCs w:val="20"/>
              </w:rPr>
              <w:t xml:space="preserve"> </w:t>
            </w:r>
            <w:r w:rsidR="0054295F">
              <w:rPr>
                <w:sz w:val="20"/>
                <w:szCs w:val="20"/>
              </w:rPr>
              <w:t>2 8</w:t>
            </w:r>
            <w:r w:rsidRPr="00AE6EDB">
              <w:rPr>
                <w:sz w:val="20"/>
                <w:szCs w:val="20"/>
              </w:rPr>
              <w:t>83</w:t>
            </w:r>
          </w:p>
        </w:tc>
        <w:tc>
          <w:tcPr>
            <w:tcW w:w="624" w:type="dxa"/>
            <w:vAlign w:val="bottom"/>
          </w:tcPr>
          <w:p w:rsidR="000A7585" w:rsidRPr="00AE6EDB" w:rsidRDefault="00592637" w:rsidP="00DE0EEC">
            <w:pPr>
              <w:ind w:firstLine="0"/>
              <w:jc w:val="right"/>
              <w:rPr>
                <w:sz w:val="20"/>
                <w:szCs w:val="20"/>
              </w:rPr>
            </w:pPr>
            <w:r w:rsidRPr="00AE6EDB">
              <w:rPr>
                <w:sz w:val="20"/>
                <w:szCs w:val="20"/>
              </w:rPr>
              <w:t>8,5</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71,6</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4,0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1,4</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6,6</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15,9</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0,5</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EE</w:t>
            </w:r>
          </w:p>
        </w:tc>
        <w:tc>
          <w:tcPr>
            <w:tcW w:w="1077" w:type="dxa"/>
            <w:vAlign w:val="bottom"/>
          </w:tcPr>
          <w:p w:rsidR="000A7585" w:rsidRPr="00AE6EDB" w:rsidRDefault="004669D4" w:rsidP="00DE0EEC">
            <w:pPr>
              <w:ind w:firstLine="0"/>
              <w:jc w:val="right"/>
              <w:rPr>
                <w:sz w:val="20"/>
                <w:szCs w:val="20"/>
              </w:rPr>
            </w:pPr>
            <w:r w:rsidRPr="00AE6EDB">
              <w:rPr>
                <w:sz w:val="20"/>
                <w:szCs w:val="20"/>
              </w:rPr>
              <w:t>480</w:t>
            </w:r>
          </w:p>
        </w:tc>
        <w:tc>
          <w:tcPr>
            <w:tcW w:w="1020" w:type="dxa"/>
            <w:vAlign w:val="bottom"/>
          </w:tcPr>
          <w:p w:rsidR="000A7585" w:rsidRPr="00AE6EDB" w:rsidRDefault="00592637" w:rsidP="00DE0EEC">
            <w:pPr>
              <w:ind w:firstLine="0"/>
              <w:jc w:val="right"/>
              <w:rPr>
                <w:sz w:val="20"/>
                <w:szCs w:val="20"/>
              </w:rPr>
            </w:pPr>
            <w:r w:rsidRPr="00AE6EDB">
              <w:rPr>
                <w:sz w:val="20"/>
                <w:szCs w:val="20"/>
              </w:rPr>
              <w:t>944</w:t>
            </w:r>
          </w:p>
        </w:tc>
        <w:tc>
          <w:tcPr>
            <w:tcW w:w="624" w:type="dxa"/>
            <w:vAlign w:val="bottom"/>
          </w:tcPr>
          <w:p w:rsidR="000A7585" w:rsidRPr="00AE6EDB" w:rsidRDefault="00592637" w:rsidP="00DE0EEC">
            <w:pPr>
              <w:ind w:firstLine="0"/>
              <w:jc w:val="right"/>
              <w:rPr>
                <w:sz w:val="20"/>
                <w:szCs w:val="20"/>
              </w:rPr>
            </w:pPr>
            <w:r w:rsidRPr="00AE6EDB">
              <w:rPr>
                <w:sz w:val="20"/>
                <w:szCs w:val="20"/>
              </w:rPr>
              <w:t>4,7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62,8</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21,2</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15,2</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0,9</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IE</w:t>
            </w:r>
          </w:p>
        </w:tc>
        <w:tc>
          <w:tcPr>
            <w:tcW w:w="1077" w:type="dxa"/>
            <w:vAlign w:val="bottom"/>
          </w:tcPr>
          <w:p w:rsidR="000A7585" w:rsidRPr="00AE6EDB" w:rsidRDefault="004669D4" w:rsidP="00DE0EEC">
            <w:pPr>
              <w:ind w:firstLine="0"/>
              <w:jc w:val="right"/>
              <w:rPr>
                <w:sz w:val="20"/>
                <w:szCs w:val="20"/>
              </w:rPr>
            </w:pPr>
            <w:r w:rsidRPr="00AE6EDB">
              <w:rPr>
                <w:sz w:val="20"/>
                <w:szCs w:val="20"/>
              </w:rPr>
              <w:t>:</w:t>
            </w:r>
          </w:p>
        </w:tc>
        <w:tc>
          <w:tcPr>
            <w:tcW w:w="1020" w:type="dxa"/>
            <w:vAlign w:val="bottom"/>
          </w:tcPr>
          <w:p w:rsidR="000A7585" w:rsidRPr="00AE6EDB" w:rsidRDefault="0054295F" w:rsidP="00DE0EEC">
            <w:pPr>
              <w:ind w:firstLine="0"/>
              <w:jc w:val="right"/>
              <w:rPr>
                <w:sz w:val="20"/>
                <w:szCs w:val="20"/>
              </w:rPr>
            </w:pPr>
            <w:r>
              <w:rPr>
                <w:sz w:val="20"/>
                <w:szCs w:val="20"/>
              </w:rPr>
              <w:t>1 6</w:t>
            </w:r>
            <w:r w:rsidR="00592637" w:rsidRPr="00AE6EDB">
              <w:rPr>
                <w:sz w:val="20"/>
                <w:szCs w:val="20"/>
              </w:rPr>
              <w:t>44</w:t>
            </w:r>
          </w:p>
        </w:tc>
        <w:tc>
          <w:tcPr>
            <w:tcW w:w="624" w:type="dxa"/>
            <w:vAlign w:val="bottom"/>
          </w:tcPr>
          <w:p w:rsidR="000A7585" w:rsidRPr="00AE6EDB" w:rsidRDefault="00592637" w:rsidP="00DE0EEC">
            <w:pPr>
              <w:ind w:firstLine="0"/>
              <w:jc w:val="right"/>
              <w:rPr>
                <w:sz w:val="20"/>
                <w:szCs w:val="20"/>
              </w:rPr>
            </w:pPr>
            <w:r w:rsidRPr="00AE6EDB">
              <w:rPr>
                <w:sz w:val="20"/>
                <w:szCs w:val="20"/>
              </w:rPr>
              <w:t>5,2</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76,2</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1,1</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15,9</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6,4</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0,3</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GR</w:t>
            </w:r>
          </w:p>
        </w:tc>
        <w:tc>
          <w:tcPr>
            <w:tcW w:w="1077" w:type="dxa"/>
            <w:vAlign w:val="bottom"/>
          </w:tcPr>
          <w:p w:rsidR="000A7585" w:rsidRPr="00AE6EDB" w:rsidRDefault="004669D4" w:rsidP="00DE0EEC">
            <w:pPr>
              <w:ind w:firstLine="0"/>
              <w:jc w:val="right"/>
              <w:rPr>
                <w:sz w:val="20"/>
                <w:szCs w:val="20"/>
              </w:rPr>
            </w:pPr>
            <w:r w:rsidRPr="00AE6EDB">
              <w:rPr>
                <w:sz w:val="20"/>
                <w:szCs w:val="20"/>
              </w:rPr>
              <w:t>:</w:t>
            </w:r>
          </w:p>
        </w:tc>
        <w:tc>
          <w:tcPr>
            <w:tcW w:w="1020" w:type="dxa"/>
            <w:vAlign w:val="bottom"/>
          </w:tcPr>
          <w:p w:rsidR="000A7585" w:rsidRPr="00AE6EDB" w:rsidRDefault="00592637" w:rsidP="00DE0EEC">
            <w:pPr>
              <w:ind w:firstLine="0"/>
              <w:jc w:val="right"/>
              <w:rPr>
                <w:sz w:val="20"/>
                <w:szCs w:val="20"/>
              </w:rPr>
            </w:pPr>
            <w:r w:rsidRPr="00AE6EDB">
              <w:rPr>
                <w:sz w:val="20"/>
                <w:szCs w:val="20"/>
              </w:rPr>
              <w:t>:</w:t>
            </w:r>
          </w:p>
        </w:tc>
        <w:tc>
          <w:tcPr>
            <w:tcW w:w="624" w:type="dxa"/>
            <w:vAlign w:val="bottom"/>
          </w:tcPr>
          <w:p w:rsidR="000A7585" w:rsidRPr="00AE6EDB" w:rsidRDefault="00592637" w:rsidP="00DE0EEC">
            <w:pPr>
              <w:ind w:firstLine="0"/>
              <w:jc w:val="right"/>
              <w:rPr>
                <w:sz w:val="20"/>
                <w:szCs w:val="20"/>
              </w:rPr>
            </w:pPr>
            <w:r w:rsidRPr="00AE6EDB">
              <w:rPr>
                <w:sz w:val="20"/>
                <w:szCs w:val="20"/>
              </w:rPr>
              <w:t>:</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ES</w:t>
            </w:r>
          </w:p>
        </w:tc>
        <w:tc>
          <w:tcPr>
            <w:tcW w:w="1077" w:type="dxa"/>
            <w:vAlign w:val="bottom"/>
          </w:tcPr>
          <w:p w:rsidR="000A7585" w:rsidRPr="00AE6EDB" w:rsidRDefault="0054295F" w:rsidP="00DE0EEC">
            <w:pPr>
              <w:ind w:firstLine="0"/>
              <w:jc w:val="right"/>
              <w:rPr>
                <w:sz w:val="20"/>
                <w:szCs w:val="20"/>
              </w:rPr>
            </w:pPr>
            <w:r>
              <w:rPr>
                <w:sz w:val="20"/>
                <w:szCs w:val="20"/>
              </w:rPr>
              <w:t>1 4</w:t>
            </w:r>
            <w:r w:rsidR="004669D4" w:rsidRPr="00AE6EDB">
              <w:rPr>
                <w:sz w:val="20"/>
                <w:szCs w:val="20"/>
              </w:rPr>
              <w:t>55</w:t>
            </w:r>
          </w:p>
        </w:tc>
        <w:tc>
          <w:tcPr>
            <w:tcW w:w="1020" w:type="dxa"/>
            <w:vAlign w:val="bottom"/>
          </w:tcPr>
          <w:p w:rsidR="000A7585" w:rsidRPr="00AE6EDB" w:rsidRDefault="0054295F" w:rsidP="00DE0EEC">
            <w:pPr>
              <w:ind w:firstLine="0"/>
              <w:jc w:val="right"/>
              <w:rPr>
                <w:sz w:val="20"/>
                <w:szCs w:val="20"/>
              </w:rPr>
            </w:pPr>
            <w:r>
              <w:rPr>
                <w:sz w:val="20"/>
                <w:szCs w:val="20"/>
              </w:rPr>
              <w:t>1 8</w:t>
            </w:r>
            <w:r w:rsidR="00592637" w:rsidRPr="00AE6EDB">
              <w:rPr>
                <w:sz w:val="20"/>
                <w:szCs w:val="20"/>
              </w:rPr>
              <w:t>69</w:t>
            </w:r>
          </w:p>
        </w:tc>
        <w:tc>
          <w:tcPr>
            <w:tcW w:w="624" w:type="dxa"/>
            <w:vAlign w:val="bottom"/>
          </w:tcPr>
          <w:p w:rsidR="000A7585" w:rsidRPr="00AE6EDB" w:rsidRDefault="00592637" w:rsidP="00DE0EEC">
            <w:pPr>
              <w:ind w:firstLine="0"/>
              <w:jc w:val="right"/>
              <w:rPr>
                <w:sz w:val="20"/>
                <w:szCs w:val="20"/>
              </w:rPr>
            </w:pPr>
            <w:r w:rsidRPr="00AE6EDB">
              <w:rPr>
                <w:sz w:val="20"/>
                <w:szCs w:val="20"/>
              </w:rPr>
              <w:t>7,8</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62,2</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7,1</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11,3</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19,2</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0,1</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FR</w:t>
            </w:r>
          </w:p>
        </w:tc>
        <w:tc>
          <w:tcPr>
            <w:tcW w:w="1077" w:type="dxa"/>
            <w:vAlign w:val="bottom"/>
          </w:tcPr>
          <w:p w:rsidR="000A7585" w:rsidRPr="00AE6EDB" w:rsidRDefault="0054295F" w:rsidP="00DE0EEC">
            <w:pPr>
              <w:ind w:firstLine="0"/>
              <w:jc w:val="right"/>
              <w:rPr>
                <w:sz w:val="20"/>
                <w:szCs w:val="20"/>
              </w:rPr>
            </w:pPr>
            <w:r>
              <w:rPr>
                <w:sz w:val="20"/>
                <w:szCs w:val="20"/>
              </w:rPr>
              <w:t>3 4</w:t>
            </w:r>
            <w:r w:rsidR="004669D4" w:rsidRPr="00AE6EDB">
              <w:rPr>
                <w:sz w:val="20"/>
                <w:szCs w:val="20"/>
              </w:rPr>
              <w:t>87</w:t>
            </w:r>
          </w:p>
        </w:tc>
        <w:tc>
          <w:tcPr>
            <w:tcW w:w="1020" w:type="dxa"/>
            <w:vAlign w:val="bottom"/>
          </w:tcPr>
          <w:p w:rsidR="000A7585" w:rsidRPr="00AE6EDB" w:rsidRDefault="0054295F" w:rsidP="00DE0EEC">
            <w:pPr>
              <w:ind w:firstLine="0"/>
              <w:jc w:val="right"/>
              <w:rPr>
                <w:sz w:val="20"/>
                <w:szCs w:val="20"/>
              </w:rPr>
            </w:pPr>
            <w:r>
              <w:rPr>
                <w:sz w:val="20"/>
                <w:szCs w:val="20"/>
              </w:rPr>
              <w:t>3 5</w:t>
            </w:r>
            <w:r w:rsidR="00592637" w:rsidRPr="00AE6EDB">
              <w:rPr>
                <w:sz w:val="20"/>
                <w:szCs w:val="20"/>
              </w:rPr>
              <w:t>45</w:t>
            </w:r>
          </w:p>
        </w:tc>
        <w:tc>
          <w:tcPr>
            <w:tcW w:w="624" w:type="dxa"/>
            <w:vAlign w:val="bottom"/>
          </w:tcPr>
          <w:p w:rsidR="000A7585" w:rsidRPr="00AE6EDB" w:rsidRDefault="00592637" w:rsidP="00DE0EEC">
            <w:pPr>
              <w:ind w:firstLine="0"/>
              <w:jc w:val="right"/>
              <w:rPr>
                <w:sz w:val="20"/>
                <w:szCs w:val="20"/>
              </w:rPr>
            </w:pPr>
            <w:r w:rsidRPr="00AE6EDB">
              <w:rPr>
                <w:sz w:val="20"/>
                <w:szCs w:val="20"/>
              </w:rPr>
              <w:t>12,2</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81,1</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7,3</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0,1</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11,3</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0,3</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HR</w:t>
            </w:r>
          </w:p>
        </w:tc>
        <w:tc>
          <w:tcPr>
            <w:tcW w:w="1077" w:type="dxa"/>
            <w:vAlign w:val="bottom"/>
          </w:tcPr>
          <w:p w:rsidR="000A7585" w:rsidRPr="00AE6EDB" w:rsidRDefault="004669D4" w:rsidP="00DE0EEC">
            <w:pPr>
              <w:ind w:firstLine="0"/>
              <w:jc w:val="right"/>
              <w:rPr>
                <w:sz w:val="20"/>
                <w:szCs w:val="20"/>
              </w:rPr>
            </w:pPr>
            <w:r w:rsidRPr="00AE6EDB">
              <w:rPr>
                <w:sz w:val="20"/>
                <w:szCs w:val="20"/>
              </w:rPr>
              <w:t>387</w:t>
            </w:r>
          </w:p>
        </w:tc>
        <w:tc>
          <w:tcPr>
            <w:tcW w:w="1020" w:type="dxa"/>
            <w:vAlign w:val="bottom"/>
          </w:tcPr>
          <w:p w:rsidR="000A7585" w:rsidRPr="00AE6EDB" w:rsidRDefault="00592637" w:rsidP="00DE0EEC">
            <w:pPr>
              <w:ind w:firstLine="0"/>
              <w:jc w:val="right"/>
              <w:rPr>
                <w:sz w:val="20"/>
                <w:szCs w:val="20"/>
              </w:rPr>
            </w:pPr>
            <w:r w:rsidRPr="00AE6EDB">
              <w:rPr>
                <w:sz w:val="20"/>
                <w:szCs w:val="20"/>
              </w:rPr>
              <w:t>757</w:t>
            </w:r>
          </w:p>
        </w:tc>
        <w:tc>
          <w:tcPr>
            <w:tcW w:w="624" w:type="dxa"/>
            <w:vAlign w:val="bottom"/>
          </w:tcPr>
          <w:p w:rsidR="000A7585" w:rsidRPr="00AE6EDB" w:rsidRDefault="00592637" w:rsidP="00DE0EEC">
            <w:pPr>
              <w:ind w:firstLine="0"/>
              <w:jc w:val="right"/>
              <w:rPr>
                <w:sz w:val="20"/>
                <w:szCs w:val="20"/>
              </w:rPr>
            </w:pPr>
            <w:r w:rsidRPr="00AE6EDB">
              <w:rPr>
                <w:sz w:val="20"/>
                <w:szCs w:val="20"/>
              </w:rPr>
              <w:t>4,7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42,9</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11,1</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27,8</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18,2</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IT</w:t>
            </w:r>
          </w:p>
        </w:tc>
        <w:tc>
          <w:tcPr>
            <w:tcW w:w="1077" w:type="dxa"/>
            <w:vAlign w:val="bottom"/>
          </w:tcPr>
          <w:p w:rsidR="000A7585" w:rsidRPr="00AE6EDB" w:rsidRDefault="0054295F" w:rsidP="00DE0EEC">
            <w:pPr>
              <w:ind w:firstLine="0"/>
              <w:jc w:val="right"/>
              <w:rPr>
                <w:sz w:val="20"/>
                <w:szCs w:val="20"/>
              </w:rPr>
            </w:pPr>
            <w:r>
              <w:rPr>
                <w:sz w:val="20"/>
                <w:szCs w:val="20"/>
              </w:rPr>
              <w:t>2 6</w:t>
            </w:r>
            <w:r w:rsidR="004669D4" w:rsidRPr="00AE6EDB">
              <w:rPr>
                <w:sz w:val="20"/>
                <w:szCs w:val="20"/>
              </w:rPr>
              <w:t>10</w:t>
            </w:r>
          </w:p>
        </w:tc>
        <w:tc>
          <w:tcPr>
            <w:tcW w:w="1020" w:type="dxa"/>
            <w:vAlign w:val="bottom"/>
          </w:tcPr>
          <w:p w:rsidR="000A7585" w:rsidRPr="00AE6EDB" w:rsidRDefault="0054295F" w:rsidP="00DE0EEC">
            <w:pPr>
              <w:ind w:firstLine="0"/>
              <w:jc w:val="right"/>
              <w:rPr>
                <w:sz w:val="20"/>
                <w:szCs w:val="20"/>
              </w:rPr>
            </w:pPr>
            <w:r>
              <w:rPr>
                <w:sz w:val="20"/>
                <w:szCs w:val="20"/>
              </w:rPr>
              <w:t>2 9</w:t>
            </w:r>
            <w:r w:rsidR="00592637" w:rsidRPr="00AE6EDB">
              <w:rPr>
                <w:sz w:val="20"/>
                <w:szCs w:val="20"/>
              </w:rPr>
              <w:t>77</w:t>
            </w:r>
          </w:p>
        </w:tc>
        <w:tc>
          <w:tcPr>
            <w:tcW w:w="624" w:type="dxa"/>
            <w:vAlign w:val="bottom"/>
          </w:tcPr>
          <w:p w:rsidR="000A7585" w:rsidRPr="00AE6EDB" w:rsidRDefault="00592637" w:rsidP="00DE0EEC">
            <w:pPr>
              <w:ind w:firstLine="0"/>
              <w:jc w:val="right"/>
              <w:rPr>
                <w:sz w:val="20"/>
                <w:szCs w:val="20"/>
              </w:rPr>
            </w:pPr>
            <w:r w:rsidRPr="00AE6EDB">
              <w:rPr>
                <w:sz w:val="20"/>
                <w:szCs w:val="20"/>
              </w:rPr>
              <w:t>11,5</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69,4</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10,6</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1,6</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1,9</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16,1</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0,4</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CY</w:t>
            </w:r>
          </w:p>
        </w:tc>
        <w:tc>
          <w:tcPr>
            <w:tcW w:w="1077" w:type="dxa"/>
            <w:vAlign w:val="bottom"/>
          </w:tcPr>
          <w:p w:rsidR="000A7585" w:rsidRPr="00AE6EDB" w:rsidRDefault="0054295F" w:rsidP="00DE0EEC">
            <w:pPr>
              <w:ind w:firstLine="0"/>
              <w:jc w:val="right"/>
              <w:rPr>
                <w:sz w:val="20"/>
                <w:szCs w:val="20"/>
              </w:rPr>
            </w:pPr>
            <w:r>
              <w:rPr>
                <w:sz w:val="20"/>
                <w:szCs w:val="20"/>
              </w:rPr>
              <w:t>1 4</w:t>
            </w:r>
            <w:r w:rsidR="004669D4" w:rsidRPr="00AE6EDB">
              <w:rPr>
                <w:sz w:val="20"/>
                <w:szCs w:val="20"/>
              </w:rPr>
              <w:t>27</w:t>
            </w:r>
          </w:p>
        </w:tc>
        <w:tc>
          <w:tcPr>
            <w:tcW w:w="1020" w:type="dxa"/>
            <w:vAlign w:val="bottom"/>
          </w:tcPr>
          <w:p w:rsidR="000A7585" w:rsidRPr="00AE6EDB" w:rsidRDefault="0054295F" w:rsidP="00DE0EEC">
            <w:pPr>
              <w:ind w:firstLine="0"/>
              <w:jc w:val="right"/>
              <w:rPr>
                <w:sz w:val="20"/>
                <w:szCs w:val="20"/>
              </w:rPr>
            </w:pPr>
            <w:r>
              <w:rPr>
                <w:sz w:val="20"/>
                <w:szCs w:val="20"/>
              </w:rPr>
              <w:t>1 8</w:t>
            </w:r>
            <w:r w:rsidR="00592637" w:rsidRPr="00AE6EDB">
              <w:rPr>
                <w:sz w:val="20"/>
                <w:szCs w:val="20"/>
              </w:rPr>
              <w:t>57</w:t>
            </w:r>
          </w:p>
        </w:tc>
        <w:tc>
          <w:tcPr>
            <w:tcW w:w="624" w:type="dxa"/>
            <w:vAlign w:val="bottom"/>
          </w:tcPr>
          <w:p w:rsidR="000A7585" w:rsidRPr="00AE6EDB" w:rsidRDefault="00592637" w:rsidP="00DE0EEC">
            <w:pPr>
              <w:ind w:firstLine="0"/>
              <w:jc w:val="right"/>
              <w:rPr>
                <w:sz w:val="20"/>
                <w:szCs w:val="20"/>
              </w:rPr>
            </w:pPr>
            <w:r w:rsidRPr="00AE6EDB">
              <w:rPr>
                <w:sz w:val="20"/>
                <w:szCs w:val="20"/>
              </w:rPr>
              <w:t>8,1</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82,4</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0,3</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3,6</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13,7</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LV</w:t>
            </w:r>
          </w:p>
        </w:tc>
        <w:tc>
          <w:tcPr>
            <w:tcW w:w="1077" w:type="dxa"/>
            <w:vAlign w:val="bottom"/>
          </w:tcPr>
          <w:p w:rsidR="000A7585" w:rsidRPr="00AE6EDB" w:rsidRDefault="004669D4" w:rsidP="00DE0EEC">
            <w:pPr>
              <w:ind w:firstLine="0"/>
              <w:jc w:val="right"/>
              <w:rPr>
                <w:sz w:val="20"/>
                <w:szCs w:val="20"/>
              </w:rPr>
            </w:pPr>
            <w:r w:rsidRPr="00AE6EDB">
              <w:rPr>
                <w:sz w:val="20"/>
                <w:szCs w:val="20"/>
              </w:rPr>
              <w:t>539</w:t>
            </w:r>
          </w:p>
        </w:tc>
        <w:tc>
          <w:tcPr>
            <w:tcW w:w="1020" w:type="dxa"/>
            <w:vAlign w:val="bottom"/>
          </w:tcPr>
          <w:p w:rsidR="000A7585" w:rsidRPr="00AE6EDB" w:rsidRDefault="0054295F" w:rsidP="00DE0EEC">
            <w:pPr>
              <w:ind w:firstLine="0"/>
              <w:jc w:val="right"/>
              <w:rPr>
                <w:sz w:val="20"/>
                <w:szCs w:val="20"/>
              </w:rPr>
            </w:pPr>
            <w:r>
              <w:rPr>
                <w:sz w:val="20"/>
                <w:szCs w:val="20"/>
              </w:rPr>
              <w:t>1 2</w:t>
            </w:r>
            <w:r w:rsidR="00592637" w:rsidRPr="00AE6EDB">
              <w:rPr>
                <w:sz w:val="20"/>
                <w:szCs w:val="20"/>
              </w:rPr>
              <w:t>18</w:t>
            </w:r>
          </w:p>
        </w:tc>
        <w:tc>
          <w:tcPr>
            <w:tcW w:w="624" w:type="dxa"/>
            <w:vAlign w:val="bottom"/>
          </w:tcPr>
          <w:p w:rsidR="000A7585" w:rsidRPr="00AE6EDB" w:rsidRDefault="00592637" w:rsidP="00DE0EEC">
            <w:pPr>
              <w:ind w:firstLine="0"/>
              <w:jc w:val="right"/>
              <w:rPr>
                <w:sz w:val="20"/>
                <w:szCs w:val="20"/>
              </w:rPr>
            </w:pPr>
            <w:r w:rsidRPr="00AE6EDB">
              <w:rPr>
                <w:sz w:val="20"/>
                <w:szCs w:val="20"/>
              </w:rPr>
              <w:t>7,1</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86,6</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2,4</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9,3</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1,7</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LT</w:t>
            </w:r>
          </w:p>
        </w:tc>
        <w:tc>
          <w:tcPr>
            <w:tcW w:w="1077" w:type="dxa"/>
            <w:vAlign w:val="bottom"/>
          </w:tcPr>
          <w:p w:rsidR="000A7585" w:rsidRPr="00AE6EDB" w:rsidRDefault="004669D4" w:rsidP="00DE0EEC">
            <w:pPr>
              <w:ind w:firstLine="0"/>
              <w:jc w:val="right"/>
              <w:rPr>
                <w:sz w:val="20"/>
                <w:szCs w:val="20"/>
              </w:rPr>
            </w:pPr>
            <w:r w:rsidRPr="00AE6EDB">
              <w:rPr>
                <w:sz w:val="20"/>
                <w:szCs w:val="20"/>
              </w:rPr>
              <w:t>476</w:t>
            </w:r>
          </w:p>
        </w:tc>
        <w:tc>
          <w:tcPr>
            <w:tcW w:w="1020" w:type="dxa"/>
            <w:vAlign w:val="bottom"/>
          </w:tcPr>
          <w:p w:rsidR="000A7585" w:rsidRPr="00AE6EDB" w:rsidRDefault="0054295F" w:rsidP="00DE0EEC">
            <w:pPr>
              <w:ind w:firstLine="0"/>
              <w:jc w:val="right"/>
              <w:rPr>
                <w:sz w:val="20"/>
                <w:szCs w:val="20"/>
              </w:rPr>
            </w:pPr>
            <w:r>
              <w:rPr>
                <w:sz w:val="20"/>
                <w:szCs w:val="20"/>
              </w:rPr>
              <w:t>1 1</w:t>
            </w:r>
            <w:r w:rsidR="00592637" w:rsidRPr="00AE6EDB">
              <w:rPr>
                <w:sz w:val="20"/>
                <w:szCs w:val="20"/>
              </w:rPr>
              <w:t>50</w:t>
            </w:r>
          </w:p>
        </w:tc>
        <w:tc>
          <w:tcPr>
            <w:tcW w:w="624" w:type="dxa"/>
            <w:vAlign w:val="bottom"/>
          </w:tcPr>
          <w:p w:rsidR="000A7585" w:rsidRPr="00AE6EDB" w:rsidRDefault="00592637" w:rsidP="00DE0EEC">
            <w:pPr>
              <w:ind w:firstLine="0"/>
              <w:jc w:val="right"/>
              <w:rPr>
                <w:sz w:val="20"/>
                <w:szCs w:val="20"/>
              </w:rPr>
            </w:pPr>
            <w:r w:rsidRPr="00AE6EDB">
              <w:rPr>
                <w:sz w:val="20"/>
                <w:szCs w:val="20"/>
              </w:rPr>
              <w:t>5,7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78,7</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3,3</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13,1</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4,8</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LU</w:t>
            </w:r>
          </w:p>
        </w:tc>
        <w:tc>
          <w:tcPr>
            <w:tcW w:w="1077" w:type="dxa"/>
            <w:vAlign w:val="bottom"/>
          </w:tcPr>
          <w:p w:rsidR="000A7585" w:rsidRPr="00AE6EDB" w:rsidRDefault="0054295F" w:rsidP="00DE0EEC">
            <w:pPr>
              <w:ind w:firstLine="0"/>
              <w:jc w:val="right"/>
              <w:rPr>
                <w:sz w:val="20"/>
                <w:szCs w:val="20"/>
              </w:rPr>
            </w:pPr>
            <w:r>
              <w:rPr>
                <w:sz w:val="20"/>
                <w:szCs w:val="20"/>
              </w:rPr>
              <w:t>3 3</w:t>
            </w:r>
            <w:r w:rsidR="004669D4" w:rsidRPr="00AE6EDB">
              <w:rPr>
                <w:sz w:val="20"/>
                <w:szCs w:val="20"/>
              </w:rPr>
              <w:t>61</w:t>
            </w:r>
          </w:p>
        </w:tc>
        <w:tc>
          <w:tcPr>
            <w:tcW w:w="1020" w:type="dxa"/>
            <w:vAlign w:val="bottom"/>
          </w:tcPr>
          <w:p w:rsidR="000A7585" w:rsidRPr="00AE6EDB" w:rsidRDefault="0054295F" w:rsidP="00DE0EEC">
            <w:pPr>
              <w:ind w:firstLine="0"/>
              <w:jc w:val="right"/>
              <w:rPr>
                <w:sz w:val="20"/>
                <w:szCs w:val="20"/>
              </w:rPr>
            </w:pPr>
            <w:r>
              <w:rPr>
                <w:sz w:val="20"/>
                <w:szCs w:val="20"/>
              </w:rPr>
              <w:t>2 8</w:t>
            </w:r>
            <w:r w:rsidR="00592637" w:rsidRPr="00AE6EDB">
              <w:rPr>
                <w:sz w:val="20"/>
                <w:szCs w:val="20"/>
              </w:rPr>
              <w:t>88</w:t>
            </w:r>
          </w:p>
        </w:tc>
        <w:tc>
          <w:tcPr>
            <w:tcW w:w="624" w:type="dxa"/>
            <w:vAlign w:val="bottom"/>
          </w:tcPr>
          <w:p w:rsidR="000A7585" w:rsidRPr="00AE6EDB" w:rsidRDefault="00592637" w:rsidP="00DE0EEC">
            <w:pPr>
              <w:ind w:firstLine="0"/>
              <w:jc w:val="right"/>
              <w:rPr>
                <w:sz w:val="20"/>
                <w:szCs w:val="20"/>
              </w:rPr>
            </w:pPr>
            <w:r w:rsidRPr="00AE6EDB">
              <w:rPr>
                <w:sz w:val="20"/>
                <w:szCs w:val="20"/>
              </w:rPr>
              <w:t>4,6</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48,2</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21,3</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9,4</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19,3</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1,8</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HU</w:t>
            </w:r>
          </w:p>
        </w:tc>
        <w:tc>
          <w:tcPr>
            <w:tcW w:w="1077" w:type="dxa"/>
            <w:vAlign w:val="bottom"/>
          </w:tcPr>
          <w:p w:rsidR="000A7585" w:rsidRPr="00AE6EDB" w:rsidRDefault="004669D4" w:rsidP="00DE0EEC">
            <w:pPr>
              <w:ind w:firstLine="0"/>
              <w:jc w:val="right"/>
              <w:rPr>
                <w:sz w:val="20"/>
                <w:szCs w:val="20"/>
              </w:rPr>
            </w:pPr>
            <w:r w:rsidRPr="00AE6EDB">
              <w:rPr>
                <w:sz w:val="20"/>
                <w:szCs w:val="20"/>
              </w:rPr>
              <w:t>671</w:t>
            </w:r>
          </w:p>
        </w:tc>
        <w:tc>
          <w:tcPr>
            <w:tcW w:w="1020" w:type="dxa"/>
            <w:vAlign w:val="bottom"/>
          </w:tcPr>
          <w:p w:rsidR="000A7585" w:rsidRPr="00AE6EDB" w:rsidRDefault="0054295F" w:rsidP="00DE0EEC">
            <w:pPr>
              <w:ind w:firstLine="0"/>
              <w:jc w:val="right"/>
              <w:rPr>
                <w:sz w:val="20"/>
                <w:szCs w:val="20"/>
              </w:rPr>
            </w:pPr>
            <w:r>
              <w:rPr>
                <w:sz w:val="20"/>
                <w:szCs w:val="20"/>
              </w:rPr>
              <w:t>1 4</w:t>
            </w:r>
            <w:r w:rsidR="00592637" w:rsidRPr="00AE6EDB">
              <w:rPr>
                <w:sz w:val="20"/>
                <w:szCs w:val="20"/>
              </w:rPr>
              <w:t>49</w:t>
            </w:r>
          </w:p>
        </w:tc>
        <w:tc>
          <w:tcPr>
            <w:tcW w:w="624" w:type="dxa"/>
            <w:vAlign w:val="bottom"/>
          </w:tcPr>
          <w:p w:rsidR="000A7585" w:rsidRPr="00AE6EDB" w:rsidRDefault="00592637" w:rsidP="00DE0EEC">
            <w:pPr>
              <w:ind w:firstLine="0"/>
              <w:jc w:val="right"/>
              <w:rPr>
                <w:sz w:val="20"/>
                <w:szCs w:val="20"/>
              </w:rPr>
            </w:pPr>
            <w:r w:rsidRPr="00AE6EDB">
              <w:rPr>
                <w:sz w:val="20"/>
                <w:szCs w:val="20"/>
              </w:rPr>
              <w:t>7,7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82,0</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4,8</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13,2</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MT</w:t>
            </w:r>
          </w:p>
        </w:tc>
        <w:tc>
          <w:tcPr>
            <w:tcW w:w="1077" w:type="dxa"/>
            <w:vAlign w:val="bottom"/>
          </w:tcPr>
          <w:p w:rsidR="000A7585" w:rsidRPr="00AE6EDB" w:rsidRDefault="004669D4" w:rsidP="00DE0EEC">
            <w:pPr>
              <w:ind w:firstLine="0"/>
              <w:jc w:val="right"/>
              <w:rPr>
                <w:sz w:val="20"/>
                <w:szCs w:val="20"/>
              </w:rPr>
            </w:pPr>
            <w:r w:rsidRPr="00AE6EDB">
              <w:rPr>
                <w:sz w:val="20"/>
                <w:szCs w:val="20"/>
              </w:rPr>
              <w:t xml:space="preserve"> </w:t>
            </w:r>
            <w:r w:rsidR="0054295F">
              <w:rPr>
                <w:sz w:val="20"/>
                <w:szCs w:val="20"/>
              </w:rPr>
              <w:t>1 0</w:t>
            </w:r>
            <w:r w:rsidRPr="00AE6EDB">
              <w:rPr>
                <w:sz w:val="20"/>
                <w:szCs w:val="20"/>
              </w:rPr>
              <w:t>49</w:t>
            </w:r>
          </w:p>
        </w:tc>
        <w:tc>
          <w:tcPr>
            <w:tcW w:w="1020" w:type="dxa"/>
            <w:vAlign w:val="bottom"/>
          </w:tcPr>
          <w:p w:rsidR="000A7585" w:rsidRPr="00AE6EDB" w:rsidRDefault="0054295F" w:rsidP="00DE0EEC">
            <w:pPr>
              <w:ind w:firstLine="0"/>
              <w:jc w:val="right"/>
              <w:rPr>
                <w:sz w:val="20"/>
                <w:szCs w:val="20"/>
              </w:rPr>
            </w:pPr>
            <w:r>
              <w:rPr>
                <w:sz w:val="20"/>
                <w:szCs w:val="20"/>
              </w:rPr>
              <w:t>1 5</w:t>
            </w:r>
            <w:r w:rsidR="00592637" w:rsidRPr="00AE6EDB">
              <w:rPr>
                <w:sz w:val="20"/>
                <w:szCs w:val="20"/>
              </w:rPr>
              <w:t>34</w:t>
            </w:r>
          </w:p>
        </w:tc>
        <w:tc>
          <w:tcPr>
            <w:tcW w:w="624" w:type="dxa"/>
            <w:vAlign w:val="bottom"/>
          </w:tcPr>
          <w:p w:rsidR="000A7585" w:rsidRPr="00AE6EDB" w:rsidRDefault="00592637" w:rsidP="00DE0EEC">
            <w:pPr>
              <w:ind w:firstLine="0"/>
              <w:jc w:val="right"/>
              <w:rPr>
                <w:sz w:val="20"/>
                <w:szCs w:val="20"/>
              </w:rPr>
            </w:pPr>
            <w:r w:rsidRPr="00AE6EDB">
              <w:rPr>
                <w:sz w:val="20"/>
                <w:szCs w:val="20"/>
              </w:rPr>
              <w:t>6,9</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77,4</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5,2</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16,9</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0,5</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NL</w:t>
            </w:r>
          </w:p>
        </w:tc>
        <w:tc>
          <w:tcPr>
            <w:tcW w:w="1077" w:type="dxa"/>
            <w:vAlign w:val="bottom"/>
          </w:tcPr>
          <w:p w:rsidR="000A7585" w:rsidRPr="00AE6EDB" w:rsidRDefault="0054295F" w:rsidP="00DE0EEC">
            <w:pPr>
              <w:ind w:firstLine="0"/>
              <w:jc w:val="right"/>
              <w:rPr>
                <w:sz w:val="20"/>
                <w:szCs w:val="20"/>
              </w:rPr>
            </w:pPr>
            <w:r>
              <w:rPr>
                <w:sz w:val="20"/>
                <w:szCs w:val="20"/>
              </w:rPr>
              <w:t>3 3</w:t>
            </w:r>
            <w:r w:rsidR="004669D4" w:rsidRPr="00AE6EDB">
              <w:rPr>
                <w:sz w:val="20"/>
                <w:szCs w:val="20"/>
              </w:rPr>
              <w:t>35</w:t>
            </w:r>
          </w:p>
        </w:tc>
        <w:tc>
          <w:tcPr>
            <w:tcW w:w="1020" w:type="dxa"/>
            <w:vAlign w:val="bottom"/>
          </w:tcPr>
          <w:p w:rsidR="000A7585" w:rsidRPr="00AE6EDB" w:rsidRDefault="0054295F" w:rsidP="00DE0EEC">
            <w:pPr>
              <w:ind w:firstLine="0"/>
              <w:jc w:val="right"/>
              <w:rPr>
                <w:sz w:val="20"/>
                <w:szCs w:val="20"/>
              </w:rPr>
            </w:pPr>
            <w:r>
              <w:rPr>
                <w:sz w:val="20"/>
                <w:szCs w:val="20"/>
              </w:rPr>
              <w:t>3 3</w:t>
            </w:r>
            <w:r w:rsidR="00592637" w:rsidRPr="00AE6EDB">
              <w:rPr>
                <w:sz w:val="20"/>
                <w:szCs w:val="20"/>
              </w:rPr>
              <w:t>25</w:t>
            </w:r>
          </w:p>
        </w:tc>
        <w:tc>
          <w:tcPr>
            <w:tcW w:w="624" w:type="dxa"/>
            <w:vAlign w:val="bottom"/>
          </w:tcPr>
          <w:p w:rsidR="000A7585" w:rsidRPr="00AE6EDB" w:rsidRDefault="00592637" w:rsidP="00DE0EEC">
            <w:pPr>
              <w:ind w:firstLine="0"/>
              <w:jc w:val="right"/>
              <w:rPr>
                <w:sz w:val="20"/>
                <w:szCs w:val="20"/>
              </w:rPr>
            </w:pPr>
            <w:r w:rsidRPr="00AE6EDB">
              <w:rPr>
                <w:sz w:val="20"/>
                <w:szCs w:val="20"/>
              </w:rPr>
              <w:t>9,8</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73,6</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1,9</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15,2</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9,2</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AT</w:t>
            </w:r>
          </w:p>
        </w:tc>
        <w:tc>
          <w:tcPr>
            <w:tcW w:w="1077" w:type="dxa"/>
            <w:vAlign w:val="bottom"/>
          </w:tcPr>
          <w:p w:rsidR="000A7585" w:rsidRPr="00AE6EDB" w:rsidRDefault="0054295F" w:rsidP="00DE0EEC">
            <w:pPr>
              <w:ind w:firstLine="0"/>
              <w:jc w:val="right"/>
              <w:rPr>
                <w:sz w:val="20"/>
                <w:szCs w:val="20"/>
              </w:rPr>
            </w:pPr>
            <w:r>
              <w:rPr>
                <w:sz w:val="20"/>
                <w:szCs w:val="20"/>
              </w:rPr>
              <w:t>3 4</w:t>
            </w:r>
            <w:r w:rsidR="004669D4" w:rsidRPr="00AE6EDB">
              <w:rPr>
                <w:sz w:val="20"/>
                <w:szCs w:val="20"/>
              </w:rPr>
              <w:t>20</w:t>
            </w:r>
          </w:p>
        </w:tc>
        <w:tc>
          <w:tcPr>
            <w:tcW w:w="1020" w:type="dxa"/>
            <w:vAlign w:val="bottom"/>
          </w:tcPr>
          <w:p w:rsidR="000A7585" w:rsidRPr="00AE6EDB" w:rsidRDefault="0054295F" w:rsidP="00DE0EEC">
            <w:pPr>
              <w:ind w:firstLine="0"/>
              <w:jc w:val="right"/>
              <w:rPr>
                <w:sz w:val="20"/>
                <w:szCs w:val="20"/>
              </w:rPr>
            </w:pPr>
            <w:r>
              <w:rPr>
                <w:sz w:val="20"/>
                <w:szCs w:val="20"/>
              </w:rPr>
              <w:t>3 6</w:t>
            </w:r>
            <w:r w:rsidR="00592637" w:rsidRPr="00AE6EDB">
              <w:rPr>
                <w:sz w:val="20"/>
                <w:szCs w:val="20"/>
              </w:rPr>
              <w:t>07</w:t>
            </w:r>
          </w:p>
        </w:tc>
        <w:tc>
          <w:tcPr>
            <w:tcW w:w="624" w:type="dxa"/>
            <w:vAlign w:val="bottom"/>
          </w:tcPr>
          <w:p w:rsidR="000A7585" w:rsidRPr="00AE6EDB" w:rsidRDefault="00592637" w:rsidP="00DE0EEC">
            <w:pPr>
              <w:ind w:firstLine="0"/>
              <w:jc w:val="right"/>
              <w:rPr>
                <w:sz w:val="20"/>
                <w:szCs w:val="20"/>
              </w:rPr>
            </w:pPr>
            <w:r w:rsidRPr="00AE6EDB">
              <w:rPr>
                <w:sz w:val="20"/>
                <w:szCs w:val="20"/>
              </w:rPr>
              <w:t>10,7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72,2</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6,2</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9,2</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12,3</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0,2</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PL</w:t>
            </w:r>
          </w:p>
        </w:tc>
        <w:tc>
          <w:tcPr>
            <w:tcW w:w="1077" w:type="dxa"/>
            <w:vAlign w:val="bottom"/>
          </w:tcPr>
          <w:p w:rsidR="000A7585" w:rsidRPr="00AE6EDB" w:rsidRDefault="004669D4" w:rsidP="00DE0EEC">
            <w:pPr>
              <w:ind w:firstLine="0"/>
              <w:jc w:val="right"/>
              <w:rPr>
                <w:sz w:val="20"/>
                <w:szCs w:val="20"/>
              </w:rPr>
            </w:pPr>
            <w:r w:rsidRPr="00AE6EDB">
              <w:rPr>
                <w:sz w:val="20"/>
                <w:szCs w:val="20"/>
              </w:rPr>
              <w:t>:</w:t>
            </w:r>
          </w:p>
        </w:tc>
        <w:tc>
          <w:tcPr>
            <w:tcW w:w="1020" w:type="dxa"/>
            <w:vAlign w:val="bottom"/>
          </w:tcPr>
          <w:p w:rsidR="000A7585" w:rsidRPr="00AE6EDB" w:rsidRDefault="00592637" w:rsidP="00DE0EEC">
            <w:pPr>
              <w:ind w:firstLine="0"/>
              <w:jc w:val="right"/>
              <w:rPr>
                <w:sz w:val="20"/>
                <w:szCs w:val="20"/>
              </w:rPr>
            </w:pPr>
            <w:r w:rsidRPr="00AE6EDB">
              <w:rPr>
                <w:sz w:val="20"/>
                <w:szCs w:val="20"/>
              </w:rPr>
              <w:t>:</w:t>
            </w:r>
          </w:p>
        </w:tc>
        <w:tc>
          <w:tcPr>
            <w:tcW w:w="624" w:type="dxa"/>
            <w:vAlign w:val="bottom"/>
          </w:tcPr>
          <w:p w:rsidR="000A7585" w:rsidRPr="00AE6EDB" w:rsidRDefault="00592637" w:rsidP="00DE0EEC">
            <w:pPr>
              <w:ind w:firstLine="0"/>
              <w:jc w:val="right"/>
              <w:rPr>
                <w:sz w:val="20"/>
                <w:szCs w:val="20"/>
              </w:rPr>
            </w:pPr>
            <w:r w:rsidRPr="00AE6EDB">
              <w:rPr>
                <w:sz w:val="20"/>
                <w:szCs w:val="20"/>
              </w:rPr>
              <w:t>:</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PT</w:t>
            </w:r>
          </w:p>
        </w:tc>
        <w:tc>
          <w:tcPr>
            <w:tcW w:w="1077" w:type="dxa"/>
            <w:vAlign w:val="bottom"/>
          </w:tcPr>
          <w:p w:rsidR="000A7585" w:rsidRPr="00AE6EDB" w:rsidRDefault="0054295F" w:rsidP="00DE0EEC">
            <w:pPr>
              <w:ind w:firstLine="0"/>
              <w:jc w:val="right"/>
              <w:rPr>
                <w:sz w:val="20"/>
                <w:szCs w:val="20"/>
              </w:rPr>
            </w:pPr>
            <w:r>
              <w:rPr>
                <w:sz w:val="20"/>
                <w:szCs w:val="20"/>
              </w:rPr>
              <w:t>1 6</w:t>
            </w:r>
            <w:r w:rsidR="004669D4" w:rsidRPr="00AE6EDB">
              <w:rPr>
                <w:sz w:val="20"/>
                <w:szCs w:val="20"/>
              </w:rPr>
              <w:t>65</w:t>
            </w:r>
          </w:p>
        </w:tc>
        <w:tc>
          <w:tcPr>
            <w:tcW w:w="1020" w:type="dxa"/>
            <w:vAlign w:val="bottom"/>
          </w:tcPr>
          <w:p w:rsidR="000A7585" w:rsidRPr="00AE6EDB" w:rsidRDefault="0054295F" w:rsidP="00DE0EEC">
            <w:pPr>
              <w:ind w:firstLine="0"/>
              <w:jc w:val="right"/>
              <w:rPr>
                <w:sz w:val="20"/>
                <w:szCs w:val="20"/>
              </w:rPr>
            </w:pPr>
            <w:r>
              <w:rPr>
                <w:sz w:val="20"/>
                <w:szCs w:val="20"/>
              </w:rPr>
              <w:t>2 3</w:t>
            </w:r>
            <w:r w:rsidR="00592637" w:rsidRPr="00AE6EDB">
              <w:rPr>
                <w:sz w:val="20"/>
                <w:szCs w:val="20"/>
              </w:rPr>
              <w:t>74</w:t>
            </w:r>
          </w:p>
        </w:tc>
        <w:tc>
          <w:tcPr>
            <w:tcW w:w="624" w:type="dxa"/>
            <w:vAlign w:val="bottom"/>
          </w:tcPr>
          <w:p w:rsidR="000A7585" w:rsidRPr="00AE6EDB" w:rsidRDefault="00592637" w:rsidP="00DE0EEC">
            <w:pPr>
              <w:ind w:firstLine="0"/>
              <w:jc w:val="right"/>
              <w:rPr>
                <w:sz w:val="20"/>
                <w:szCs w:val="20"/>
              </w:rPr>
            </w:pPr>
            <w:r w:rsidRPr="00AE6EDB">
              <w:rPr>
                <w:sz w:val="20"/>
                <w:szCs w:val="20"/>
              </w:rPr>
              <w:t>11,5</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73,3</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3,0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11,9</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11,5</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0,3</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RO</w:t>
            </w:r>
          </w:p>
        </w:tc>
        <w:tc>
          <w:tcPr>
            <w:tcW w:w="1077" w:type="dxa"/>
            <w:vAlign w:val="bottom"/>
          </w:tcPr>
          <w:p w:rsidR="000A7585" w:rsidRPr="00AE6EDB" w:rsidRDefault="004669D4" w:rsidP="00DE0EEC">
            <w:pPr>
              <w:ind w:firstLine="0"/>
              <w:jc w:val="right"/>
              <w:rPr>
                <w:sz w:val="20"/>
                <w:szCs w:val="20"/>
              </w:rPr>
            </w:pPr>
            <w:r w:rsidRPr="00AE6EDB">
              <w:rPr>
                <w:sz w:val="20"/>
                <w:szCs w:val="20"/>
              </w:rPr>
              <w:t>396</w:t>
            </w:r>
          </w:p>
        </w:tc>
        <w:tc>
          <w:tcPr>
            <w:tcW w:w="1020" w:type="dxa"/>
            <w:vAlign w:val="bottom"/>
          </w:tcPr>
          <w:p w:rsidR="000A7585" w:rsidRPr="00AE6EDB" w:rsidRDefault="0054295F" w:rsidP="00DE0EEC">
            <w:pPr>
              <w:ind w:firstLine="0"/>
              <w:jc w:val="right"/>
              <w:rPr>
                <w:sz w:val="20"/>
                <w:szCs w:val="20"/>
              </w:rPr>
            </w:pPr>
            <w:r>
              <w:rPr>
                <w:sz w:val="20"/>
                <w:szCs w:val="20"/>
              </w:rPr>
              <w:t>1 0</w:t>
            </w:r>
            <w:r w:rsidR="00592637" w:rsidRPr="00AE6EDB">
              <w:rPr>
                <w:sz w:val="20"/>
                <w:szCs w:val="20"/>
              </w:rPr>
              <w:t>24</w:t>
            </w:r>
          </w:p>
        </w:tc>
        <w:tc>
          <w:tcPr>
            <w:tcW w:w="624" w:type="dxa"/>
            <w:vAlign w:val="bottom"/>
          </w:tcPr>
          <w:p w:rsidR="000A7585" w:rsidRPr="00AE6EDB" w:rsidRDefault="00592637" w:rsidP="00DE0EEC">
            <w:pPr>
              <w:ind w:firstLine="0"/>
              <w:jc w:val="right"/>
              <w:rPr>
                <w:sz w:val="20"/>
                <w:szCs w:val="20"/>
              </w:rPr>
            </w:pPr>
            <w:r w:rsidRPr="00AE6EDB">
              <w:rPr>
                <w:sz w:val="20"/>
                <w:szCs w:val="20"/>
              </w:rPr>
              <w:t>6,9</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82,8</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0,3</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1,5</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4,3</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4,5</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6,5</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tcBorders>
              <w:bottom w:val="single" w:sz="4" w:space="0" w:color="auto"/>
            </w:tcBorders>
            <w:vAlign w:val="center"/>
          </w:tcPr>
          <w:p w:rsidR="000A7585" w:rsidRPr="00AE6EDB" w:rsidRDefault="000A7585" w:rsidP="00DE0EEC">
            <w:pPr>
              <w:ind w:firstLine="0"/>
              <w:jc w:val="center"/>
              <w:rPr>
                <w:sz w:val="20"/>
                <w:szCs w:val="20"/>
              </w:rPr>
            </w:pPr>
            <w:r w:rsidRPr="00AE6EDB">
              <w:rPr>
                <w:sz w:val="20"/>
                <w:szCs w:val="20"/>
              </w:rPr>
              <w:t>SI</w:t>
            </w:r>
          </w:p>
        </w:tc>
        <w:tc>
          <w:tcPr>
            <w:tcW w:w="1077" w:type="dxa"/>
            <w:tcBorders>
              <w:bottom w:val="single" w:sz="4" w:space="0" w:color="auto"/>
            </w:tcBorders>
            <w:vAlign w:val="bottom"/>
          </w:tcPr>
          <w:p w:rsidR="000A7585" w:rsidRPr="00AE6EDB" w:rsidRDefault="00592637" w:rsidP="00DE0EEC">
            <w:pPr>
              <w:ind w:firstLine="0"/>
              <w:jc w:val="right"/>
              <w:rPr>
                <w:sz w:val="20"/>
                <w:szCs w:val="20"/>
              </w:rPr>
            </w:pPr>
            <w:r w:rsidRPr="00AE6EDB">
              <w:rPr>
                <w:sz w:val="20"/>
                <w:szCs w:val="20"/>
              </w:rPr>
              <w:t>978</w:t>
            </w:r>
          </w:p>
        </w:tc>
        <w:tc>
          <w:tcPr>
            <w:tcW w:w="1020" w:type="dxa"/>
            <w:tcBorders>
              <w:bottom w:val="single" w:sz="4" w:space="0" w:color="auto"/>
            </w:tcBorders>
            <w:vAlign w:val="bottom"/>
          </w:tcPr>
          <w:p w:rsidR="000A7585" w:rsidRPr="00AE6EDB" w:rsidRDefault="0054295F" w:rsidP="00DE0EEC">
            <w:pPr>
              <w:ind w:firstLine="0"/>
              <w:jc w:val="right"/>
              <w:rPr>
                <w:sz w:val="20"/>
                <w:szCs w:val="20"/>
              </w:rPr>
            </w:pPr>
            <w:r>
              <w:rPr>
                <w:sz w:val="20"/>
                <w:szCs w:val="20"/>
              </w:rPr>
              <w:t>1 4</w:t>
            </w:r>
            <w:r w:rsidR="00592637" w:rsidRPr="00AE6EDB">
              <w:rPr>
                <w:sz w:val="20"/>
                <w:szCs w:val="20"/>
              </w:rPr>
              <w:t>25</w:t>
            </w:r>
          </w:p>
        </w:tc>
        <w:tc>
          <w:tcPr>
            <w:tcW w:w="624" w:type="dxa"/>
            <w:tcBorders>
              <w:bottom w:val="single" w:sz="4" w:space="0" w:color="auto"/>
            </w:tcBorders>
            <w:vAlign w:val="bottom"/>
          </w:tcPr>
          <w:p w:rsidR="000A7585" w:rsidRPr="00AE6EDB" w:rsidRDefault="00592637" w:rsidP="00DE0EEC">
            <w:pPr>
              <w:ind w:firstLine="0"/>
              <w:jc w:val="right"/>
              <w:rPr>
                <w:sz w:val="20"/>
                <w:szCs w:val="20"/>
              </w:rPr>
            </w:pPr>
            <w:r w:rsidRPr="00AE6EDB">
              <w:rPr>
                <w:sz w:val="20"/>
                <w:szCs w:val="20"/>
              </w:rPr>
              <w:t>6,7</w:t>
            </w:r>
          </w:p>
        </w:tc>
        <w:tc>
          <w:tcPr>
            <w:tcW w:w="907"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57,6</w:t>
            </w:r>
          </w:p>
        </w:tc>
        <w:tc>
          <w:tcPr>
            <w:tcW w:w="1020"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25,1</w:t>
            </w:r>
          </w:p>
        </w:tc>
        <w:tc>
          <w:tcPr>
            <w:tcW w:w="964"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0,1</w:t>
            </w:r>
          </w:p>
        </w:tc>
        <w:tc>
          <w:tcPr>
            <w:tcW w:w="964"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5,1</w:t>
            </w:r>
          </w:p>
        </w:tc>
        <w:tc>
          <w:tcPr>
            <w:tcW w:w="1077" w:type="dxa"/>
            <w:tcBorders>
              <w:bottom w:val="single" w:sz="4" w:space="0" w:color="auto"/>
            </w:tcBorders>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12,1</w:t>
            </w:r>
          </w:p>
        </w:tc>
        <w:tc>
          <w:tcPr>
            <w:tcW w:w="1020" w:type="dxa"/>
            <w:tcBorders>
              <w:bottom w:val="single" w:sz="4" w:space="0" w:color="auto"/>
            </w:tcBorders>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shd w:val="clear" w:color="auto" w:fill="FFCCCC" w:themeFill="accent3" w:themeFillTint="33"/>
            <w:vAlign w:val="center"/>
          </w:tcPr>
          <w:p w:rsidR="000A7585" w:rsidRPr="00AE6EDB" w:rsidRDefault="000A7585" w:rsidP="00DE0EEC">
            <w:pPr>
              <w:ind w:firstLine="0"/>
              <w:jc w:val="center"/>
              <w:rPr>
                <w:sz w:val="20"/>
                <w:szCs w:val="20"/>
              </w:rPr>
            </w:pPr>
            <w:r w:rsidRPr="00AE6EDB">
              <w:rPr>
                <w:sz w:val="20"/>
                <w:szCs w:val="20"/>
              </w:rPr>
              <w:t>SK</w:t>
            </w:r>
          </w:p>
        </w:tc>
        <w:tc>
          <w:tcPr>
            <w:tcW w:w="1077" w:type="dxa"/>
            <w:shd w:val="clear" w:color="auto" w:fill="FFCCCC" w:themeFill="accent3" w:themeFillTint="33"/>
            <w:vAlign w:val="bottom"/>
          </w:tcPr>
          <w:p w:rsidR="000A7585" w:rsidRPr="00AE6EDB" w:rsidRDefault="00592637" w:rsidP="00DE0EEC">
            <w:pPr>
              <w:jc w:val="right"/>
              <w:rPr>
                <w:sz w:val="20"/>
                <w:szCs w:val="20"/>
              </w:rPr>
            </w:pPr>
            <w:r w:rsidRPr="00AE6EDB">
              <w:rPr>
                <w:sz w:val="20"/>
                <w:szCs w:val="20"/>
              </w:rPr>
              <w:t>524</w:t>
            </w:r>
          </w:p>
        </w:tc>
        <w:tc>
          <w:tcPr>
            <w:tcW w:w="1020" w:type="dxa"/>
            <w:shd w:val="clear" w:color="auto" w:fill="FFCCCC" w:themeFill="accent3" w:themeFillTint="33"/>
            <w:vAlign w:val="bottom"/>
          </w:tcPr>
          <w:p w:rsidR="000A7585" w:rsidRPr="00AE6EDB" w:rsidRDefault="0054295F" w:rsidP="00DE0EEC">
            <w:pPr>
              <w:ind w:firstLine="0"/>
              <w:jc w:val="right"/>
              <w:rPr>
                <w:sz w:val="20"/>
                <w:szCs w:val="20"/>
              </w:rPr>
            </w:pPr>
            <w:r>
              <w:rPr>
                <w:sz w:val="20"/>
                <w:szCs w:val="20"/>
              </w:rPr>
              <w:t>1 2</w:t>
            </w:r>
            <w:r w:rsidR="00592637" w:rsidRPr="00AE6EDB">
              <w:rPr>
                <w:sz w:val="20"/>
                <w:szCs w:val="20"/>
              </w:rPr>
              <w:t>83</w:t>
            </w:r>
          </w:p>
        </w:tc>
        <w:tc>
          <w:tcPr>
            <w:tcW w:w="624" w:type="dxa"/>
            <w:shd w:val="clear" w:color="auto" w:fill="FFCCCC" w:themeFill="accent3" w:themeFillTint="33"/>
            <w:vAlign w:val="bottom"/>
          </w:tcPr>
          <w:p w:rsidR="000A7585" w:rsidRPr="00AE6EDB" w:rsidRDefault="00592637" w:rsidP="00DE0EEC">
            <w:pPr>
              <w:ind w:firstLine="0"/>
              <w:jc w:val="right"/>
              <w:rPr>
                <w:sz w:val="20"/>
                <w:szCs w:val="20"/>
              </w:rPr>
            </w:pPr>
            <w:r w:rsidRPr="00AE6EDB">
              <w:rPr>
                <w:sz w:val="20"/>
                <w:szCs w:val="20"/>
              </w:rPr>
              <w:t>6,1</w:t>
            </w:r>
          </w:p>
        </w:tc>
        <w:tc>
          <w:tcPr>
            <w:tcW w:w="907" w:type="dxa"/>
            <w:shd w:val="clear" w:color="auto" w:fill="FFCCCC" w:themeFill="accent3" w:themeFillTint="33"/>
            <w:vAlign w:val="bottom"/>
          </w:tcPr>
          <w:p w:rsidR="000A7585" w:rsidRPr="00AE6EDB" w:rsidRDefault="00E95D5A" w:rsidP="00DE0EEC">
            <w:pPr>
              <w:ind w:right="113" w:firstLine="0"/>
              <w:jc w:val="right"/>
              <w:rPr>
                <w:sz w:val="20"/>
                <w:szCs w:val="20"/>
              </w:rPr>
            </w:pPr>
            <w:r w:rsidRPr="00AE6EDB">
              <w:rPr>
                <w:sz w:val="20"/>
                <w:szCs w:val="20"/>
              </w:rPr>
              <w:t>71,8</w:t>
            </w:r>
          </w:p>
        </w:tc>
        <w:tc>
          <w:tcPr>
            <w:tcW w:w="1020" w:type="dxa"/>
            <w:shd w:val="clear" w:color="auto" w:fill="FFCCCC" w:themeFill="accent3" w:themeFillTint="33"/>
            <w:vAlign w:val="bottom"/>
          </w:tcPr>
          <w:p w:rsidR="000A7585" w:rsidRPr="00AE6EDB" w:rsidRDefault="00E95D5A" w:rsidP="00DE0EEC">
            <w:pPr>
              <w:ind w:right="113" w:firstLine="0"/>
              <w:jc w:val="right"/>
              <w:rPr>
                <w:sz w:val="20"/>
                <w:szCs w:val="20"/>
              </w:rPr>
            </w:pPr>
            <w:r w:rsidRPr="00AE6EDB">
              <w:rPr>
                <w:sz w:val="20"/>
                <w:szCs w:val="20"/>
              </w:rPr>
              <w:t>3,3</w:t>
            </w:r>
          </w:p>
        </w:tc>
        <w:tc>
          <w:tcPr>
            <w:tcW w:w="964" w:type="dxa"/>
            <w:shd w:val="clear" w:color="auto" w:fill="FFCCCC" w:themeFill="accent3" w:themeFillTint="33"/>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shd w:val="clear" w:color="auto" w:fill="FFCCCC" w:themeFill="accent3" w:themeFillTint="33"/>
            <w:vAlign w:val="bottom"/>
          </w:tcPr>
          <w:p w:rsidR="000A7585" w:rsidRPr="00AE6EDB" w:rsidRDefault="00E95D5A" w:rsidP="00DE0EEC">
            <w:pPr>
              <w:ind w:right="113" w:firstLine="0"/>
              <w:jc w:val="right"/>
              <w:rPr>
                <w:sz w:val="20"/>
                <w:szCs w:val="20"/>
              </w:rPr>
            </w:pPr>
            <w:r w:rsidRPr="00AE6EDB">
              <w:rPr>
                <w:sz w:val="20"/>
                <w:szCs w:val="20"/>
              </w:rPr>
              <w:t>12,4</w:t>
            </w:r>
          </w:p>
        </w:tc>
        <w:tc>
          <w:tcPr>
            <w:tcW w:w="1077" w:type="dxa"/>
            <w:shd w:val="clear" w:color="auto" w:fill="FFCCCC" w:themeFill="accent3" w:themeFillTint="33"/>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shd w:val="clear" w:color="auto" w:fill="FFCCCC" w:themeFill="accent3" w:themeFillTint="33"/>
            <w:vAlign w:val="bottom"/>
          </w:tcPr>
          <w:p w:rsidR="000A7585" w:rsidRPr="00AE6EDB" w:rsidRDefault="00E95D5A" w:rsidP="00DE0EEC">
            <w:pPr>
              <w:ind w:right="113" w:firstLine="0"/>
              <w:jc w:val="right"/>
              <w:rPr>
                <w:sz w:val="20"/>
                <w:szCs w:val="20"/>
              </w:rPr>
            </w:pPr>
            <w:r w:rsidRPr="00AE6EDB">
              <w:rPr>
                <w:sz w:val="20"/>
                <w:szCs w:val="20"/>
              </w:rPr>
              <w:t>10,6</w:t>
            </w:r>
          </w:p>
        </w:tc>
        <w:tc>
          <w:tcPr>
            <w:tcW w:w="1020" w:type="dxa"/>
            <w:shd w:val="clear" w:color="auto" w:fill="FFCCCC" w:themeFill="accent3" w:themeFillTint="33"/>
            <w:vAlign w:val="bottom"/>
          </w:tcPr>
          <w:p w:rsidR="000A7585" w:rsidRPr="00AE6EDB" w:rsidRDefault="00292025" w:rsidP="00DE0EEC">
            <w:pPr>
              <w:ind w:right="179" w:firstLine="0"/>
              <w:jc w:val="right"/>
              <w:rPr>
                <w:sz w:val="20"/>
                <w:szCs w:val="20"/>
              </w:rPr>
            </w:pPr>
            <w:r w:rsidRPr="00AE6EDB">
              <w:rPr>
                <w:sz w:val="20"/>
                <w:szCs w:val="20"/>
              </w:rPr>
              <w:t>1,9</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FI</w:t>
            </w:r>
          </w:p>
        </w:tc>
        <w:tc>
          <w:tcPr>
            <w:tcW w:w="1077" w:type="dxa"/>
            <w:vAlign w:val="bottom"/>
          </w:tcPr>
          <w:p w:rsidR="000A7585" w:rsidRPr="00AE6EDB" w:rsidRDefault="0054295F" w:rsidP="00DE0EEC">
            <w:pPr>
              <w:ind w:firstLine="0"/>
              <w:jc w:val="right"/>
              <w:rPr>
                <w:sz w:val="20"/>
                <w:szCs w:val="20"/>
              </w:rPr>
            </w:pPr>
            <w:r>
              <w:rPr>
                <w:sz w:val="20"/>
                <w:szCs w:val="20"/>
              </w:rPr>
              <w:t>3 0</w:t>
            </w:r>
            <w:r w:rsidR="00592637" w:rsidRPr="00AE6EDB">
              <w:rPr>
                <w:sz w:val="20"/>
                <w:szCs w:val="20"/>
              </w:rPr>
              <w:t>26</w:t>
            </w:r>
          </w:p>
        </w:tc>
        <w:tc>
          <w:tcPr>
            <w:tcW w:w="1020" w:type="dxa"/>
            <w:vAlign w:val="bottom"/>
          </w:tcPr>
          <w:p w:rsidR="000A7585" w:rsidRPr="00AE6EDB" w:rsidRDefault="0054295F" w:rsidP="00DE0EEC">
            <w:pPr>
              <w:ind w:firstLine="0"/>
              <w:jc w:val="right"/>
              <w:rPr>
                <w:sz w:val="20"/>
                <w:szCs w:val="20"/>
              </w:rPr>
            </w:pPr>
            <w:r>
              <w:rPr>
                <w:sz w:val="20"/>
                <w:szCs w:val="20"/>
              </w:rPr>
              <w:t>2 9</w:t>
            </w:r>
            <w:r w:rsidR="00592637" w:rsidRPr="00AE6EDB">
              <w:rPr>
                <w:sz w:val="20"/>
                <w:szCs w:val="20"/>
              </w:rPr>
              <w:t>26</w:t>
            </w:r>
          </w:p>
        </w:tc>
        <w:tc>
          <w:tcPr>
            <w:tcW w:w="624" w:type="dxa"/>
            <w:vAlign w:val="bottom"/>
          </w:tcPr>
          <w:p w:rsidR="000A7585" w:rsidRPr="00AE6EDB" w:rsidRDefault="00592637" w:rsidP="00DE0EEC">
            <w:pPr>
              <w:ind w:firstLine="0"/>
              <w:jc w:val="right"/>
              <w:rPr>
                <w:sz w:val="20"/>
                <w:szCs w:val="20"/>
              </w:rPr>
            </w:pPr>
            <w:r w:rsidRPr="00AE6EDB">
              <w:rPr>
                <w:sz w:val="20"/>
                <w:szCs w:val="20"/>
              </w:rPr>
              <w:t>9,7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74,7</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4,7</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0,7</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13,1</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E95D5A" w:rsidP="00DE0EEC">
            <w:pPr>
              <w:ind w:right="113" w:firstLine="0"/>
              <w:jc w:val="right"/>
              <w:rPr>
                <w:sz w:val="20"/>
                <w:szCs w:val="20"/>
              </w:rPr>
            </w:pPr>
            <w:r w:rsidRPr="00AE6EDB">
              <w:rPr>
                <w:sz w:val="20"/>
                <w:szCs w:val="20"/>
              </w:rPr>
              <w:t>6,7</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0,1</w:t>
            </w:r>
          </w:p>
        </w:tc>
      </w:tr>
      <w:tr w:rsidR="000A7585" w:rsidRPr="00AE6EDB" w:rsidTr="00DE0EEC">
        <w:trPr>
          <w:trHeight w:val="295"/>
          <w:jc w:val="center"/>
        </w:trPr>
        <w:tc>
          <w:tcPr>
            <w:tcW w:w="907" w:type="dxa"/>
            <w:tcBorders>
              <w:bottom w:val="single" w:sz="4" w:space="0" w:color="auto"/>
            </w:tcBorders>
            <w:vAlign w:val="center"/>
          </w:tcPr>
          <w:p w:rsidR="000A7585" w:rsidRPr="00AE6EDB" w:rsidRDefault="000A7585" w:rsidP="00DE0EEC">
            <w:pPr>
              <w:ind w:firstLine="0"/>
              <w:jc w:val="center"/>
              <w:rPr>
                <w:sz w:val="20"/>
                <w:szCs w:val="20"/>
              </w:rPr>
            </w:pPr>
            <w:r w:rsidRPr="00AE6EDB">
              <w:rPr>
                <w:sz w:val="20"/>
                <w:szCs w:val="20"/>
              </w:rPr>
              <w:t>SE</w:t>
            </w:r>
          </w:p>
        </w:tc>
        <w:tc>
          <w:tcPr>
            <w:tcW w:w="1077" w:type="dxa"/>
            <w:tcBorders>
              <w:bottom w:val="single" w:sz="4" w:space="0" w:color="auto"/>
            </w:tcBorders>
            <w:vAlign w:val="bottom"/>
          </w:tcPr>
          <w:p w:rsidR="000A7585" w:rsidRPr="00AE6EDB" w:rsidRDefault="0054295F" w:rsidP="00DE0EEC">
            <w:pPr>
              <w:ind w:firstLine="0"/>
              <w:jc w:val="right"/>
              <w:rPr>
                <w:sz w:val="20"/>
                <w:szCs w:val="20"/>
              </w:rPr>
            </w:pPr>
            <w:r>
              <w:rPr>
                <w:sz w:val="20"/>
                <w:szCs w:val="20"/>
              </w:rPr>
              <w:t>3 5</w:t>
            </w:r>
            <w:r w:rsidR="00592637" w:rsidRPr="00AE6EDB">
              <w:rPr>
                <w:sz w:val="20"/>
                <w:szCs w:val="20"/>
              </w:rPr>
              <w:t>43</w:t>
            </w:r>
          </w:p>
        </w:tc>
        <w:tc>
          <w:tcPr>
            <w:tcW w:w="1020" w:type="dxa"/>
            <w:tcBorders>
              <w:bottom w:val="single" w:sz="4" w:space="0" w:color="auto"/>
            </w:tcBorders>
            <w:vAlign w:val="bottom"/>
          </w:tcPr>
          <w:p w:rsidR="000A7585" w:rsidRPr="00AE6EDB" w:rsidRDefault="0054295F" w:rsidP="00DE0EEC">
            <w:pPr>
              <w:ind w:firstLine="0"/>
              <w:jc w:val="right"/>
              <w:rPr>
                <w:sz w:val="20"/>
                <w:szCs w:val="20"/>
              </w:rPr>
            </w:pPr>
            <w:r>
              <w:rPr>
                <w:sz w:val="20"/>
                <w:szCs w:val="20"/>
              </w:rPr>
              <w:t>3 0</w:t>
            </w:r>
            <w:r w:rsidR="00592637" w:rsidRPr="00AE6EDB">
              <w:rPr>
                <w:sz w:val="20"/>
                <w:szCs w:val="20"/>
              </w:rPr>
              <w:t>99</w:t>
            </w:r>
          </w:p>
        </w:tc>
        <w:tc>
          <w:tcPr>
            <w:tcW w:w="624" w:type="dxa"/>
            <w:tcBorders>
              <w:bottom w:val="single" w:sz="4" w:space="0" w:color="auto"/>
            </w:tcBorders>
            <w:vAlign w:val="bottom"/>
          </w:tcPr>
          <w:p w:rsidR="000A7585" w:rsidRPr="00AE6EDB" w:rsidRDefault="00592637" w:rsidP="00DE0EEC">
            <w:pPr>
              <w:ind w:firstLine="0"/>
              <w:jc w:val="right"/>
              <w:rPr>
                <w:sz w:val="20"/>
                <w:szCs w:val="20"/>
              </w:rPr>
            </w:pPr>
            <w:r w:rsidRPr="00AE6EDB">
              <w:rPr>
                <w:sz w:val="20"/>
                <w:szCs w:val="20"/>
              </w:rPr>
              <w:t>9,5</w:t>
            </w:r>
          </w:p>
        </w:tc>
        <w:tc>
          <w:tcPr>
            <w:tcW w:w="907"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80,1</w:t>
            </w:r>
          </w:p>
        </w:tc>
        <w:tc>
          <w:tcPr>
            <w:tcW w:w="1020"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5,5</w:t>
            </w:r>
          </w:p>
        </w:tc>
        <w:tc>
          <w:tcPr>
            <w:tcW w:w="964"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w:t>
            </w:r>
          </w:p>
        </w:tc>
        <w:tc>
          <w:tcPr>
            <w:tcW w:w="964" w:type="dxa"/>
            <w:tcBorders>
              <w:bottom w:val="single" w:sz="4" w:space="0" w:color="auto"/>
            </w:tcBorders>
            <w:vAlign w:val="bottom"/>
          </w:tcPr>
          <w:p w:rsidR="000A7585" w:rsidRPr="00AE6EDB" w:rsidRDefault="00E95D5A" w:rsidP="00DE0EEC">
            <w:pPr>
              <w:ind w:right="113" w:firstLine="0"/>
              <w:jc w:val="right"/>
              <w:rPr>
                <w:sz w:val="20"/>
                <w:szCs w:val="20"/>
              </w:rPr>
            </w:pPr>
            <w:r w:rsidRPr="00AE6EDB">
              <w:rPr>
                <w:sz w:val="20"/>
                <w:szCs w:val="20"/>
              </w:rPr>
              <w:t>10,9</w:t>
            </w:r>
          </w:p>
        </w:tc>
        <w:tc>
          <w:tcPr>
            <w:tcW w:w="1077" w:type="dxa"/>
            <w:tcBorders>
              <w:bottom w:val="single" w:sz="4" w:space="0" w:color="auto"/>
            </w:tcBorders>
            <w:vAlign w:val="bottom"/>
          </w:tcPr>
          <w:p w:rsidR="000A7585" w:rsidRPr="00AE6EDB" w:rsidRDefault="00E95D5A" w:rsidP="00DE0EEC">
            <w:pPr>
              <w:ind w:right="254" w:firstLine="0"/>
              <w:jc w:val="right"/>
              <w:rPr>
                <w:sz w:val="20"/>
                <w:szCs w:val="20"/>
              </w:rPr>
            </w:pPr>
            <w:r w:rsidRPr="00AE6EDB">
              <w:rPr>
                <w:sz w:val="20"/>
                <w:szCs w:val="20"/>
              </w:rPr>
              <w:t>:</w:t>
            </w:r>
          </w:p>
        </w:tc>
        <w:tc>
          <w:tcPr>
            <w:tcW w:w="796" w:type="dxa"/>
            <w:tcBorders>
              <w:bottom w:val="single" w:sz="4" w:space="0" w:color="auto"/>
            </w:tcBorders>
            <w:vAlign w:val="bottom"/>
          </w:tcPr>
          <w:p w:rsidR="000A7585" w:rsidRPr="00AE6EDB" w:rsidRDefault="00292025" w:rsidP="00DE0EEC">
            <w:pPr>
              <w:ind w:right="113" w:firstLine="0"/>
              <w:jc w:val="right"/>
              <w:rPr>
                <w:sz w:val="20"/>
                <w:szCs w:val="20"/>
              </w:rPr>
            </w:pPr>
            <w:r w:rsidRPr="00AE6EDB">
              <w:rPr>
                <w:sz w:val="20"/>
                <w:szCs w:val="20"/>
              </w:rPr>
              <w:t>3,5</w:t>
            </w:r>
          </w:p>
        </w:tc>
        <w:tc>
          <w:tcPr>
            <w:tcW w:w="1020" w:type="dxa"/>
            <w:tcBorders>
              <w:bottom w:val="single" w:sz="4" w:space="0" w:color="auto"/>
            </w:tcBorders>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tcBorders>
              <w:bottom w:val="double" w:sz="4" w:space="0" w:color="auto"/>
            </w:tcBorders>
            <w:vAlign w:val="center"/>
          </w:tcPr>
          <w:p w:rsidR="000A7585" w:rsidRPr="00AE6EDB" w:rsidRDefault="000A7585" w:rsidP="00DE0EEC">
            <w:pPr>
              <w:ind w:firstLine="0"/>
              <w:jc w:val="center"/>
              <w:rPr>
                <w:sz w:val="20"/>
                <w:szCs w:val="20"/>
              </w:rPr>
            </w:pPr>
            <w:r w:rsidRPr="00AE6EDB">
              <w:rPr>
                <w:sz w:val="20"/>
                <w:szCs w:val="20"/>
              </w:rPr>
              <w:t>UK</w:t>
            </w:r>
          </w:p>
        </w:tc>
        <w:tc>
          <w:tcPr>
            <w:tcW w:w="1077" w:type="dxa"/>
            <w:tcBorders>
              <w:bottom w:val="double" w:sz="4" w:space="0" w:color="auto"/>
            </w:tcBorders>
            <w:vAlign w:val="bottom"/>
          </w:tcPr>
          <w:p w:rsidR="000A7585" w:rsidRPr="00AE6EDB" w:rsidRDefault="0054295F" w:rsidP="00DE0EEC">
            <w:pPr>
              <w:ind w:firstLine="0"/>
              <w:jc w:val="right"/>
              <w:rPr>
                <w:sz w:val="20"/>
                <w:szCs w:val="20"/>
              </w:rPr>
            </w:pPr>
            <w:r>
              <w:rPr>
                <w:sz w:val="20"/>
                <w:szCs w:val="20"/>
              </w:rPr>
              <w:t>3 2</w:t>
            </w:r>
            <w:r w:rsidR="00592637" w:rsidRPr="00AE6EDB">
              <w:rPr>
                <w:sz w:val="20"/>
                <w:szCs w:val="20"/>
              </w:rPr>
              <w:t>35</w:t>
            </w:r>
          </w:p>
        </w:tc>
        <w:tc>
          <w:tcPr>
            <w:tcW w:w="1020" w:type="dxa"/>
            <w:tcBorders>
              <w:bottom w:val="double" w:sz="4" w:space="0" w:color="auto"/>
            </w:tcBorders>
            <w:vAlign w:val="bottom"/>
          </w:tcPr>
          <w:p w:rsidR="000A7585" w:rsidRPr="00AE6EDB" w:rsidRDefault="0054295F" w:rsidP="00DE0EEC">
            <w:pPr>
              <w:ind w:firstLine="0"/>
              <w:jc w:val="right"/>
              <w:rPr>
                <w:sz w:val="20"/>
                <w:szCs w:val="20"/>
              </w:rPr>
            </w:pPr>
            <w:r>
              <w:rPr>
                <w:sz w:val="20"/>
                <w:szCs w:val="20"/>
              </w:rPr>
              <w:t>2 8</w:t>
            </w:r>
            <w:r w:rsidR="00592637" w:rsidRPr="00AE6EDB">
              <w:rPr>
                <w:sz w:val="20"/>
                <w:szCs w:val="20"/>
              </w:rPr>
              <w:t>57</w:t>
            </w:r>
          </w:p>
        </w:tc>
        <w:tc>
          <w:tcPr>
            <w:tcW w:w="624" w:type="dxa"/>
            <w:tcBorders>
              <w:bottom w:val="double" w:sz="4" w:space="0" w:color="auto"/>
            </w:tcBorders>
            <w:vAlign w:val="bottom"/>
          </w:tcPr>
          <w:p w:rsidR="000A7585" w:rsidRPr="00AE6EDB" w:rsidRDefault="00592637" w:rsidP="00DE0EEC">
            <w:pPr>
              <w:ind w:firstLine="0"/>
              <w:jc w:val="right"/>
              <w:rPr>
                <w:sz w:val="20"/>
                <w:szCs w:val="20"/>
              </w:rPr>
            </w:pPr>
            <w:r w:rsidRPr="00AE6EDB">
              <w:rPr>
                <w:sz w:val="20"/>
                <w:szCs w:val="20"/>
              </w:rPr>
              <w:t>10,2</w:t>
            </w:r>
          </w:p>
        </w:tc>
        <w:tc>
          <w:tcPr>
            <w:tcW w:w="907" w:type="dxa"/>
            <w:tcBorders>
              <w:bottom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89,9</w:t>
            </w:r>
          </w:p>
        </w:tc>
        <w:tc>
          <w:tcPr>
            <w:tcW w:w="1020" w:type="dxa"/>
            <w:tcBorders>
              <w:bottom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tcBorders>
              <w:bottom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tcBorders>
              <w:bottom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9,3</w:t>
            </w:r>
          </w:p>
        </w:tc>
        <w:tc>
          <w:tcPr>
            <w:tcW w:w="1077" w:type="dxa"/>
            <w:tcBorders>
              <w:bottom w:val="double" w:sz="4" w:space="0" w:color="auto"/>
            </w:tcBorders>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tcBorders>
              <w:bottom w:val="double" w:sz="4" w:space="0" w:color="auto"/>
            </w:tcBorders>
            <w:vAlign w:val="bottom"/>
          </w:tcPr>
          <w:p w:rsidR="000A7585" w:rsidRPr="00AE6EDB" w:rsidRDefault="00292025" w:rsidP="00DE0EEC">
            <w:pPr>
              <w:ind w:right="113" w:firstLine="0"/>
              <w:jc w:val="right"/>
              <w:rPr>
                <w:sz w:val="20"/>
                <w:szCs w:val="20"/>
              </w:rPr>
            </w:pPr>
            <w:r w:rsidRPr="00AE6EDB">
              <w:rPr>
                <w:sz w:val="20"/>
                <w:szCs w:val="20"/>
              </w:rPr>
              <w:t>0,8</w:t>
            </w:r>
          </w:p>
        </w:tc>
        <w:tc>
          <w:tcPr>
            <w:tcW w:w="1020" w:type="dxa"/>
            <w:tcBorders>
              <w:bottom w:val="double" w:sz="4" w:space="0" w:color="auto"/>
            </w:tcBorders>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tcBorders>
              <w:top w:val="double" w:sz="4" w:space="0" w:color="auto"/>
            </w:tcBorders>
            <w:vAlign w:val="center"/>
          </w:tcPr>
          <w:p w:rsidR="000A7585" w:rsidRPr="00AE6EDB" w:rsidRDefault="000A7585" w:rsidP="00DE0EEC">
            <w:pPr>
              <w:ind w:firstLine="0"/>
              <w:jc w:val="center"/>
              <w:rPr>
                <w:sz w:val="20"/>
                <w:szCs w:val="20"/>
              </w:rPr>
            </w:pPr>
            <w:r w:rsidRPr="00AE6EDB">
              <w:rPr>
                <w:sz w:val="20"/>
                <w:szCs w:val="20"/>
              </w:rPr>
              <w:t>IS</w:t>
            </w:r>
          </w:p>
        </w:tc>
        <w:tc>
          <w:tcPr>
            <w:tcW w:w="1077" w:type="dxa"/>
            <w:tcBorders>
              <w:top w:val="double" w:sz="4" w:space="0" w:color="auto"/>
            </w:tcBorders>
            <w:vAlign w:val="bottom"/>
          </w:tcPr>
          <w:p w:rsidR="000A7585" w:rsidRPr="00AE6EDB" w:rsidRDefault="0054295F" w:rsidP="00DE0EEC">
            <w:pPr>
              <w:ind w:firstLine="0"/>
              <w:jc w:val="right"/>
              <w:rPr>
                <w:sz w:val="20"/>
                <w:szCs w:val="20"/>
              </w:rPr>
            </w:pPr>
            <w:r>
              <w:rPr>
                <w:sz w:val="20"/>
                <w:szCs w:val="20"/>
              </w:rPr>
              <w:t>2 2</w:t>
            </w:r>
            <w:r w:rsidR="00592637" w:rsidRPr="00AE6EDB">
              <w:rPr>
                <w:sz w:val="20"/>
                <w:szCs w:val="20"/>
              </w:rPr>
              <w:t>97</w:t>
            </w:r>
          </w:p>
        </w:tc>
        <w:tc>
          <w:tcPr>
            <w:tcW w:w="1020" w:type="dxa"/>
            <w:tcBorders>
              <w:top w:val="double" w:sz="4" w:space="0" w:color="auto"/>
            </w:tcBorders>
            <w:vAlign w:val="bottom"/>
          </w:tcPr>
          <w:p w:rsidR="000A7585" w:rsidRPr="00AE6EDB" w:rsidRDefault="0054295F" w:rsidP="00DE0EEC">
            <w:pPr>
              <w:ind w:firstLine="0"/>
              <w:jc w:val="right"/>
              <w:rPr>
                <w:sz w:val="20"/>
                <w:szCs w:val="20"/>
              </w:rPr>
            </w:pPr>
            <w:r>
              <w:rPr>
                <w:sz w:val="20"/>
                <w:szCs w:val="20"/>
              </w:rPr>
              <w:t>1 6</w:t>
            </w:r>
            <w:r w:rsidR="00592637" w:rsidRPr="00AE6EDB">
              <w:rPr>
                <w:sz w:val="20"/>
                <w:szCs w:val="20"/>
              </w:rPr>
              <w:t>73</w:t>
            </w:r>
          </w:p>
        </w:tc>
        <w:tc>
          <w:tcPr>
            <w:tcW w:w="624" w:type="dxa"/>
            <w:tcBorders>
              <w:top w:val="double" w:sz="4" w:space="0" w:color="auto"/>
            </w:tcBorders>
            <w:vAlign w:val="bottom"/>
          </w:tcPr>
          <w:p w:rsidR="000A7585" w:rsidRPr="00AE6EDB" w:rsidRDefault="00592637" w:rsidP="00DE0EEC">
            <w:pPr>
              <w:ind w:firstLine="0"/>
              <w:jc w:val="right"/>
              <w:rPr>
                <w:sz w:val="20"/>
                <w:szCs w:val="20"/>
              </w:rPr>
            </w:pPr>
            <w:r w:rsidRPr="00AE6EDB">
              <w:rPr>
                <w:sz w:val="20"/>
                <w:szCs w:val="20"/>
              </w:rPr>
              <w:t>5,3</w:t>
            </w:r>
          </w:p>
        </w:tc>
        <w:tc>
          <w:tcPr>
            <w:tcW w:w="907" w:type="dxa"/>
            <w:tcBorders>
              <w:top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61,6</w:t>
            </w:r>
          </w:p>
        </w:tc>
        <w:tc>
          <w:tcPr>
            <w:tcW w:w="1020" w:type="dxa"/>
            <w:tcBorders>
              <w:top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tcBorders>
              <w:top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tcBorders>
              <w:top w:val="double" w:sz="4" w:space="0" w:color="auto"/>
            </w:tcBorders>
            <w:vAlign w:val="bottom"/>
          </w:tcPr>
          <w:p w:rsidR="000A7585" w:rsidRPr="00AE6EDB" w:rsidRDefault="00E95D5A" w:rsidP="00DE0EEC">
            <w:pPr>
              <w:ind w:right="113" w:firstLine="0"/>
              <w:jc w:val="right"/>
              <w:rPr>
                <w:sz w:val="20"/>
                <w:szCs w:val="20"/>
              </w:rPr>
            </w:pPr>
            <w:r w:rsidRPr="00AE6EDB">
              <w:rPr>
                <w:sz w:val="20"/>
                <w:szCs w:val="20"/>
              </w:rPr>
              <w:t>32,2</w:t>
            </w:r>
          </w:p>
        </w:tc>
        <w:tc>
          <w:tcPr>
            <w:tcW w:w="1077" w:type="dxa"/>
            <w:tcBorders>
              <w:top w:val="double" w:sz="4" w:space="0" w:color="auto"/>
            </w:tcBorders>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tcBorders>
              <w:top w:val="double" w:sz="4" w:space="0" w:color="auto"/>
            </w:tcBorders>
            <w:vAlign w:val="bottom"/>
          </w:tcPr>
          <w:p w:rsidR="000A7585" w:rsidRPr="00AE6EDB" w:rsidRDefault="00292025" w:rsidP="00DE0EEC">
            <w:pPr>
              <w:ind w:right="113" w:firstLine="0"/>
              <w:jc w:val="right"/>
              <w:rPr>
                <w:sz w:val="20"/>
                <w:szCs w:val="20"/>
              </w:rPr>
            </w:pPr>
            <w:r w:rsidRPr="00AE6EDB">
              <w:rPr>
                <w:sz w:val="20"/>
                <w:szCs w:val="20"/>
              </w:rPr>
              <w:t>6,3</w:t>
            </w:r>
          </w:p>
        </w:tc>
        <w:tc>
          <w:tcPr>
            <w:tcW w:w="1020" w:type="dxa"/>
            <w:tcBorders>
              <w:top w:val="double" w:sz="4" w:space="0" w:color="auto"/>
            </w:tcBorders>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NO</w:t>
            </w:r>
          </w:p>
        </w:tc>
        <w:tc>
          <w:tcPr>
            <w:tcW w:w="1077" w:type="dxa"/>
            <w:vAlign w:val="bottom"/>
          </w:tcPr>
          <w:p w:rsidR="000A7585" w:rsidRPr="00AE6EDB" w:rsidRDefault="0054295F" w:rsidP="00DE0EEC">
            <w:pPr>
              <w:ind w:firstLine="0"/>
              <w:jc w:val="right"/>
              <w:rPr>
                <w:sz w:val="20"/>
                <w:szCs w:val="20"/>
              </w:rPr>
            </w:pPr>
            <w:r>
              <w:rPr>
                <w:sz w:val="20"/>
                <w:szCs w:val="20"/>
              </w:rPr>
              <w:t>3 9</w:t>
            </w:r>
            <w:r w:rsidR="00592637" w:rsidRPr="00AE6EDB">
              <w:rPr>
                <w:sz w:val="20"/>
                <w:szCs w:val="20"/>
              </w:rPr>
              <w:t>60</w:t>
            </w:r>
          </w:p>
        </w:tc>
        <w:tc>
          <w:tcPr>
            <w:tcW w:w="1020" w:type="dxa"/>
            <w:vAlign w:val="bottom"/>
          </w:tcPr>
          <w:p w:rsidR="000A7585" w:rsidRPr="00AE6EDB" w:rsidRDefault="0054295F" w:rsidP="00DE0EEC">
            <w:pPr>
              <w:ind w:firstLine="0"/>
              <w:jc w:val="right"/>
              <w:rPr>
                <w:sz w:val="20"/>
                <w:szCs w:val="20"/>
              </w:rPr>
            </w:pPr>
            <w:r>
              <w:rPr>
                <w:sz w:val="20"/>
                <w:szCs w:val="20"/>
              </w:rPr>
              <w:t>2 8</w:t>
            </w:r>
            <w:r w:rsidR="00592637" w:rsidRPr="00AE6EDB">
              <w:rPr>
                <w:sz w:val="20"/>
                <w:szCs w:val="20"/>
              </w:rPr>
              <w:t>45</w:t>
            </w:r>
          </w:p>
        </w:tc>
        <w:tc>
          <w:tcPr>
            <w:tcW w:w="624" w:type="dxa"/>
            <w:vAlign w:val="bottom"/>
          </w:tcPr>
          <w:p w:rsidR="000A7585" w:rsidRPr="00AE6EDB" w:rsidRDefault="00592637" w:rsidP="00DE0EEC">
            <w:pPr>
              <w:ind w:firstLine="0"/>
              <w:jc w:val="right"/>
              <w:rPr>
                <w:sz w:val="20"/>
                <w:szCs w:val="20"/>
              </w:rPr>
            </w:pPr>
            <w:r w:rsidRPr="00AE6EDB">
              <w:rPr>
                <w:sz w:val="20"/>
                <w:szCs w:val="20"/>
              </w:rPr>
              <w:t>6,1</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69,9</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2,1</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0,1</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25,1</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292025" w:rsidP="00DE0EEC">
            <w:pPr>
              <w:ind w:right="113" w:firstLine="0"/>
              <w:jc w:val="right"/>
              <w:rPr>
                <w:sz w:val="20"/>
                <w:szCs w:val="20"/>
              </w:rPr>
            </w:pPr>
            <w:r w:rsidRPr="00AE6EDB">
              <w:rPr>
                <w:sz w:val="20"/>
                <w:szCs w:val="20"/>
              </w:rPr>
              <w:t>2,8</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CH</w:t>
            </w:r>
          </w:p>
        </w:tc>
        <w:tc>
          <w:tcPr>
            <w:tcW w:w="1077" w:type="dxa"/>
            <w:vAlign w:val="bottom"/>
          </w:tcPr>
          <w:p w:rsidR="000A7585" w:rsidRPr="00AE6EDB" w:rsidRDefault="0054295F" w:rsidP="00DE0EEC">
            <w:pPr>
              <w:ind w:firstLine="0"/>
              <w:jc w:val="right"/>
              <w:rPr>
                <w:sz w:val="20"/>
                <w:szCs w:val="20"/>
              </w:rPr>
            </w:pPr>
            <w:r>
              <w:rPr>
                <w:sz w:val="20"/>
                <w:szCs w:val="20"/>
              </w:rPr>
              <w:t>4 1</w:t>
            </w:r>
            <w:r w:rsidR="00592637" w:rsidRPr="00AE6EDB">
              <w:rPr>
                <w:sz w:val="20"/>
                <w:szCs w:val="20"/>
              </w:rPr>
              <w:t>02</w:t>
            </w:r>
          </w:p>
        </w:tc>
        <w:tc>
          <w:tcPr>
            <w:tcW w:w="1020" w:type="dxa"/>
            <w:vAlign w:val="bottom"/>
          </w:tcPr>
          <w:p w:rsidR="000A7585" w:rsidRPr="00AE6EDB" w:rsidRDefault="0054295F" w:rsidP="00DE0EEC">
            <w:pPr>
              <w:ind w:firstLine="0"/>
              <w:jc w:val="right"/>
              <w:rPr>
                <w:sz w:val="20"/>
                <w:szCs w:val="20"/>
              </w:rPr>
            </w:pPr>
            <w:r>
              <w:rPr>
                <w:sz w:val="20"/>
                <w:szCs w:val="20"/>
              </w:rPr>
              <w:t>3 3</w:t>
            </w:r>
            <w:r w:rsidR="00592637" w:rsidRPr="00AE6EDB">
              <w:rPr>
                <w:sz w:val="20"/>
                <w:szCs w:val="20"/>
              </w:rPr>
              <w:t>51</w:t>
            </w:r>
          </w:p>
        </w:tc>
        <w:tc>
          <w:tcPr>
            <w:tcW w:w="624" w:type="dxa"/>
            <w:vAlign w:val="bottom"/>
          </w:tcPr>
          <w:p w:rsidR="000A7585" w:rsidRPr="00AE6EDB" w:rsidRDefault="00592637" w:rsidP="00DE0EEC">
            <w:pPr>
              <w:ind w:firstLine="0"/>
              <w:jc w:val="right"/>
              <w:rPr>
                <w:sz w:val="20"/>
                <w:szCs w:val="20"/>
              </w:rPr>
            </w:pPr>
            <w:r w:rsidRPr="00AE6EDB">
              <w:rPr>
                <w:sz w:val="20"/>
                <w:szCs w:val="20"/>
              </w:rPr>
              <w:t>8,5</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72,4</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4,6</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13,4</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292025" w:rsidP="00DE0EEC">
            <w:pPr>
              <w:ind w:right="113" w:firstLine="0"/>
              <w:jc w:val="right"/>
              <w:rPr>
                <w:sz w:val="20"/>
                <w:szCs w:val="20"/>
              </w:rPr>
            </w:pPr>
            <w:r w:rsidRPr="00AE6EDB">
              <w:rPr>
                <w:sz w:val="20"/>
                <w:szCs w:val="20"/>
              </w:rPr>
              <w:t>9,6</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RS</w:t>
            </w:r>
          </w:p>
        </w:tc>
        <w:tc>
          <w:tcPr>
            <w:tcW w:w="1077" w:type="dxa"/>
            <w:vAlign w:val="bottom"/>
          </w:tcPr>
          <w:p w:rsidR="000A7585" w:rsidRPr="00AE6EDB" w:rsidRDefault="00592637" w:rsidP="00DE0EEC">
            <w:pPr>
              <w:ind w:firstLine="0"/>
              <w:jc w:val="right"/>
              <w:rPr>
                <w:sz w:val="20"/>
                <w:szCs w:val="20"/>
              </w:rPr>
            </w:pPr>
            <w:r w:rsidRPr="00AE6EDB">
              <w:rPr>
                <w:sz w:val="20"/>
                <w:szCs w:val="20"/>
              </w:rPr>
              <w:t>343</w:t>
            </w:r>
          </w:p>
        </w:tc>
        <w:tc>
          <w:tcPr>
            <w:tcW w:w="1020" w:type="dxa"/>
            <w:vAlign w:val="bottom"/>
          </w:tcPr>
          <w:p w:rsidR="000A7585" w:rsidRPr="00AE6EDB" w:rsidRDefault="00592637" w:rsidP="00DE0EEC">
            <w:pPr>
              <w:ind w:firstLine="0"/>
              <w:jc w:val="right"/>
              <w:rPr>
                <w:sz w:val="20"/>
                <w:szCs w:val="20"/>
              </w:rPr>
            </w:pPr>
            <w:r w:rsidRPr="00AE6EDB">
              <w:rPr>
                <w:sz w:val="20"/>
                <w:szCs w:val="20"/>
              </w:rPr>
              <w:t>950</w:t>
            </w:r>
          </w:p>
        </w:tc>
        <w:tc>
          <w:tcPr>
            <w:tcW w:w="624" w:type="dxa"/>
            <w:vAlign w:val="bottom"/>
          </w:tcPr>
          <w:p w:rsidR="000A7585" w:rsidRPr="00AE6EDB" w:rsidRDefault="00592637" w:rsidP="00DE0EEC">
            <w:pPr>
              <w:ind w:firstLine="0"/>
              <w:jc w:val="right"/>
              <w:rPr>
                <w:sz w:val="20"/>
                <w:szCs w:val="20"/>
              </w:rPr>
            </w:pPr>
            <w:r w:rsidRPr="00AE6EDB">
              <w:rPr>
                <w:sz w:val="20"/>
                <w:szCs w:val="20"/>
              </w:rPr>
              <w:t>9,7</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75,3</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7,6</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292025" w:rsidP="00DE0EEC">
            <w:pPr>
              <w:ind w:right="113" w:firstLine="0"/>
              <w:jc w:val="right"/>
              <w:rPr>
                <w:sz w:val="20"/>
                <w:szCs w:val="20"/>
              </w:rPr>
            </w:pPr>
            <w:r w:rsidRPr="00AE6EDB">
              <w:rPr>
                <w:sz w:val="20"/>
                <w:szCs w:val="20"/>
              </w:rPr>
              <w:t>16,7</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0,4</w:t>
            </w:r>
          </w:p>
        </w:tc>
      </w:tr>
      <w:tr w:rsidR="000A7585" w:rsidRPr="00AE6EDB" w:rsidTr="00DE0EEC">
        <w:trPr>
          <w:trHeight w:val="295"/>
          <w:jc w:val="center"/>
        </w:trPr>
        <w:tc>
          <w:tcPr>
            <w:tcW w:w="907" w:type="dxa"/>
            <w:vAlign w:val="center"/>
          </w:tcPr>
          <w:p w:rsidR="000A7585" w:rsidRPr="00AE6EDB" w:rsidRDefault="000A7585" w:rsidP="00DE0EEC">
            <w:pPr>
              <w:ind w:firstLine="0"/>
              <w:jc w:val="center"/>
              <w:rPr>
                <w:sz w:val="20"/>
                <w:szCs w:val="20"/>
              </w:rPr>
            </w:pPr>
            <w:r w:rsidRPr="00AE6EDB">
              <w:rPr>
                <w:sz w:val="20"/>
                <w:szCs w:val="20"/>
              </w:rPr>
              <w:t>TR</w:t>
            </w:r>
          </w:p>
        </w:tc>
        <w:tc>
          <w:tcPr>
            <w:tcW w:w="1077" w:type="dxa"/>
            <w:vAlign w:val="bottom"/>
          </w:tcPr>
          <w:p w:rsidR="000A7585" w:rsidRPr="00AE6EDB" w:rsidRDefault="00592637" w:rsidP="00592637">
            <w:pPr>
              <w:ind w:firstLine="0"/>
              <w:jc w:val="right"/>
              <w:rPr>
                <w:sz w:val="20"/>
                <w:szCs w:val="20"/>
              </w:rPr>
            </w:pPr>
            <w:r w:rsidRPr="00AE6EDB">
              <w:rPr>
                <w:sz w:val="20"/>
                <w:szCs w:val="20"/>
              </w:rPr>
              <w:t>:</w:t>
            </w:r>
          </w:p>
        </w:tc>
        <w:tc>
          <w:tcPr>
            <w:tcW w:w="1020" w:type="dxa"/>
            <w:vAlign w:val="bottom"/>
          </w:tcPr>
          <w:p w:rsidR="000A7585" w:rsidRPr="00AE6EDB" w:rsidRDefault="00592637" w:rsidP="00DE0EEC">
            <w:pPr>
              <w:ind w:firstLine="0"/>
              <w:jc w:val="right"/>
              <w:rPr>
                <w:sz w:val="20"/>
                <w:szCs w:val="20"/>
              </w:rPr>
            </w:pPr>
            <w:r w:rsidRPr="00AE6EDB">
              <w:rPr>
                <w:sz w:val="20"/>
                <w:szCs w:val="20"/>
              </w:rPr>
              <w:t>906</w:t>
            </w:r>
          </w:p>
        </w:tc>
        <w:tc>
          <w:tcPr>
            <w:tcW w:w="624" w:type="dxa"/>
            <w:vAlign w:val="bottom"/>
          </w:tcPr>
          <w:p w:rsidR="000A7585" w:rsidRPr="00AE6EDB" w:rsidRDefault="00592637" w:rsidP="00DE0EEC">
            <w:pPr>
              <w:ind w:firstLine="0"/>
              <w:jc w:val="right"/>
              <w:rPr>
                <w:sz w:val="20"/>
                <w:szCs w:val="20"/>
              </w:rPr>
            </w:pPr>
            <w:r w:rsidRPr="00AE6EDB">
              <w:rPr>
                <w:sz w:val="20"/>
                <w:szCs w:val="20"/>
              </w:rPr>
              <w:t>6,5</w:t>
            </w:r>
          </w:p>
        </w:tc>
        <w:tc>
          <w:tcPr>
            <w:tcW w:w="907" w:type="dxa"/>
            <w:vAlign w:val="bottom"/>
          </w:tcPr>
          <w:p w:rsidR="000A7585" w:rsidRPr="00AE6EDB" w:rsidRDefault="00E95D5A" w:rsidP="00DE0EEC">
            <w:pPr>
              <w:ind w:right="113" w:firstLine="0"/>
              <w:jc w:val="right"/>
              <w:rPr>
                <w:sz w:val="20"/>
                <w:szCs w:val="20"/>
              </w:rPr>
            </w:pPr>
            <w:r w:rsidRPr="00AE6EDB">
              <w:rPr>
                <w:sz w:val="20"/>
                <w:szCs w:val="20"/>
              </w:rPr>
              <w:t>78,3</w:t>
            </w:r>
          </w:p>
        </w:tc>
        <w:tc>
          <w:tcPr>
            <w:tcW w:w="1020"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0,0</w:t>
            </w:r>
          </w:p>
        </w:tc>
        <w:tc>
          <w:tcPr>
            <w:tcW w:w="964" w:type="dxa"/>
            <w:vAlign w:val="bottom"/>
          </w:tcPr>
          <w:p w:rsidR="000A7585" w:rsidRPr="00AE6EDB" w:rsidRDefault="00E95D5A" w:rsidP="00DE0EEC">
            <w:pPr>
              <w:ind w:right="113" w:firstLine="0"/>
              <w:jc w:val="right"/>
              <w:rPr>
                <w:sz w:val="20"/>
                <w:szCs w:val="20"/>
              </w:rPr>
            </w:pPr>
            <w:r w:rsidRPr="00AE6EDB">
              <w:rPr>
                <w:sz w:val="20"/>
                <w:szCs w:val="20"/>
              </w:rPr>
              <w:t>3,0</w:t>
            </w:r>
          </w:p>
        </w:tc>
        <w:tc>
          <w:tcPr>
            <w:tcW w:w="1077" w:type="dxa"/>
            <w:vAlign w:val="bottom"/>
          </w:tcPr>
          <w:p w:rsidR="000A7585" w:rsidRPr="00AE6EDB" w:rsidRDefault="00E95D5A" w:rsidP="00DE0EEC">
            <w:pPr>
              <w:ind w:right="254" w:firstLine="0"/>
              <w:jc w:val="right"/>
              <w:rPr>
                <w:sz w:val="20"/>
                <w:szCs w:val="20"/>
              </w:rPr>
            </w:pPr>
            <w:r w:rsidRPr="00AE6EDB">
              <w:rPr>
                <w:sz w:val="20"/>
                <w:szCs w:val="20"/>
              </w:rPr>
              <w:t>0,0</w:t>
            </w:r>
          </w:p>
        </w:tc>
        <w:tc>
          <w:tcPr>
            <w:tcW w:w="796" w:type="dxa"/>
            <w:vAlign w:val="bottom"/>
          </w:tcPr>
          <w:p w:rsidR="000A7585" w:rsidRPr="00AE6EDB" w:rsidRDefault="00292025" w:rsidP="00DE0EEC">
            <w:pPr>
              <w:ind w:right="113" w:firstLine="0"/>
              <w:jc w:val="right"/>
              <w:rPr>
                <w:sz w:val="20"/>
                <w:szCs w:val="20"/>
              </w:rPr>
            </w:pPr>
            <w:r w:rsidRPr="00AE6EDB">
              <w:rPr>
                <w:sz w:val="20"/>
                <w:szCs w:val="20"/>
              </w:rPr>
              <w:t>18,8</w:t>
            </w:r>
          </w:p>
        </w:tc>
        <w:tc>
          <w:tcPr>
            <w:tcW w:w="1020" w:type="dxa"/>
            <w:vAlign w:val="bottom"/>
          </w:tcPr>
          <w:p w:rsidR="000A7585" w:rsidRPr="00AE6EDB" w:rsidRDefault="00292025" w:rsidP="00DE0EEC">
            <w:pPr>
              <w:ind w:right="179" w:firstLine="0"/>
              <w:jc w:val="right"/>
              <w:rPr>
                <w:sz w:val="20"/>
                <w:szCs w:val="20"/>
              </w:rPr>
            </w:pPr>
            <w:r w:rsidRPr="00AE6EDB">
              <w:rPr>
                <w:sz w:val="20"/>
                <w:szCs w:val="20"/>
              </w:rPr>
              <w:t>0,0</w:t>
            </w:r>
          </w:p>
        </w:tc>
      </w:tr>
    </w:tbl>
    <w:p w:rsidR="00292025" w:rsidRPr="00AE6EDB" w:rsidRDefault="00292025" w:rsidP="00292025">
      <w:pPr>
        <w:pStyle w:val="zdroj"/>
        <w:spacing w:after="0"/>
        <w:ind w:firstLine="142"/>
      </w:pPr>
      <w:r w:rsidRPr="00AE6EDB">
        <w:t>Predbežné údaje: DK, DE, ES, FR, IT, LV, LT, NL, SI, SK, SE, UK, TR</w:t>
      </w:r>
    </w:p>
    <w:p w:rsidR="000A7585" w:rsidRPr="00AE6EDB" w:rsidRDefault="00292025" w:rsidP="00292025">
      <w:pPr>
        <w:pStyle w:val="zdroj"/>
        <w:spacing w:before="0" w:after="0"/>
        <w:ind w:left="142" w:firstLine="0"/>
      </w:pPr>
      <w:r w:rsidRPr="00AE6EDB">
        <w:t>: údaj nie je k dispozícii</w:t>
      </w:r>
    </w:p>
    <w:p w:rsidR="000A7585" w:rsidRPr="00AE6EDB" w:rsidRDefault="000A7585" w:rsidP="000A7585">
      <w:pPr>
        <w:pStyle w:val="zdroj"/>
        <w:spacing w:before="0"/>
        <w:ind w:left="142" w:firstLine="0"/>
      </w:pPr>
      <w:r w:rsidRPr="00AE6EDB">
        <w:t xml:space="preserve">Zdroj: </w:t>
      </w:r>
      <w:proofErr w:type="spellStart"/>
      <w:r w:rsidRPr="00AE6EDB">
        <w:t>Eurostat</w:t>
      </w:r>
      <w:proofErr w:type="spellEnd"/>
      <w:r w:rsidRPr="00AE6EDB">
        <w:t xml:space="preserve"> – ESSPROS</w:t>
      </w:r>
    </w:p>
    <w:p w:rsidR="000A7585" w:rsidRPr="00AE6EDB" w:rsidRDefault="000A7585" w:rsidP="000A7585">
      <w:pPr>
        <w:pStyle w:val="Nadpis7"/>
      </w:pPr>
      <w:r w:rsidRPr="00AE6EDB">
        <w:rPr>
          <w:highlight w:val="cyan"/>
        </w:rPr>
        <w:br w:type="page"/>
      </w:r>
      <w:r w:rsidRPr="00AE6EDB">
        <w:t>Tabuľka 34 Počet poberateľov dôchodkov podľa rodu*, indexy 201</w:t>
      </w:r>
      <w:r w:rsidR="00B364B3" w:rsidRPr="00AE6EDB">
        <w:t>3</w:t>
      </w:r>
      <w:r w:rsidRPr="00AE6EDB">
        <w:t>/201</w:t>
      </w:r>
      <w:r w:rsidR="00B364B3" w:rsidRPr="00AE6EDB">
        <w:t>2</w:t>
      </w:r>
      <w:r w:rsidRPr="00AE6EDB">
        <w:t xml:space="preserve"> a 201</w:t>
      </w:r>
      <w:r w:rsidR="00B364B3" w:rsidRPr="00AE6EDB">
        <w:t>3</w:t>
      </w:r>
      <w:r w:rsidRPr="00AE6EDB">
        <w:t>/2006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1"/>
        <w:gridCol w:w="1378"/>
        <w:gridCol w:w="965"/>
        <w:gridCol w:w="1107"/>
        <w:gridCol w:w="1117"/>
        <w:gridCol w:w="1280"/>
        <w:gridCol w:w="2114"/>
      </w:tblGrid>
      <w:tr w:rsidR="000A7585" w:rsidRPr="00AE6EDB" w:rsidTr="00DE0EEC">
        <w:trPr>
          <w:trHeight w:val="642"/>
          <w:jc w:val="center"/>
        </w:trPr>
        <w:tc>
          <w:tcPr>
            <w:tcW w:w="488" w:type="pct"/>
            <w:vMerge w:val="restart"/>
            <w:shd w:val="clear" w:color="000000" w:fill="FF9999" w:themeFill="accent3" w:themeFillTint="66"/>
            <w:vAlign w:val="center"/>
            <w:hideMark/>
          </w:tcPr>
          <w:p w:rsidR="000A7585" w:rsidRPr="00AE6EDB" w:rsidRDefault="000A7585" w:rsidP="00DE0EEC">
            <w:pPr>
              <w:rPr>
                <w:b/>
                <w:sz w:val="20"/>
                <w:szCs w:val="20"/>
              </w:rPr>
            </w:pPr>
            <w:r w:rsidRPr="00AE6EDB">
              <w:rPr>
                <w:b/>
                <w:sz w:val="20"/>
                <w:szCs w:val="20"/>
              </w:rPr>
              <w:t>Územie</w:t>
            </w:r>
          </w:p>
        </w:tc>
        <w:tc>
          <w:tcPr>
            <w:tcW w:w="1969" w:type="pct"/>
            <w:gridSpan w:val="3"/>
            <w:shd w:val="clear" w:color="000000" w:fill="FF9999" w:themeFill="accent3" w:themeFillTint="66"/>
            <w:vAlign w:val="center"/>
            <w:hideMark/>
          </w:tcPr>
          <w:p w:rsidR="000A7585" w:rsidRPr="00AE6EDB" w:rsidRDefault="000A7585" w:rsidP="00DE0EEC">
            <w:pPr>
              <w:jc w:val="center"/>
              <w:rPr>
                <w:b/>
                <w:sz w:val="20"/>
                <w:szCs w:val="20"/>
              </w:rPr>
            </w:pPr>
            <w:r w:rsidRPr="00AE6EDB">
              <w:rPr>
                <w:b/>
                <w:sz w:val="20"/>
                <w:szCs w:val="20"/>
              </w:rPr>
              <w:t>Počet poberateľov dôchodkov*</w:t>
            </w:r>
          </w:p>
        </w:tc>
        <w:tc>
          <w:tcPr>
            <w:tcW w:w="638" w:type="pct"/>
            <w:vMerge w:val="restart"/>
            <w:shd w:val="clear" w:color="000000" w:fill="FF9999" w:themeFill="accent3" w:themeFillTint="66"/>
            <w:vAlign w:val="center"/>
            <w:hideMark/>
          </w:tcPr>
          <w:p w:rsidR="000A7585" w:rsidRPr="00AE6EDB" w:rsidRDefault="000A7585" w:rsidP="00B364B3">
            <w:pPr>
              <w:jc w:val="center"/>
              <w:rPr>
                <w:b/>
                <w:i/>
                <w:iCs/>
                <w:sz w:val="20"/>
                <w:szCs w:val="20"/>
              </w:rPr>
            </w:pPr>
            <w:r w:rsidRPr="00AE6EDB">
              <w:rPr>
                <w:b/>
                <w:i/>
                <w:iCs/>
                <w:sz w:val="20"/>
                <w:szCs w:val="20"/>
              </w:rPr>
              <w:t>Index 201</w:t>
            </w:r>
            <w:r w:rsidR="00B364B3" w:rsidRPr="00AE6EDB">
              <w:rPr>
                <w:b/>
                <w:i/>
                <w:iCs/>
                <w:sz w:val="20"/>
                <w:szCs w:val="20"/>
              </w:rPr>
              <w:t>3</w:t>
            </w:r>
            <w:r w:rsidRPr="00AE6EDB">
              <w:rPr>
                <w:b/>
                <w:i/>
                <w:iCs/>
                <w:sz w:val="20"/>
                <w:szCs w:val="20"/>
              </w:rPr>
              <w:t>/201</w:t>
            </w:r>
            <w:r w:rsidR="00B364B3" w:rsidRPr="00AE6EDB">
              <w:rPr>
                <w:b/>
                <w:i/>
                <w:iCs/>
                <w:sz w:val="20"/>
                <w:szCs w:val="20"/>
              </w:rPr>
              <w:t>2</w:t>
            </w:r>
          </w:p>
        </w:tc>
        <w:tc>
          <w:tcPr>
            <w:tcW w:w="726" w:type="pct"/>
            <w:vMerge w:val="restart"/>
            <w:shd w:val="clear" w:color="000000" w:fill="FF9999" w:themeFill="accent3" w:themeFillTint="66"/>
            <w:vAlign w:val="center"/>
            <w:hideMark/>
          </w:tcPr>
          <w:p w:rsidR="000A7585" w:rsidRPr="00AE6EDB" w:rsidRDefault="000A7585" w:rsidP="00B364B3">
            <w:pPr>
              <w:jc w:val="center"/>
              <w:rPr>
                <w:b/>
                <w:i/>
                <w:iCs/>
                <w:sz w:val="20"/>
                <w:szCs w:val="20"/>
              </w:rPr>
            </w:pPr>
            <w:r w:rsidRPr="00AE6EDB">
              <w:rPr>
                <w:b/>
                <w:i/>
                <w:iCs/>
                <w:sz w:val="20"/>
                <w:szCs w:val="20"/>
              </w:rPr>
              <w:t>Index 201</w:t>
            </w:r>
            <w:r w:rsidR="00B364B3" w:rsidRPr="00AE6EDB">
              <w:rPr>
                <w:b/>
                <w:i/>
                <w:iCs/>
                <w:sz w:val="20"/>
                <w:szCs w:val="20"/>
              </w:rPr>
              <w:t>3</w:t>
            </w:r>
            <w:r w:rsidRPr="00AE6EDB">
              <w:rPr>
                <w:b/>
                <w:i/>
                <w:iCs/>
                <w:sz w:val="20"/>
                <w:szCs w:val="20"/>
              </w:rPr>
              <w:t>/2006</w:t>
            </w:r>
          </w:p>
        </w:tc>
        <w:tc>
          <w:tcPr>
            <w:tcW w:w="1179" w:type="pct"/>
            <w:vMerge w:val="restart"/>
            <w:shd w:val="clear" w:color="000000" w:fill="FF9999" w:themeFill="accent3" w:themeFillTint="66"/>
            <w:vAlign w:val="center"/>
            <w:hideMark/>
          </w:tcPr>
          <w:p w:rsidR="000A7585" w:rsidRPr="00AE6EDB" w:rsidRDefault="000A7585" w:rsidP="00DE0EEC">
            <w:pPr>
              <w:jc w:val="center"/>
              <w:rPr>
                <w:b/>
                <w:sz w:val="20"/>
                <w:szCs w:val="20"/>
              </w:rPr>
            </w:pPr>
            <w:r w:rsidRPr="00AE6EDB">
              <w:rPr>
                <w:b/>
                <w:sz w:val="20"/>
                <w:szCs w:val="20"/>
              </w:rPr>
              <w:t>Podiel poberateľov dôchodkov na populáciu (%)</w:t>
            </w:r>
          </w:p>
        </w:tc>
      </w:tr>
      <w:tr w:rsidR="000A7585" w:rsidRPr="00AE6EDB" w:rsidTr="00DE0EEC">
        <w:trPr>
          <w:trHeight w:val="503"/>
          <w:jc w:val="center"/>
        </w:trPr>
        <w:tc>
          <w:tcPr>
            <w:tcW w:w="488" w:type="pct"/>
            <w:vMerge/>
            <w:shd w:val="clear" w:color="000000" w:fill="FF9999" w:themeFill="accent3" w:themeFillTint="66"/>
            <w:vAlign w:val="center"/>
            <w:hideMark/>
          </w:tcPr>
          <w:p w:rsidR="000A7585" w:rsidRPr="00AE6EDB" w:rsidRDefault="000A7585" w:rsidP="00DE0EEC">
            <w:pPr>
              <w:rPr>
                <w:sz w:val="20"/>
                <w:szCs w:val="20"/>
              </w:rPr>
            </w:pPr>
          </w:p>
        </w:tc>
        <w:tc>
          <w:tcPr>
            <w:tcW w:w="780" w:type="pct"/>
            <w:shd w:val="clear" w:color="000000" w:fill="FF9999" w:themeFill="accent3" w:themeFillTint="66"/>
            <w:vAlign w:val="center"/>
            <w:hideMark/>
          </w:tcPr>
          <w:p w:rsidR="000A7585" w:rsidRPr="00AE6EDB" w:rsidRDefault="000A7585" w:rsidP="00DE0EEC">
            <w:pPr>
              <w:jc w:val="center"/>
              <w:rPr>
                <w:b/>
                <w:i/>
                <w:iCs/>
                <w:sz w:val="20"/>
                <w:szCs w:val="20"/>
              </w:rPr>
            </w:pPr>
            <w:r w:rsidRPr="00AE6EDB">
              <w:rPr>
                <w:b/>
                <w:i/>
                <w:iCs/>
                <w:sz w:val="20"/>
                <w:szCs w:val="20"/>
              </w:rPr>
              <w:t>úhrn*(osoby)</w:t>
            </w:r>
          </w:p>
        </w:tc>
        <w:tc>
          <w:tcPr>
            <w:tcW w:w="556" w:type="pct"/>
            <w:shd w:val="clear" w:color="000000" w:fill="FF9999" w:themeFill="accent3" w:themeFillTint="66"/>
            <w:vAlign w:val="center"/>
            <w:hideMark/>
          </w:tcPr>
          <w:p w:rsidR="000A7585" w:rsidRPr="00AE6EDB" w:rsidRDefault="000A7585" w:rsidP="00DE0EEC">
            <w:pPr>
              <w:jc w:val="center"/>
              <w:rPr>
                <w:b/>
                <w:sz w:val="20"/>
                <w:szCs w:val="20"/>
              </w:rPr>
            </w:pPr>
            <w:r w:rsidRPr="00AE6EDB">
              <w:rPr>
                <w:b/>
                <w:sz w:val="20"/>
                <w:szCs w:val="20"/>
              </w:rPr>
              <w:t>muži (%)</w:t>
            </w:r>
          </w:p>
        </w:tc>
        <w:tc>
          <w:tcPr>
            <w:tcW w:w="633" w:type="pct"/>
            <w:shd w:val="clear" w:color="000000" w:fill="FF9999" w:themeFill="accent3" w:themeFillTint="66"/>
            <w:vAlign w:val="center"/>
            <w:hideMark/>
          </w:tcPr>
          <w:p w:rsidR="000A7585" w:rsidRPr="00AE6EDB" w:rsidRDefault="000A7585" w:rsidP="00DE0EEC">
            <w:pPr>
              <w:jc w:val="center"/>
              <w:rPr>
                <w:b/>
                <w:sz w:val="20"/>
                <w:szCs w:val="20"/>
              </w:rPr>
            </w:pPr>
            <w:r w:rsidRPr="00AE6EDB">
              <w:rPr>
                <w:b/>
                <w:sz w:val="20"/>
                <w:szCs w:val="20"/>
              </w:rPr>
              <w:t>ženy(%)</w:t>
            </w:r>
          </w:p>
        </w:tc>
        <w:tc>
          <w:tcPr>
            <w:tcW w:w="638" w:type="pct"/>
            <w:vMerge/>
            <w:vAlign w:val="center"/>
            <w:hideMark/>
          </w:tcPr>
          <w:p w:rsidR="000A7585" w:rsidRPr="00AE6EDB" w:rsidRDefault="000A7585" w:rsidP="00DE0EEC">
            <w:pPr>
              <w:rPr>
                <w:i/>
                <w:iCs/>
                <w:sz w:val="20"/>
                <w:szCs w:val="20"/>
              </w:rPr>
            </w:pPr>
          </w:p>
        </w:tc>
        <w:tc>
          <w:tcPr>
            <w:tcW w:w="726" w:type="pct"/>
            <w:vMerge/>
            <w:vAlign w:val="center"/>
            <w:hideMark/>
          </w:tcPr>
          <w:p w:rsidR="000A7585" w:rsidRPr="00AE6EDB" w:rsidRDefault="000A7585" w:rsidP="00DE0EEC">
            <w:pPr>
              <w:rPr>
                <w:i/>
                <w:iCs/>
                <w:sz w:val="20"/>
                <w:szCs w:val="20"/>
              </w:rPr>
            </w:pPr>
          </w:p>
        </w:tc>
        <w:tc>
          <w:tcPr>
            <w:tcW w:w="1179" w:type="pct"/>
            <w:vMerge/>
            <w:vAlign w:val="center"/>
            <w:hideMark/>
          </w:tcPr>
          <w:p w:rsidR="000A7585" w:rsidRPr="00AE6EDB" w:rsidRDefault="000A7585" w:rsidP="00DE0EEC">
            <w:pPr>
              <w:rPr>
                <w:sz w:val="20"/>
                <w:szCs w:val="20"/>
              </w:rPr>
            </w:pPr>
          </w:p>
        </w:tc>
      </w:tr>
      <w:tr w:rsidR="000A7585" w:rsidRPr="00AE6EDB" w:rsidTr="00DE0EEC">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B</w:t>
            </w:r>
            <w:r w:rsidR="00B364B3" w:rsidRPr="00AE6EDB">
              <w:rPr>
                <w:sz w:val="20"/>
                <w:szCs w:val="20"/>
              </w:rPr>
              <w:t>elgicko</w:t>
            </w:r>
          </w:p>
        </w:tc>
        <w:tc>
          <w:tcPr>
            <w:tcW w:w="780" w:type="pct"/>
            <w:shd w:val="clear" w:color="auto" w:fill="auto"/>
            <w:vAlign w:val="center"/>
            <w:hideMark/>
          </w:tcPr>
          <w:p w:rsidR="000A7585" w:rsidRPr="00AE6EDB" w:rsidRDefault="000A7585" w:rsidP="00DE0EEC">
            <w:pPr>
              <w:jc w:val="right"/>
              <w:rPr>
                <w:sz w:val="20"/>
                <w:szCs w:val="20"/>
              </w:rPr>
            </w:pPr>
            <w:r w:rsidRPr="00AE6EDB">
              <w:rPr>
                <w:sz w:val="20"/>
                <w:szCs w:val="20"/>
              </w:rPr>
              <w:t>:</w:t>
            </w:r>
          </w:p>
        </w:tc>
        <w:tc>
          <w:tcPr>
            <w:tcW w:w="556" w:type="pct"/>
            <w:shd w:val="clear" w:color="auto" w:fill="auto"/>
            <w:vAlign w:val="center"/>
            <w:hideMark/>
          </w:tcPr>
          <w:p w:rsidR="000A7585" w:rsidRPr="00AE6EDB" w:rsidRDefault="000A7585" w:rsidP="00DE0EEC">
            <w:pPr>
              <w:jc w:val="right"/>
              <w:rPr>
                <w:sz w:val="20"/>
                <w:szCs w:val="20"/>
              </w:rPr>
            </w:pPr>
            <w:r w:rsidRPr="00AE6EDB">
              <w:rPr>
                <w:sz w:val="20"/>
                <w:szCs w:val="20"/>
              </w:rPr>
              <w:t>:</w:t>
            </w:r>
          </w:p>
        </w:tc>
        <w:tc>
          <w:tcPr>
            <w:tcW w:w="633" w:type="pct"/>
            <w:shd w:val="clear" w:color="auto" w:fill="auto"/>
            <w:vAlign w:val="center"/>
            <w:hideMark/>
          </w:tcPr>
          <w:p w:rsidR="000A7585" w:rsidRPr="00AE6EDB" w:rsidRDefault="000A7585" w:rsidP="00DE0EEC">
            <w:pPr>
              <w:jc w:val="right"/>
              <w:rPr>
                <w:sz w:val="20"/>
                <w:szCs w:val="20"/>
              </w:rPr>
            </w:pPr>
            <w:r w:rsidRPr="00AE6EDB">
              <w:rPr>
                <w:sz w:val="20"/>
                <w:szCs w:val="20"/>
              </w:rPr>
              <w:t>:</w:t>
            </w:r>
          </w:p>
        </w:tc>
        <w:tc>
          <w:tcPr>
            <w:tcW w:w="638" w:type="pct"/>
            <w:shd w:val="clear" w:color="auto" w:fill="auto"/>
            <w:vAlign w:val="center"/>
            <w:hideMark/>
          </w:tcPr>
          <w:p w:rsidR="000A7585" w:rsidRPr="00AE6EDB" w:rsidRDefault="000A7585" w:rsidP="00DE0EEC">
            <w:pPr>
              <w:jc w:val="right"/>
              <w:rPr>
                <w:sz w:val="20"/>
                <w:szCs w:val="20"/>
              </w:rPr>
            </w:pPr>
            <w:r w:rsidRPr="00AE6EDB">
              <w:rPr>
                <w:sz w:val="20"/>
                <w:szCs w:val="20"/>
              </w:rPr>
              <w:t>:</w:t>
            </w:r>
          </w:p>
        </w:tc>
        <w:tc>
          <w:tcPr>
            <w:tcW w:w="726" w:type="pct"/>
            <w:shd w:val="clear" w:color="auto" w:fill="auto"/>
            <w:vAlign w:val="center"/>
            <w:hideMark/>
          </w:tcPr>
          <w:p w:rsidR="000A7585" w:rsidRPr="00AE6EDB" w:rsidRDefault="000A7585" w:rsidP="00DE0EEC">
            <w:pPr>
              <w:jc w:val="right"/>
              <w:rPr>
                <w:sz w:val="20"/>
                <w:szCs w:val="20"/>
              </w:rPr>
            </w:pPr>
            <w:r w:rsidRPr="00AE6EDB">
              <w:rPr>
                <w:sz w:val="20"/>
                <w:szCs w:val="20"/>
              </w:rPr>
              <w:t>:</w:t>
            </w:r>
          </w:p>
        </w:tc>
        <w:tc>
          <w:tcPr>
            <w:tcW w:w="1179" w:type="pct"/>
            <w:shd w:val="clear" w:color="auto" w:fill="auto"/>
            <w:vAlign w:val="center"/>
            <w:hideMark/>
          </w:tcPr>
          <w:p w:rsidR="000A7585" w:rsidRPr="00AE6EDB" w:rsidRDefault="000A7585" w:rsidP="002254E7">
            <w:pPr>
              <w:ind w:right="425"/>
              <w:jc w:val="right"/>
              <w:rPr>
                <w:sz w:val="20"/>
                <w:szCs w:val="20"/>
              </w:rPr>
            </w:pPr>
            <w:r w:rsidRPr="00AE6EDB">
              <w:rPr>
                <w:sz w:val="20"/>
                <w:szCs w:val="20"/>
              </w:rPr>
              <w:t>:</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B</w:t>
            </w:r>
            <w:r w:rsidR="00B364B3" w:rsidRPr="00AE6EDB">
              <w:rPr>
                <w:sz w:val="20"/>
                <w:szCs w:val="20"/>
              </w:rPr>
              <w:t>ulharsko</w:t>
            </w:r>
          </w:p>
        </w:tc>
        <w:tc>
          <w:tcPr>
            <w:tcW w:w="780" w:type="pct"/>
            <w:shd w:val="clear" w:color="auto" w:fill="auto"/>
            <w:vAlign w:val="center"/>
          </w:tcPr>
          <w:p w:rsidR="000A7585" w:rsidRPr="00AE6EDB" w:rsidRDefault="0054295F" w:rsidP="00DE0EEC">
            <w:pPr>
              <w:jc w:val="right"/>
              <w:rPr>
                <w:sz w:val="20"/>
                <w:szCs w:val="20"/>
              </w:rPr>
            </w:pPr>
            <w:r>
              <w:rPr>
                <w:sz w:val="20"/>
                <w:szCs w:val="20"/>
              </w:rPr>
              <w:t>2 1</w:t>
            </w:r>
            <w:r w:rsidR="005C4E8A" w:rsidRPr="00AE6EDB">
              <w:rPr>
                <w:sz w:val="20"/>
                <w:szCs w:val="20"/>
              </w:rPr>
              <w:t>8</w:t>
            </w:r>
            <w:r w:rsidR="00AC44CB">
              <w:rPr>
                <w:sz w:val="20"/>
                <w:szCs w:val="20"/>
              </w:rPr>
              <w:t>8 7</w:t>
            </w:r>
            <w:r w:rsidR="005C4E8A" w:rsidRPr="00AE6EDB">
              <w:rPr>
                <w:sz w:val="20"/>
                <w:szCs w:val="20"/>
              </w:rPr>
              <w:t>37</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42,0</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58,0</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99,0</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96,3</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30,2</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Česká republika</w:t>
            </w:r>
          </w:p>
        </w:tc>
        <w:tc>
          <w:tcPr>
            <w:tcW w:w="780" w:type="pct"/>
            <w:shd w:val="clear" w:color="auto" w:fill="auto"/>
            <w:vAlign w:val="center"/>
          </w:tcPr>
          <w:p w:rsidR="000A7585" w:rsidRPr="00AE6EDB" w:rsidRDefault="0054295F" w:rsidP="00DE0EEC">
            <w:pPr>
              <w:jc w:val="right"/>
              <w:rPr>
                <w:sz w:val="20"/>
                <w:szCs w:val="20"/>
              </w:rPr>
            </w:pPr>
            <w:r>
              <w:rPr>
                <w:sz w:val="20"/>
                <w:szCs w:val="20"/>
              </w:rPr>
              <w:t>2 9</w:t>
            </w:r>
            <w:r w:rsidR="005C4E8A" w:rsidRPr="00AE6EDB">
              <w:rPr>
                <w:sz w:val="20"/>
                <w:szCs w:val="20"/>
              </w:rPr>
              <w:t>1</w:t>
            </w:r>
            <w:r w:rsidR="00AC44CB">
              <w:rPr>
                <w:sz w:val="20"/>
                <w:szCs w:val="20"/>
              </w:rPr>
              <w:t>5 9</w:t>
            </w:r>
            <w:r w:rsidR="005C4E8A" w:rsidRPr="00AE6EDB">
              <w:rPr>
                <w:sz w:val="20"/>
                <w:szCs w:val="20"/>
              </w:rPr>
              <w:t>55</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40,9</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59,1</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99,7</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106,5</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27,7</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D</w:t>
            </w:r>
            <w:r w:rsidR="00B364B3" w:rsidRPr="00AE6EDB">
              <w:rPr>
                <w:sz w:val="20"/>
                <w:szCs w:val="20"/>
              </w:rPr>
              <w:t>ánsko</w:t>
            </w:r>
          </w:p>
        </w:tc>
        <w:tc>
          <w:tcPr>
            <w:tcW w:w="780" w:type="pct"/>
            <w:shd w:val="clear" w:color="auto" w:fill="auto"/>
            <w:vAlign w:val="center"/>
          </w:tcPr>
          <w:p w:rsidR="000A7585" w:rsidRPr="00AE6EDB" w:rsidRDefault="0054295F" w:rsidP="00DE0EEC">
            <w:pPr>
              <w:jc w:val="right"/>
              <w:rPr>
                <w:sz w:val="20"/>
                <w:szCs w:val="20"/>
              </w:rPr>
            </w:pPr>
            <w:r>
              <w:rPr>
                <w:sz w:val="20"/>
                <w:szCs w:val="20"/>
              </w:rPr>
              <w:t>1 4</w:t>
            </w:r>
            <w:r w:rsidR="005C4E8A" w:rsidRPr="00AE6EDB">
              <w:rPr>
                <w:sz w:val="20"/>
                <w:szCs w:val="20"/>
              </w:rPr>
              <w:t>7</w:t>
            </w:r>
            <w:r w:rsidR="00AC44CB">
              <w:rPr>
                <w:sz w:val="20"/>
                <w:szCs w:val="20"/>
              </w:rPr>
              <w:t>5 0</w:t>
            </w:r>
            <w:r w:rsidR="005C4E8A" w:rsidRPr="00AE6EDB">
              <w:rPr>
                <w:sz w:val="20"/>
                <w:szCs w:val="20"/>
              </w:rPr>
              <w:t>31</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44,9</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55,1</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100,8</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119,2</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26,2</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Nemecko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2</w:t>
            </w:r>
            <w:r w:rsidR="0054295F">
              <w:rPr>
                <w:sz w:val="20"/>
                <w:szCs w:val="20"/>
              </w:rPr>
              <w:t>3 4</w:t>
            </w:r>
            <w:r w:rsidRPr="00AE6EDB">
              <w:rPr>
                <w:sz w:val="20"/>
                <w:szCs w:val="20"/>
              </w:rPr>
              <w:t>5</w:t>
            </w:r>
            <w:r w:rsidR="0054295F">
              <w:rPr>
                <w:sz w:val="20"/>
                <w:szCs w:val="20"/>
              </w:rPr>
              <w:t>3 7</w:t>
            </w:r>
            <w:r w:rsidRPr="00AE6EDB">
              <w:rPr>
                <w:sz w:val="20"/>
                <w:szCs w:val="20"/>
              </w:rPr>
              <w:t>68</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44,2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55,8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99,6</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100,9</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29,0</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Estónsko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41</w:t>
            </w:r>
            <w:r w:rsidR="0054295F">
              <w:rPr>
                <w:sz w:val="20"/>
                <w:szCs w:val="20"/>
              </w:rPr>
              <w:t>3 1</w:t>
            </w:r>
            <w:r w:rsidRPr="00AE6EDB">
              <w:rPr>
                <w:sz w:val="20"/>
                <w:szCs w:val="20"/>
              </w:rPr>
              <w:t>79</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38,8</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61,2</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100,4</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108,4</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31,4</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Írsko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88</w:t>
            </w:r>
            <w:r w:rsidR="00AC44CB">
              <w:rPr>
                <w:sz w:val="20"/>
                <w:szCs w:val="20"/>
              </w:rPr>
              <w:t>5 1</w:t>
            </w:r>
            <w:r w:rsidRPr="00AE6EDB">
              <w:rPr>
                <w:sz w:val="20"/>
                <w:szCs w:val="20"/>
              </w:rPr>
              <w:t>54</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50,2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49,8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103,2</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131,7</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19,2</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G</w:t>
            </w:r>
            <w:r w:rsidR="00B364B3" w:rsidRPr="00AE6EDB">
              <w:rPr>
                <w:sz w:val="20"/>
                <w:szCs w:val="20"/>
              </w:rPr>
              <w:t>récko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Španielsko</w:t>
            </w:r>
          </w:p>
        </w:tc>
        <w:tc>
          <w:tcPr>
            <w:tcW w:w="780" w:type="pct"/>
            <w:shd w:val="clear" w:color="auto" w:fill="auto"/>
            <w:vAlign w:val="center"/>
          </w:tcPr>
          <w:p w:rsidR="000A7585" w:rsidRPr="00AE6EDB" w:rsidRDefault="00AC44CB" w:rsidP="00DE0EEC">
            <w:pPr>
              <w:jc w:val="right"/>
              <w:rPr>
                <w:sz w:val="20"/>
                <w:szCs w:val="20"/>
              </w:rPr>
            </w:pPr>
            <w:r>
              <w:rPr>
                <w:sz w:val="20"/>
                <w:szCs w:val="20"/>
              </w:rPr>
              <w:t>9 2</w:t>
            </w:r>
            <w:r w:rsidR="005C4E8A" w:rsidRPr="00AE6EDB">
              <w:rPr>
                <w:sz w:val="20"/>
                <w:szCs w:val="20"/>
              </w:rPr>
              <w:t>5</w:t>
            </w:r>
            <w:r w:rsidR="0054295F">
              <w:rPr>
                <w:sz w:val="20"/>
                <w:szCs w:val="20"/>
              </w:rPr>
              <w:t>1 9</w:t>
            </w:r>
            <w:r w:rsidR="005C4E8A" w:rsidRPr="00AE6EDB">
              <w:rPr>
                <w:sz w:val="20"/>
                <w:szCs w:val="20"/>
              </w:rPr>
              <w:t>48</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50,9</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49,1</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101,5</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111,0</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19,9</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F</w:t>
            </w:r>
            <w:r w:rsidR="00B364B3" w:rsidRPr="00AE6EDB">
              <w:rPr>
                <w:sz w:val="20"/>
                <w:szCs w:val="20"/>
              </w:rPr>
              <w:t>rancúzsko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1</w:t>
            </w:r>
            <w:r w:rsidR="00AC44CB">
              <w:rPr>
                <w:sz w:val="20"/>
                <w:szCs w:val="20"/>
              </w:rPr>
              <w:t>8 6</w:t>
            </w:r>
            <w:r w:rsidRPr="00AE6EDB">
              <w:rPr>
                <w:sz w:val="20"/>
                <w:szCs w:val="20"/>
              </w:rPr>
              <w:t>1</w:t>
            </w:r>
            <w:r w:rsidR="00AC44CB">
              <w:rPr>
                <w:sz w:val="20"/>
                <w:szCs w:val="20"/>
              </w:rPr>
              <w:t>6 0</w:t>
            </w:r>
            <w:r w:rsidRPr="00AE6EDB">
              <w:rPr>
                <w:sz w:val="20"/>
                <w:szCs w:val="20"/>
              </w:rPr>
              <w:t>00</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46,0</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54,0</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101,4</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108,7</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28,3</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Chorvátsko</w:t>
            </w:r>
          </w:p>
        </w:tc>
        <w:tc>
          <w:tcPr>
            <w:tcW w:w="780" w:type="pct"/>
            <w:shd w:val="clear" w:color="auto" w:fill="auto"/>
            <w:vAlign w:val="center"/>
          </w:tcPr>
          <w:p w:rsidR="000A7585" w:rsidRPr="00AE6EDB" w:rsidRDefault="0054295F" w:rsidP="00DE0EEC">
            <w:pPr>
              <w:jc w:val="right"/>
              <w:rPr>
                <w:sz w:val="20"/>
                <w:szCs w:val="20"/>
              </w:rPr>
            </w:pPr>
            <w:r>
              <w:rPr>
                <w:sz w:val="20"/>
                <w:szCs w:val="20"/>
              </w:rPr>
              <w:t>1 1</w:t>
            </w:r>
            <w:r w:rsidR="005C4E8A" w:rsidRPr="00AE6EDB">
              <w:rPr>
                <w:sz w:val="20"/>
                <w:szCs w:val="20"/>
              </w:rPr>
              <w:t>9</w:t>
            </w:r>
            <w:r>
              <w:rPr>
                <w:sz w:val="20"/>
                <w:szCs w:val="20"/>
              </w:rPr>
              <w:t>0 8</w:t>
            </w:r>
            <w:r w:rsidR="005C4E8A" w:rsidRPr="00AE6EDB">
              <w:rPr>
                <w:sz w:val="20"/>
                <w:szCs w:val="20"/>
              </w:rPr>
              <w:t>15</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45,4</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54,6</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97,8</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28,0</w:t>
            </w:r>
          </w:p>
        </w:tc>
      </w:tr>
      <w:tr w:rsidR="000A7585" w:rsidRPr="00AE6EDB" w:rsidTr="002254E7">
        <w:trPr>
          <w:trHeight w:val="293"/>
          <w:jc w:val="center"/>
        </w:trPr>
        <w:tc>
          <w:tcPr>
            <w:tcW w:w="488" w:type="pct"/>
            <w:shd w:val="clear" w:color="auto" w:fill="auto"/>
            <w:vAlign w:val="center"/>
            <w:hideMark/>
          </w:tcPr>
          <w:p w:rsidR="000A7585" w:rsidRPr="00AE6EDB" w:rsidRDefault="00B364B3" w:rsidP="00B364B3">
            <w:pPr>
              <w:rPr>
                <w:sz w:val="20"/>
                <w:szCs w:val="20"/>
              </w:rPr>
            </w:pPr>
            <w:r w:rsidRPr="00AE6EDB">
              <w:rPr>
                <w:sz w:val="20"/>
                <w:szCs w:val="20"/>
              </w:rPr>
              <w:t>Taliansko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1</w:t>
            </w:r>
            <w:r w:rsidR="00AC44CB">
              <w:rPr>
                <w:sz w:val="20"/>
                <w:szCs w:val="20"/>
              </w:rPr>
              <w:t>6 2</w:t>
            </w:r>
            <w:r w:rsidRPr="00AE6EDB">
              <w:rPr>
                <w:sz w:val="20"/>
                <w:szCs w:val="20"/>
              </w:rPr>
              <w:t>5</w:t>
            </w:r>
            <w:r w:rsidR="00AC44CB">
              <w:rPr>
                <w:sz w:val="20"/>
                <w:szCs w:val="20"/>
              </w:rPr>
              <w:t>4 9</w:t>
            </w:r>
            <w:r w:rsidRPr="00AE6EDB">
              <w:rPr>
                <w:sz w:val="20"/>
                <w:szCs w:val="20"/>
              </w:rPr>
              <w:t>18</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47,2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52,8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98,8</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98,3</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26,7</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C</w:t>
            </w:r>
            <w:r w:rsidR="00B364B3" w:rsidRPr="00AE6EDB">
              <w:rPr>
                <w:sz w:val="20"/>
                <w:szCs w:val="20"/>
              </w:rPr>
              <w:t>yprus</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13</w:t>
            </w:r>
            <w:r w:rsidR="0054295F">
              <w:rPr>
                <w:sz w:val="20"/>
                <w:szCs w:val="20"/>
              </w:rPr>
              <w:t>0 7</w:t>
            </w:r>
            <w:r w:rsidRPr="00AE6EDB">
              <w:rPr>
                <w:sz w:val="20"/>
                <w:szCs w:val="20"/>
              </w:rPr>
              <w:t>29</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52,5</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47,5</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102,4</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1025,2</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15,2</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L</w:t>
            </w:r>
            <w:r w:rsidR="005C4E8A" w:rsidRPr="00AE6EDB">
              <w:rPr>
                <w:sz w:val="20"/>
                <w:szCs w:val="20"/>
              </w:rPr>
              <w:t>otyšsko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60</w:t>
            </w:r>
            <w:r w:rsidR="0054295F">
              <w:rPr>
                <w:sz w:val="20"/>
                <w:szCs w:val="20"/>
              </w:rPr>
              <w:t>2 9</w:t>
            </w:r>
            <w:r w:rsidRPr="00AE6EDB">
              <w:rPr>
                <w:sz w:val="20"/>
                <w:szCs w:val="20"/>
              </w:rPr>
              <w:t>44</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37,4</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62,6</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99,2</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100,9</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30,1</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L</w:t>
            </w:r>
            <w:r w:rsidR="005C4E8A" w:rsidRPr="00AE6EDB">
              <w:rPr>
                <w:sz w:val="20"/>
                <w:szCs w:val="20"/>
              </w:rPr>
              <w:t>itva</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94</w:t>
            </w:r>
            <w:r w:rsidR="00AC44CB">
              <w:rPr>
                <w:sz w:val="20"/>
                <w:szCs w:val="20"/>
              </w:rPr>
              <w:t>5 2</w:t>
            </w:r>
            <w:r w:rsidRPr="00AE6EDB">
              <w:rPr>
                <w:sz w:val="20"/>
                <w:szCs w:val="20"/>
              </w:rPr>
              <w:t>50</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38,3</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61,7</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99,8</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102,5</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32,1</w:t>
            </w:r>
          </w:p>
        </w:tc>
      </w:tr>
      <w:tr w:rsidR="000A7585" w:rsidRPr="00AE6EDB" w:rsidTr="002254E7">
        <w:trPr>
          <w:trHeight w:val="293"/>
          <w:jc w:val="center"/>
        </w:trPr>
        <w:tc>
          <w:tcPr>
            <w:tcW w:w="488" w:type="pct"/>
            <w:shd w:val="clear" w:color="auto" w:fill="auto"/>
            <w:vAlign w:val="center"/>
            <w:hideMark/>
          </w:tcPr>
          <w:p w:rsidR="000A7585" w:rsidRPr="00AE6EDB" w:rsidRDefault="000A7585" w:rsidP="00B364B3">
            <w:pPr>
              <w:rPr>
                <w:sz w:val="20"/>
                <w:szCs w:val="20"/>
              </w:rPr>
            </w:pPr>
            <w:r w:rsidRPr="00AE6EDB">
              <w:rPr>
                <w:sz w:val="20"/>
                <w:szCs w:val="20"/>
              </w:rPr>
              <w:t>L</w:t>
            </w:r>
            <w:r w:rsidR="005C4E8A" w:rsidRPr="00AE6EDB">
              <w:rPr>
                <w:sz w:val="20"/>
                <w:szCs w:val="20"/>
              </w:rPr>
              <w:t>uxembursko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16</w:t>
            </w:r>
            <w:r w:rsidR="0054295F">
              <w:rPr>
                <w:sz w:val="20"/>
                <w:szCs w:val="20"/>
              </w:rPr>
              <w:t>1 9</w:t>
            </w:r>
            <w:r w:rsidRPr="00AE6EDB">
              <w:rPr>
                <w:sz w:val="20"/>
                <w:szCs w:val="20"/>
              </w:rPr>
              <w:t>43</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55,6</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44,4</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103,0</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124,7</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29,5</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Maďarsko</w:t>
            </w:r>
          </w:p>
        </w:tc>
        <w:tc>
          <w:tcPr>
            <w:tcW w:w="780" w:type="pct"/>
            <w:shd w:val="clear" w:color="auto" w:fill="auto"/>
            <w:vAlign w:val="center"/>
          </w:tcPr>
          <w:p w:rsidR="000A7585" w:rsidRPr="00AE6EDB" w:rsidRDefault="0054295F" w:rsidP="00DE0EEC">
            <w:pPr>
              <w:jc w:val="right"/>
              <w:rPr>
                <w:sz w:val="20"/>
                <w:szCs w:val="20"/>
              </w:rPr>
            </w:pPr>
            <w:r>
              <w:rPr>
                <w:sz w:val="20"/>
                <w:szCs w:val="20"/>
              </w:rPr>
              <w:t>2 2</w:t>
            </w:r>
            <w:r w:rsidR="005C4E8A" w:rsidRPr="00AE6EDB">
              <w:rPr>
                <w:sz w:val="20"/>
                <w:szCs w:val="20"/>
              </w:rPr>
              <w:t>2</w:t>
            </w:r>
            <w:r>
              <w:rPr>
                <w:sz w:val="20"/>
                <w:szCs w:val="20"/>
              </w:rPr>
              <w:t>2 0</w:t>
            </w:r>
            <w:r w:rsidR="005C4E8A" w:rsidRPr="00AE6EDB">
              <w:rPr>
                <w:sz w:val="20"/>
                <w:szCs w:val="20"/>
              </w:rPr>
              <w:t>91</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37,2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62,8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100,6</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22,5</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Malta</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8</w:t>
            </w:r>
            <w:r w:rsidR="0054295F">
              <w:rPr>
                <w:sz w:val="20"/>
                <w:szCs w:val="20"/>
              </w:rPr>
              <w:t>4 6</w:t>
            </w:r>
            <w:r w:rsidRPr="00AE6EDB">
              <w:rPr>
                <w:sz w:val="20"/>
                <w:szCs w:val="20"/>
              </w:rPr>
              <w:t>33</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56,7</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43,3</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102,3</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117,9</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19,9</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Holandsko</w:t>
            </w:r>
          </w:p>
        </w:tc>
        <w:tc>
          <w:tcPr>
            <w:tcW w:w="780" w:type="pct"/>
            <w:shd w:val="clear" w:color="auto" w:fill="auto"/>
            <w:vAlign w:val="center"/>
          </w:tcPr>
          <w:p w:rsidR="000A7585" w:rsidRPr="00AE6EDB" w:rsidRDefault="0054295F" w:rsidP="00DE0EEC">
            <w:pPr>
              <w:jc w:val="right"/>
              <w:rPr>
                <w:sz w:val="20"/>
                <w:szCs w:val="20"/>
              </w:rPr>
            </w:pPr>
            <w:r>
              <w:rPr>
                <w:sz w:val="20"/>
                <w:szCs w:val="20"/>
              </w:rPr>
              <w:t>3 4</w:t>
            </w:r>
            <w:r w:rsidR="005C4E8A" w:rsidRPr="00AE6EDB">
              <w:rPr>
                <w:sz w:val="20"/>
                <w:szCs w:val="20"/>
              </w:rPr>
              <w:t>1</w:t>
            </w:r>
            <w:r>
              <w:rPr>
                <w:sz w:val="20"/>
                <w:szCs w:val="20"/>
              </w:rPr>
              <w:t>3 9</w:t>
            </w:r>
            <w:r w:rsidR="005C4E8A" w:rsidRPr="00AE6EDB">
              <w:rPr>
                <w:sz w:val="20"/>
                <w:szCs w:val="20"/>
              </w:rPr>
              <w:t>00</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45,2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54,8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100,2</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108,8</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20,3</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Rakúsko</w:t>
            </w:r>
          </w:p>
        </w:tc>
        <w:tc>
          <w:tcPr>
            <w:tcW w:w="780" w:type="pct"/>
            <w:shd w:val="clear" w:color="auto" w:fill="auto"/>
            <w:vAlign w:val="center"/>
          </w:tcPr>
          <w:p w:rsidR="000A7585" w:rsidRPr="00AE6EDB" w:rsidRDefault="0054295F" w:rsidP="00DE0EEC">
            <w:pPr>
              <w:jc w:val="right"/>
              <w:rPr>
                <w:sz w:val="20"/>
                <w:szCs w:val="20"/>
              </w:rPr>
            </w:pPr>
            <w:r>
              <w:rPr>
                <w:sz w:val="20"/>
                <w:szCs w:val="20"/>
              </w:rPr>
              <w:t>2 4</w:t>
            </w:r>
            <w:r w:rsidR="005C4E8A" w:rsidRPr="00AE6EDB">
              <w:rPr>
                <w:sz w:val="20"/>
                <w:szCs w:val="20"/>
              </w:rPr>
              <w:t>2</w:t>
            </w:r>
            <w:r>
              <w:rPr>
                <w:sz w:val="20"/>
                <w:szCs w:val="20"/>
              </w:rPr>
              <w:t>2 5</w:t>
            </w:r>
            <w:r w:rsidR="005C4E8A" w:rsidRPr="00AE6EDB">
              <w:rPr>
                <w:sz w:val="20"/>
                <w:szCs w:val="20"/>
              </w:rPr>
              <w:t>39</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45,5</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54,4</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101,0</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107,6</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28,5</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Poľsko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Portugalsko</w:t>
            </w:r>
          </w:p>
        </w:tc>
        <w:tc>
          <w:tcPr>
            <w:tcW w:w="780" w:type="pct"/>
            <w:shd w:val="clear" w:color="auto" w:fill="auto"/>
            <w:vAlign w:val="center"/>
          </w:tcPr>
          <w:p w:rsidR="000A7585" w:rsidRPr="00AE6EDB" w:rsidRDefault="0054295F" w:rsidP="00DE0EEC">
            <w:pPr>
              <w:jc w:val="right"/>
              <w:rPr>
                <w:sz w:val="20"/>
                <w:szCs w:val="20"/>
              </w:rPr>
            </w:pPr>
            <w:r>
              <w:rPr>
                <w:sz w:val="20"/>
                <w:szCs w:val="20"/>
              </w:rPr>
              <w:t>3 0</w:t>
            </w:r>
            <w:r w:rsidR="005C4E8A" w:rsidRPr="00AE6EDB">
              <w:rPr>
                <w:sz w:val="20"/>
                <w:szCs w:val="20"/>
              </w:rPr>
              <w:t>3</w:t>
            </w:r>
            <w:r>
              <w:rPr>
                <w:sz w:val="20"/>
                <w:szCs w:val="20"/>
              </w:rPr>
              <w:t>4 1</w:t>
            </w:r>
            <w:r w:rsidR="005C4E8A" w:rsidRPr="00AE6EDB">
              <w:rPr>
                <w:sz w:val="20"/>
                <w:szCs w:val="20"/>
              </w:rPr>
              <w:t>24</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44,7</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55,3</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100,5</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105,1</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29,1</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Rumunsko</w:t>
            </w:r>
          </w:p>
        </w:tc>
        <w:tc>
          <w:tcPr>
            <w:tcW w:w="780" w:type="pct"/>
            <w:shd w:val="clear" w:color="auto" w:fill="auto"/>
            <w:vAlign w:val="center"/>
          </w:tcPr>
          <w:p w:rsidR="000A7585" w:rsidRPr="00AE6EDB" w:rsidRDefault="00AC44CB" w:rsidP="00DE0EEC">
            <w:pPr>
              <w:jc w:val="right"/>
              <w:rPr>
                <w:sz w:val="20"/>
                <w:szCs w:val="20"/>
              </w:rPr>
            </w:pPr>
            <w:r>
              <w:rPr>
                <w:sz w:val="20"/>
                <w:szCs w:val="20"/>
              </w:rPr>
              <w:t>5 3</w:t>
            </w:r>
            <w:r w:rsidR="005C4E8A" w:rsidRPr="00AE6EDB">
              <w:rPr>
                <w:sz w:val="20"/>
                <w:szCs w:val="20"/>
              </w:rPr>
              <w:t>8</w:t>
            </w:r>
            <w:r>
              <w:rPr>
                <w:sz w:val="20"/>
                <w:szCs w:val="20"/>
              </w:rPr>
              <w:t>8 5</w:t>
            </w:r>
            <w:r w:rsidR="005C4E8A" w:rsidRPr="00AE6EDB">
              <w:rPr>
                <w:sz w:val="20"/>
                <w:szCs w:val="20"/>
              </w:rPr>
              <w:t>24</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41,9</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58,1</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98,8</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93,2</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27,0</w:t>
            </w:r>
          </w:p>
        </w:tc>
      </w:tr>
      <w:tr w:rsidR="000A7585" w:rsidRPr="00AE6EDB" w:rsidTr="002254E7">
        <w:trPr>
          <w:trHeight w:val="293"/>
          <w:jc w:val="center"/>
        </w:trPr>
        <w:tc>
          <w:tcPr>
            <w:tcW w:w="488" w:type="pct"/>
            <w:tcBorders>
              <w:bottom w:val="single" w:sz="4" w:space="0" w:color="auto"/>
            </w:tcBorders>
            <w:shd w:val="clear" w:color="auto" w:fill="auto"/>
            <w:vAlign w:val="center"/>
            <w:hideMark/>
          </w:tcPr>
          <w:p w:rsidR="000A7585" w:rsidRPr="00AE6EDB" w:rsidRDefault="005C4E8A" w:rsidP="00B364B3">
            <w:pPr>
              <w:rPr>
                <w:sz w:val="20"/>
                <w:szCs w:val="20"/>
              </w:rPr>
            </w:pPr>
            <w:r w:rsidRPr="00AE6EDB">
              <w:rPr>
                <w:sz w:val="20"/>
                <w:szCs w:val="20"/>
              </w:rPr>
              <w:t>Slovinsko</w:t>
            </w:r>
          </w:p>
        </w:tc>
        <w:tc>
          <w:tcPr>
            <w:tcW w:w="780" w:type="pct"/>
            <w:tcBorders>
              <w:bottom w:val="single" w:sz="4" w:space="0" w:color="auto"/>
            </w:tcBorders>
            <w:shd w:val="clear" w:color="auto" w:fill="auto"/>
            <w:vAlign w:val="center"/>
          </w:tcPr>
          <w:p w:rsidR="000A7585" w:rsidRPr="00AE6EDB" w:rsidRDefault="005C4E8A" w:rsidP="00DE0EEC">
            <w:pPr>
              <w:jc w:val="right"/>
              <w:rPr>
                <w:sz w:val="20"/>
                <w:szCs w:val="20"/>
              </w:rPr>
            </w:pPr>
            <w:r w:rsidRPr="00AE6EDB">
              <w:rPr>
                <w:sz w:val="20"/>
                <w:szCs w:val="20"/>
              </w:rPr>
              <w:t>63</w:t>
            </w:r>
            <w:r w:rsidR="0054295F">
              <w:rPr>
                <w:sz w:val="20"/>
                <w:szCs w:val="20"/>
              </w:rPr>
              <w:t>1 2</w:t>
            </w:r>
            <w:r w:rsidRPr="00AE6EDB">
              <w:rPr>
                <w:sz w:val="20"/>
                <w:szCs w:val="20"/>
              </w:rPr>
              <w:t>13</w:t>
            </w:r>
          </w:p>
        </w:tc>
        <w:tc>
          <w:tcPr>
            <w:tcW w:w="556" w:type="pct"/>
            <w:tcBorders>
              <w:bottom w:val="sing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44,5</w:t>
            </w:r>
          </w:p>
        </w:tc>
        <w:tc>
          <w:tcPr>
            <w:tcW w:w="633" w:type="pct"/>
            <w:tcBorders>
              <w:bottom w:val="sing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55,5</w:t>
            </w:r>
          </w:p>
        </w:tc>
        <w:tc>
          <w:tcPr>
            <w:tcW w:w="638" w:type="pct"/>
            <w:tcBorders>
              <w:bottom w:val="sing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100,2</w:t>
            </w:r>
          </w:p>
        </w:tc>
        <w:tc>
          <w:tcPr>
            <w:tcW w:w="726" w:type="pct"/>
            <w:tcBorders>
              <w:bottom w:val="sing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109,4</w:t>
            </w:r>
          </w:p>
        </w:tc>
        <w:tc>
          <w:tcPr>
            <w:tcW w:w="1179" w:type="pct"/>
            <w:tcBorders>
              <w:bottom w:val="single" w:sz="4" w:space="0" w:color="auto"/>
            </w:tcBorders>
            <w:shd w:val="clear" w:color="auto" w:fill="auto"/>
            <w:vAlign w:val="center"/>
          </w:tcPr>
          <w:p w:rsidR="000A7585" w:rsidRPr="00AE6EDB" w:rsidRDefault="002254E7" w:rsidP="00DE0EEC">
            <w:pPr>
              <w:ind w:right="497"/>
              <w:jc w:val="right"/>
              <w:rPr>
                <w:sz w:val="20"/>
                <w:szCs w:val="20"/>
              </w:rPr>
            </w:pPr>
            <w:r w:rsidRPr="00AE6EDB">
              <w:rPr>
                <w:sz w:val="20"/>
                <w:szCs w:val="20"/>
              </w:rPr>
              <w:t>30,6</w:t>
            </w:r>
          </w:p>
        </w:tc>
      </w:tr>
      <w:tr w:rsidR="000A7585" w:rsidRPr="00AE6EDB" w:rsidTr="002254E7">
        <w:trPr>
          <w:trHeight w:val="293"/>
          <w:jc w:val="center"/>
        </w:trPr>
        <w:tc>
          <w:tcPr>
            <w:tcW w:w="488" w:type="pct"/>
            <w:shd w:val="clear" w:color="000000" w:fill="FFCCCC" w:themeFill="accent3" w:themeFillTint="33"/>
            <w:vAlign w:val="center"/>
            <w:hideMark/>
          </w:tcPr>
          <w:p w:rsidR="000A7585" w:rsidRPr="00AE6EDB" w:rsidRDefault="005C4E8A" w:rsidP="00B364B3">
            <w:pPr>
              <w:rPr>
                <w:sz w:val="20"/>
                <w:szCs w:val="20"/>
              </w:rPr>
            </w:pPr>
            <w:r w:rsidRPr="00AE6EDB">
              <w:rPr>
                <w:sz w:val="20"/>
                <w:szCs w:val="20"/>
              </w:rPr>
              <w:t>SR</w:t>
            </w:r>
          </w:p>
        </w:tc>
        <w:tc>
          <w:tcPr>
            <w:tcW w:w="780" w:type="pct"/>
            <w:shd w:val="clear" w:color="000000" w:fill="FFCCCC" w:themeFill="accent3" w:themeFillTint="33"/>
            <w:vAlign w:val="center"/>
          </w:tcPr>
          <w:p w:rsidR="000A7585" w:rsidRPr="00AE6EDB" w:rsidRDefault="0054295F" w:rsidP="00DE0EEC">
            <w:pPr>
              <w:jc w:val="right"/>
              <w:rPr>
                <w:sz w:val="20"/>
                <w:szCs w:val="20"/>
              </w:rPr>
            </w:pPr>
            <w:r>
              <w:rPr>
                <w:sz w:val="20"/>
                <w:szCs w:val="20"/>
              </w:rPr>
              <w:t>1 3</w:t>
            </w:r>
            <w:r w:rsidR="005C4E8A" w:rsidRPr="00AE6EDB">
              <w:rPr>
                <w:sz w:val="20"/>
                <w:szCs w:val="20"/>
              </w:rPr>
              <w:t>8</w:t>
            </w:r>
            <w:r>
              <w:rPr>
                <w:sz w:val="20"/>
                <w:szCs w:val="20"/>
              </w:rPr>
              <w:t>2 2</w:t>
            </w:r>
            <w:r w:rsidR="005C4E8A" w:rsidRPr="00AE6EDB">
              <w:rPr>
                <w:sz w:val="20"/>
                <w:szCs w:val="20"/>
              </w:rPr>
              <w:t>14</w:t>
            </w:r>
          </w:p>
        </w:tc>
        <w:tc>
          <w:tcPr>
            <w:tcW w:w="556" w:type="pct"/>
            <w:shd w:val="clear" w:color="000000" w:fill="FFCCCC" w:themeFill="accent3" w:themeFillTint="33"/>
            <w:vAlign w:val="center"/>
          </w:tcPr>
          <w:p w:rsidR="000A7585" w:rsidRPr="00AE6EDB" w:rsidRDefault="00805CBC" w:rsidP="00DE0EEC">
            <w:pPr>
              <w:jc w:val="right"/>
              <w:rPr>
                <w:sz w:val="20"/>
                <w:szCs w:val="20"/>
              </w:rPr>
            </w:pPr>
            <w:r w:rsidRPr="00AE6EDB">
              <w:rPr>
                <w:sz w:val="20"/>
                <w:szCs w:val="20"/>
              </w:rPr>
              <w:t>40,5</w:t>
            </w:r>
          </w:p>
        </w:tc>
        <w:tc>
          <w:tcPr>
            <w:tcW w:w="633" w:type="pct"/>
            <w:shd w:val="clear" w:color="000000" w:fill="FFCCCC" w:themeFill="accent3" w:themeFillTint="33"/>
            <w:vAlign w:val="center"/>
          </w:tcPr>
          <w:p w:rsidR="000A7585" w:rsidRPr="00AE6EDB" w:rsidRDefault="00805CBC" w:rsidP="00DE0EEC">
            <w:pPr>
              <w:jc w:val="right"/>
              <w:rPr>
                <w:sz w:val="20"/>
                <w:szCs w:val="20"/>
              </w:rPr>
            </w:pPr>
            <w:r w:rsidRPr="00AE6EDB">
              <w:rPr>
                <w:sz w:val="20"/>
                <w:szCs w:val="20"/>
              </w:rPr>
              <w:t>59,5</w:t>
            </w:r>
          </w:p>
        </w:tc>
        <w:tc>
          <w:tcPr>
            <w:tcW w:w="638" w:type="pct"/>
            <w:shd w:val="clear" w:color="000000" w:fill="FFCCCC" w:themeFill="accent3" w:themeFillTint="33"/>
            <w:vAlign w:val="center"/>
          </w:tcPr>
          <w:p w:rsidR="000A7585" w:rsidRPr="00AE6EDB" w:rsidRDefault="005C4E8A" w:rsidP="00DE0EEC">
            <w:pPr>
              <w:ind w:right="36"/>
              <w:jc w:val="right"/>
              <w:rPr>
                <w:sz w:val="20"/>
                <w:szCs w:val="20"/>
              </w:rPr>
            </w:pPr>
            <w:r w:rsidRPr="00AE6EDB">
              <w:rPr>
                <w:sz w:val="20"/>
                <w:szCs w:val="20"/>
              </w:rPr>
              <w:t>100,7</w:t>
            </w:r>
          </w:p>
        </w:tc>
        <w:tc>
          <w:tcPr>
            <w:tcW w:w="726" w:type="pct"/>
            <w:shd w:val="clear" w:color="000000" w:fill="FFCCCC" w:themeFill="accent3" w:themeFillTint="33"/>
            <w:vAlign w:val="center"/>
          </w:tcPr>
          <w:p w:rsidR="000A7585" w:rsidRPr="00AE6EDB" w:rsidRDefault="005C4E8A" w:rsidP="00DE0EEC">
            <w:pPr>
              <w:ind w:right="36"/>
              <w:jc w:val="right"/>
              <w:rPr>
                <w:sz w:val="20"/>
                <w:szCs w:val="20"/>
              </w:rPr>
            </w:pPr>
            <w:r w:rsidRPr="00AE6EDB">
              <w:rPr>
                <w:sz w:val="20"/>
                <w:szCs w:val="20"/>
              </w:rPr>
              <w:t>109,1</w:t>
            </w:r>
          </w:p>
        </w:tc>
        <w:tc>
          <w:tcPr>
            <w:tcW w:w="1179" w:type="pct"/>
            <w:shd w:val="clear" w:color="000000" w:fill="FFCCCC" w:themeFill="accent3" w:themeFillTint="33"/>
            <w:vAlign w:val="center"/>
          </w:tcPr>
          <w:p w:rsidR="000A7585" w:rsidRPr="00AE6EDB" w:rsidRDefault="002254E7" w:rsidP="00DE0EEC">
            <w:pPr>
              <w:ind w:right="497"/>
              <w:jc w:val="right"/>
              <w:rPr>
                <w:sz w:val="20"/>
                <w:szCs w:val="20"/>
              </w:rPr>
            </w:pPr>
            <w:r w:rsidRPr="00AE6EDB">
              <w:rPr>
                <w:sz w:val="20"/>
                <w:szCs w:val="20"/>
              </w:rPr>
              <w:t>25,5</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Fínsko</w:t>
            </w:r>
          </w:p>
        </w:tc>
        <w:tc>
          <w:tcPr>
            <w:tcW w:w="780" w:type="pct"/>
            <w:shd w:val="clear" w:color="auto" w:fill="auto"/>
            <w:vAlign w:val="center"/>
          </w:tcPr>
          <w:p w:rsidR="000A7585" w:rsidRPr="00AE6EDB" w:rsidRDefault="0054295F" w:rsidP="00DE0EEC">
            <w:pPr>
              <w:jc w:val="right"/>
              <w:rPr>
                <w:sz w:val="20"/>
                <w:szCs w:val="20"/>
              </w:rPr>
            </w:pPr>
            <w:r>
              <w:rPr>
                <w:sz w:val="20"/>
                <w:szCs w:val="20"/>
              </w:rPr>
              <w:t>1 5</w:t>
            </w:r>
            <w:r w:rsidR="005C4E8A" w:rsidRPr="00AE6EDB">
              <w:rPr>
                <w:sz w:val="20"/>
                <w:szCs w:val="20"/>
              </w:rPr>
              <w:t>1</w:t>
            </w:r>
            <w:r>
              <w:rPr>
                <w:sz w:val="20"/>
                <w:szCs w:val="20"/>
              </w:rPr>
              <w:t>3 1</w:t>
            </w:r>
            <w:r w:rsidR="005C4E8A" w:rsidRPr="00AE6EDB">
              <w:rPr>
                <w:sz w:val="20"/>
                <w:szCs w:val="20"/>
              </w:rPr>
              <w:t>22</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44,3</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55,7</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101,3</w:t>
            </w:r>
          </w:p>
        </w:tc>
        <w:tc>
          <w:tcPr>
            <w:tcW w:w="726" w:type="pct"/>
            <w:shd w:val="clear" w:color="auto" w:fill="auto"/>
            <w:vAlign w:val="center"/>
          </w:tcPr>
          <w:p w:rsidR="000A7585" w:rsidRPr="00AE6EDB" w:rsidRDefault="005C4E8A" w:rsidP="00DE0EEC">
            <w:pPr>
              <w:ind w:right="36"/>
              <w:jc w:val="right"/>
              <w:rPr>
                <w:sz w:val="20"/>
                <w:szCs w:val="20"/>
              </w:rPr>
            </w:pPr>
            <w:r w:rsidRPr="00AE6EDB">
              <w:rPr>
                <w:sz w:val="20"/>
                <w:szCs w:val="20"/>
              </w:rPr>
              <w:t>110,3</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27,8</w:t>
            </w:r>
          </w:p>
        </w:tc>
      </w:tr>
      <w:tr w:rsidR="000A7585" w:rsidRPr="00AE6EDB" w:rsidTr="002254E7">
        <w:trPr>
          <w:trHeight w:val="293"/>
          <w:jc w:val="center"/>
        </w:trPr>
        <w:tc>
          <w:tcPr>
            <w:tcW w:w="488" w:type="pct"/>
            <w:tcBorders>
              <w:bottom w:val="single" w:sz="4" w:space="0" w:color="auto"/>
            </w:tcBorders>
            <w:shd w:val="clear" w:color="auto" w:fill="auto"/>
            <w:vAlign w:val="center"/>
            <w:hideMark/>
          </w:tcPr>
          <w:p w:rsidR="000A7585" w:rsidRPr="00AE6EDB" w:rsidRDefault="005C4E8A" w:rsidP="00B364B3">
            <w:pPr>
              <w:rPr>
                <w:sz w:val="20"/>
                <w:szCs w:val="20"/>
              </w:rPr>
            </w:pPr>
            <w:r w:rsidRPr="00AE6EDB">
              <w:rPr>
                <w:sz w:val="20"/>
                <w:szCs w:val="20"/>
              </w:rPr>
              <w:t>Švédsko</w:t>
            </w:r>
          </w:p>
        </w:tc>
        <w:tc>
          <w:tcPr>
            <w:tcW w:w="780" w:type="pct"/>
            <w:tcBorders>
              <w:bottom w:val="single" w:sz="4" w:space="0" w:color="auto"/>
            </w:tcBorders>
            <w:shd w:val="clear" w:color="auto" w:fill="auto"/>
            <w:vAlign w:val="center"/>
          </w:tcPr>
          <w:p w:rsidR="000A7585" w:rsidRPr="00AE6EDB" w:rsidRDefault="0054295F" w:rsidP="00DE0EEC">
            <w:pPr>
              <w:jc w:val="right"/>
              <w:rPr>
                <w:sz w:val="20"/>
                <w:szCs w:val="20"/>
              </w:rPr>
            </w:pPr>
            <w:r>
              <w:rPr>
                <w:sz w:val="20"/>
                <w:szCs w:val="20"/>
              </w:rPr>
              <w:t>2 5</w:t>
            </w:r>
            <w:r w:rsidR="005C4E8A" w:rsidRPr="00AE6EDB">
              <w:rPr>
                <w:sz w:val="20"/>
                <w:szCs w:val="20"/>
              </w:rPr>
              <w:t>8</w:t>
            </w:r>
            <w:r w:rsidR="00AC44CB">
              <w:rPr>
                <w:sz w:val="20"/>
                <w:szCs w:val="20"/>
              </w:rPr>
              <w:t>7 1</w:t>
            </w:r>
            <w:r w:rsidR="005C4E8A" w:rsidRPr="00AE6EDB">
              <w:rPr>
                <w:sz w:val="20"/>
                <w:szCs w:val="20"/>
              </w:rPr>
              <w:t>06</w:t>
            </w:r>
          </w:p>
        </w:tc>
        <w:tc>
          <w:tcPr>
            <w:tcW w:w="556" w:type="pct"/>
            <w:tcBorders>
              <w:bottom w:val="sing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45,9</w:t>
            </w:r>
          </w:p>
        </w:tc>
        <w:tc>
          <w:tcPr>
            <w:tcW w:w="633" w:type="pct"/>
            <w:tcBorders>
              <w:bottom w:val="sing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54,1</w:t>
            </w:r>
          </w:p>
        </w:tc>
        <w:tc>
          <w:tcPr>
            <w:tcW w:w="638" w:type="pct"/>
            <w:tcBorders>
              <w:bottom w:val="sing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101,2</w:t>
            </w:r>
          </w:p>
        </w:tc>
        <w:tc>
          <w:tcPr>
            <w:tcW w:w="726" w:type="pct"/>
            <w:tcBorders>
              <w:bottom w:val="sing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105,4</w:t>
            </w:r>
          </w:p>
        </w:tc>
        <w:tc>
          <w:tcPr>
            <w:tcW w:w="1179" w:type="pct"/>
            <w:tcBorders>
              <w:bottom w:val="single" w:sz="4" w:space="0" w:color="auto"/>
            </w:tcBorders>
            <w:shd w:val="clear" w:color="auto" w:fill="auto"/>
            <w:vAlign w:val="center"/>
          </w:tcPr>
          <w:p w:rsidR="000A7585" w:rsidRPr="00AE6EDB" w:rsidRDefault="002254E7" w:rsidP="00DE0EEC">
            <w:pPr>
              <w:ind w:right="497"/>
              <w:jc w:val="right"/>
              <w:rPr>
                <w:sz w:val="20"/>
                <w:szCs w:val="20"/>
              </w:rPr>
            </w:pPr>
            <w:r w:rsidRPr="00AE6EDB">
              <w:rPr>
                <w:sz w:val="20"/>
                <w:szCs w:val="20"/>
              </w:rPr>
              <w:t>26,8</w:t>
            </w:r>
          </w:p>
        </w:tc>
      </w:tr>
      <w:tr w:rsidR="000A7585" w:rsidRPr="00AE6EDB" w:rsidTr="002254E7">
        <w:trPr>
          <w:trHeight w:val="293"/>
          <w:jc w:val="center"/>
        </w:trPr>
        <w:tc>
          <w:tcPr>
            <w:tcW w:w="488" w:type="pct"/>
            <w:tcBorders>
              <w:bottom w:val="double" w:sz="4" w:space="0" w:color="auto"/>
            </w:tcBorders>
            <w:shd w:val="clear" w:color="auto" w:fill="auto"/>
            <w:vAlign w:val="center"/>
            <w:hideMark/>
          </w:tcPr>
          <w:p w:rsidR="000A7585" w:rsidRPr="00AE6EDB" w:rsidRDefault="005C4E8A" w:rsidP="00B364B3">
            <w:pPr>
              <w:rPr>
                <w:sz w:val="20"/>
                <w:szCs w:val="20"/>
              </w:rPr>
            </w:pPr>
            <w:r w:rsidRPr="00AE6EDB">
              <w:rPr>
                <w:sz w:val="20"/>
                <w:szCs w:val="20"/>
              </w:rPr>
              <w:t>Spojené kráľovstvo</w:t>
            </w:r>
          </w:p>
        </w:tc>
        <w:tc>
          <w:tcPr>
            <w:tcW w:w="780" w:type="pct"/>
            <w:tcBorders>
              <w:bottom w:val="double" w:sz="4" w:space="0" w:color="auto"/>
            </w:tcBorders>
            <w:shd w:val="clear" w:color="auto" w:fill="auto"/>
            <w:vAlign w:val="center"/>
          </w:tcPr>
          <w:p w:rsidR="000A7585" w:rsidRPr="00AE6EDB" w:rsidRDefault="005C4E8A" w:rsidP="00DE0EEC">
            <w:pPr>
              <w:jc w:val="right"/>
              <w:rPr>
                <w:sz w:val="20"/>
                <w:szCs w:val="20"/>
              </w:rPr>
            </w:pPr>
            <w:r w:rsidRPr="00AE6EDB">
              <w:rPr>
                <w:sz w:val="20"/>
                <w:szCs w:val="20"/>
              </w:rPr>
              <w:t>1</w:t>
            </w:r>
            <w:r w:rsidR="00AC44CB">
              <w:rPr>
                <w:sz w:val="20"/>
                <w:szCs w:val="20"/>
              </w:rPr>
              <w:t>5 3</w:t>
            </w:r>
            <w:r w:rsidRPr="00AE6EDB">
              <w:rPr>
                <w:sz w:val="20"/>
                <w:szCs w:val="20"/>
              </w:rPr>
              <w:t>4</w:t>
            </w:r>
            <w:r w:rsidR="00AC44CB">
              <w:rPr>
                <w:sz w:val="20"/>
                <w:szCs w:val="20"/>
              </w:rPr>
              <w:t>5 5</w:t>
            </w:r>
            <w:r w:rsidRPr="00AE6EDB">
              <w:rPr>
                <w:sz w:val="20"/>
                <w:szCs w:val="20"/>
              </w:rPr>
              <w:t>13</w:t>
            </w:r>
          </w:p>
        </w:tc>
        <w:tc>
          <w:tcPr>
            <w:tcW w:w="556" w:type="pct"/>
            <w:tcBorders>
              <w:bottom w:val="doub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42,5</w:t>
            </w:r>
          </w:p>
        </w:tc>
        <w:tc>
          <w:tcPr>
            <w:tcW w:w="633" w:type="pct"/>
            <w:tcBorders>
              <w:bottom w:val="doub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57,5</w:t>
            </w:r>
          </w:p>
        </w:tc>
        <w:tc>
          <w:tcPr>
            <w:tcW w:w="638" w:type="pct"/>
            <w:tcBorders>
              <w:bottom w:val="doub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100,4</w:t>
            </w:r>
          </w:p>
        </w:tc>
        <w:tc>
          <w:tcPr>
            <w:tcW w:w="726" w:type="pct"/>
            <w:tcBorders>
              <w:bottom w:val="doub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1179" w:type="pct"/>
            <w:tcBorders>
              <w:bottom w:val="double" w:sz="4" w:space="0" w:color="auto"/>
            </w:tcBorders>
            <w:shd w:val="clear" w:color="auto" w:fill="auto"/>
            <w:vAlign w:val="center"/>
          </w:tcPr>
          <w:p w:rsidR="000A7585" w:rsidRPr="00AE6EDB" w:rsidRDefault="002254E7" w:rsidP="00DE0EEC">
            <w:pPr>
              <w:ind w:right="497"/>
              <w:jc w:val="right"/>
              <w:rPr>
                <w:sz w:val="20"/>
                <w:szCs w:val="20"/>
              </w:rPr>
            </w:pPr>
            <w:r w:rsidRPr="00AE6EDB">
              <w:rPr>
                <w:sz w:val="20"/>
                <w:szCs w:val="20"/>
              </w:rPr>
              <w:t>23,8</w:t>
            </w:r>
          </w:p>
        </w:tc>
      </w:tr>
      <w:tr w:rsidR="000A7585" w:rsidRPr="00AE6EDB" w:rsidTr="002254E7">
        <w:trPr>
          <w:trHeight w:val="293"/>
          <w:jc w:val="center"/>
        </w:trPr>
        <w:tc>
          <w:tcPr>
            <w:tcW w:w="488" w:type="pct"/>
            <w:tcBorders>
              <w:top w:val="double" w:sz="4" w:space="0" w:color="auto"/>
            </w:tcBorders>
            <w:shd w:val="clear" w:color="auto" w:fill="auto"/>
            <w:vAlign w:val="center"/>
            <w:hideMark/>
          </w:tcPr>
          <w:p w:rsidR="000A7585" w:rsidRPr="00AE6EDB" w:rsidRDefault="005C4E8A" w:rsidP="00B364B3">
            <w:pPr>
              <w:rPr>
                <w:sz w:val="20"/>
                <w:szCs w:val="20"/>
              </w:rPr>
            </w:pPr>
            <w:r w:rsidRPr="00AE6EDB">
              <w:rPr>
                <w:sz w:val="20"/>
                <w:szCs w:val="20"/>
              </w:rPr>
              <w:t>Island</w:t>
            </w:r>
          </w:p>
        </w:tc>
        <w:tc>
          <w:tcPr>
            <w:tcW w:w="780" w:type="pct"/>
            <w:tcBorders>
              <w:top w:val="double" w:sz="4" w:space="0" w:color="auto"/>
            </w:tcBorders>
            <w:shd w:val="clear" w:color="auto" w:fill="auto"/>
            <w:vAlign w:val="center"/>
          </w:tcPr>
          <w:p w:rsidR="000A7585" w:rsidRPr="00AE6EDB" w:rsidRDefault="005C4E8A" w:rsidP="00DE0EEC">
            <w:pPr>
              <w:jc w:val="right"/>
              <w:rPr>
                <w:sz w:val="20"/>
                <w:szCs w:val="20"/>
              </w:rPr>
            </w:pPr>
            <w:r w:rsidRPr="00AE6EDB">
              <w:rPr>
                <w:sz w:val="20"/>
                <w:szCs w:val="20"/>
              </w:rPr>
              <w:t>6</w:t>
            </w:r>
            <w:r w:rsidR="0054295F">
              <w:rPr>
                <w:sz w:val="20"/>
                <w:szCs w:val="20"/>
              </w:rPr>
              <w:t>2 5</w:t>
            </w:r>
            <w:r w:rsidRPr="00AE6EDB">
              <w:rPr>
                <w:sz w:val="20"/>
                <w:szCs w:val="20"/>
              </w:rPr>
              <w:t>65</w:t>
            </w:r>
          </w:p>
        </w:tc>
        <w:tc>
          <w:tcPr>
            <w:tcW w:w="556" w:type="pct"/>
            <w:tcBorders>
              <w:top w:val="doub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43,9</w:t>
            </w:r>
          </w:p>
        </w:tc>
        <w:tc>
          <w:tcPr>
            <w:tcW w:w="633" w:type="pct"/>
            <w:tcBorders>
              <w:top w:val="double" w:sz="4" w:space="0" w:color="auto"/>
            </w:tcBorders>
            <w:shd w:val="clear" w:color="auto" w:fill="auto"/>
            <w:vAlign w:val="center"/>
          </w:tcPr>
          <w:p w:rsidR="000A7585" w:rsidRPr="00AE6EDB" w:rsidRDefault="00805CBC" w:rsidP="00DE0EEC">
            <w:pPr>
              <w:jc w:val="right"/>
              <w:rPr>
                <w:sz w:val="20"/>
                <w:szCs w:val="20"/>
              </w:rPr>
            </w:pPr>
            <w:r w:rsidRPr="00AE6EDB">
              <w:rPr>
                <w:sz w:val="20"/>
                <w:szCs w:val="20"/>
              </w:rPr>
              <w:t>56,1</w:t>
            </w:r>
          </w:p>
        </w:tc>
        <w:tc>
          <w:tcPr>
            <w:tcW w:w="638" w:type="pct"/>
            <w:tcBorders>
              <w:top w:val="double" w:sz="4" w:space="0" w:color="auto"/>
            </w:tcBorders>
            <w:shd w:val="clear" w:color="auto" w:fill="auto"/>
            <w:vAlign w:val="center"/>
          </w:tcPr>
          <w:p w:rsidR="000A7585" w:rsidRPr="00AE6EDB" w:rsidRDefault="005C4E8A" w:rsidP="00DE0EEC">
            <w:pPr>
              <w:ind w:right="36"/>
              <w:jc w:val="right"/>
              <w:rPr>
                <w:sz w:val="20"/>
                <w:szCs w:val="20"/>
              </w:rPr>
            </w:pPr>
            <w:r w:rsidRPr="00AE6EDB">
              <w:rPr>
                <w:sz w:val="20"/>
                <w:szCs w:val="20"/>
              </w:rPr>
              <w:t>103,8</w:t>
            </w:r>
          </w:p>
        </w:tc>
        <w:tc>
          <w:tcPr>
            <w:tcW w:w="726" w:type="pct"/>
            <w:tcBorders>
              <w:top w:val="double" w:sz="4" w:space="0" w:color="auto"/>
            </w:tcBorders>
            <w:shd w:val="clear" w:color="auto" w:fill="auto"/>
            <w:vAlign w:val="center"/>
          </w:tcPr>
          <w:p w:rsidR="000A7585" w:rsidRPr="00AE6EDB" w:rsidRDefault="00805CBC" w:rsidP="00DE0EEC">
            <w:pPr>
              <w:ind w:right="36"/>
              <w:jc w:val="right"/>
              <w:rPr>
                <w:sz w:val="20"/>
                <w:szCs w:val="20"/>
              </w:rPr>
            </w:pPr>
            <w:r w:rsidRPr="00AE6EDB">
              <w:rPr>
                <w:sz w:val="20"/>
                <w:szCs w:val="20"/>
              </w:rPr>
              <w:t>:</w:t>
            </w:r>
          </w:p>
        </w:tc>
        <w:tc>
          <w:tcPr>
            <w:tcW w:w="1179" w:type="pct"/>
            <w:tcBorders>
              <w:top w:val="double" w:sz="4" w:space="0" w:color="auto"/>
            </w:tcBorders>
            <w:shd w:val="clear" w:color="auto" w:fill="auto"/>
            <w:vAlign w:val="center"/>
          </w:tcPr>
          <w:p w:rsidR="000A7585" w:rsidRPr="00AE6EDB" w:rsidRDefault="002254E7" w:rsidP="00DE0EEC">
            <w:pPr>
              <w:ind w:right="497"/>
              <w:jc w:val="right"/>
              <w:rPr>
                <w:sz w:val="20"/>
                <w:szCs w:val="20"/>
              </w:rPr>
            </w:pPr>
            <w:r w:rsidRPr="00AE6EDB">
              <w:rPr>
                <w:sz w:val="20"/>
                <w:szCs w:val="20"/>
              </w:rPr>
              <w:t>19,2</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Nórsko</w:t>
            </w:r>
          </w:p>
        </w:tc>
        <w:tc>
          <w:tcPr>
            <w:tcW w:w="780" w:type="pct"/>
            <w:shd w:val="clear" w:color="auto" w:fill="auto"/>
            <w:vAlign w:val="center"/>
          </w:tcPr>
          <w:p w:rsidR="000A7585" w:rsidRPr="00AE6EDB" w:rsidRDefault="0054295F" w:rsidP="00DE0EEC">
            <w:pPr>
              <w:jc w:val="right"/>
              <w:rPr>
                <w:sz w:val="20"/>
                <w:szCs w:val="20"/>
              </w:rPr>
            </w:pPr>
            <w:r>
              <w:rPr>
                <w:sz w:val="20"/>
                <w:szCs w:val="20"/>
              </w:rPr>
              <w:t>1 2</w:t>
            </w:r>
            <w:r w:rsidR="005C4E8A" w:rsidRPr="00AE6EDB">
              <w:rPr>
                <w:sz w:val="20"/>
                <w:szCs w:val="20"/>
              </w:rPr>
              <w:t>3</w:t>
            </w:r>
            <w:r>
              <w:rPr>
                <w:sz w:val="20"/>
                <w:szCs w:val="20"/>
              </w:rPr>
              <w:t>4 0</w:t>
            </w:r>
            <w:r w:rsidR="005C4E8A" w:rsidRPr="00AE6EDB">
              <w:rPr>
                <w:sz w:val="20"/>
                <w:szCs w:val="20"/>
              </w:rPr>
              <w:t>44</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102,4</w:t>
            </w:r>
          </w:p>
        </w:tc>
        <w:tc>
          <w:tcPr>
            <w:tcW w:w="726" w:type="pct"/>
            <w:shd w:val="clear" w:color="auto" w:fill="auto"/>
            <w:vAlign w:val="center"/>
          </w:tcPr>
          <w:p w:rsidR="000A7585" w:rsidRPr="00AE6EDB" w:rsidRDefault="00805CBC" w:rsidP="00DE0EEC">
            <w:pPr>
              <w:ind w:right="36"/>
              <w:jc w:val="right"/>
              <w:rPr>
                <w:sz w:val="20"/>
                <w:szCs w:val="20"/>
              </w:rPr>
            </w:pPr>
            <w:r w:rsidRPr="00AE6EDB">
              <w:rPr>
                <w:sz w:val="20"/>
                <w:szCs w:val="20"/>
              </w:rPr>
              <w:t>115,9</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24,2</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Švajčiarsko</w:t>
            </w:r>
          </w:p>
        </w:tc>
        <w:tc>
          <w:tcPr>
            <w:tcW w:w="780" w:type="pct"/>
            <w:shd w:val="clear" w:color="auto" w:fill="auto"/>
            <w:vAlign w:val="center"/>
          </w:tcPr>
          <w:p w:rsidR="000A7585" w:rsidRPr="00AE6EDB" w:rsidRDefault="0054295F" w:rsidP="00DE0EEC">
            <w:pPr>
              <w:jc w:val="right"/>
              <w:rPr>
                <w:sz w:val="20"/>
                <w:szCs w:val="20"/>
              </w:rPr>
            </w:pPr>
            <w:r>
              <w:rPr>
                <w:sz w:val="20"/>
                <w:szCs w:val="20"/>
              </w:rPr>
              <w:t>2 9</w:t>
            </w:r>
            <w:r w:rsidR="005C4E8A" w:rsidRPr="00AE6EDB">
              <w:rPr>
                <w:sz w:val="20"/>
                <w:szCs w:val="20"/>
              </w:rPr>
              <w:t>4</w:t>
            </w:r>
            <w:r w:rsidR="00AC44CB">
              <w:rPr>
                <w:sz w:val="20"/>
                <w:szCs w:val="20"/>
              </w:rPr>
              <w:t>6 1</w:t>
            </w:r>
            <w:r w:rsidR="005C4E8A" w:rsidRPr="00AE6EDB">
              <w:rPr>
                <w:sz w:val="20"/>
                <w:szCs w:val="20"/>
              </w:rPr>
              <w:t>00</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44,2</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55,8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102,3</w:t>
            </w:r>
          </w:p>
        </w:tc>
        <w:tc>
          <w:tcPr>
            <w:tcW w:w="726" w:type="pct"/>
            <w:shd w:val="clear" w:color="auto" w:fill="auto"/>
            <w:vAlign w:val="center"/>
          </w:tcPr>
          <w:p w:rsidR="000A7585" w:rsidRPr="00AE6EDB" w:rsidRDefault="00805CBC" w:rsidP="00DE0EEC">
            <w:pPr>
              <w:ind w:right="36"/>
              <w:jc w:val="right"/>
              <w:rPr>
                <w:sz w:val="20"/>
                <w:szCs w:val="20"/>
              </w:rPr>
            </w:pPr>
            <w:r w:rsidRPr="00AE6EDB">
              <w:rPr>
                <w:sz w:val="20"/>
                <w:szCs w:val="20"/>
              </w:rPr>
              <w:t>114,1</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36,2</w:t>
            </w:r>
          </w:p>
        </w:tc>
      </w:tr>
      <w:tr w:rsidR="000A7585" w:rsidRPr="00AE6EDB" w:rsidTr="002254E7">
        <w:trPr>
          <w:trHeight w:val="116"/>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Srbsko</w:t>
            </w:r>
          </w:p>
        </w:tc>
        <w:tc>
          <w:tcPr>
            <w:tcW w:w="780" w:type="pct"/>
            <w:shd w:val="clear" w:color="auto" w:fill="auto"/>
            <w:vAlign w:val="center"/>
          </w:tcPr>
          <w:p w:rsidR="000A7585" w:rsidRPr="00AE6EDB" w:rsidRDefault="0054295F" w:rsidP="00DE0EEC">
            <w:pPr>
              <w:jc w:val="right"/>
              <w:rPr>
                <w:sz w:val="20"/>
                <w:szCs w:val="20"/>
              </w:rPr>
            </w:pPr>
            <w:r>
              <w:rPr>
                <w:sz w:val="20"/>
                <w:szCs w:val="20"/>
              </w:rPr>
              <w:t>1 6</w:t>
            </w:r>
            <w:r w:rsidR="005C4E8A" w:rsidRPr="00AE6EDB">
              <w:rPr>
                <w:sz w:val="20"/>
                <w:szCs w:val="20"/>
              </w:rPr>
              <w:t>9</w:t>
            </w:r>
            <w:r>
              <w:rPr>
                <w:sz w:val="20"/>
                <w:szCs w:val="20"/>
              </w:rPr>
              <w:t>4 7</w:t>
            </w:r>
            <w:r w:rsidR="005C4E8A" w:rsidRPr="00AE6EDB">
              <w:rPr>
                <w:sz w:val="20"/>
                <w:szCs w:val="20"/>
              </w:rPr>
              <w:t>00</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42,9</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56,8</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100,9</w:t>
            </w:r>
          </w:p>
        </w:tc>
        <w:tc>
          <w:tcPr>
            <w:tcW w:w="726" w:type="pct"/>
            <w:shd w:val="clear" w:color="auto" w:fill="auto"/>
            <w:vAlign w:val="center"/>
          </w:tcPr>
          <w:p w:rsidR="000A7585" w:rsidRPr="00AE6EDB" w:rsidRDefault="00805CBC"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23,7</w:t>
            </w:r>
          </w:p>
        </w:tc>
      </w:tr>
      <w:tr w:rsidR="000A7585" w:rsidRPr="00AE6EDB" w:rsidTr="002254E7">
        <w:trPr>
          <w:trHeight w:val="293"/>
          <w:jc w:val="center"/>
        </w:trPr>
        <w:tc>
          <w:tcPr>
            <w:tcW w:w="488" w:type="pct"/>
            <w:shd w:val="clear" w:color="auto" w:fill="auto"/>
            <w:vAlign w:val="center"/>
            <w:hideMark/>
          </w:tcPr>
          <w:p w:rsidR="000A7585" w:rsidRPr="00AE6EDB" w:rsidRDefault="005C4E8A" w:rsidP="00B364B3">
            <w:pPr>
              <w:rPr>
                <w:sz w:val="20"/>
                <w:szCs w:val="20"/>
              </w:rPr>
            </w:pPr>
            <w:r w:rsidRPr="00AE6EDB">
              <w:rPr>
                <w:sz w:val="20"/>
                <w:szCs w:val="20"/>
              </w:rPr>
              <w:t>Turecko</w:t>
            </w:r>
          </w:p>
        </w:tc>
        <w:tc>
          <w:tcPr>
            <w:tcW w:w="780" w:type="pct"/>
            <w:shd w:val="clear" w:color="auto" w:fill="auto"/>
            <w:vAlign w:val="center"/>
          </w:tcPr>
          <w:p w:rsidR="000A7585" w:rsidRPr="00AE6EDB" w:rsidRDefault="005C4E8A" w:rsidP="00DE0EEC">
            <w:pPr>
              <w:jc w:val="right"/>
              <w:rPr>
                <w:sz w:val="20"/>
                <w:szCs w:val="20"/>
              </w:rPr>
            </w:pPr>
            <w:r w:rsidRPr="00AE6EDB">
              <w:rPr>
                <w:sz w:val="20"/>
                <w:szCs w:val="20"/>
              </w:rPr>
              <w:t>:</w:t>
            </w:r>
          </w:p>
        </w:tc>
        <w:tc>
          <w:tcPr>
            <w:tcW w:w="556"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3" w:type="pct"/>
            <w:shd w:val="clear" w:color="auto" w:fill="auto"/>
            <w:vAlign w:val="center"/>
          </w:tcPr>
          <w:p w:rsidR="000A7585" w:rsidRPr="00AE6EDB" w:rsidRDefault="00805CBC" w:rsidP="00DE0EEC">
            <w:pPr>
              <w:jc w:val="right"/>
              <w:rPr>
                <w:sz w:val="20"/>
                <w:szCs w:val="20"/>
              </w:rPr>
            </w:pPr>
            <w:r w:rsidRPr="00AE6EDB">
              <w:rPr>
                <w:sz w:val="20"/>
                <w:szCs w:val="20"/>
              </w:rPr>
              <w:t>:</w:t>
            </w:r>
          </w:p>
        </w:tc>
        <w:tc>
          <w:tcPr>
            <w:tcW w:w="638" w:type="pct"/>
            <w:shd w:val="clear" w:color="auto" w:fill="auto"/>
            <w:vAlign w:val="center"/>
          </w:tcPr>
          <w:p w:rsidR="000A7585" w:rsidRPr="00AE6EDB" w:rsidRDefault="005C4E8A" w:rsidP="00DE0EEC">
            <w:pPr>
              <w:ind w:right="36"/>
              <w:jc w:val="right"/>
              <w:rPr>
                <w:sz w:val="20"/>
                <w:szCs w:val="20"/>
              </w:rPr>
            </w:pPr>
            <w:r w:rsidRPr="00AE6EDB">
              <w:rPr>
                <w:sz w:val="20"/>
                <w:szCs w:val="20"/>
              </w:rPr>
              <w:t>:</w:t>
            </w:r>
          </w:p>
        </w:tc>
        <w:tc>
          <w:tcPr>
            <w:tcW w:w="726" w:type="pct"/>
            <w:shd w:val="clear" w:color="auto" w:fill="auto"/>
            <w:vAlign w:val="center"/>
          </w:tcPr>
          <w:p w:rsidR="000A7585" w:rsidRPr="00AE6EDB" w:rsidRDefault="00805CBC" w:rsidP="00DE0EEC">
            <w:pPr>
              <w:ind w:right="36"/>
              <w:jc w:val="right"/>
              <w:rPr>
                <w:sz w:val="20"/>
                <w:szCs w:val="20"/>
              </w:rPr>
            </w:pPr>
            <w:r w:rsidRPr="00AE6EDB">
              <w:rPr>
                <w:sz w:val="20"/>
                <w:szCs w:val="20"/>
              </w:rPr>
              <w:t>:</w:t>
            </w:r>
          </w:p>
        </w:tc>
        <w:tc>
          <w:tcPr>
            <w:tcW w:w="1179" w:type="pct"/>
            <w:shd w:val="clear" w:color="auto" w:fill="auto"/>
            <w:vAlign w:val="center"/>
          </w:tcPr>
          <w:p w:rsidR="000A7585" w:rsidRPr="00AE6EDB" w:rsidRDefault="002254E7" w:rsidP="00DE0EEC">
            <w:pPr>
              <w:ind w:right="497"/>
              <w:jc w:val="right"/>
              <w:rPr>
                <w:sz w:val="20"/>
                <w:szCs w:val="20"/>
              </w:rPr>
            </w:pPr>
            <w:r w:rsidRPr="00AE6EDB">
              <w:rPr>
                <w:sz w:val="20"/>
                <w:szCs w:val="20"/>
              </w:rPr>
              <w:t>:</w:t>
            </w:r>
          </w:p>
        </w:tc>
      </w:tr>
    </w:tbl>
    <w:p w:rsidR="000A7585" w:rsidRPr="00AE6EDB" w:rsidRDefault="000A7585" w:rsidP="000A7585">
      <w:pPr>
        <w:pStyle w:val="zdroj"/>
        <w:spacing w:after="0"/>
      </w:pPr>
      <w:r w:rsidRPr="00AE6EDB">
        <w:t xml:space="preserve">Zdroj: </w:t>
      </w:r>
      <w:proofErr w:type="spellStart"/>
      <w:r w:rsidRPr="00AE6EDB">
        <w:t>Eurostat</w:t>
      </w:r>
      <w:proofErr w:type="spellEnd"/>
      <w:r w:rsidRPr="00AE6EDB">
        <w:t xml:space="preserve"> – ESSPROS</w:t>
      </w:r>
    </w:p>
    <w:p w:rsidR="000A7585" w:rsidRPr="00AE6EDB" w:rsidRDefault="000A7585" w:rsidP="000A7585">
      <w:pPr>
        <w:pStyle w:val="zdroj"/>
        <w:spacing w:before="0" w:after="0"/>
      </w:pPr>
      <w:r w:rsidRPr="00AE6EDB">
        <w:t>* Počet poberateľov dôchodkov bez dvojitého načítania</w:t>
      </w:r>
    </w:p>
    <w:p w:rsidR="000A7585" w:rsidRPr="00AE6EDB" w:rsidRDefault="000A7585" w:rsidP="000A7585">
      <w:pPr>
        <w:pStyle w:val="zdroj"/>
        <w:spacing w:before="0"/>
      </w:pPr>
      <w:r w:rsidRPr="00AE6EDB">
        <w:t>Predbežné údaje: FR</w:t>
      </w:r>
      <w:r w:rsidR="00805CBC" w:rsidRPr="00AE6EDB">
        <w:t>,</w:t>
      </w:r>
      <w:r w:rsidRPr="00AE6EDB">
        <w:t xml:space="preserve"> CH; odhad </w:t>
      </w:r>
      <w:r w:rsidR="00805CBC" w:rsidRPr="00AE6EDB">
        <w:t>DK</w:t>
      </w:r>
    </w:p>
    <w:p w:rsidR="000A7585" w:rsidRPr="00AE6EDB" w:rsidRDefault="000A7585" w:rsidP="000A7585">
      <w:pPr>
        <w:pStyle w:val="Nadpis7"/>
      </w:pPr>
      <w:r w:rsidRPr="00AE6EDB">
        <w:rPr>
          <w:bCs/>
          <w:iCs/>
          <w:highlight w:val="cyan"/>
        </w:rPr>
        <w:br w:type="page"/>
      </w:r>
      <w:r w:rsidRPr="00AE6EDB">
        <w:t>Tabuľka 35 Dane a odvody platené zo sociálnych dávok, 201</w:t>
      </w:r>
      <w:r w:rsidR="00BB6806" w:rsidRPr="00AE6EDB">
        <w:t>2</w:t>
      </w: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1705"/>
        <w:gridCol w:w="1029"/>
        <w:gridCol w:w="1608"/>
        <w:gridCol w:w="1428"/>
        <w:gridCol w:w="1367"/>
        <w:gridCol w:w="2075"/>
      </w:tblGrid>
      <w:tr w:rsidR="000A7585" w:rsidRPr="00AE6EDB" w:rsidTr="00BB6806">
        <w:trPr>
          <w:trHeight w:val="305"/>
        </w:trPr>
        <w:tc>
          <w:tcPr>
            <w:tcW w:w="925" w:type="pct"/>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jc w:val="center"/>
            </w:pPr>
            <w:r w:rsidRPr="00AE6EDB">
              <w:rPr>
                <w:b/>
                <w:sz w:val="20"/>
                <w:szCs w:val="20"/>
              </w:rPr>
              <w:t>Územie</w:t>
            </w:r>
          </w:p>
        </w:tc>
        <w:tc>
          <w:tcPr>
            <w:tcW w:w="2206" w:type="pct"/>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0A7585" w:rsidRPr="00AE6EDB" w:rsidRDefault="000A7585" w:rsidP="00DE0EEC">
            <w:pPr>
              <w:rPr>
                <w:b/>
                <w:sz w:val="20"/>
                <w:szCs w:val="20"/>
              </w:rPr>
            </w:pPr>
            <w:r w:rsidRPr="00AE6EDB">
              <w:rPr>
                <w:b/>
                <w:sz w:val="20"/>
                <w:szCs w:val="20"/>
              </w:rPr>
              <w:t xml:space="preserve">Výdavky na sociálnu ochranu </w:t>
            </w:r>
          </w:p>
        </w:tc>
        <w:tc>
          <w:tcPr>
            <w:tcW w:w="1868" w:type="pct"/>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0A7585" w:rsidRPr="00AE6EDB" w:rsidRDefault="000A7585" w:rsidP="00DE0EEC">
            <w:pPr>
              <w:jc w:val="center"/>
              <w:rPr>
                <w:b/>
                <w:sz w:val="20"/>
                <w:szCs w:val="20"/>
              </w:rPr>
            </w:pPr>
            <w:r w:rsidRPr="00AE6EDB">
              <w:rPr>
                <w:b/>
                <w:sz w:val="20"/>
                <w:szCs w:val="20"/>
              </w:rPr>
              <w:t>Sociálne dávky</w:t>
            </w:r>
          </w:p>
        </w:tc>
      </w:tr>
      <w:tr w:rsidR="00BB6806" w:rsidRPr="00AE6EDB" w:rsidTr="00BB6806">
        <w:trPr>
          <w:trHeight w:val="626"/>
        </w:trPr>
        <w:tc>
          <w:tcPr>
            <w:tcW w:w="925" w:type="pct"/>
            <w:vMerge/>
            <w:tcBorders>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AE6EDB" w:rsidRDefault="000A7585" w:rsidP="00DE0EEC">
            <w:pPr>
              <w:rPr>
                <w:b/>
                <w:sz w:val="20"/>
                <w:szCs w:val="20"/>
              </w:rPr>
            </w:pPr>
          </w:p>
        </w:tc>
        <w:tc>
          <w:tcPr>
            <w:tcW w:w="559" w:type="pct"/>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Hrubé výdavky (% HDP)</w:t>
            </w:r>
          </w:p>
        </w:tc>
        <w:tc>
          <w:tcPr>
            <w:tcW w:w="873" w:type="pct"/>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Netto výdavky (% HDP)</w:t>
            </w:r>
          </w:p>
        </w:tc>
        <w:tc>
          <w:tcPr>
            <w:tcW w:w="775" w:type="pct"/>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Netto výdavky ako</w:t>
            </w:r>
            <w:r w:rsidR="005676EF">
              <w:rPr>
                <w:b/>
                <w:sz w:val="20"/>
                <w:szCs w:val="20"/>
              </w:rPr>
              <w:t> %</w:t>
            </w:r>
            <w:r w:rsidRPr="00AE6EDB">
              <w:rPr>
                <w:b/>
                <w:sz w:val="20"/>
                <w:szCs w:val="20"/>
              </w:rPr>
              <w:t xml:space="preserve"> z hrubých</w:t>
            </w:r>
          </w:p>
        </w:tc>
        <w:tc>
          <w:tcPr>
            <w:tcW w:w="742" w:type="pct"/>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 zdanených dávok</w:t>
            </w:r>
          </w:p>
        </w:tc>
        <w:tc>
          <w:tcPr>
            <w:tcW w:w="1126" w:type="pct"/>
            <w:tcBorders>
              <w:top w:val="nil"/>
              <w:left w:val="nil"/>
              <w:bottom w:val="single" w:sz="4" w:space="0" w:color="auto"/>
              <w:right w:val="single" w:sz="4" w:space="0" w:color="auto"/>
            </w:tcBorders>
            <w:shd w:val="clear" w:color="auto" w:fill="FF9999" w:themeFill="accent3" w:themeFillTint="66"/>
            <w:vAlign w:val="center"/>
            <w:hideMark/>
          </w:tcPr>
          <w:p w:rsidR="000A7585" w:rsidRPr="00AE6EDB" w:rsidRDefault="000A7585" w:rsidP="00DE0EEC">
            <w:pPr>
              <w:jc w:val="center"/>
              <w:rPr>
                <w:b/>
                <w:sz w:val="20"/>
                <w:szCs w:val="20"/>
              </w:rPr>
            </w:pPr>
            <w:r w:rsidRPr="00AE6EDB">
              <w:rPr>
                <w:b/>
                <w:sz w:val="20"/>
                <w:szCs w:val="20"/>
              </w:rPr>
              <w:t>% dávok, z ktorých sa platia soc. odvody</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0A7585" w:rsidP="002254E7">
            <w:pPr>
              <w:jc w:val="left"/>
              <w:rPr>
                <w:sz w:val="20"/>
                <w:szCs w:val="20"/>
              </w:rPr>
            </w:pPr>
            <w:r w:rsidRPr="00AE6EDB">
              <w:rPr>
                <w:sz w:val="20"/>
                <w:szCs w:val="20"/>
              </w:rPr>
              <w:t>B</w:t>
            </w:r>
            <w:r w:rsidR="002254E7" w:rsidRPr="00AE6EDB">
              <w:rPr>
                <w:sz w:val="20"/>
                <w:szCs w:val="20"/>
              </w:rPr>
              <w:t>elgicko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29,40</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27,17</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92,41</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58,02</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39,22</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0A7585" w:rsidP="002254E7">
            <w:pPr>
              <w:jc w:val="left"/>
              <w:rPr>
                <w:sz w:val="20"/>
                <w:szCs w:val="20"/>
              </w:rPr>
            </w:pPr>
            <w:r w:rsidRPr="00AE6EDB">
              <w:rPr>
                <w:sz w:val="20"/>
                <w:szCs w:val="20"/>
              </w:rPr>
              <w:t>B</w:t>
            </w:r>
            <w:r w:rsidR="002254E7" w:rsidRPr="00AE6EDB">
              <w:rPr>
                <w:sz w:val="20"/>
                <w:szCs w:val="20"/>
              </w:rPr>
              <w:t>ulharsko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16,77</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16,76</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99,94</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0,00</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0,47</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Česká republika</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20,17</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20,12</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99,75</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1,55</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0,75</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Dánsko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33,08</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27,81</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84,07</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55,73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55,68</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Nemecko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28,30</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25,99</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91,84</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51,70</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48,53</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Estónsko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15,24</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14,74</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96,72</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62,78</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0,45</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Írsko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30,98</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30,78</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99,35</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6,93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1,50</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Grécko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29,97</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28,14</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93,89</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67,69</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50,96</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Španielsko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25,38</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24,10</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94,96</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54,57</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10,72</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Francúzsko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32,13</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30,23</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94,09</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59,69</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36,43</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Chorvátsko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20,69</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20,39</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98,55</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54,73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54,73</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Taliansko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28,99</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25,52</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88,03</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66,68</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1,10</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Cyprus</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22,62</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22,1</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97,70</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34,27</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0,00</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Lotyšsko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13,78</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13,34</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96,81</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62,33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1,97</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Litva</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15,69</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15,45</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98,47</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8,63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8,63</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Luxembursko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22,95</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21,22</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92,46</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56,35</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57,02</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Maďarsko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21,63</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21,33</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98,61</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56,28</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3,67</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Malta</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19,09</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18,71</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98,01</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56,03</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0,00</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hideMark/>
          </w:tcPr>
          <w:p w:rsidR="000A7585" w:rsidRPr="00AE6EDB" w:rsidRDefault="002254E7" w:rsidP="002254E7">
            <w:pPr>
              <w:jc w:val="left"/>
              <w:rPr>
                <w:sz w:val="20"/>
                <w:szCs w:val="20"/>
              </w:rPr>
            </w:pPr>
            <w:r w:rsidRPr="00AE6EDB">
              <w:rPr>
                <w:sz w:val="20"/>
                <w:szCs w:val="20"/>
              </w:rPr>
              <w:t>Holandsko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31,44</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25,76</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81,93</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55,62</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55,62</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0A7585" w:rsidRPr="00AE6EDB" w:rsidRDefault="002254E7" w:rsidP="002254E7">
            <w:pPr>
              <w:jc w:val="left"/>
              <w:rPr>
                <w:sz w:val="20"/>
                <w:szCs w:val="20"/>
              </w:rPr>
            </w:pPr>
            <w:r w:rsidRPr="00AE6EDB">
              <w:rPr>
                <w:sz w:val="20"/>
                <w:szCs w:val="20"/>
              </w:rPr>
              <w:t>Rakúsko</w:t>
            </w:r>
          </w:p>
        </w:tc>
        <w:tc>
          <w:tcPr>
            <w:tcW w:w="559"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29,34</w:t>
            </w:r>
          </w:p>
        </w:tc>
        <w:tc>
          <w:tcPr>
            <w:tcW w:w="873"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26,31</w:t>
            </w:r>
          </w:p>
        </w:tc>
        <w:tc>
          <w:tcPr>
            <w:tcW w:w="775"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89,67</w:t>
            </w:r>
          </w:p>
        </w:tc>
        <w:tc>
          <w:tcPr>
            <w:tcW w:w="742" w:type="pct"/>
            <w:tcBorders>
              <w:top w:val="nil"/>
              <w:left w:val="nil"/>
              <w:bottom w:val="single" w:sz="4" w:space="0" w:color="000000"/>
              <w:right w:val="single" w:sz="4" w:space="0" w:color="000000"/>
            </w:tcBorders>
            <w:shd w:val="clear" w:color="auto" w:fill="auto"/>
            <w:noWrap/>
            <w:vAlign w:val="center"/>
          </w:tcPr>
          <w:p w:rsidR="000A7585" w:rsidRPr="00AE6EDB" w:rsidRDefault="00BB6806" w:rsidP="00DE0EEC">
            <w:pPr>
              <w:ind w:right="201"/>
              <w:jc w:val="right"/>
              <w:rPr>
                <w:sz w:val="20"/>
                <w:szCs w:val="20"/>
              </w:rPr>
            </w:pPr>
            <w:r w:rsidRPr="00AE6EDB">
              <w:rPr>
                <w:sz w:val="20"/>
                <w:szCs w:val="20"/>
              </w:rPr>
              <w:t>53,27</w:t>
            </w:r>
          </w:p>
        </w:tc>
        <w:tc>
          <w:tcPr>
            <w:tcW w:w="1126" w:type="pct"/>
            <w:tcBorders>
              <w:top w:val="nil"/>
              <w:left w:val="nil"/>
              <w:bottom w:val="single" w:sz="4" w:space="0" w:color="000000"/>
              <w:right w:val="single" w:sz="4" w:space="0" w:color="000000"/>
            </w:tcBorders>
            <w:shd w:val="clear" w:color="auto" w:fill="auto"/>
            <w:noWrap/>
            <w:vAlign w:val="center"/>
          </w:tcPr>
          <w:p w:rsidR="000A7585" w:rsidRPr="00AE6EDB" w:rsidRDefault="002A33D8" w:rsidP="00DE0EEC">
            <w:pPr>
              <w:ind w:right="201"/>
              <w:jc w:val="right"/>
              <w:rPr>
                <w:sz w:val="20"/>
                <w:szCs w:val="20"/>
              </w:rPr>
            </w:pPr>
            <w:r w:rsidRPr="00AE6EDB">
              <w:rPr>
                <w:sz w:val="20"/>
                <w:szCs w:val="20"/>
              </w:rPr>
              <w:t>54,01</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BB6806" w:rsidRPr="00AE6EDB" w:rsidRDefault="00BB6806" w:rsidP="00BB6806">
            <w:pPr>
              <w:jc w:val="left"/>
              <w:rPr>
                <w:sz w:val="20"/>
                <w:szCs w:val="20"/>
              </w:rPr>
            </w:pPr>
            <w:r w:rsidRPr="00AE6EDB">
              <w:rPr>
                <w:sz w:val="20"/>
                <w:szCs w:val="20"/>
              </w:rPr>
              <w:t>Poľsko</w:t>
            </w:r>
          </w:p>
        </w:tc>
        <w:tc>
          <w:tcPr>
            <w:tcW w:w="559"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17,59</w:t>
            </w:r>
          </w:p>
        </w:tc>
        <w:tc>
          <w:tcPr>
            <w:tcW w:w="873"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15,20</w:t>
            </w:r>
          </w:p>
        </w:tc>
        <w:tc>
          <w:tcPr>
            <w:tcW w:w="775"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86,41</w:t>
            </w:r>
          </w:p>
        </w:tc>
        <w:tc>
          <w:tcPr>
            <w:tcW w:w="742"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71,27</w:t>
            </w:r>
          </w:p>
        </w:tc>
        <w:tc>
          <w:tcPr>
            <w:tcW w:w="1126"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65,99</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BB6806" w:rsidRPr="00AE6EDB" w:rsidRDefault="00BB6806" w:rsidP="00BB6806">
            <w:pPr>
              <w:jc w:val="left"/>
              <w:rPr>
                <w:sz w:val="20"/>
                <w:szCs w:val="20"/>
              </w:rPr>
            </w:pPr>
            <w:r w:rsidRPr="00AE6EDB">
              <w:rPr>
                <w:sz w:val="20"/>
                <w:szCs w:val="20"/>
              </w:rPr>
              <w:t>Portugalsko</w:t>
            </w:r>
          </w:p>
        </w:tc>
        <w:tc>
          <w:tcPr>
            <w:tcW w:w="559"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25,44</w:t>
            </w:r>
          </w:p>
        </w:tc>
        <w:tc>
          <w:tcPr>
            <w:tcW w:w="873"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24,31</w:t>
            </w:r>
          </w:p>
        </w:tc>
        <w:tc>
          <w:tcPr>
            <w:tcW w:w="775"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95,56</w:t>
            </w:r>
          </w:p>
        </w:tc>
        <w:tc>
          <w:tcPr>
            <w:tcW w:w="742"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58,30</w:t>
            </w:r>
          </w:p>
        </w:tc>
        <w:tc>
          <w:tcPr>
            <w:tcW w:w="1126"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0,21</w:t>
            </w:r>
          </w:p>
        </w:tc>
      </w:tr>
      <w:tr w:rsidR="00BB6806"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BB6806" w:rsidRPr="00AE6EDB" w:rsidRDefault="00BB6806" w:rsidP="00BB6806">
            <w:pPr>
              <w:jc w:val="left"/>
              <w:rPr>
                <w:sz w:val="20"/>
                <w:szCs w:val="20"/>
              </w:rPr>
            </w:pPr>
            <w:r w:rsidRPr="00AE6EDB">
              <w:rPr>
                <w:sz w:val="20"/>
                <w:szCs w:val="20"/>
              </w:rPr>
              <w:t>Rumunsko</w:t>
            </w:r>
          </w:p>
        </w:tc>
        <w:tc>
          <w:tcPr>
            <w:tcW w:w="559"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15,44</w:t>
            </w:r>
          </w:p>
        </w:tc>
        <w:tc>
          <w:tcPr>
            <w:tcW w:w="873" w:type="pct"/>
            <w:tcBorders>
              <w:top w:val="nil"/>
              <w:left w:val="nil"/>
              <w:bottom w:val="single" w:sz="4" w:space="0" w:color="000000"/>
              <w:right w:val="single" w:sz="4" w:space="0" w:color="000000"/>
            </w:tcBorders>
            <w:shd w:val="clear" w:color="auto" w:fill="auto"/>
            <w:noWrap/>
            <w:vAlign w:val="center"/>
          </w:tcPr>
          <w:p w:rsidR="00BB6806" w:rsidRPr="00AE6EDB" w:rsidRDefault="00BB6806" w:rsidP="00BB6806">
            <w:pPr>
              <w:ind w:right="201"/>
              <w:jc w:val="right"/>
              <w:rPr>
                <w:sz w:val="20"/>
                <w:szCs w:val="20"/>
              </w:rPr>
            </w:pPr>
            <w:r w:rsidRPr="00AE6EDB">
              <w:rPr>
                <w:sz w:val="20"/>
                <w:szCs w:val="20"/>
              </w:rPr>
              <w:t>15,26</w:t>
            </w:r>
          </w:p>
        </w:tc>
        <w:tc>
          <w:tcPr>
            <w:tcW w:w="775"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98,83</w:t>
            </w:r>
          </w:p>
        </w:tc>
        <w:tc>
          <w:tcPr>
            <w:tcW w:w="742"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56,18</w:t>
            </w:r>
          </w:p>
        </w:tc>
        <w:tc>
          <w:tcPr>
            <w:tcW w:w="1126" w:type="pct"/>
            <w:tcBorders>
              <w:top w:val="nil"/>
              <w:left w:val="nil"/>
              <w:bottom w:val="single" w:sz="4" w:space="0" w:color="000000"/>
              <w:right w:val="single" w:sz="4" w:space="0" w:color="000000"/>
            </w:tcBorders>
            <w:shd w:val="clear" w:color="auto" w:fill="auto"/>
            <w:noWrap/>
            <w:vAlign w:val="center"/>
          </w:tcPr>
          <w:p w:rsidR="00BB6806" w:rsidRPr="00AE6EDB" w:rsidRDefault="002A33D8" w:rsidP="00BB6806">
            <w:pPr>
              <w:ind w:right="201"/>
              <w:jc w:val="right"/>
              <w:rPr>
                <w:sz w:val="20"/>
                <w:szCs w:val="20"/>
              </w:rPr>
            </w:pPr>
            <w:r w:rsidRPr="00AE6EDB">
              <w:rPr>
                <w:sz w:val="20"/>
                <w:szCs w:val="20"/>
              </w:rPr>
              <w:t>0,00</w:t>
            </w:r>
          </w:p>
        </w:tc>
      </w:tr>
      <w:tr w:rsidR="002A33D8" w:rsidRPr="00AE6EDB" w:rsidTr="00BB6806">
        <w:trPr>
          <w:trHeight w:val="295"/>
        </w:trPr>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Slovinsko</w:t>
            </w:r>
          </w:p>
        </w:tc>
        <w:tc>
          <w:tcPr>
            <w:tcW w:w="559" w:type="pct"/>
            <w:tcBorders>
              <w:top w:val="single" w:sz="4" w:space="0" w:color="000000"/>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24,92</w:t>
            </w:r>
          </w:p>
        </w:tc>
        <w:tc>
          <w:tcPr>
            <w:tcW w:w="873" w:type="pct"/>
            <w:tcBorders>
              <w:top w:val="single" w:sz="4" w:space="0" w:color="000000"/>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24,58</w:t>
            </w:r>
          </w:p>
        </w:tc>
        <w:tc>
          <w:tcPr>
            <w:tcW w:w="775" w:type="pct"/>
            <w:tcBorders>
              <w:top w:val="single" w:sz="4" w:space="0" w:color="000000"/>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98,64</w:t>
            </w:r>
          </w:p>
        </w:tc>
        <w:tc>
          <w:tcPr>
            <w:tcW w:w="742" w:type="pct"/>
            <w:tcBorders>
              <w:top w:val="single" w:sz="4" w:space="0" w:color="000000"/>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55,93</w:t>
            </w:r>
          </w:p>
        </w:tc>
        <w:tc>
          <w:tcPr>
            <w:tcW w:w="1126" w:type="pct"/>
            <w:tcBorders>
              <w:top w:val="single" w:sz="4" w:space="0" w:color="000000"/>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0,00</w:t>
            </w:r>
          </w:p>
        </w:tc>
      </w:tr>
      <w:tr w:rsidR="002A33D8" w:rsidRPr="00AE6EDB" w:rsidTr="00BB6806">
        <w:trPr>
          <w:trHeight w:val="295"/>
        </w:trPr>
        <w:tc>
          <w:tcPr>
            <w:tcW w:w="925" w:type="pct"/>
            <w:tcBorders>
              <w:top w:val="single" w:sz="4" w:space="0" w:color="000000"/>
              <w:left w:val="single" w:sz="4" w:space="0" w:color="000000"/>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jc w:val="left"/>
              <w:rPr>
                <w:b/>
                <w:sz w:val="20"/>
                <w:szCs w:val="20"/>
              </w:rPr>
            </w:pPr>
            <w:r w:rsidRPr="00AE6EDB">
              <w:rPr>
                <w:b/>
                <w:sz w:val="20"/>
                <w:szCs w:val="20"/>
              </w:rPr>
              <w:t>SR</w:t>
            </w:r>
          </w:p>
        </w:tc>
        <w:tc>
          <w:tcPr>
            <w:tcW w:w="559"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ind w:right="201"/>
              <w:jc w:val="right"/>
              <w:rPr>
                <w:sz w:val="20"/>
                <w:szCs w:val="20"/>
              </w:rPr>
            </w:pPr>
            <w:r w:rsidRPr="00AE6EDB">
              <w:rPr>
                <w:sz w:val="20"/>
                <w:szCs w:val="20"/>
              </w:rPr>
              <w:t>17,94</w:t>
            </w:r>
          </w:p>
        </w:tc>
        <w:tc>
          <w:tcPr>
            <w:tcW w:w="873"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ind w:right="201"/>
              <w:jc w:val="right"/>
              <w:rPr>
                <w:sz w:val="20"/>
                <w:szCs w:val="20"/>
              </w:rPr>
            </w:pPr>
            <w:r w:rsidRPr="00AE6EDB">
              <w:rPr>
                <w:sz w:val="20"/>
                <w:szCs w:val="20"/>
              </w:rPr>
              <w:t>17,87</w:t>
            </w:r>
          </w:p>
        </w:tc>
        <w:tc>
          <w:tcPr>
            <w:tcW w:w="775"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ind w:right="201"/>
              <w:jc w:val="right"/>
              <w:rPr>
                <w:sz w:val="20"/>
                <w:szCs w:val="20"/>
              </w:rPr>
            </w:pPr>
            <w:r w:rsidRPr="00AE6EDB">
              <w:rPr>
                <w:sz w:val="20"/>
                <w:szCs w:val="20"/>
              </w:rPr>
              <w:t>99,61</w:t>
            </w:r>
          </w:p>
        </w:tc>
        <w:tc>
          <w:tcPr>
            <w:tcW w:w="742"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ind w:right="201"/>
              <w:jc w:val="right"/>
              <w:rPr>
                <w:sz w:val="20"/>
                <w:szCs w:val="20"/>
              </w:rPr>
            </w:pPr>
            <w:r w:rsidRPr="00AE6EDB">
              <w:rPr>
                <w:sz w:val="20"/>
                <w:szCs w:val="20"/>
              </w:rPr>
              <w:t>2,23</w:t>
            </w:r>
          </w:p>
        </w:tc>
        <w:tc>
          <w:tcPr>
            <w:tcW w:w="1126"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2A33D8" w:rsidRPr="00AE6EDB" w:rsidRDefault="002A33D8" w:rsidP="002A33D8">
            <w:pPr>
              <w:ind w:right="201"/>
              <w:jc w:val="right"/>
              <w:rPr>
                <w:sz w:val="20"/>
                <w:szCs w:val="20"/>
              </w:rPr>
            </w:pPr>
            <w:r w:rsidRPr="00AE6EDB">
              <w:rPr>
                <w:sz w:val="20"/>
                <w:szCs w:val="20"/>
              </w:rPr>
              <w:t>1,19</w:t>
            </w:r>
          </w:p>
        </w:tc>
      </w:tr>
      <w:tr w:rsidR="002A33D8"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Fínsko</w:t>
            </w:r>
          </w:p>
        </w:tc>
        <w:tc>
          <w:tcPr>
            <w:tcW w:w="559"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30,40</w:t>
            </w:r>
          </w:p>
        </w:tc>
        <w:tc>
          <w:tcPr>
            <w:tcW w:w="873"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27,31</w:t>
            </w:r>
          </w:p>
        </w:tc>
        <w:tc>
          <w:tcPr>
            <w:tcW w:w="775"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89,84</w:t>
            </w:r>
          </w:p>
        </w:tc>
        <w:tc>
          <w:tcPr>
            <w:tcW w:w="742"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57,12</w:t>
            </w:r>
          </w:p>
        </w:tc>
        <w:tc>
          <w:tcPr>
            <w:tcW w:w="1126"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57,12</w:t>
            </w:r>
          </w:p>
        </w:tc>
      </w:tr>
      <w:tr w:rsidR="002A33D8" w:rsidRPr="00AE6EDB" w:rsidTr="00BB6806">
        <w:trPr>
          <w:trHeight w:val="295"/>
        </w:trPr>
        <w:tc>
          <w:tcPr>
            <w:tcW w:w="925" w:type="pct"/>
            <w:tcBorders>
              <w:top w:val="nil"/>
              <w:left w:val="single" w:sz="4" w:space="0" w:color="000000"/>
              <w:bottom w:val="single" w:sz="4" w:space="0" w:color="000000"/>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Švédsko</w:t>
            </w:r>
          </w:p>
        </w:tc>
        <w:tc>
          <w:tcPr>
            <w:tcW w:w="559"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29,88</w:t>
            </w:r>
          </w:p>
        </w:tc>
        <w:tc>
          <w:tcPr>
            <w:tcW w:w="873"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26,36</w:t>
            </w:r>
          </w:p>
        </w:tc>
        <w:tc>
          <w:tcPr>
            <w:tcW w:w="775"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88,22</w:t>
            </w:r>
          </w:p>
        </w:tc>
        <w:tc>
          <w:tcPr>
            <w:tcW w:w="742"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50,12</w:t>
            </w:r>
          </w:p>
        </w:tc>
        <w:tc>
          <w:tcPr>
            <w:tcW w:w="1126" w:type="pct"/>
            <w:tcBorders>
              <w:top w:val="nil"/>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0,00</w:t>
            </w:r>
          </w:p>
        </w:tc>
      </w:tr>
      <w:tr w:rsidR="002A33D8" w:rsidRPr="00AE6EDB" w:rsidTr="00BB6806">
        <w:trPr>
          <w:trHeight w:val="295"/>
        </w:trPr>
        <w:tc>
          <w:tcPr>
            <w:tcW w:w="925" w:type="pct"/>
            <w:tcBorders>
              <w:top w:val="single" w:sz="4" w:space="0" w:color="000000"/>
              <w:left w:val="single" w:sz="4" w:space="0" w:color="000000"/>
              <w:bottom w:val="double" w:sz="4" w:space="0" w:color="auto"/>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Spojené kráľovstvo</w:t>
            </w:r>
          </w:p>
        </w:tc>
        <w:tc>
          <w:tcPr>
            <w:tcW w:w="559" w:type="pct"/>
            <w:tcBorders>
              <w:top w:val="single" w:sz="4" w:space="0" w:color="000000"/>
              <w:left w:val="nil"/>
              <w:bottom w:val="doub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28,44</w:t>
            </w:r>
          </w:p>
        </w:tc>
        <w:tc>
          <w:tcPr>
            <w:tcW w:w="873" w:type="pct"/>
            <w:tcBorders>
              <w:top w:val="single" w:sz="4" w:space="0" w:color="000000"/>
              <w:left w:val="nil"/>
              <w:bottom w:val="doub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27,41</w:t>
            </w:r>
          </w:p>
        </w:tc>
        <w:tc>
          <w:tcPr>
            <w:tcW w:w="775" w:type="pct"/>
            <w:tcBorders>
              <w:top w:val="single" w:sz="4" w:space="0" w:color="000000"/>
              <w:left w:val="nil"/>
              <w:bottom w:val="doub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96,38</w:t>
            </w:r>
          </w:p>
        </w:tc>
        <w:tc>
          <w:tcPr>
            <w:tcW w:w="742" w:type="pct"/>
            <w:tcBorders>
              <w:top w:val="single" w:sz="4" w:space="0" w:color="000000"/>
              <w:left w:val="nil"/>
              <w:bottom w:val="doub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43,49</w:t>
            </w:r>
          </w:p>
        </w:tc>
        <w:tc>
          <w:tcPr>
            <w:tcW w:w="1126" w:type="pct"/>
            <w:tcBorders>
              <w:top w:val="single" w:sz="4" w:space="0" w:color="000000"/>
              <w:left w:val="nil"/>
              <w:bottom w:val="doub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3,10</w:t>
            </w:r>
          </w:p>
        </w:tc>
      </w:tr>
      <w:tr w:rsidR="002A33D8" w:rsidRPr="00AE6EDB" w:rsidTr="00BB6806">
        <w:trPr>
          <w:trHeight w:val="295"/>
        </w:trPr>
        <w:tc>
          <w:tcPr>
            <w:tcW w:w="925" w:type="pct"/>
            <w:tcBorders>
              <w:top w:val="double" w:sz="4" w:space="0" w:color="auto"/>
              <w:left w:val="single" w:sz="4" w:space="0" w:color="000000"/>
              <w:bottom w:val="single" w:sz="4" w:space="0" w:color="000000"/>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Island</w:t>
            </w:r>
          </w:p>
        </w:tc>
        <w:tc>
          <w:tcPr>
            <w:tcW w:w="559" w:type="pct"/>
            <w:tcBorders>
              <w:top w:val="double" w:sz="4" w:space="0" w:color="auto"/>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24,95</w:t>
            </w:r>
          </w:p>
        </w:tc>
        <w:tc>
          <w:tcPr>
            <w:tcW w:w="873" w:type="pct"/>
            <w:tcBorders>
              <w:top w:val="double" w:sz="4" w:space="0" w:color="auto"/>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22,26</w:t>
            </w:r>
          </w:p>
        </w:tc>
        <w:tc>
          <w:tcPr>
            <w:tcW w:w="775" w:type="pct"/>
            <w:tcBorders>
              <w:top w:val="double" w:sz="4" w:space="0" w:color="auto"/>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89,22</w:t>
            </w:r>
          </w:p>
        </w:tc>
        <w:tc>
          <w:tcPr>
            <w:tcW w:w="742" w:type="pct"/>
            <w:tcBorders>
              <w:top w:val="double" w:sz="4" w:space="0" w:color="auto"/>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53,62</w:t>
            </w:r>
          </w:p>
        </w:tc>
        <w:tc>
          <w:tcPr>
            <w:tcW w:w="1126" w:type="pct"/>
            <w:tcBorders>
              <w:top w:val="double" w:sz="4" w:space="0" w:color="auto"/>
              <w:left w:val="nil"/>
              <w:bottom w:val="single" w:sz="4" w:space="0" w:color="000000"/>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12,41</w:t>
            </w:r>
          </w:p>
        </w:tc>
      </w:tr>
      <w:tr w:rsidR="002A33D8" w:rsidRPr="00AE6EDB" w:rsidTr="00BB6806">
        <w:trPr>
          <w:trHeight w:val="295"/>
        </w:trPr>
        <w:tc>
          <w:tcPr>
            <w:tcW w:w="925" w:type="pct"/>
            <w:tcBorders>
              <w:top w:val="nil"/>
              <w:left w:val="single" w:sz="4" w:space="0" w:color="000000"/>
              <w:bottom w:val="single" w:sz="4" w:space="0" w:color="auto"/>
              <w:right w:val="single" w:sz="4" w:space="0" w:color="000000"/>
            </w:tcBorders>
            <w:shd w:val="clear" w:color="auto" w:fill="auto"/>
            <w:noWrap/>
            <w:vAlign w:val="center"/>
          </w:tcPr>
          <w:p w:rsidR="002A33D8" w:rsidRPr="00AE6EDB" w:rsidRDefault="002A33D8" w:rsidP="002A33D8">
            <w:pPr>
              <w:jc w:val="left"/>
              <w:rPr>
                <w:sz w:val="20"/>
                <w:szCs w:val="20"/>
              </w:rPr>
            </w:pPr>
            <w:r w:rsidRPr="00AE6EDB">
              <w:rPr>
                <w:sz w:val="20"/>
                <w:szCs w:val="20"/>
              </w:rPr>
              <w:t>Nórsko</w:t>
            </w:r>
          </w:p>
        </w:tc>
        <w:tc>
          <w:tcPr>
            <w:tcW w:w="559" w:type="pct"/>
            <w:tcBorders>
              <w:top w:val="nil"/>
              <w:left w:val="nil"/>
              <w:bottom w:val="sing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24,49</w:t>
            </w:r>
          </w:p>
        </w:tc>
        <w:tc>
          <w:tcPr>
            <w:tcW w:w="873" w:type="pct"/>
            <w:tcBorders>
              <w:top w:val="nil"/>
              <w:left w:val="nil"/>
              <w:bottom w:val="sing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22,20</w:t>
            </w:r>
          </w:p>
        </w:tc>
        <w:tc>
          <w:tcPr>
            <w:tcW w:w="775" w:type="pct"/>
            <w:tcBorders>
              <w:top w:val="nil"/>
              <w:left w:val="nil"/>
              <w:bottom w:val="sing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90,65</w:t>
            </w:r>
          </w:p>
        </w:tc>
        <w:tc>
          <w:tcPr>
            <w:tcW w:w="742" w:type="pct"/>
            <w:tcBorders>
              <w:top w:val="nil"/>
              <w:left w:val="nil"/>
              <w:bottom w:val="sing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54,51</w:t>
            </w:r>
          </w:p>
        </w:tc>
        <w:tc>
          <w:tcPr>
            <w:tcW w:w="1126" w:type="pct"/>
            <w:tcBorders>
              <w:top w:val="nil"/>
              <w:left w:val="nil"/>
              <w:bottom w:val="single" w:sz="4" w:space="0" w:color="auto"/>
              <w:right w:val="single" w:sz="4" w:space="0" w:color="000000"/>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0,00</w:t>
            </w:r>
          </w:p>
        </w:tc>
      </w:tr>
      <w:tr w:rsidR="002A33D8" w:rsidRPr="00AE6EDB" w:rsidTr="00BB6806">
        <w:trPr>
          <w:trHeight w:val="295"/>
        </w:trPr>
        <w:tc>
          <w:tcPr>
            <w:tcW w:w="9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jc w:val="left"/>
              <w:rPr>
                <w:sz w:val="20"/>
                <w:szCs w:val="20"/>
              </w:rPr>
            </w:pPr>
            <w:r w:rsidRPr="00AE6EDB">
              <w:rPr>
                <w:sz w:val="20"/>
                <w:szCs w:val="20"/>
              </w:rPr>
              <w:t>Švajčiarsko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24,90</w:t>
            </w:r>
          </w:p>
        </w:tc>
        <w:tc>
          <w:tcPr>
            <w:tcW w:w="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21,52</w:t>
            </w:r>
          </w:p>
        </w:tc>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86,43</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64,36</w:t>
            </w:r>
          </w:p>
        </w:tc>
        <w:tc>
          <w:tcPr>
            <w:tcW w:w="11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60,81</w:t>
            </w:r>
          </w:p>
        </w:tc>
      </w:tr>
      <w:tr w:rsidR="002A33D8" w:rsidRPr="00AE6EDB" w:rsidTr="00BB6806">
        <w:trPr>
          <w:trHeight w:val="295"/>
        </w:trPr>
        <w:tc>
          <w:tcPr>
            <w:tcW w:w="9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jc w:val="left"/>
              <w:rPr>
                <w:sz w:val="20"/>
                <w:szCs w:val="20"/>
              </w:rPr>
            </w:pPr>
            <w:r w:rsidRPr="00AE6EDB">
              <w:rPr>
                <w:sz w:val="20"/>
                <w:szCs w:val="20"/>
              </w:rPr>
              <w:t>Srbsko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25,11</w:t>
            </w:r>
          </w:p>
        </w:tc>
        <w:tc>
          <w:tcPr>
            <w:tcW w:w="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24,65</w:t>
            </w:r>
          </w:p>
        </w:tc>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98,17</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5,15</w:t>
            </w:r>
          </w:p>
        </w:tc>
        <w:tc>
          <w:tcPr>
            <w:tcW w:w="11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33D8" w:rsidRPr="00AE6EDB" w:rsidRDefault="002A33D8" w:rsidP="002A33D8">
            <w:pPr>
              <w:ind w:right="201"/>
              <w:jc w:val="right"/>
              <w:rPr>
                <w:sz w:val="20"/>
                <w:szCs w:val="20"/>
              </w:rPr>
            </w:pPr>
            <w:r w:rsidRPr="00AE6EDB">
              <w:rPr>
                <w:sz w:val="20"/>
                <w:szCs w:val="20"/>
              </w:rPr>
              <w:t>4,66</w:t>
            </w:r>
          </w:p>
        </w:tc>
      </w:tr>
    </w:tbl>
    <w:p w:rsidR="000A7585" w:rsidRPr="00AE6EDB" w:rsidRDefault="000A7585" w:rsidP="000A7585">
      <w:pPr>
        <w:pStyle w:val="zdroj"/>
      </w:pPr>
      <w:r w:rsidRPr="00AE6EDB">
        <w:t xml:space="preserve"> Zdroj: </w:t>
      </w:r>
      <w:proofErr w:type="spellStart"/>
      <w:r w:rsidRPr="00AE6EDB">
        <w:t>Eurostat</w:t>
      </w:r>
      <w:proofErr w:type="spellEnd"/>
      <w:r w:rsidRPr="00AE6EDB">
        <w:t xml:space="preserve"> – ESSPROS</w:t>
      </w:r>
    </w:p>
    <w:p w:rsidR="000A7585" w:rsidRPr="00AE6EDB" w:rsidRDefault="000A7585" w:rsidP="000A7585">
      <w:pPr>
        <w:spacing w:before="60" w:after="120"/>
        <w:ind w:firstLine="1134"/>
        <w:rPr>
          <w:i/>
          <w:color w:val="000000"/>
          <w:sz w:val="20"/>
          <w:szCs w:val="20"/>
          <w:highlight w:val="cyan"/>
        </w:rPr>
      </w:pPr>
    </w:p>
    <w:p w:rsidR="000A7585" w:rsidRPr="00AE6EDB" w:rsidRDefault="000A7585" w:rsidP="000A7585">
      <w:pPr>
        <w:jc w:val="left"/>
        <w:rPr>
          <w:bCs/>
          <w:iCs/>
          <w:highlight w:val="cyan"/>
        </w:rPr>
        <w:sectPr w:rsidR="000A7585" w:rsidRPr="00AE6EDB" w:rsidSect="004F3C97">
          <w:pgSz w:w="11906" w:h="16838"/>
          <w:pgMar w:top="1417" w:right="1417" w:bottom="1417" w:left="1417" w:header="708" w:footer="708" w:gutter="0"/>
          <w:cols w:space="708"/>
          <w:docGrid w:linePitch="360"/>
        </w:sectPr>
      </w:pPr>
    </w:p>
    <w:p w:rsidR="000A7585" w:rsidRPr="00AE6EDB" w:rsidRDefault="000A7585" w:rsidP="000A7585">
      <w:pPr>
        <w:pStyle w:val="Nadpis7"/>
      </w:pPr>
      <w:bookmarkStart w:id="880" w:name="_Toc351120127"/>
      <w:bookmarkStart w:id="881" w:name="_Toc352833097"/>
      <w:bookmarkStart w:id="882" w:name="_Toc352840761"/>
      <w:bookmarkStart w:id="883" w:name="_Toc383151966"/>
      <w:bookmarkStart w:id="884" w:name="_Toc383407437"/>
      <w:bookmarkStart w:id="885" w:name="_Toc417885648"/>
      <w:bookmarkStart w:id="886" w:name="_Toc417901763"/>
      <w:bookmarkEnd w:id="873"/>
      <w:bookmarkEnd w:id="874"/>
      <w:bookmarkEnd w:id="875"/>
      <w:bookmarkEnd w:id="876"/>
      <w:bookmarkEnd w:id="877"/>
      <w:bookmarkEnd w:id="878"/>
      <w:bookmarkEnd w:id="879"/>
      <w:r w:rsidRPr="00AE6EDB">
        <w:rPr>
          <w:bCs/>
          <w:iCs/>
        </w:rPr>
        <w:t>Tabuľka 36a P</w:t>
      </w:r>
      <w:r w:rsidRPr="00AE6EDB">
        <w:t xml:space="preserve">rojekty OP </w:t>
      </w:r>
      <w:proofErr w:type="spellStart"/>
      <w:r w:rsidRPr="00AE6EDB">
        <w:t>ZaSI</w:t>
      </w:r>
      <w:proofErr w:type="spellEnd"/>
      <w:r w:rsidRPr="00AE6EDB">
        <w:t xml:space="preserve"> </w:t>
      </w:r>
      <w:proofErr w:type="spellStart"/>
      <w:r w:rsidRPr="00AE6EDB">
        <w:t>zazmluvnené</w:t>
      </w:r>
      <w:proofErr w:type="spellEnd"/>
      <w:r w:rsidRPr="00AE6EDB">
        <w:t xml:space="preserve"> v roku 2015</w:t>
      </w: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9"/>
        <w:gridCol w:w="6450"/>
        <w:gridCol w:w="7"/>
        <w:gridCol w:w="3603"/>
      </w:tblGrid>
      <w:tr w:rsidR="000A7585" w:rsidRPr="00AE6EDB" w:rsidTr="00DE0EEC">
        <w:trPr>
          <w:trHeight w:val="283"/>
          <w:tblHeader/>
          <w:jc w:val="center"/>
        </w:trPr>
        <w:tc>
          <w:tcPr>
            <w:tcW w:w="2579" w:type="dxa"/>
            <w:tcBorders>
              <w:bottom w:val="single" w:sz="4" w:space="0" w:color="auto"/>
            </w:tcBorders>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sz w:val="20"/>
                <w:szCs w:val="20"/>
                <w:lang w:eastAsia="en-US"/>
              </w:rPr>
            </w:pPr>
            <w:r w:rsidRPr="00AE6EDB">
              <w:rPr>
                <w:b/>
                <w:bCs/>
                <w:sz w:val="20"/>
                <w:szCs w:val="20"/>
              </w:rPr>
              <w:t>Vyzvanie</w:t>
            </w:r>
          </w:p>
        </w:tc>
        <w:tc>
          <w:tcPr>
            <w:tcW w:w="6450" w:type="dxa"/>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sz w:val="20"/>
                <w:szCs w:val="20"/>
                <w:lang w:eastAsia="en-US"/>
              </w:rPr>
            </w:pPr>
            <w:r w:rsidRPr="00AE6EDB">
              <w:rPr>
                <w:b/>
                <w:bCs/>
                <w:sz w:val="20"/>
                <w:szCs w:val="20"/>
              </w:rPr>
              <w:t>Názov</w:t>
            </w:r>
          </w:p>
        </w:tc>
        <w:tc>
          <w:tcPr>
            <w:tcW w:w="3610" w:type="dxa"/>
            <w:gridSpan w:val="2"/>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color w:val="000000"/>
                <w:sz w:val="20"/>
                <w:szCs w:val="20"/>
                <w:lang w:eastAsia="en-US"/>
              </w:rPr>
            </w:pPr>
            <w:r w:rsidRPr="00AE6EDB">
              <w:rPr>
                <w:b/>
                <w:bCs/>
                <w:color w:val="000000"/>
                <w:sz w:val="20"/>
                <w:szCs w:val="20"/>
              </w:rPr>
              <w:t>Subjekt</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color w:val="000000"/>
                <w:sz w:val="20"/>
                <w:szCs w:val="20"/>
                <w:lang w:eastAsia="en-US"/>
              </w:rPr>
            </w:pPr>
            <w:r w:rsidRPr="00AE6EDB">
              <w:rPr>
                <w:b/>
                <w:bCs/>
                <w:sz w:val="20"/>
                <w:szCs w:val="20"/>
              </w:rPr>
              <w:t>Prioritná os 1</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2014/1.1/07</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Národná sústava povolaní III</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 xml:space="preserve">Ministerstvo práce, sociálnych vecí Slovenskej republiky </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2015/1.1/01</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 xml:space="preserve">Podpora zamestnávania </w:t>
            </w:r>
            <w:proofErr w:type="spellStart"/>
            <w:r w:rsidRPr="00AE6EDB">
              <w:rPr>
                <w:b/>
                <w:bCs/>
                <w:color w:val="000000"/>
                <w:sz w:val="20"/>
                <w:szCs w:val="20"/>
              </w:rPr>
              <w:t>UoZ</w:t>
            </w:r>
            <w:proofErr w:type="spellEnd"/>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2015/1.1/02</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Zapojenie nezamestnaných do obnovy kultúrneho dedičstva 3</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2015/1.1/03</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 xml:space="preserve">Podpora pracovných príležitostí pre </w:t>
            </w:r>
            <w:proofErr w:type="spellStart"/>
            <w:r w:rsidRPr="00AE6EDB">
              <w:rPr>
                <w:b/>
                <w:bCs/>
                <w:color w:val="000000"/>
                <w:sz w:val="20"/>
                <w:szCs w:val="20"/>
              </w:rPr>
              <w:t>UoZ</w:t>
            </w:r>
            <w:proofErr w:type="spellEnd"/>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2015/1.1/04</w:t>
            </w:r>
          </w:p>
        </w:tc>
        <w:tc>
          <w:tcPr>
            <w:tcW w:w="6450" w:type="dxa"/>
            <w:shd w:val="clear" w:color="auto" w:fill="FFFFFF"/>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ESKO</w:t>
            </w:r>
          </w:p>
        </w:tc>
        <w:tc>
          <w:tcPr>
            <w:tcW w:w="3610" w:type="dxa"/>
            <w:gridSpan w:val="2"/>
            <w:shd w:val="clear" w:color="auto" w:fill="FFFFFF"/>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DOP-SIA-2009/1.2.1/01</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Firemná škola celoživotného vzdelávania_02 (následník)</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 xml:space="preserve">SLAVIA CAPITAL </w:t>
            </w:r>
            <w:proofErr w:type="spellStart"/>
            <w:r w:rsidRPr="00AE6EDB">
              <w:rPr>
                <w:color w:val="000000"/>
                <w:sz w:val="20"/>
                <w:szCs w:val="20"/>
              </w:rPr>
              <w:t>Group</w:t>
            </w:r>
            <w:proofErr w:type="spellEnd"/>
            <w:r w:rsidRPr="00AE6EDB">
              <w:rPr>
                <w:color w:val="000000"/>
                <w:sz w:val="20"/>
                <w:szCs w:val="20"/>
              </w:rPr>
              <w:t>, a. s.</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color w:val="000000"/>
                <w:sz w:val="20"/>
                <w:szCs w:val="20"/>
                <w:lang w:eastAsia="en-US"/>
              </w:rPr>
            </w:pPr>
            <w:r w:rsidRPr="00AE6EDB">
              <w:rPr>
                <w:b/>
                <w:bCs/>
                <w:sz w:val="20"/>
                <w:szCs w:val="20"/>
              </w:rPr>
              <w:t>Prioritná os 2</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2015/2.1/01</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Zdravé komunity MZ SR</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zdravotníctva SR</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2015/2.1/02</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Podpora Centra pre medzinárodnoprávnu ochranu detí a mládeže</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Centrum pre medzinárodnoprávnu ochranu detí a mládeže</w:t>
            </w:r>
          </w:p>
        </w:tc>
      </w:tr>
      <w:tr w:rsidR="000A7585" w:rsidRPr="00AE6EDB" w:rsidTr="00DE0EEC">
        <w:trPr>
          <w:cantSplit/>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b/>
                <w:bCs/>
                <w:sz w:val="20"/>
                <w:szCs w:val="20"/>
              </w:rPr>
              <w:t>Prioritná os 3</w:t>
            </w:r>
          </w:p>
        </w:tc>
      </w:tr>
      <w:tr w:rsidR="000A7585" w:rsidRPr="00AE6EDB" w:rsidTr="00DE0EEC">
        <w:trPr>
          <w:cantSplit/>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2014/3.1/03</w:t>
            </w:r>
          </w:p>
        </w:tc>
        <w:tc>
          <w:tcPr>
            <w:tcW w:w="6450" w:type="dxa"/>
            <w:tcMar>
              <w:top w:w="0" w:type="dxa"/>
              <w:left w:w="108" w:type="dxa"/>
              <w:bottom w:w="0" w:type="dxa"/>
              <w:right w:w="108" w:type="dxa"/>
            </w:tcMar>
            <w:vAlign w:val="center"/>
          </w:tcPr>
          <w:p w:rsidR="000A7585" w:rsidRPr="00AE6EDB" w:rsidRDefault="00F45681" w:rsidP="00DE0EEC">
            <w:pPr>
              <w:jc w:val="left"/>
              <w:rPr>
                <w:b/>
                <w:bCs/>
                <w:color w:val="000000"/>
                <w:sz w:val="20"/>
                <w:szCs w:val="20"/>
              </w:rPr>
            </w:pPr>
            <w:r>
              <w:rPr>
                <w:b/>
                <w:bCs/>
                <w:color w:val="000000"/>
                <w:sz w:val="20"/>
                <w:szCs w:val="20"/>
              </w:rPr>
              <w:t>N</w:t>
            </w:r>
            <w:r w:rsidR="000A7585" w:rsidRPr="00AE6EDB">
              <w:rPr>
                <w:b/>
                <w:bCs/>
                <w:color w:val="000000"/>
                <w:sz w:val="20"/>
                <w:szCs w:val="20"/>
              </w:rPr>
              <w:t xml:space="preserve">árodná sústava </w:t>
            </w:r>
            <w:r w:rsidRPr="00AE6EDB">
              <w:rPr>
                <w:b/>
                <w:bCs/>
                <w:color w:val="000000"/>
                <w:sz w:val="20"/>
                <w:szCs w:val="20"/>
              </w:rPr>
              <w:t>povolaní</w:t>
            </w:r>
            <w:r w:rsidR="000A7585" w:rsidRPr="00AE6EDB">
              <w:rPr>
                <w:b/>
                <w:bCs/>
                <w:color w:val="000000"/>
                <w:sz w:val="20"/>
                <w:szCs w:val="20"/>
              </w:rPr>
              <w:t xml:space="preserve"> 3 BSK</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práce, sociálnych vecí SR</w:t>
            </w:r>
          </w:p>
        </w:tc>
      </w:tr>
      <w:tr w:rsidR="000A7585" w:rsidRPr="00AE6EDB" w:rsidTr="00DE0EEC">
        <w:trPr>
          <w:cantSplit/>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2015/3.1/01</w:t>
            </w:r>
          </w:p>
        </w:tc>
        <w:tc>
          <w:tcPr>
            <w:tcW w:w="6450"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 xml:space="preserve">Podpora udržania pracovných miest pre občanov so zdravotným postihnutím a zvyšovanie </w:t>
            </w:r>
            <w:proofErr w:type="spellStart"/>
            <w:r w:rsidRPr="00AE6EDB">
              <w:rPr>
                <w:b/>
                <w:bCs/>
                <w:color w:val="000000"/>
                <w:sz w:val="20"/>
                <w:szCs w:val="20"/>
              </w:rPr>
              <w:t>zamestnateľnosti</w:t>
            </w:r>
            <w:proofErr w:type="spellEnd"/>
            <w:r w:rsidRPr="00AE6EDB">
              <w:rPr>
                <w:b/>
                <w:bCs/>
                <w:color w:val="000000"/>
                <w:sz w:val="20"/>
                <w:szCs w:val="20"/>
              </w:rPr>
              <w:t xml:space="preserve"> </w:t>
            </w:r>
            <w:proofErr w:type="spellStart"/>
            <w:r w:rsidRPr="00AE6EDB">
              <w:rPr>
                <w:b/>
                <w:bCs/>
                <w:color w:val="000000"/>
                <w:sz w:val="20"/>
                <w:szCs w:val="20"/>
              </w:rPr>
              <w:t>UoZ</w:t>
            </w:r>
            <w:proofErr w:type="spellEnd"/>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cantSplit/>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0</w:t>
            </w:r>
            <w:r w:rsidR="0054295F">
              <w:rPr>
                <w:b/>
                <w:bCs/>
                <w:sz w:val="20"/>
                <w:szCs w:val="20"/>
              </w:rPr>
              <w:t>3 2</w:t>
            </w:r>
            <w:r w:rsidRPr="00AE6EDB">
              <w:rPr>
                <w:b/>
                <w:bCs/>
                <w:sz w:val="20"/>
                <w:szCs w:val="20"/>
              </w:rPr>
              <w:t>009/3.1</w:t>
            </w:r>
          </w:p>
        </w:tc>
        <w:tc>
          <w:tcPr>
            <w:tcW w:w="6450" w:type="dxa"/>
            <w:tcMar>
              <w:top w:w="0" w:type="dxa"/>
              <w:left w:w="108" w:type="dxa"/>
              <w:bottom w:w="0" w:type="dxa"/>
              <w:right w:w="108" w:type="dxa"/>
            </w:tcMar>
            <w:vAlign w:val="center"/>
          </w:tcPr>
          <w:p w:rsidR="000A7585" w:rsidRPr="00AE6EDB" w:rsidRDefault="000A7585" w:rsidP="001C72AB">
            <w:pPr>
              <w:jc w:val="left"/>
              <w:rPr>
                <w:b/>
                <w:bCs/>
                <w:color w:val="000000"/>
                <w:sz w:val="20"/>
                <w:szCs w:val="20"/>
              </w:rPr>
            </w:pPr>
            <w:r w:rsidRPr="00AE6EDB">
              <w:rPr>
                <w:b/>
                <w:bCs/>
                <w:color w:val="000000"/>
                <w:sz w:val="20"/>
                <w:szCs w:val="20"/>
              </w:rPr>
              <w:t>Podpora Centra pre medzinárodnoprávnu ochranu detí</w:t>
            </w:r>
            <w:r w:rsidR="001C72AB" w:rsidRPr="00AE6EDB">
              <w:rPr>
                <w:b/>
                <w:bCs/>
                <w:color w:val="000000"/>
                <w:sz w:val="20"/>
                <w:szCs w:val="20"/>
              </w:rPr>
              <w:t xml:space="preserve"> </w:t>
            </w:r>
            <w:r w:rsidRPr="00AE6EDB">
              <w:rPr>
                <w:b/>
                <w:bCs/>
                <w:color w:val="000000"/>
                <w:sz w:val="20"/>
                <w:szCs w:val="20"/>
              </w:rPr>
              <w:t>a</w:t>
            </w:r>
            <w:r w:rsidR="001C72AB" w:rsidRPr="00AE6EDB">
              <w:rPr>
                <w:b/>
                <w:bCs/>
                <w:color w:val="000000"/>
                <w:sz w:val="20"/>
                <w:szCs w:val="20"/>
              </w:rPr>
              <w:t> </w:t>
            </w:r>
            <w:r w:rsidRPr="00AE6EDB">
              <w:rPr>
                <w:b/>
                <w:bCs/>
                <w:color w:val="000000"/>
                <w:sz w:val="20"/>
                <w:szCs w:val="20"/>
              </w:rPr>
              <w:t>mládeže</w:t>
            </w:r>
            <w:r w:rsidR="001C72AB" w:rsidRPr="00AE6EDB">
              <w:rPr>
                <w:b/>
                <w:bCs/>
                <w:color w:val="000000"/>
                <w:sz w:val="20"/>
                <w:szCs w:val="20"/>
              </w:rPr>
              <w:t xml:space="preserve"> </w:t>
            </w:r>
            <w:r w:rsidRPr="00AE6EDB">
              <w:rPr>
                <w:b/>
                <w:bCs/>
                <w:color w:val="000000"/>
                <w:sz w:val="20"/>
                <w:szCs w:val="20"/>
              </w:rPr>
              <w:t>- BSK</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Centrum pre medzinárodnoprávnu ochranu detí a mládeže</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2014/3.3/06</w:t>
            </w:r>
          </w:p>
        </w:tc>
        <w:tc>
          <w:tcPr>
            <w:tcW w:w="6457" w:type="dxa"/>
            <w:gridSpan w:val="2"/>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Systematické prehlbovanie kvalifikácie - BSK</w:t>
            </w:r>
          </w:p>
        </w:tc>
        <w:tc>
          <w:tcPr>
            <w:tcW w:w="3603" w:type="dxa"/>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pôdohospodárstva a rozvoja vidieka</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2015/3.3/01</w:t>
            </w:r>
          </w:p>
        </w:tc>
        <w:tc>
          <w:tcPr>
            <w:tcW w:w="6457" w:type="dxa"/>
            <w:gridSpan w:val="2"/>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Sieťovanie a rozvoj VSZ - BSK</w:t>
            </w:r>
          </w:p>
        </w:tc>
        <w:tc>
          <w:tcPr>
            <w:tcW w:w="3603" w:type="dxa"/>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2015/3.3/02</w:t>
            </w:r>
          </w:p>
        </w:tc>
        <w:tc>
          <w:tcPr>
            <w:tcW w:w="6457" w:type="dxa"/>
            <w:gridSpan w:val="2"/>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Príprava administratívnych kapacít MF SR- BSK</w:t>
            </w:r>
          </w:p>
        </w:tc>
        <w:tc>
          <w:tcPr>
            <w:tcW w:w="3603" w:type="dxa"/>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financií SR</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2015/3.3/03</w:t>
            </w:r>
          </w:p>
        </w:tc>
        <w:tc>
          <w:tcPr>
            <w:tcW w:w="6457" w:type="dxa"/>
            <w:gridSpan w:val="2"/>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Zavádzanie systému CAF - BSK</w:t>
            </w:r>
          </w:p>
        </w:tc>
        <w:tc>
          <w:tcPr>
            <w:tcW w:w="3603" w:type="dxa"/>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Implementačná agentúra Ministerstva práce, sociálnych vecí a rodiny SR</w:t>
            </w:r>
          </w:p>
        </w:tc>
      </w:tr>
      <w:tr w:rsidR="000A7585" w:rsidRPr="00AE6EDB" w:rsidTr="00DE0EEC">
        <w:trPr>
          <w:trHeight w:val="510"/>
          <w:jc w:val="center"/>
        </w:trPr>
        <w:tc>
          <w:tcPr>
            <w:tcW w:w="2579" w:type="dxa"/>
            <w:tcBorders>
              <w:bottom w:val="single" w:sz="4" w:space="0" w:color="auto"/>
            </w:tcBorders>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TP 2015/3.4/01</w:t>
            </w:r>
          </w:p>
        </w:tc>
        <w:tc>
          <w:tcPr>
            <w:tcW w:w="6457" w:type="dxa"/>
            <w:gridSpan w:val="2"/>
            <w:shd w:val="clear" w:color="auto" w:fill="FFFFFF"/>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 xml:space="preserve">TP na rok 2015/PT 85/cieľ </w:t>
            </w:r>
            <w:proofErr w:type="spellStart"/>
            <w:r w:rsidRPr="00AE6EDB">
              <w:rPr>
                <w:b/>
                <w:bCs/>
                <w:color w:val="000000"/>
                <w:sz w:val="20"/>
                <w:szCs w:val="20"/>
              </w:rPr>
              <w:t>RKaZ</w:t>
            </w:r>
            <w:proofErr w:type="spellEnd"/>
          </w:p>
        </w:tc>
        <w:tc>
          <w:tcPr>
            <w:tcW w:w="3603" w:type="dxa"/>
            <w:shd w:val="clear" w:color="auto" w:fill="FFFFFF"/>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práce, sociálnych vecí SR</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sz w:val="20"/>
                <w:szCs w:val="20"/>
                <w:lang w:eastAsia="en-US"/>
              </w:rPr>
            </w:pPr>
            <w:r w:rsidRPr="00AE6EDB">
              <w:rPr>
                <w:b/>
                <w:bCs/>
                <w:sz w:val="20"/>
                <w:szCs w:val="20"/>
              </w:rPr>
              <w:t>Prioritná os 4</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2014/4.1/08</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Systematické prehlbovanie kvalifikácie - SR</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pôdohospodárstva a rozvoja vidieka</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2015/4.1/01</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Sieťovanie a rozvoj VSZ - SR</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2015/4.1/02</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Príprava administratívnych kapacít MF SR- SK</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financií SR</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 xml:space="preserve">OP </w:t>
            </w:r>
            <w:proofErr w:type="spellStart"/>
            <w:r w:rsidRPr="00AE6EDB">
              <w:rPr>
                <w:b/>
                <w:bCs/>
                <w:sz w:val="20"/>
                <w:szCs w:val="20"/>
              </w:rPr>
              <w:t>ZaSI</w:t>
            </w:r>
            <w:proofErr w:type="spellEnd"/>
            <w:r w:rsidRPr="00AE6EDB">
              <w:rPr>
                <w:b/>
                <w:bCs/>
                <w:sz w:val="20"/>
                <w:szCs w:val="20"/>
              </w:rPr>
              <w:t xml:space="preserve"> NP 2015/4.2/01</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Zavádzanie systému CAF - SR</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Implementačná agentúra Ministerstva práce, sociálnych vecí a rodiny SR</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sz w:val="20"/>
                <w:szCs w:val="20"/>
                <w:lang w:eastAsia="en-US"/>
              </w:rPr>
            </w:pPr>
            <w:r w:rsidRPr="00AE6EDB">
              <w:rPr>
                <w:b/>
                <w:bCs/>
                <w:sz w:val="20"/>
                <w:szCs w:val="20"/>
              </w:rPr>
              <w:t>Prioritná os 5</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TP 2015/5.1/01/50780</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TP na rok 2015/PT 85/cieľ Konvergencia</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Ministerstvo práce, sociálnych vecí SR</w:t>
            </w:r>
          </w:p>
        </w:tc>
      </w:tr>
      <w:tr w:rsidR="000A7585" w:rsidRPr="00AE6EDB" w:rsidTr="00DE0EEC">
        <w:trPr>
          <w:trHeight w:val="510"/>
          <w:jc w:val="center"/>
        </w:trPr>
        <w:tc>
          <w:tcPr>
            <w:tcW w:w="2579" w:type="dxa"/>
            <w:shd w:val="clear" w:color="auto" w:fill="auto"/>
            <w:noWrap/>
            <w:tcMar>
              <w:top w:w="0" w:type="dxa"/>
              <w:left w:w="108" w:type="dxa"/>
              <w:bottom w:w="0" w:type="dxa"/>
              <w:right w:w="108" w:type="dxa"/>
            </w:tcMar>
            <w:vAlign w:val="center"/>
          </w:tcPr>
          <w:p w:rsidR="000A7585" w:rsidRPr="00AE6EDB" w:rsidRDefault="000A7585" w:rsidP="00DE0EEC">
            <w:pPr>
              <w:jc w:val="left"/>
              <w:rPr>
                <w:b/>
                <w:bCs/>
                <w:sz w:val="20"/>
                <w:szCs w:val="20"/>
              </w:rPr>
            </w:pPr>
            <w:r w:rsidRPr="00AE6EDB">
              <w:rPr>
                <w:b/>
                <w:bCs/>
                <w:sz w:val="20"/>
                <w:szCs w:val="20"/>
              </w:rPr>
              <w:t>TP 2015/5.1/01/50675</w:t>
            </w:r>
          </w:p>
        </w:tc>
        <w:tc>
          <w:tcPr>
            <w:tcW w:w="6457" w:type="dxa"/>
            <w:gridSpan w:val="2"/>
            <w:noWrap/>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TP /PT 85/cieľ 1/2015</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Implementačná agentúra Ministerstva práce, sociálnych vecí a rodiny SR</w:t>
            </w:r>
          </w:p>
        </w:tc>
      </w:tr>
    </w:tbl>
    <w:p w:rsidR="000A7585" w:rsidRPr="00AE6EDB" w:rsidRDefault="000A7585" w:rsidP="000A7585">
      <w:pPr>
        <w:pStyle w:val="zdroj"/>
        <w:spacing w:before="0"/>
        <w:ind w:left="1134" w:firstLine="0"/>
      </w:pPr>
      <w:r w:rsidRPr="00AE6EDB">
        <w:br/>
        <w:t>Zdroj: RO, ITMS</w:t>
      </w:r>
    </w:p>
    <w:p w:rsidR="000A7585" w:rsidRPr="00AE6EDB" w:rsidRDefault="000A7585" w:rsidP="000A7585">
      <w:pPr>
        <w:jc w:val="left"/>
      </w:pPr>
      <w:r w:rsidRPr="00AE6EDB">
        <w:br w:type="page"/>
      </w:r>
    </w:p>
    <w:p w:rsidR="000A7585" w:rsidRPr="00AE6EDB" w:rsidRDefault="000A7585" w:rsidP="000A7585">
      <w:pPr>
        <w:pStyle w:val="Nadpis7"/>
      </w:pPr>
      <w:r w:rsidRPr="00AE6EDB">
        <w:rPr>
          <w:bCs/>
          <w:iCs/>
        </w:rPr>
        <w:t xml:space="preserve">Tabuľka 36b </w:t>
      </w:r>
      <w:r w:rsidRPr="00AE6EDB">
        <w:t>Národné projekty OP ĽZ</w:t>
      </w:r>
      <w:r w:rsidR="001C72AB" w:rsidRPr="00AE6EDB">
        <w:t xml:space="preserve"> </w:t>
      </w:r>
      <w:proofErr w:type="spellStart"/>
      <w:r w:rsidRPr="00AE6EDB">
        <w:t>zazmluvnené</w:t>
      </w:r>
      <w:proofErr w:type="spellEnd"/>
      <w:r w:rsidRPr="00AE6EDB">
        <w:t xml:space="preserve"> v roku 2015</w:t>
      </w: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7"/>
        <w:gridCol w:w="6592"/>
        <w:gridCol w:w="7"/>
        <w:gridCol w:w="3603"/>
      </w:tblGrid>
      <w:tr w:rsidR="000A7585" w:rsidRPr="00AE6EDB" w:rsidTr="00DE0EEC">
        <w:trPr>
          <w:trHeight w:val="283"/>
          <w:tblHeader/>
          <w:jc w:val="center"/>
        </w:trPr>
        <w:tc>
          <w:tcPr>
            <w:tcW w:w="2437" w:type="dxa"/>
            <w:tcBorders>
              <w:bottom w:val="single" w:sz="4" w:space="0" w:color="auto"/>
            </w:tcBorders>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sz w:val="20"/>
                <w:szCs w:val="20"/>
                <w:lang w:eastAsia="en-US"/>
              </w:rPr>
            </w:pPr>
            <w:r w:rsidRPr="00AE6EDB">
              <w:rPr>
                <w:b/>
                <w:bCs/>
                <w:sz w:val="20"/>
                <w:szCs w:val="20"/>
              </w:rPr>
              <w:t>Vyzvanie</w:t>
            </w:r>
          </w:p>
        </w:tc>
        <w:tc>
          <w:tcPr>
            <w:tcW w:w="6592" w:type="dxa"/>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sz w:val="20"/>
                <w:szCs w:val="20"/>
                <w:lang w:eastAsia="en-US"/>
              </w:rPr>
            </w:pPr>
            <w:r w:rsidRPr="00AE6EDB">
              <w:rPr>
                <w:b/>
                <w:bCs/>
                <w:sz w:val="20"/>
                <w:szCs w:val="20"/>
              </w:rPr>
              <w:t>Názov</w:t>
            </w:r>
          </w:p>
        </w:tc>
        <w:tc>
          <w:tcPr>
            <w:tcW w:w="3610" w:type="dxa"/>
            <w:gridSpan w:val="2"/>
            <w:shd w:val="clear" w:color="auto" w:fill="FF9999"/>
            <w:tcMar>
              <w:top w:w="0" w:type="dxa"/>
              <w:left w:w="108" w:type="dxa"/>
              <w:bottom w:w="0" w:type="dxa"/>
              <w:right w:w="108" w:type="dxa"/>
            </w:tcMar>
            <w:vAlign w:val="center"/>
            <w:hideMark/>
          </w:tcPr>
          <w:p w:rsidR="000A7585" w:rsidRPr="00AE6EDB" w:rsidRDefault="000A7585" w:rsidP="00DE0EEC">
            <w:pPr>
              <w:jc w:val="left"/>
              <w:rPr>
                <w:rFonts w:eastAsiaTheme="minorHAnsi"/>
                <w:b/>
                <w:bCs/>
                <w:color w:val="000000"/>
                <w:sz w:val="20"/>
                <w:szCs w:val="20"/>
                <w:lang w:eastAsia="en-US"/>
              </w:rPr>
            </w:pPr>
            <w:r w:rsidRPr="00AE6EDB">
              <w:rPr>
                <w:b/>
                <w:bCs/>
                <w:color w:val="000000"/>
                <w:sz w:val="20"/>
                <w:szCs w:val="20"/>
              </w:rPr>
              <w:t>Subjekt</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color w:val="000000"/>
                <w:sz w:val="20"/>
                <w:szCs w:val="20"/>
                <w:lang w:eastAsia="en-US"/>
              </w:rPr>
            </w:pPr>
            <w:r w:rsidRPr="00AE6EDB">
              <w:rPr>
                <w:b/>
                <w:bCs/>
                <w:sz w:val="20"/>
                <w:szCs w:val="20"/>
              </w:rPr>
              <w:t>Prioritná os 2</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2015/2.1.1/03</w:t>
            </w:r>
          </w:p>
        </w:tc>
        <w:tc>
          <w:tcPr>
            <w:tcW w:w="6592" w:type="dxa"/>
            <w:tcMar>
              <w:top w:w="0" w:type="dxa"/>
              <w:left w:w="108" w:type="dxa"/>
              <w:bottom w:w="0" w:type="dxa"/>
              <w:right w:w="108" w:type="dxa"/>
            </w:tcMar>
            <w:vAlign w:val="center"/>
          </w:tcPr>
          <w:p w:rsidR="000A7585" w:rsidRPr="00AE6EDB" w:rsidRDefault="000A7585" w:rsidP="00DE0EEC">
            <w:pPr>
              <w:jc w:val="left"/>
              <w:rPr>
                <w:rFonts w:eastAsiaTheme="minorHAnsi"/>
                <w:sz w:val="20"/>
                <w:szCs w:val="20"/>
                <w:lang w:eastAsia="en-US"/>
              </w:rPr>
            </w:pPr>
            <w:r w:rsidRPr="00AE6EDB">
              <w:rPr>
                <w:b/>
                <w:bCs/>
                <w:color w:val="000000"/>
                <w:sz w:val="20"/>
                <w:szCs w:val="20"/>
              </w:rPr>
              <w:t>Absolventská prax štartuje zamestnanie</w:t>
            </w:r>
          </w:p>
        </w:tc>
        <w:tc>
          <w:tcPr>
            <w:tcW w:w="3610" w:type="dxa"/>
            <w:gridSpan w:val="2"/>
            <w:tcMar>
              <w:top w:w="0" w:type="dxa"/>
              <w:left w:w="108" w:type="dxa"/>
              <w:bottom w:w="0" w:type="dxa"/>
              <w:right w:w="108" w:type="dxa"/>
            </w:tcMar>
            <w:vAlign w:val="center"/>
          </w:tcPr>
          <w:p w:rsidR="000A7585" w:rsidRPr="00AE6EDB" w:rsidRDefault="000A7585" w:rsidP="00DE0EEC">
            <w:pPr>
              <w:jc w:val="left"/>
            </w:pPr>
            <w:r w:rsidRPr="00AE6EDB">
              <w:rPr>
                <w:color w:val="000000"/>
                <w:sz w:val="20"/>
                <w:szCs w:val="20"/>
              </w:rPr>
              <w:t>Ústredie práce, sociálnych vecí a rodiny</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2015/2.1.1/01</w:t>
            </w:r>
          </w:p>
        </w:tc>
        <w:tc>
          <w:tcPr>
            <w:tcW w:w="6592" w:type="dxa"/>
            <w:tcMar>
              <w:top w:w="0" w:type="dxa"/>
              <w:left w:w="108" w:type="dxa"/>
              <w:bottom w:w="0" w:type="dxa"/>
              <w:right w:w="108" w:type="dxa"/>
            </w:tcMar>
            <w:vAlign w:val="center"/>
          </w:tcPr>
          <w:p w:rsidR="000A7585" w:rsidRPr="00AE6EDB" w:rsidRDefault="000A7585" w:rsidP="00DE0EEC">
            <w:pPr>
              <w:jc w:val="left"/>
              <w:rPr>
                <w:rFonts w:eastAsiaTheme="minorHAnsi"/>
                <w:sz w:val="20"/>
                <w:szCs w:val="20"/>
                <w:lang w:eastAsia="en-US"/>
              </w:rPr>
            </w:pPr>
            <w:r w:rsidRPr="00AE6EDB">
              <w:rPr>
                <w:b/>
                <w:bCs/>
                <w:color w:val="000000"/>
                <w:sz w:val="20"/>
                <w:szCs w:val="20"/>
              </w:rPr>
              <w:t>Praxou k zamestnaniu</w:t>
            </w:r>
          </w:p>
        </w:tc>
        <w:tc>
          <w:tcPr>
            <w:tcW w:w="3610" w:type="dxa"/>
            <w:gridSpan w:val="2"/>
            <w:tcMar>
              <w:top w:w="0" w:type="dxa"/>
              <w:left w:w="108" w:type="dxa"/>
              <w:bottom w:w="0" w:type="dxa"/>
              <w:right w:w="108" w:type="dxa"/>
            </w:tcMar>
            <w:vAlign w:val="center"/>
          </w:tcPr>
          <w:p w:rsidR="000A7585" w:rsidRPr="00AE6EDB" w:rsidRDefault="000A7585" w:rsidP="00DE0EEC">
            <w:pPr>
              <w:jc w:val="left"/>
            </w:pPr>
            <w:r w:rsidRPr="00AE6EDB">
              <w:rPr>
                <w:color w:val="000000"/>
                <w:sz w:val="20"/>
                <w:szCs w:val="20"/>
              </w:rPr>
              <w:t>Ústredie práce, sociálnych vecí a rodiny</w:t>
            </w:r>
          </w:p>
        </w:tc>
      </w:tr>
      <w:tr w:rsidR="000A7585" w:rsidRPr="00AE6EDB" w:rsidTr="00DE0EEC">
        <w:trPr>
          <w:cantSplit/>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b/>
                <w:bCs/>
                <w:sz w:val="20"/>
                <w:szCs w:val="20"/>
              </w:rPr>
              <w:t>Prioritná os 3</w:t>
            </w:r>
          </w:p>
        </w:tc>
      </w:tr>
      <w:tr w:rsidR="000A7585" w:rsidRPr="00AE6EDB" w:rsidTr="00DE0EEC">
        <w:trPr>
          <w:cantSplit/>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2015/3.1.1/02</w:t>
            </w:r>
          </w:p>
        </w:tc>
        <w:tc>
          <w:tcPr>
            <w:tcW w:w="6592"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 xml:space="preserve">Podpora zamestnávania </w:t>
            </w:r>
            <w:proofErr w:type="spellStart"/>
            <w:r w:rsidRPr="00AE6EDB">
              <w:rPr>
                <w:b/>
                <w:bCs/>
                <w:color w:val="000000"/>
                <w:sz w:val="20"/>
                <w:szCs w:val="20"/>
              </w:rPr>
              <w:t>UoZ</w:t>
            </w:r>
            <w:proofErr w:type="spellEnd"/>
            <w:r w:rsidRPr="00AE6EDB">
              <w:rPr>
                <w:b/>
                <w:bCs/>
                <w:color w:val="000000"/>
                <w:sz w:val="20"/>
                <w:szCs w:val="20"/>
              </w:rPr>
              <w:t xml:space="preserve"> prostredníctvom vybraných aktívnych opatrení na trhu práce</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cantSplit/>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2015/3.1.1/03</w:t>
            </w:r>
          </w:p>
        </w:tc>
        <w:tc>
          <w:tcPr>
            <w:tcW w:w="6592"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Podpora zamestnávania občanov so zdravotným postihnutím</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cantSplit/>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2015/3.2.1/01</w:t>
            </w:r>
          </w:p>
        </w:tc>
        <w:tc>
          <w:tcPr>
            <w:tcW w:w="6592" w:type="dxa"/>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Príspevok na starostlivosť o dieťa VRR</w:t>
            </w:r>
          </w:p>
        </w:tc>
        <w:tc>
          <w:tcPr>
            <w:tcW w:w="3610" w:type="dxa"/>
            <w:gridSpan w:val="2"/>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2015/3.1.1/04</w:t>
            </w:r>
          </w:p>
        </w:tc>
        <w:tc>
          <w:tcPr>
            <w:tcW w:w="6599" w:type="dxa"/>
            <w:gridSpan w:val="2"/>
            <w:tcMar>
              <w:top w:w="0" w:type="dxa"/>
              <w:left w:w="108" w:type="dxa"/>
              <w:bottom w:w="0" w:type="dxa"/>
              <w:right w:w="108" w:type="dxa"/>
            </w:tcMar>
            <w:vAlign w:val="center"/>
          </w:tcPr>
          <w:p w:rsidR="000A7585" w:rsidRPr="00AE6EDB" w:rsidRDefault="000A7585" w:rsidP="00DE0EEC">
            <w:pPr>
              <w:jc w:val="left"/>
              <w:rPr>
                <w:b/>
                <w:bCs/>
                <w:color w:val="000000"/>
                <w:sz w:val="20"/>
                <w:szCs w:val="20"/>
              </w:rPr>
            </w:pPr>
            <w:r w:rsidRPr="00AE6EDB">
              <w:rPr>
                <w:b/>
                <w:bCs/>
                <w:color w:val="000000"/>
                <w:sz w:val="20"/>
                <w:szCs w:val="20"/>
              </w:rPr>
              <w:t>Šanca na zamestnanie</w:t>
            </w:r>
          </w:p>
        </w:tc>
        <w:tc>
          <w:tcPr>
            <w:tcW w:w="3603" w:type="dxa"/>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r w:rsidR="000A7585" w:rsidRPr="00AE6EDB"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AE6EDB" w:rsidRDefault="000A7585" w:rsidP="00DE0EEC">
            <w:pPr>
              <w:jc w:val="left"/>
              <w:rPr>
                <w:rFonts w:eastAsiaTheme="minorHAnsi"/>
                <w:sz w:val="20"/>
                <w:szCs w:val="20"/>
                <w:lang w:eastAsia="en-US"/>
              </w:rPr>
            </w:pPr>
            <w:r w:rsidRPr="00AE6EDB">
              <w:rPr>
                <w:b/>
                <w:bCs/>
                <w:sz w:val="20"/>
                <w:szCs w:val="20"/>
              </w:rPr>
              <w:t>Prioritná os 4</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2015/4.1.1/03</w:t>
            </w:r>
          </w:p>
        </w:tc>
        <w:tc>
          <w:tcPr>
            <w:tcW w:w="6599" w:type="dxa"/>
            <w:gridSpan w:val="2"/>
            <w:noWrap/>
            <w:tcMar>
              <w:top w:w="0" w:type="dxa"/>
              <w:left w:w="108" w:type="dxa"/>
              <w:bottom w:w="0" w:type="dxa"/>
              <w:right w:w="108" w:type="dxa"/>
            </w:tcMar>
            <w:vAlign w:val="center"/>
          </w:tcPr>
          <w:p w:rsidR="000A7585" w:rsidRPr="00AE6EDB" w:rsidRDefault="000A7585" w:rsidP="00DE0EEC">
            <w:pPr>
              <w:rPr>
                <w:b/>
                <w:bCs/>
                <w:color w:val="000000"/>
                <w:sz w:val="20"/>
                <w:szCs w:val="20"/>
              </w:rPr>
            </w:pPr>
            <w:r w:rsidRPr="00AE6EDB">
              <w:rPr>
                <w:b/>
                <w:bCs/>
                <w:color w:val="000000"/>
                <w:sz w:val="20"/>
                <w:szCs w:val="20"/>
              </w:rPr>
              <w:t xml:space="preserve">Podpora vybraných sociálnych služieb krízovej intervencie na komunitnej úrovni </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Implementačná agentúra Ministerstva práce, sociálnych vecí a rodiny SR</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jc w:val="center"/>
              <w:rPr>
                <w:b/>
                <w:bCs/>
                <w:sz w:val="20"/>
                <w:szCs w:val="20"/>
              </w:rPr>
            </w:pPr>
            <w:r w:rsidRPr="00AE6EDB">
              <w:rPr>
                <w:b/>
                <w:bCs/>
                <w:sz w:val="20"/>
                <w:szCs w:val="20"/>
              </w:rPr>
              <w:t>OP ĽZ NP 2015/4.1.1/02</w:t>
            </w:r>
          </w:p>
        </w:tc>
        <w:tc>
          <w:tcPr>
            <w:tcW w:w="6599" w:type="dxa"/>
            <w:gridSpan w:val="2"/>
            <w:noWrap/>
            <w:tcMar>
              <w:top w:w="0" w:type="dxa"/>
              <w:left w:w="108" w:type="dxa"/>
              <w:bottom w:w="0" w:type="dxa"/>
              <w:right w:w="108" w:type="dxa"/>
            </w:tcMar>
            <w:vAlign w:val="center"/>
          </w:tcPr>
          <w:p w:rsidR="000A7585" w:rsidRPr="00AE6EDB" w:rsidRDefault="000A7585" w:rsidP="00DE0EEC">
            <w:pPr>
              <w:rPr>
                <w:b/>
                <w:bCs/>
                <w:color w:val="000000"/>
                <w:sz w:val="20"/>
                <w:szCs w:val="20"/>
              </w:rPr>
            </w:pPr>
            <w:r w:rsidRPr="00AE6EDB">
              <w:rPr>
                <w:b/>
                <w:bCs/>
                <w:color w:val="000000"/>
                <w:sz w:val="20"/>
                <w:szCs w:val="20"/>
              </w:rPr>
              <w:t>Terénna sociálna práca v obciach I</w:t>
            </w:r>
          </w:p>
        </w:tc>
        <w:tc>
          <w:tcPr>
            <w:tcW w:w="3603" w:type="dxa"/>
            <w:noWrap/>
            <w:tcMar>
              <w:top w:w="0" w:type="dxa"/>
              <w:left w:w="108" w:type="dxa"/>
              <w:bottom w:w="0" w:type="dxa"/>
              <w:right w:w="108" w:type="dxa"/>
            </w:tcMar>
          </w:tcPr>
          <w:p w:rsidR="000A7585" w:rsidRPr="00AE6EDB" w:rsidRDefault="000A7585" w:rsidP="00DE0EEC">
            <w:pPr>
              <w:jc w:val="left"/>
              <w:rPr>
                <w:rFonts w:eastAsiaTheme="minorHAnsi"/>
                <w:sz w:val="20"/>
                <w:szCs w:val="20"/>
                <w:lang w:eastAsia="en-US"/>
              </w:rPr>
            </w:pPr>
            <w:r w:rsidRPr="00AE6EDB">
              <w:rPr>
                <w:color w:val="000000"/>
                <w:sz w:val="20"/>
                <w:szCs w:val="20"/>
              </w:rPr>
              <w:t>Implementačná agentúra Ministerstva práce, sociálnych vecí a rodiny SR</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rPr>
                <w:b/>
                <w:bCs/>
                <w:sz w:val="20"/>
                <w:szCs w:val="20"/>
              </w:rPr>
            </w:pPr>
            <w:r w:rsidRPr="00AE6EDB">
              <w:rPr>
                <w:b/>
                <w:bCs/>
                <w:sz w:val="20"/>
                <w:szCs w:val="20"/>
              </w:rPr>
              <w:t>OP ĽZ 2015/4.2.1/01</w:t>
            </w:r>
          </w:p>
        </w:tc>
        <w:tc>
          <w:tcPr>
            <w:tcW w:w="6599" w:type="dxa"/>
            <w:gridSpan w:val="2"/>
            <w:noWrap/>
            <w:tcMar>
              <w:top w:w="0" w:type="dxa"/>
              <w:left w:w="108" w:type="dxa"/>
              <w:bottom w:w="0" w:type="dxa"/>
              <w:right w:w="108" w:type="dxa"/>
            </w:tcMar>
            <w:vAlign w:val="center"/>
          </w:tcPr>
          <w:p w:rsidR="000A7585" w:rsidRPr="00AE6EDB" w:rsidRDefault="000A7585" w:rsidP="00DE0EEC">
            <w:pPr>
              <w:rPr>
                <w:b/>
                <w:bCs/>
                <w:color w:val="000000"/>
                <w:sz w:val="20"/>
                <w:szCs w:val="20"/>
              </w:rPr>
            </w:pPr>
            <w:r w:rsidRPr="00AE6EDB">
              <w:rPr>
                <w:b/>
                <w:bCs/>
                <w:color w:val="000000"/>
                <w:sz w:val="20"/>
                <w:szCs w:val="20"/>
              </w:rPr>
              <w:t xml:space="preserve">Podpora opatrovateľskej služby - </w:t>
            </w:r>
            <w:r w:rsidR="00F45681" w:rsidRPr="00AE6EDB">
              <w:rPr>
                <w:b/>
                <w:bCs/>
                <w:color w:val="000000"/>
                <w:sz w:val="20"/>
                <w:szCs w:val="20"/>
              </w:rPr>
              <w:t>I. fáza</w:t>
            </w:r>
          </w:p>
        </w:tc>
        <w:tc>
          <w:tcPr>
            <w:tcW w:w="3603" w:type="dxa"/>
            <w:noWrap/>
            <w:tcMar>
              <w:top w:w="0" w:type="dxa"/>
              <w:left w:w="108" w:type="dxa"/>
              <w:bottom w:w="0" w:type="dxa"/>
              <w:right w:w="108" w:type="dxa"/>
            </w:tcMar>
          </w:tcPr>
          <w:p w:rsidR="000A7585" w:rsidRPr="00AE6EDB" w:rsidRDefault="000A7585" w:rsidP="00DE0EEC">
            <w:pPr>
              <w:jc w:val="left"/>
              <w:rPr>
                <w:rFonts w:eastAsiaTheme="minorHAnsi"/>
                <w:sz w:val="20"/>
                <w:szCs w:val="20"/>
                <w:lang w:eastAsia="en-US"/>
              </w:rPr>
            </w:pPr>
            <w:r w:rsidRPr="00AE6EDB">
              <w:rPr>
                <w:color w:val="000000"/>
                <w:sz w:val="20"/>
                <w:szCs w:val="20"/>
              </w:rPr>
              <w:t>Implementačná agentúra Ministerstva práce, sociálnych vecí a rodiny SR</w:t>
            </w:r>
          </w:p>
        </w:tc>
      </w:tr>
      <w:tr w:rsidR="000A7585" w:rsidRPr="00AE6EDB" w:rsidTr="00DE0EEC">
        <w:trPr>
          <w:trHeight w:val="510"/>
          <w:jc w:val="center"/>
        </w:trPr>
        <w:tc>
          <w:tcPr>
            <w:tcW w:w="2437" w:type="dxa"/>
            <w:shd w:val="clear" w:color="auto" w:fill="auto"/>
            <w:noWrap/>
            <w:tcMar>
              <w:top w:w="0" w:type="dxa"/>
              <w:left w:w="108" w:type="dxa"/>
              <w:bottom w:w="0" w:type="dxa"/>
              <w:right w:w="108" w:type="dxa"/>
            </w:tcMar>
            <w:vAlign w:val="center"/>
          </w:tcPr>
          <w:p w:rsidR="000A7585" w:rsidRPr="00AE6EDB" w:rsidRDefault="000A7585" w:rsidP="00DE0EEC">
            <w:pPr>
              <w:rPr>
                <w:b/>
                <w:bCs/>
                <w:sz w:val="20"/>
                <w:szCs w:val="20"/>
              </w:rPr>
            </w:pPr>
            <w:r w:rsidRPr="00AE6EDB">
              <w:rPr>
                <w:b/>
                <w:bCs/>
                <w:sz w:val="20"/>
                <w:szCs w:val="20"/>
              </w:rPr>
              <w:t>OP ĽZ 2015/4.2.1/02</w:t>
            </w:r>
          </w:p>
        </w:tc>
        <w:tc>
          <w:tcPr>
            <w:tcW w:w="6599" w:type="dxa"/>
            <w:gridSpan w:val="2"/>
            <w:noWrap/>
            <w:tcMar>
              <w:top w:w="0" w:type="dxa"/>
              <w:left w:w="108" w:type="dxa"/>
              <w:bottom w:w="0" w:type="dxa"/>
              <w:right w:w="108" w:type="dxa"/>
            </w:tcMar>
            <w:vAlign w:val="center"/>
          </w:tcPr>
          <w:p w:rsidR="000A7585" w:rsidRPr="00AE6EDB" w:rsidRDefault="000A7585" w:rsidP="00DE0EEC">
            <w:pPr>
              <w:rPr>
                <w:b/>
                <w:bCs/>
                <w:color w:val="000000"/>
                <w:sz w:val="20"/>
                <w:szCs w:val="20"/>
              </w:rPr>
            </w:pPr>
            <w:r w:rsidRPr="00AE6EDB">
              <w:rPr>
                <w:b/>
                <w:bCs/>
                <w:color w:val="000000"/>
                <w:sz w:val="20"/>
                <w:szCs w:val="20"/>
              </w:rPr>
              <w:t>Podpora deinštitucionalizácie náhradnej starostlivosti</w:t>
            </w:r>
          </w:p>
        </w:tc>
        <w:tc>
          <w:tcPr>
            <w:tcW w:w="3603" w:type="dxa"/>
            <w:noWrap/>
            <w:tcMar>
              <w:top w:w="0" w:type="dxa"/>
              <w:left w:w="108" w:type="dxa"/>
              <w:bottom w:w="0" w:type="dxa"/>
              <w:right w:w="108" w:type="dxa"/>
            </w:tcMar>
            <w:vAlign w:val="center"/>
          </w:tcPr>
          <w:p w:rsidR="000A7585" w:rsidRPr="00AE6EDB" w:rsidRDefault="000A7585" w:rsidP="00DE0EEC">
            <w:pPr>
              <w:jc w:val="left"/>
              <w:rPr>
                <w:color w:val="000000"/>
                <w:sz w:val="20"/>
                <w:szCs w:val="20"/>
              </w:rPr>
            </w:pPr>
            <w:r w:rsidRPr="00AE6EDB">
              <w:rPr>
                <w:color w:val="000000"/>
                <w:sz w:val="20"/>
                <w:szCs w:val="20"/>
              </w:rPr>
              <w:t>Ústredie práce, sociálnych vecí a rodiny</w:t>
            </w:r>
          </w:p>
        </w:tc>
      </w:tr>
    </w:tbl>
    <w:p w:rsidR="000A7585" w:rsidRPr="00AE6EDB" w:rsidRDefault="000A7585" w:rsidP="000A7585">
      <w:pPr>
        <w:pStyle w:val="zdroj"/>
      </w:pPr>
      <w:r w:rsidRPr="00AE6EDB">
        <w:t>Zdroj: RO, ITMS</w:t>
      </w:r>
    </w:p>
    <w:bookmarkEnd w:id="880"/>
    <w:bookmarkEnd w:id="881"/>
    <w:bookmarkEnd w:id="882"/>
    <w:bookmarkEnd w:id="883"/>
    <w:bookmarkEnd w:id="884"/>
    <w:bookmarkEnd w:id="885"/>
    <w:bookmarkEnd w:id="886"/>
    <w:p w:rsidR="000A7585" w:rsidRPr="00AE6EDB" w:rsidRDefault="000A7585" w:rsidP="000A7585">
      <w:pPr>
        <w:jc w:val="left"/>
        <w:rPr>
          <w:i/>
          <w:color w:val="000000"/>
          <w:sz w:val="20"/>
          <w:szCs w:val="20"/>
          <w:highlight w:val="cyan"/>
        </w:rPr>
      </w:pPr>
      <w:r w:rsidRPr="00AE6EDB">
        <w:rPr>
          <w:highlight w:val="cyan"/>
        </w:rPr>
        <w:br w:type="page"/>
      </w:r>
    </w:p>
    <w:p w:rsidR="000A7585" w:rsidRPr="00AE6EDB" w:rsidRDefault="000A7585" w:rsidP="000A7585">
      <w:pPr>
        <w:pStyle w:val="Nadpis7"/>
      </w:pPr>
      <w:r w:rsidRPr="00AE6EDB">
        <w:t xml:space="preserve">Tabuľka 37 Čerpanie výdavkov kapitoly 22 </w:t>
      </w:r>
      <w:r w:rsidRPr="00AE6EDB">
        <w:rPr>
          <w:color w:val="000000" w:themeColor="text1"/>
        </w:rPr>
        <w:t>–</w:t>
      </w:r>
      <w:r w:rsidRPr="00AE6EDB">
        <w:t xml:space="preserve"> MPSVR SR podľa programového rozpočtovania</w:t>
      </w:r>
    </w:p>
    <w:tbl>
      <w:tblPr>
        <w:tblW w:w="140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0A7585" w:rsidRPr="00AE6EDB" w:rsidTr="00DE0EEC">
        <w:trPr>
          <w:trHeight w:val="525"/>
          <w:tblHeader/>
        </w:trPr>
        <w:tc>
          <w:tcPr>
            <w:tcW w:w="1862"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Kód programu</w:t>
            </w:r>
          </w:p>
        </w:tc>
        <w:tc>
          <w:tcPr>
            <w:tcW w:w="6662"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Názov programu</w:t>
            </w:r>
          </w:p>
        </w:tc>
        <w:tc>
          <w:tcPr>
            <w:tcW w:w="1541"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Schválený rozpočet</w:t>
            </w:r>
          </w:p>
        </w:tc>
        <w:tc>
          <w:tcPr>
            <w:tcW w:w="1606"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Upravený rozpočet</w:t>
            </w:r>
          </w:p>
        </w:tc>
        <w:tc>
          <w:tcPr>
            <w:tcW w:w="1644"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Skutočnosť 31.12.2014</w:t>
            </w:r>
          </w:p>
        </w:tc>
        <w:tc>
          <w:tcPr>
            <w:tcW w:w="778" w:type="dxa"/>
            <w:shd w:val="clear" w:color="auto" w:fill="FF9999" w:themeFill="accent3" w:themeFillTint="66"/>
            <w:noWrap/>
            <w:vAlign w:val="center"/>
            <w:hideMark/>
          </w:tcPr>
          <w:p w:rsidR="000A7585" w:rsidRPr="00AE6EDB" w:rsidRDefault="000A7585" w:rsidP="00DE0EEC">
            <w:pPr>
              <w:jc w:val="center"/>
              <w:rPr>
                <w:b/>
                <w:bCs/>
              </w:rPr>
            </w:pPr>
            <w:r w:rsidRPr="00AE6EDB">
              <w:rPr>
                <w:b/>
                <w:bCs/>
              </w:rPr>
              <w:t>%</w:t>
            </w:r>
          </w:p>
        </w:tc>
      </w:tr>
      <w:tr w:rsidR="000A7585" w:rsidRPr="00AE6EDB" w:rsidTr="00DE0EEC">
        <w:trPr>
          <w:trHeight w:val="262"/>
        </w:trPr>
        <w:tc>
          <w:tcPr>
            <w:tcW w:w="1862" w:type="dxa"/>
            <w:shd w:val="clear" w:color="auto" w:fill="auto"/>
            <w:noWrap/>
            <w:vAlign w:val="bottom"/>
            <w:hideMark/>
          </w:tcPr>
          <w:p w:rsidR="000A7585" w:rsidRPr="00AE6EDB" w:rsidRDefault="000A7585" w:rsidP="00DE0EEC">
            <w:pPr>
              <w:jc w:val="center"/>
              <w:rPr>
                <w:rFonts w:ascii="Arial CE" w:hAnsi="Arial CE" w:cs="Arial"/>
                <w:sz w:val="18"/>
                <w:szCs w:val="18"/>
              </w:rPr>
            </w:pPr>
            <w:r w:rsidRPr="00AE6EDB">
              <w:rPr>
                <w:rFonts w:ascii="Arial CE" w:hAnsi="Arial CE" w:cs="Arial"/>
                <w:sz w:val="18"/>
                <w:szCs w:val="18"/>
              </w:rPr>
              <w:t> </w:t>
            </w:r>
          </w:p>
        </w:tc>
        <w:tc>
          <w:tcPr>
            <w:tcW w:w="6662" w:type="dxa"/>
            <w:shd w:val="clear" w:color="auto" w:fill="auto"/>
            <w:noWrap/>
            <w:vAlign w:val="bottom"/>
            <w:hideMark/>
          </w:tcPr>
          <w:p w:rsidR="000A7585" w:rsidRPr="00AE6EDB" w:rsidRDefault="000A7585" w:rsidP="00DE0EEC">
            <w:pPr>
              <w:jc w:val="center"/>
              <w:rPr>
                <w:rFonts w:ascii="Arial CE" w:hAnsi="Arial CE" w:cs="Arial"/>
                <w:b/>
                <w:bCs/>
                <w:sz w:val="18"/>
                <w:szCs w:val="18"/>
              </w:rPr>
            </w:pPr>
            <w:r w:rsidRPr="00AE6EDB">
              <w:rPr>
                <w:rFonts w:ascii="Arial CE" w:hAnsi="Arial CE" w:cs="Arial"/>
                <w:b/>
                <w:bCs/>
                <w:sz w:val="18"/>
                <w:szCs w:val="18"/>
              </w:rPr>
              <w:t> </w:t>
            </w:r>
          </w:p>
        </w:tc>
        <w:tc>
          <w:tcPr>
            <w:tcW w:w="1541" w:type="dxa"/>
            <w:shd w:val="clear" w:color="auto" w:fill="auto"/>
            <w:noWrap/>
            <w:vAlign w:val="bottom"/>
            <w:hideMark/>
          </w:tcPr>
          <w:p w:rsidR="000A7585" w:rsidRPr="00AE6EDB" w:rsidRDefault="000A7585" w:rsidP="00DE0EEC">
            <w:pPr>
              <w:jc w:val="center"/>
              <w:rPr>
                <w:rFonts w:ascii="Arial CE" w:hAnsi="Arial CE" w:cs="Arial"/>
                <w:b/>
                <w:bCs/>
                <w:sz w:val="18"/>
                <w:szCs w:val="18"/>
              </w:rPr>
            </w:pPr>
            <w:r w:rsidRPr="00AE6EDB">
              <w:rPr>
                <w:rFonts w:ascii="Arial CE" w:hAnsi="Arial CE" w:cs="Arial"/>
                <w:b/>
                <w:bCs/>
                <w:sz w:val="18"/>
                <w:szCs w:val="18"/>
              </w:rPr>
              <w:t> </w:t>
            </w:r>
          </w:p>
        </w:tc>
        <w:tc>
          <w:tcPr>
            <w:tcW w:w="1606" w:type="dxa"/>
            <w:shd w:val="clear" w:color="auto" w:fill="auto"/>
            <w:noWrap/>
            <w:vAlign w:val="bottom"/>
            <w:hideMark/>
          </w:tcPr>
          <w:p w:rsidR="000A7585" w:rsidRPr="00AE6EDB" w:rsidRDefault="000A7585" w:rsidP="00DE0EEC">
            <w:pPr>
              <w:jc w:val="center"/>
              <w:rPr>
                <w:rFonts w:ascii="Arial CE" w:hAnsi="Arial CE" w:cs="Arial"/>
                <w:b/>
                <w:bCs/>
                <w:sz w:val="18"/>
                <w:szCs w:val="18"/>
              </w:rPr>
            </w:pPr>
            <w:r w:rsidRPr="00AE6EDB">
              <w:rPr>
                <w:rFonts w:ascii="Arial CE" w:hAnsi="Arial CE" w:cs="Arial"/>
                <w:b/>
                <w:bCs/>
                <w:sz w:val="18"/>
                <w:szCs w:val="18"/>
              </w:rPr>
              <w:t> </w:t>
            </w:r>
          </w:p>
        </w:tc>
        <w:tc>
          <w:tcPr>
            <w:tcW w:w="1644" w:type="dxa"/>
            <w:shd w:val="clear" w:color="auto" w:fill="auto"/>
            <w:noWrap/>
            <w:vAlign w:val="bottom"/>
            <w:hideMark/>
          </w:tcPr>
          <w:p w:rsidR="000A7585" w:rsidRPr="00AE6EDB" w:rsidRDefault="000A7585" w:rsidP="00DE0EEC">
            <w:pPr>
              <w:jc w:val="center"/>
              <w:rPr>
                <w:rFonts w:ascii="Arial CE" w:hAnsi="Arial CE" w:cs="Arial"/>
                <w:b/>
                <w:bCs/>
                <w:sz w:val="18"/>
                <w:szCs w:val="18"/>
              </w:rPr>
            </w:pPr>
            <w:r w:rsidRPr="00AE6EDB">
              <w:rPr>
                <w:rFonts w:ascii="Arial CE" w:hAnsi="Arial CE" w:cs="Arial"/>
                <w:b/>
                <w:bCs/>
                <w:sz w:val="18"/>
                <w:szCs w:val="18"/>
              </w:rPr>
              <w:t> </w:t>
            </w:r>
          </w:p>
        </w:tc>
        <w:tc>
          <w:tcPr>
            <w:tcW w:w="778" w:type="dxa"/>
            <w:shd w:val="clear" w:color="auto" w:fill="auto"/>
            <w:noWrap/>
            <w:vAlign w:val="bottom"/>
            <w:hideMark/>
          </w:tcPr>
          <w:p w:rsidR="000A7585" w:rsidRPr="00AE6EDB" w:rsidRDefault="000A7585" w:rsidP="00DE0EEC">
            <w:pPr>
              <w:rPr>
                <w:rFonts w:ascii="Arial CE" w:hAnsi="Arial CE" w:cs="Arial"/>
                <w:sz w:val="18"/>
                <w:szCs w:val="18"/>
              </w:rPr>
            </w:pPr>
            <w:r w:rsidRPr="00AE6EDB">
              <w:rPr>
                <w:rFonts w:ascii="Arial CE" w:hAnsi="Arial CE" w:cs="Arial"/>
                <w:sz w:val="18"/>
                <w:szCs w:val="18"/>
              </w:rPr>
              <w:t> </w:t>
            </w:r>
          </w:p>
        </w:tc>
      </w:tr>
      <w:tr w:rsidR="009717AB" w:rsidRPr="00AE6EDB" w:rsidTr="00DE0EEC">
        <w:trPr>
          <w:trHeight w:val="95"/>
        </w:trPr>
        <w:tc>
          <w:tcPr>
            <w:tcW w:w="1862" w:type="dxa"/>
            <w:shd w:val="clear" w:color="auto" w:fill="auto"/>
            <w:noWrap/>
            <w:vAlign w:val="bottom"/>
            <w:hideMark/>
          </w:tcPr>
          <w:p w:rsidR="009717AB" w:rsidRPr="00AE6EDB" w:rsidRDefault="009717AB">
            <w:pPr>
              <w:rPr>
                <w:b/>
                <w:bCs/>
                <w:sz w:val="20"/>
                <w:szCs w:val="20"/>
              </w:rPr>
            </w:pPr>
            <w:r w:rsidRPr="00AE6EDB">
              <w:rPr>
                <w:b/>
                <w:bCs/>
                <w:sz w:val="20"/>
                <w:szCs w:val="20"/>
              </w:rPr>
              <w:t>07C</w:t>
            </w:r>
          </w:p>
        </w:tc>
        <w:tc>
          <w:tcPr>
            <w:tcW w:w="6662" w:type="dxa"/>
            <w:shd w:val="clear" w:color="auto" w:fill="auto"/>
            <w:noWrap/>
            <w:vAlign w:val="bottom"/>
            <w:hideMark/>
          </w:tcPr>
          <w:p w:rsidR="009717AB" w:rsidRPr="00AE6EDB" w:rsidRDefault="009717AB">
            <w:pPr>
              <w:rPr>
                <w:b/>
                <w:bCs/>
                <w:sz w:val="20"/>
                <w:szCs w:val="20"/>
              </w:rPr>
            </w:pPr>
            <w:r w:rsidRPr="00AE6EDB">
              <w:rPr>
                <w:b/>
                <w:bCs/>
                <w:sz w:val="20"/>
                <w:szCs w:val="20"/>
              </w:rPr>
              <w:t>Sociálna inklúzia</w:t>
            </w:r>
          </w:p>
        </w:tc>
        <w:tc>
          <w:tcPr>
            <w:tcW w:w="1541" w:type="dxa"/>
            <w:shd w:val="clear" w:color="auto" w:fill="auto"/>
            <w:noWrap/>
            <w:vAlign w:val="bottom"/>
          </w:tcPr>
          <w:p w:rsidR="009717AB" w:rsidRPr="00AE6EDB" w:rsidRDefault="0054295F">
            <w:pPr>
              <w:jc w:val="right"/>
              <w:rPr>
                <w:b/>
                <w:bCs/>
                <w:sz w:val="20"/>
                <w:szCs w:val="20"/>
              </w:rPr>
            </w:pPr>
            <w:r>
              <w:rPr>
                <w:b/>
                <w:bCs/>
                <w:sz w:val="20"/>
                <w:szCs w:val="20"/>
              </w:rPr>
              <w:t>1 8</w:t>
            </w:r>
            <w:r w:rsidR="009717AB" w:rsidRPr="00AE6EDB">
              <w:rPr>
                <w:b/>
                <w:bCs/>
                <w:sz w:val="20"/>
                <w:szCs w:val="20"/>
              </w:rPr>
              <w:t>7</w:t>
            </w:r>
            <w:r>
              <w:rPr>
                <w:b/>
                <w:bCs/>
                <w:sz w:val="20"/>
                <w:szCs w:val="20"/>
              </w:rPr>
              <w:t>4 6</w:t>
            </w:r>
            <w:r w:rsidR="009717AB" w:rsidRPr="00AE6EDB">
              <w:rPr>
                <w:b/>
                <w:bCs/>
                <w:sz w:val="20"/>
                <w:szCs w:val="20"/>
              </w:rPr>
              <w:t>5</w:t>
            </w:r>
            <w:r>
              <w:rPr>
                <w:b/>
                <w:bCs/>
                <w:sz w:val="20"/>
                <w:szCs w:val="20"/>
              </w:rPr>
              <w:t>2 3</w:t>
            </w:r>
            <w:r w:rsidR="009717AB" w:rsidRPr="00AE6EDB">
              <w:rPr>
                <w:b/>
                <w:bCs/>
                <w:sz w:val="20"/>
                <w:szCs w:val="20"/>
              </w:rPr>
              <w:t>18</w:t>
            </w:r>
          </w:p>
        </w:tc>
        <w:tc>
          <w:tcPr>
            <w:tcW w:w="1606" w:type="dxa"/>
            <w:shd w:val="clear" w:color="auto" w:fill="auto"/>
            <w:noWrap/>
            <w:vAlign w:val="bottom"/>
          </w:tcPr>
          <w:p w:rsidR="009717AB" w:rsidRPr="00AE6EDB" w:rsidRDefault="0054295F">
            <w:pPr>
              <w:jc w:val="right"/>
              <w:rPr>
                <w:b/>
                <w:bCs/>
                <w:sz w:val="20"/>
                <w:szCs w:val="20"/>
              </w:rPr>
            </w:pPr>
            <w:r>
              <w:rPr>
                <w:b/>
                <w:bCs/>
                <w:sz w:val="20"/>
                <w:szCs w:val="20"/>
              </w:rPr>
              <w:t>1 7</w:t>
            </w:r>
            <w:r w:rsidR="009717AB" w:rsidRPr="00AE6EDB">
              <w:rPr>
                <w:b/>
                <w:bCs/>
                <w:sz w:val="20"/>
                <w:szCs w:val="20"/>
              </w:rPr>
              <w:t>9</w:t>
            </w:r>
            <w:r>
              <w:rPr>
                <w:b/>
                <w:bCs/>
                <w:sz w:val="20"/>
                <w:szCs w:val="20"/>
              </w:rPr>
              <w:t>1 0</w:t>
            </w:r>
            <w:r w:rsidR="009717AB" w:rsidRPr="00AE6EDB">
              <w:rPr>
                <w:b/>
                <w:bCs/>
                <w:sz w:val="20"/>
                <w:szCs w:val="20"/>
              </w:rPr>
              <w:t>9</w:t>
            </w:r>
            <w:r>
              <w:rPr>
                <w:b/>
                <w:bCs/>
                <w:sz w:val="20"/>
                <w:szCs w:val="20"/>
              </w:rPr>
              <w:t>2 5</w:t>
            </w:r>
            <w:r w:rsidR="009717AB" w:rsidRPr="00AE6EDB">
              <w:rPr>
                <w:b/>
                <w:bCs/>
                <w:sz w:val="20"/>
                <w:szCs w:val="20"/>
              </w:rPr>
              <w:t>81</w:t>
            </w:r>
          </w:p>
        </w:tc>
        <w:tc>
          <w:tcPr>
            <w:tcW w:w="1644" w:type="dxa"/>
            <w:shd w:val="clear" w:color="auto" w:fill="auto"/>
            <w:noWrap/>
            <w:vAlign w:val="bottom"/>
          </w:tcPr>
          <w:p w:rsidR="009717AB" w:rsidRPr="00AE6EDB" w:rsidRDefault="0054295F">
            <w:pPr>
              <w:jc w:val="right"/>
              <w:rPr>
                <w:b/>
                <w:bCs/>
                <w:sz w:val="20"/>
                <w:szCs w:val="20"/>
              </w:rPr>
            </w:pPr>
            <w:r>
              <w:rPr>
                <w:b/>
                <w:bCs/>
                <w:sz w:val="20"/>
                <w:szCs w:val="20"/>
              </w:rPr>
              <w:t>1 7</w:t>
            </w:r>
            <w:r w:rsidR="009717AB" w:rsidRPr="00AE6EDB">
              <w:rPr>
                <w:b/>
                <w:bCs/>
                <w:sz w:val="20"/>
                <w:szCs w:val="20"/>
              </w:rPr>
              <w:t>8</w:t>
            </w:r>
            <w:r w:rsidR="00AC44CB">
              <w:rPr>
                <w:b/>
                <w:bCs/>
                <w:sz w:val="20"/>
                <w:szCs w:val="20"/>
              </w:rPr>
              <w:t>7 7</w:t>
            </w:r>
            <w:r w:rsidR="009717AB" w:rsidRPr="00AE6EDB">
              <w:rPr>
                <w:b/>
                <w:bCs/>
                <w:sz w:val="20"/>
                <w:szCs w:val="20"/>
              </w:rPr>
              <w:t>2</w:t>
            </w:r>
            <w:r>
              <w:rPr>
                <w:b/>
                <w:bCs/>
                <w:sz w:val="20"/>
                <w:szCs w:val="20"/>
              </w:rPr>
              <w:t>2 3</w:t>
            </w:r>
            <w:r w:rsidR="009717AB" w:rsidRPr="00AE6EDB">
              <w:rPr>
                <w:b/>
                <w:bCs/>
                <w:sz w:val="20"/>
                <w:szCs w:val="20"/>
              </w:rPr>
              <w:t>84</w:t>
            </w:r>
          </w:p>
        </w:tc>
        <w:tc>
          <w:tcPr>
            <w:tcW w:w="778" w:type="dxa"/>
            <w:shd w:val="clear" w:color="auto" w:fill="auto"/>
            <w:noWrap/>
            <w:vAlign w:val="bottom"/>
          </w:tcPr>
          <w:p w:rsidR="009717AB" w:rsidRPr="00AE6EDB" w:rsidRDefault="009717AB">
            <w:pPr>
              <w:jc w:val="right"/>
              <w:rPr>
                <w:b/>
                <w:bCs/>
                <w:sz w:val="20"/>
                <w:szCs w:val="20"/>
              </w:rPr>
            </w:pPr>
            <w:r w:rsidRPr="00AE6EDB">
              <w:rPr>
                <w:b/>
                <w:bCs/>
                <w:sz w:val="20"/>
                <w:szCs w:val="20"/>
              </w:rPr>
              <w:t>99,8</w:t>
            </w:r>
          </w:p>
        </w:tc>
      </w:tr>
      <w:tr w:rsidR="009717AB" w:rsidRPr="00AE6EDB" w:rsidTr="00DE0EEC">
        <w:trPr>
          <w:trHeight w:val="95"/>
        </w:trPr>
        <w:tc>
          <w:tcPr>
            <w:tcW w:w="1862" w:type="dxa"/>
            <w:shd w:val="clear" w:color="auto" w:fill="auto"/>
            <w:noWrap/>
            <w:vAlign w:val="bottom"/>
          </w:tcPr>
          <w:p w:rsidR="009717AB" w:rsidRPr="00AE6EDB" w:rsidRDefault="009717AB">
            <w:pPr>
              <w:rPr>
                <w:b/>
                <w:bCs/>
                <w:sz w:val="20"/>
                <w:szCs w:val="20"/>
              </w:rPr>
            </w:pPr>
            <w:r w:rsidRPr="00AE6EDB">
              <w:rPr>
                <w:b/>
                <w:bCs/>
                <w:sz w:val="20"/>
                <w:szCs w:val="20"/>
              </w:rPr>
              <w:t>07C0A</w:t>
            </w:r>
          </w:p>
        </w:tc>
        <w:tc>
          <w:tcPr>
            <w:tcW w:w="6662" w:type="dxa"/>
            <w:shd w:val="clear" w:color="auto" w:fill="auto"/>
            <w:noWrap/>
            <w:vAlign w:val="bottom"/>
          </w:tcPr>
          <w:p w:rsidR="009717AB" w:rsidRPr="00AE6EDB" w:rsidRDefault="009717AB">
            <w:pPr>
              <w:rPr>
                <w:b/>
                <w:bCs/>
                <w:sz w:val="20"/>
                <w:szCs w:val="20"/>
              </w:rPr>
            </w:pPr>
            <w:r w:rsidRPr="00AE6EDB">
              <w:rPr>
                <w:b/>
                <w:bCs/>
                <w:sz w:val="20"/>
                <w:szCs w:val="20"/>
              </w:rPr>
              <w:t>Podpora sociálnych služieb</w:t>
            </w:r>
          </w:p>
        </w:tc>
        <w:tc>
          <w:tcPr>
            <w:tcW w:w="1541" w:type="dxa"/>
            <w:shd w:val="clear" w:color="auto" w:fill="auto"/>
            <w:noWrap/>
            <w:vAlign w:val="bottom"/>
          </w:tcPr>
          <w:p w:rsidR="009717AB" w:rsidRPr="00AE6EDB" w:rsidRDefault="009717AB">
            <w:pPr>
              <w:jc w:val="right"/>
              <w:rPr>
                <w:b/>
                <w:bCs/>
                <w:sz w:val="20"/>
                <w:szCs w:val="20"/>
              </w:rPr>
            </w:pPr>
            <w:r w:rsidRPr="00AE6EDB">
              <w:rPr>
                <w:b/>
                <w:bCs/>
                <w:sz w:val="20"/>
                <w:szCs w:val="20"/>
              </w:rPr>
              <w:t>7</w:t>
            </w:r>
            <w:r w:rsidR="0054295F">
              <w:rPr>
                <w:b/>
                <w:bCs/>
                <w:sz w:val="20"/>
                <w:szCs w:val="20"/>
              </w:rPr>
              <w:t>2 4</w:t>
            </w:r>
            <w:r w:rsidRPr="00AE6EDB">
              <w:rPr>
                <w:b/>
                <w:bCs/>
                <w:sz w:val="20"/>
                <w:szCs w:val="20"/>
              </w:rPr>
              <w:t>5</w:t>
            </w:r>
            <w:r w:rsidR="00AC44CB">
              <w:rPr>
                <w:b/>
                <w:bCs/>
                <w:sz w:val="20"/>
                <w:szCs w:val="20"/>
              </w:rPr>
              <w:t>6 7</w:t>
            </w:r>
            <w:r w:rsidRPr="00AE6EDB">
              <w:rPr>
                <w:b/>
                <w:bCs/>
                <w:sz w:val="20"/>
                <w:szCs w:val="20"/>
              </w:rPr>
              <w:t>60</w:t>
            </w:r>
          </w:p>
        </w:tc>
        <w:tc>
          <w:tcPr>
            <w:tcW w:w="1606" w:type="dxa"/>
            <w:shd w:val="clear" w:color="auto" w:fill="auto"/>
            <w:noWrap/>
            <w:vAlign w:val="bottom"/>
          </w:tcPr>
          <w:p w:rsidR="009717AB" w:rsidRPr="00AE6EDB" w:rsidRDefault="009717AB">
            <w:pPr>
              <w:jc w:val="right"/>
              <w:rPr>
                <w:b/>
                <w:bCs/>
                <w:sz w:val="20"/>
                <w:szCs w:val="20"/>
              </w:rPr>
            </w:pPr>
            <w:r w:rsidRPr="00AE6EDB">
              <w:rPr>
                <w:b/>
                <w:bCs/>
                <w:sz w:val="20"/>
                <w:szCs w:val="20"/>
              </w:rPr>
              <w:t>7</w:t>
            </w:r>
            <w:r w:rsidR="0054295F">
              <w:rPr>
                <w:b/>
                <w:bCs/>
                <w:sz w:val="20"/>
                <w:szCs w:val="20"/>
              </w:rPr>
              <w:t>3 6</w:t>
            </w:r>
            <w:r w:rsidRPr="00AE6EDB">
              <w:rPr>
                <w:b/>
                <w:bCs/>
                <w:sz w:val="20"/>
                <w:szCs w:val="20"/>
              </w:rPr>
              <w:t>5</w:t>
            </w:r>
            <w:r w:rsidR="00AC44CB">
              <w:rPr>
                <w:b/>
                <w:bCs/>
                <w:sz w:val="20"/>
                <w:szCs w:val="20"/>
              </w:rPr>
              <w:t>9 7</w:t>
            </w:r>
            <w:r w:rsidRPr="00AE6EDB">
              <w:rPr>
                <w:b/>
                <w:bCs/>
                <w:sz w:val="20"/>
                <w:szCs w:val="20"/>
              </w:rPr>
              <w:t>60</w:t>
            </w:r>
          </w:p>
        </w:tc>
        <w:tc>
          <w:tcPr>
            <w:tcW w:w="1644" w:type="dxa"/>
            <w:shd w:val="clear" w:color="auto" w:fill="auto"/>
            <w:noWrap/>
            <w:vAlign w:val="bottom"/>
          </w:tcPr>
          <w:p w:rsidR="009717AB" w:rsidRPr="00AE6EDB" w:rsidRDefault="009717AB">
            <w:pPr>
              <w:jc w:val="right"/>
              <w:rPr>
                <w:b/>
                <w:bCs/>
                <w:sz w:val="20"/>
                <w:szCs w:val="20"/>
              </w:rPr>
            </w:pPr>
            <w:r w:rsidRPr="00AE6EDB">
              <w:rPr>
                <w:b/>
                <w:bCs/>
                <w:sz w:val="20"/>
                <w:szCs w:val="20"/>
              </w:rPr>
              <w:t>7</w:t>
            </w:r>
            <w:r w:rsidR="0054295F">
              <w:rPr>
                <w:b/>
                <w:bCs/>
                <w:sz w:val="20"/>
                <w:szCs w:val="20"/>
              </w:rPr>
              <w:t>3 0</w:t>
            </w:r>
            <w:r w:rsidRPr="00AE6EDB">
              <w:rPr>
                <w:b/>
                <w:bCs/>
                <w:sz w:val="20"/>
                <w:szCs w:val="20"/>
              </w:rPr>
              <w:t>3</w:t>
            </w:r>
            <w:r w:rsidR="00AC44CB">
              <w:rPr>
                <w:b/>
                <w:bCs/>
                <w:sz w:val="20"/>
                <w:szCs w:val="20"/>
              </w:rPr>
              <w:t>9 5</w:t>
            </w:r>
            <w:r w:rsidRPr="00AE6EDB">
              <w:rPr>
                <w:b/>
                <w:bCs/>
                <w:sz w:val="20"/>
                <w:szCs w:val="20"/>
              </w:rPr>
              <w:t>98</w:t>
            </w:r>
          </w:p>
        </w:tc>
        <w:tc>
          <w:tcPr>
            <w:tcW w:w="778" w:type="dxa"/>
            <w:shd w:val="clear" w:color="auto" w:fill="auto"/>
            <w:noWrap/>
            <w:vAlign w:val="bottom"/>
          </w:tcPr>
          <w:p w:rsidR="009717AB" w:rsidRPr="00AE6EDB" w:rsidRDefault="009717AB">
            <w:pPr>
              <w:jc w:val="right"/>
              <w:rPr>
                <w:b/>
                <w:bCs/>
                <w:sz w:val="20"/>
                <w:szCs w:val="20"/>
              </w:rPr>
            </w:pPr>
            <w:r w:rsidRPr="00AE6EDB">
              <w:rPr>
                <w:b/>
                <w:bCs/>
                <w:sz w:val="20"/>
                <w:szCs w:val="20"/>
              </w:rPr>
              <w:t>99,2</w:t>
            </w:r>
          </w:p>
        </w:tc>
      </w:tr>
      <w:tr w:rsidR="009717AB" w:rsidRPr="00AE6EDB" w:rsidTr="00DE0EEC">
        <w:trPr>
          <w:trHeight w:val="95"/>
        </w:trPr>
        <w:tc>
          <w:tcPr>
            <w:tcW w:w="1862" w:type="dxa"/>
            <w:shd w:val="clear" w:color="auto" w:fill="auto"/>
            <w:noWrap/>
            <w:vAlign w:val="bottom"/>
          </w:tcPr>
          <w:p w:rsidR="009717AB" w:rsidRPr="00AE6EDB" w:rsidRDefault="009717AB">
            <w:pPr>
              <w:rPr>
                <w:b/>
                <w:bCs/>
                <w:sz w:val="20"/>
                <w:szCs w:val="20"/>
              </w:rPr>
            </w:pPr>
            <w:r w:rsidRPr="00AE6EDB">
              <w:rPr>
                <w:b/>
                <w:bCs/>
                <w:sz w:val="20"/>
                <w:szCs w:val="20"/>
              </w:rPr>
              <w:t>07C0B</w:t>
            </w:r>
          </w:p>
        </w:tc>
        <w:tc>
          <w:tcPr>
            <w:tcW w:w="6662" w:type="dxa"/>
            <w:shd w:val="clear" w:color="auto" w:fill="auto"/>
            <w:noWrap/>
            <w:vAlign w:val="bottom"/>
          </w:tcPr>
          <w:p w:rsidR="009717AB" w:rsidRPr="00AE6EDB" w:rsidRDefault="009717AB">
            <w:pPr>
              <w:rPr>
                <w:b/>
                <w:bCs/>
                <w:sz w:val="20"/>
                <w:szCs w:val="20"/>
              </w:rPr>
            </w:pPr>
            <w:r w:rsidRPr="00AE6EDB">
              <w:rPr>
                <w:b/>
                <w:bCs/>
                <w:sz w:val="20"/>
                <w:szCs w:val="20"/>
              </w:rPr>
              <w:t>OP EP pre najodkázanejšie osoby</w:t>
            </w:r>
          </w:p>
        </w:tc>
        <w:tc>
          <w:tcPr>
            <w:tcW w:w="1541" w:type="dxa"/>
            <w:shd w:val="clear" w:color="auto" w:fill="auto"/>
            <w:noWrap/>
            <w:vAlign w:val="bottom"/>
          </w:tcPr>
          <w:p w:rsidR="009717AB" w:rsidRPr="00AE6EDB" w:rsidRDefault="009717AB">
            <w:pPr>
              <w:jc w:val="right"/>
              <w:rPr>
                <w:b/>
                <w:bCs/>
                <w:sz w:val="20"/>
                <w:szCs w:val="20"/>
              </w:rPr>
            </w:pPr>
            <w:r w:rsidRPr="00AE6EDB">
              <w:rPr>
                <w:b/>
                <w:bCs/>
                <w:sz w:val="20"/>
                <w:szCs w:val="20"/>
              </w:rPr>
              <w:t>1</w:t>
            </w:r>
            <w:r w:rsidR="0054295F">
              <w:rPr>
                <w:b/>
                <w:bCs/>
                <w:sz w:val="20"/>
                <w:szCs w:val="20"/>
              </w:rPr>
              <w:t>0 1</w:t>
            </w:r>
            <w:r w:rsidRPr="00AE6EDB">
              <w:rPr>
                <w:b/>
                <w:bCs/>
                <w:sz w:val="20"/>
                <w:szCs w:val="20"/>
              </w:rPr>
              <w:t>4</w:t>
            </w:r>
            <w:r w:rsidR="0054295F">
              <w:rPr>
                <w:b/>
                <w:bCs/>
                <w:sz w:val="20"/>
                <w:szCs w:val="20"/>
              </w:rPr>
              <w:t>1 8</w:t>
            </w:r>
            <w:r w:rsidRPr="00AE6EDB">
              <w:rPr>
                <w:b/>
                <w:bCs/>
                <w:sz w:val="20"/>
                <w:szCs w:val="20"/>
              </w:rPr>
              <w:t>86</w:t>
            </w:r>
          </w:p>
        </w:tc>
        <w:tc>
          <w:tcPr>
            <w:tcW w:w="1606" w:type="dxa"/>
            <w:shd w:val="clear" w:color="auto" w:fill="auto"/>
            <w:noWrap/>
            <w:vAlign w:val="bottom"/>
          </w:tcPr>
          <w:p w:rsidR="009717AB" w:rsidRPr="00AE6EDB" w:rsidRDefault="009717AB">
            <w:pPr>
              <w:jc w:val="right"/>
              <w:rPr>
                <w:b/>
                <w:bCs/>
                <w:sz w:val="20"/>
                <w:szCs w:val="20"/>
              </w:rPr>
            </w:pPr>
            <w:r w:rsidRPr="00AE6EDB">
              <w:rPr>
                <w:b/>
                <w:bCs/>
                <w:sz w:val="20"/>
                <w:szCs w:val="20"/>
              </w:rPr>
              <w:t>0</w:t>
            </w:r>
          </w:p>
        </w:tc>
        <w:tc>
          <w:tcPr>
            <w:tcW w:w="1644" w:type="dxa"/>
            <w:shd w:val="clear" w:color="auto" w:fill="auto"/>
            <w:noWrap/>
            <w:vAlign w:val="bottom"/>
          </w:tcPr>
          <w:p w:rsidR="009717AB" w:rsidRPr="00AE6EDB" w:rsidRDefault="009717AB">
            <w:pPr>
              <w:jc w:val="right"/>
              <w:rPr>
                <w:b/>
                <w:bCs/>
                <w:sz w:val="20"/>
                <w:szCs w:val="20"/>
              </w:rPr>
            </w:pPr>
            <w:r w:rsidRPr="00AE6EDB">
              <w:rPr>
                <w:b/>
                <w:bCs/>
                <w:sz w:val="20"/>
                <w:szCs w:val="20"/>
              </w:rPr>
              <w:t>0</w:t>
            </w:r>
          </w:p>
        </w:tc>
        <w:tc>
          <w:tcPr>
            <w:tcW w:w="778" w:type="dxa"/>
            <w:shd w:val="clear" w:color="auto" w:fill="auto"/>
            <w:noWrap/>
            <w:vAlign w:val="bottom"/>
          </w:tcPr>
          <w:p w:rsidR="009717AB" w:rsidRPr="00AE6EDB" w:rsidRDefault="009717AB">
            <w:pPr>
              <w:jc w:val="right"/>
              <w:rPr>
                <w:b/>
                <w:bCs/>
                <w:sz w:val="20"/>
                <w:szCs w:val="20"/>
              </w:rPr>
            </w:pPr>
            <w:r w:rsidRPr="00AE6EDB">
              <w:rPr>
                <w:b/>
                <w:bCs/>
                <w:sz w:val="20"/>
                <w:szCs w:val="20"/>
              </w:rPr>
              <w:t>0,0</w:t>
            </w:r>
          </w:p>
        </w:tc>
      </w:tr>
      <w:tr w:rsidR="009717AB" w:rsidRPr="00AE6EDB" w:rsidTr="00DE0EEC">
        <w:trPr>
          <w:trHeight w:val="95"/>
        </w:trPr>
        <w:tc>
          <w:tcPr>
            <w:tcW w:w="1862" w:type="dxa"/>
            <w:shd w:val="clear" w:color="auto" w:fill="auto"/>
            <w:noWrap/>
            <w:vAlign w:val="bottom"/>
          </w:tcPr>
          <w:p w:rsidR="009717AB" w:rsidRPr="00AE6EDB" w:rsidRDefault="009717AB">
            <w:pPr>
              <w:rPr>
                <w:sz w:val="18"/>
                <w:szCs w:val="18"/>
              </w:rPr>
            </w:pPr>
            <w:r w:rsidRPr="00AE6EDB">
              <w:rPr>
                <w:sz w:val="18"/>
                <w:szCs w:val="18"/>
              </w:rPr>
              <w:t>07C0B01</w:t>
            </w:r>
          </w:p>
        </w:tc>
        <w:tc>
          <w:tcPr>
            <w:tcW w:w="6662" w:type="dxa"/>
            <w:shd w:val="clear" w:color="auto" w:fill="auto"/>
            <w:noWrap/>
            <w:vAlign w:val="bottom"/>
          </w:tcPr>
          <w:p w:rsidR="009717AB" w:rsidRPr="00AE6EDB" w:rsidRDefault="009717AB">
            <w:pPr>
              <w:rPr>
                <w:sz w:val="18"/>
                <w:szCs w:val="18"/>
              </w:rPr>
            </w:pPr>
            <w:r w:rsidRPr="00AE6EDB">
              <w:rPr>
                <w:sz w:val="18"/>
                <w:szCs w:val="18"/>
              </w:rPr>
              <w:t>Sociálne začlenenie najodkázanejších osôb</w:t>
            </w:r>
          </w:p>
        </w:tc>
        <w:tc>
          <w:tcPr>
            <w:tcW w:w="1541" w:type="dxa"/>
            <w:shd w:val="clear" w:color="auto" w:fill="auto"/>
            <w:noWrap/>
            <w:vAlign w:val="bottom"/>
          </w:tcPr>
          <w:p w:rsidR="009717AB" w:rsidRPr="00AE6EDB" w:rsidRDefault="009717AB">
            <w:pPr>
              <w:jc w:val="right"/>
              <w:rPr>
                <w:sz w:val="20"/>
                <w:szCs w:val="20"/>
              </w:rPr>
            </w:pPr>
            <w:r w:rsidRPr="00AE6EDB">
              <w:rPr>
                <w:sz w:val="20"/>
                <w:szCs w:val="20"/>
              </w:rPr>
              <w:t>1</w:t>
            </w:r>
            <w:r w:rsidR="0054295F">
              <w:rPr>
                <w:sz w:val="20"/>
                <w:szCs w:val="20"/>
              </w:rPr>
              <w:t>0 1</w:t>
            </w:r>
            <w:r w:rsidRPr="00AE6EDB">
              <w:rPr>
                <w:sz w:val="20"/>
                <w:szCs w:val="20"/>
              </w:rPr>
              <w:t>4</w:t>
            </w:r>
            <w:r w:rsidR="0054295F">
              <w:rPr>
                <w:sz w:val="20"/>
                <w:szCs w:val="20"/>
              </w:rPr>
              <w:t>1 8</w:t>
            </w:r>
            <w:r w:rsidRPr="00AE6EDB">
              <w:rPr>
                <w:sz w:val="20"/>
                <w:szCs w:val="20"/>
              </w:rPr>
              <w:t>86</w:t>
            </w:r>
          </w:p>
        </w:tc>
        <w:tc>
          <w:tcPr>
            <w:tcW w:w="1606" w:type="dxa"/>
            <w:shd w:val="clear" w:color="auto" w:fill="auto"/>
            <w:noWrap/>
            <w:vAlign w:val="bottom"/>
          </w:tcPr>
          <w:p w:rsidR="009717AB" w:rsidRPr="00AE6EDB" w:rsidRDefault="009717AB">
            <w:pPr>
              <w:jc w:val="right"/>
              <w:rPr>
                <w:sz w:val="20"/>
                <w:szCs w:val="20"/>
              </w:rPr>
            </w:pPr>
            <w:r w:rsidRPr="00AE6EDB">
              <w:rPr>
                <w:sz w:val="20"/>
                <w:szCs w:val="20"/>
              </w:rPr>
              <w:t>0</w:t>
            </w:r>
          </w:p>
        </w:tc>
        <w:tc>
          <w:tcPr>
            <w:tcW w:w="1644" w:type="dxa"/>
            <w:shd w:val="clear" w:color="auto" w:fill="auto"/>
            <w:noWrap/>
            <w:vAlign w:val="bottom"/>
          </w:tcPr>
          <w:p w:rsidR="009717AB" w:rsidRPr="00AE6EDB" w:rsidRDefault="009717AB">
            <w:pPr>
              <w:jc w:val="right"/>
              <w:rPr>
                <w:sz w:val="20"/>
                <w:szCs w:val="20"/>
              </w:rPr>
            </w:pPr>
            <w:r w:rsidRPr="00AE6EDB">
              <w:rPr>
                <w:sz w:val="20"/>
                <w:szCs w:val="20"/>
              </w:rPr>
              <w:t>0</w:t>
            </w:r>
          </w:p>
        </w:tc>
        <w:tc>
          <w:tcPr>
            <w:tcW w:w="778" w:type="dxa"/>
            <w:shd w:val="clear" w:color="auto" w:fill="auto"/>
            <w:noWrap/>
            <w:vAlign w:val="bottom"/>
          </w:tcPr>
          <w:p w:rsidR="009717AB" w:rsidRPr="00AE6EDB" w:rsidRDefault="009717AB">
            <w:pPr>
              <w:jc w:val="right"/>
              <w:rPr>
                <w:b/>
                <w:bCs/>
                <w:sz w:val="20"/>
                <w:szCs w:val="20"/>
              </w:rPr>
            </w:pPr>
            <w:r w:rsidRPr="00AE6EDB">
              <w:rPr>
                <w:b/>
                <w:bCs/>
                <w:sz w:val="20"/>
                <w:szCs w:val="20"/>
              </w:rPr>
              <w:t>0,0</w:t>
            </w:r>
          </w:p>
        </w:tc>
      </w:tr>
      <w:tr w:rsidR="009717AB" w:rsidRPr="00AE6EDB" w:rsidTr="00DE0EEC">
        <w:trPr>
          <w:trHeight w:val="262"/>
        </w:trPr>
        <w:tc>
          <w:tcPr>
            <w:tcW w:w="1862" w:type="dxa"/>
            <w:shd w:val="clear" w:color="auto" w:fill="auto"/>
            <w:noWrap/>
            <w:vAlign w:val="bottom"/>
            <w:hideMark/>
          </w:tcPr>
          <w:p w:rsidR="009717AB" w:rsidRPr="00AE6EDB" w:rsidRDefault="009717AB">
            <w:pPr>
              <w:rPr>
                <w:b/>
                <w:bCs/>
                <w:sz w:val="20"/>
                <w:szCs w:val="20"/>
              </w:rPr>
            </w:pPr>
            <w:r w:rsidRPr="00AE6EDB">
              <w:rPr>
                <w:b/>
                <w:bCs/>
                <w:sz w:val="20"/>
                <w:szCs w:val="20"/>
              </w:rPr>
              <w:t>07C01</w:t>
            </w:r>
          </w:p>
        </w:tc>
        <w:tc>
          <w:tcPr>
            <w:tcW w:w="6662" w:type="dxa"/>
            <w:shd w:val="clear" w:color="auto" w:fill="auto"/>
            <w:noWrap/>
            <w:vAlign w:val="bottom"/>
            <w:hideMark/>
          </w:tcPr>
          <w:p w:rsidR="009717AB" w:rsidRPr="00AE6EDB" w:rsidRDefault="009717AB">
            <w:pPr>
              <w:rPr>
                <w:b/>
                <w:bCs/>
                <w:sz w:val="20"/>
                <w:szCs w:val="20"/>
              </w:rPr>
            </w:pPr>
            <w:r w:rsidRPr="00AE6EDB">
              <w:rPr>
                <w:b/>
                <w:bCs/>
                <w:sz w:val="20"/>
                <w:szCs w:val="20"/>
              </w:rPr>
              <w:t>Pomoc v hmotnej núdzi</w:t>
            </w:r>
          </w:p>
        </w:tc>
        <w:tc>
          <w:tcPr>
            <w:tcW w:w="1541" w:type="dxa"/>
            <w:shd w:val="clear" w:color="auto" w:fill="auto"/>
            <w:noWrap/>
            <w:vAlign w:val="bottom"/>
          </w:tcPr>
          <w:p w:rsidR="009717AB" w:rsidRPr="00AE6EDB" w:rsidRDefault="009717AB">
            <w:pPr>
              <w:jc w:val="right"/>
              <w:rPr>
                <w:b/>
                <w:bCs/>
                <w:sz w:val="20"/>
                <w:szCs w:val="20"/>
              </w:rPr>
            </w:pPr>
            <w:r w:rsidRPr="00AE6EDB">
              <w:rPr>
                <w:b/>
                <w:bCs/>
                <w:sz w:val="20"/>
                <w:szCs w:val="20"/>
              </w:rPr>
              <w:t>28</w:t>
            </w:r>
            <w:r w:rsidR="0054295F">
              <w:rPr>
                <w:b/>
                <w:bCs/>
                <w:sz w:val="20"/>
                <w:szCs w:val="20"/>
              </w:rPr>
              <w:t>1 1</w:t>
            </w:r>
            <w:r w:rsidRPr="00AE6EDB">
              <w:rPr>
                <w:b/>
                <w:bCs/>
                <w:sz w:val="20"/>
                <w:szCs w:val="20"/>
              </w:rPr>
              <w:t>3</w:t>
            </w:r>
            <w:r w:rsidR="0054295F">
              <w:rPr>
                <w:b/>
                <w:bCs/>
                <w:sz w:val="20"/>
                <w:szCs w:val="20"/>
              </w:rPr>
              <w:t>4 0</w:t>
            </w:r>
            <w:r w:rsidRPr="00AE6EDB">
              <w:rPr>
                <w:b/>
                <w:bCs/>
                <w:sz w:val="20"/>
                <w:szCs w:val="20"/>
              </w:rPr>
              <w:t>57</w:t>
            </w:r>
          </w:p>
        </w:tc>
        <w:tc>
          <w:tcPr>
            <w:tcW w:w="1606" w:type="dxa"/>
            <w:shd w:val="clear" w:color="auto" w:fill="auto"/>
            <w:noWrap/>
            <w:vAlign w:val="bottom"/>
          </w:tcPr>
          <w:p w:rsidR="009717AB" w:rsidRPr="00AE6EDB" w:rsidRDefault="009717AB">
            <w:pPr>
              <w:jc w:val="right"/>
              <w:rPr>
                <w:b/>
                <w:bCs/>
                <w:sz w:val="20"/>
                <w:szCs w:val="20"/>
              </w:rPr>
            </w:pPr>
            <w:r w:rsidRPr="00AE6EDB">
              <w:rPr>
                <w:b/>
                <w:bCs/>
                <w:sz w:val="20"/>
                <w:szCs w:val="20"/>
              </w:rPr>
              <w:t>23</w:t>
            </w:r>
            <w:r w:rsidR="00AC44CB">
              <w:rPr>
                <w:b/>
                <w:bCs/>
                <w:sz w:val="20"/>
                <w:szCs w:val="20"/>
              </w:rPr>
              <w:t>7 1</w:t>
            </w:r>
            <w:r w:rsidRPr="00AE6EDB">
              <w:rPr>
                <w:b/>
                <w:bCs/>
                <w:sz w:val="20"/>
                <w:szCs w:val="20"/>
              </w:rPr>
              <w:t>3</w:t>
            </w:r>
            <w:r w:rsidR="0054295F">
              <w:rPr>
                <w:b/>
                <w:bCs/>
                <w:sz w:val="20"/>
                <w:szCs w:val="20"/>
              </w:rPr>
              <w:t>0 7</w:t>
            </w:r>
            <w:r w:rsidRPr="00AE6EDB">
              <w:rPr>
                <w:b/>
                <w:bCs/>
                <w:sz w:val="20"/>
                <w:szCs w:val="20"/>
              </w:rPr>
              <w:t>26</w:t>
            </w:r>
          </w:p>
        </w:tc>
        <w:tc>
          <w:tcPr>
            <w:tcW w:w="1644" w:type="dxa"/>
            <w:shd w:val="clear" w:color="auto" w:fill="auto"/>
            <w:noWrap/>
            <w:vAlign w:val="bottom"/>
          </w:tcPr>
          <w:p w:rsidR="009717AB" w:rsidRPr="00AE6EDB" w:rsidRDefault="009717AB">
            <w:pPr>
              <w:jc w:val="right"/>
              <w:rPr>
                <w:b/>
                <w:bCs/>
                <w:sz w:val="20"/>
                <w:szCs w:val="20"/>
              </w:rPr>
            </w:pPr>
            <w:r w:rsidRPr="00AE6EDB">
              <w:rPr>
                <w:b/>
                <w:bCs/>
                <w:sz w:val="20"/>
                <w:szCs w:val="20"/>
              </w:rPr>
              <w:t>23</w:t>
            </w:r>
            <w:r w:rsidR="00AC44CB">
              <w:rPr>
                <w:b/>
                <w:bCs/>
                <w:sz w:val="20"/>
                <w:szCs w:val="20"/>
              </w:rPr>
              <w:t>5 9</w:t>
            </w:r>
            <w:r w:rsidRPr="00AE6EDB">
              <w:rPr>
                <w:b/>
                <w:bCs/>
                <w:sz w:val="20"/>
                <w:szCs w:val="20"/>
              </w:rPr>
              <w:t>3</w:t>
            </w:r>
            <w:r w:rsidR="00AC44CB">
              <w:rPr>
                <w:b/>
                <w:bCs/>
                <w:sz w:val="20"/>
                <w:szCs w:val="20"/>
              </w:rPr>
              <w:t>6 7</w:t>
            </w:r>
            <w:r w:rsidRPr="00AE6EDB">
              <w:rPr>
                <w:b/>
                <w:bCs/>
                <w:sz w:val="20"/>
                <w:szCs w:val="20"/>
              </w:rPr>
              <w:t>26</w:t>
            </w:r>
          </w:p>
        </w:tc>
        <w:tc>
          <w:tcPr>
            <w:tcW w:w="778" w:type="dxa"/>
            <w:shd w:val="clear" w:color="auto" w:fill="auto"/>
            <w:noWrap/>
            <w:vAlign w:val="bottom"/>
          </w:tcPr>
          <w:p w:rsidR="009717AB" w:rsidRPr="00AE6EDB" w:rsidRDefault="009717AB">
            <w:pPr>
              <w:jc w:val="right"/>
              <w:rPr>
                <w:b/>
                <w:bCs/>
                <w:sz w:val="20"/>
                <w:szCs w:val="20"/>
              </w:rPr>
            </w:pPr>
            <w:r w:rsidRPr="00AE6EDB">
              <w:rPr>
                <w:b/>
                <w:bCs/>
                <w:sz w:val="20"/>
                <w:szCs w:val="20"/>
              </w:rPr>
              <w:t>99,5</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07C0101</w:t>
            </w:r>
          </w:p>
        </w:tc>
        <w:tc>
          <w:tcPr>
            <w:tcW w:w="6662" w:type="dxa"/>
            <w:shd w:val="clear" w:color="auto" w:fill="auto"/>
            <w:noWrap/>
            <w:vAlign w:val="bottom"/>
            <w:hideMark/>
          </w:tcPr>
          <w:p w:rsidR="009717AB" w:rsidRPr="00AE6EDB" w:rsidRDefault="0011713C">
            <w:pPr>
              <w:rPr>
                <w:sz w:val="18"/>
                <w:szCs w:val="18"/>
              </w:rPr>
            </w:pPr>
            <w:r w:rsidRPr="00AE6EDB">
              <w:rPr>
                <w:color w:val="000000" w:themeColor="text1"/>
              </w:rPr>
              <w:t>–</w:t>
            </w:r>
            <w:r w:rsidRPr="00AE6EDB">
              <w:rPr>
                <w:sz w:val="18"/>
                <w:szCs w:val="18"/>
              </w:rPr>
              <w:t xml:space="preserve"> </w:t>
            </w:r>
            <w:r w:rsidR="009717AB" w:rsidRPr="00AE6EDB">
              <w:rPr>
                <w:sz w:val="18"/>
                <w:szCs w:val="18"/>
              </w:rPr>
              <w:t>Dávka v hmotnej núdzi</w:t>
            </w:r>
          </w:p>
        </w:tc>
        <w:tc>
          <w:tcPr>
            <w:tcW w:w="1541" w:type="dxa"/>
            <w:shd w:val="clear" w:color="auto" w:fill="auto"/>
            <w:noWrap/>
            <w:vAlign w:val="bottom"/>
          </w:tcPr>
          <w:p w:rsidR="009717AB" w:rsidRPr="00AE6EDB" w:rsidRDefault="009717AB">
            <w:pPr>
              <w:jc w:val="right"/>
              <w:rPr>
                <w:sz w:val="20"/>
                <w:szCs w:val="20"/>
              </w:rPr>
            </w:pPr>
            <w:r w:rsidRPr="00AE6EDB">
              <w:rPr>
                <w:sz w:val="20"/>
                <w:szCs w:val="20"/>
              </w:rPr>
              <w:t>25</w:t>
            </w:r>
            <w:r w:rsidR="0054295F">
              <w:rPr>
                <w:sz w:val="20"/>
                <w:szCs w:val="20"/>
              </w:rPr>
              <w:t>4 7</w:t>
            </w:r>
            <w:r w:rsidRPr="00AE6EDB">
              <w:rPr>
                <w:sz w:val="20"/>
                <w:szCs w:val="20"/>
              </w:rPr>
              <w:t>3</w:t>
            </w:r>
            <w:r w:rsidR="0054295F">
              <w:rPr>
                <w:sz w:val="20"/>
                <w:szCs w:val="20"/>
              </w:rPr>
              <w:t>1 4</w:t>
            </w:r>
            <w:r w:rsidRPr="00AE6EDB">
              <w:rPr>
                <w:sz w:val="20"/>
                <w:szCs w:val="20"/>
              </w:rPr>
              <w:t>16</w:t>
            </w:r>
          </w:p>
        </w:tc>
        <w:tc>
          <w:tcPr>
            <w:tcW w:w="1606" w:type="dxa"/>
            <w:shd w:val="clear" w:color="auto" w:fill="auto"/>
            <w:noWrap/>
            <w:vAlign w:val="bottom"/>
          </w:tcPr>
          <w:p w:rsidR="009717AB" w:rsidRPr="00AE6EDB" w:rsidRDefault="009717AB">
            <w:pPr>
              <w:jc w:val="right"/>
              <w:rPr>
                <w:sz w:val="20"/>
                <w:szCs w:val="20"/>
              </w:rPr>
            </w:pPr>
            <w:r w:rsidRPr="00AE6EDB">
              <w:rPr>
                <w:sz w:val="20"/>
                <w:szCs w:val="20"/>
              </w:rPr>
              <w:t>21</w:t>
            </w:r>
            <w:r w:rsidR="0054295F">
              <w:rPr>
                <w:sz w:val="20"/>
                <w:szCs w:val="20"/>
              </w:rPr>
              <w:t>4 4</w:t>
            </w:r>
            <w:r w:rsidRPr="00AE6EDB">
              <w:rPr>
                <w:sz w:val="20"/>
                <w:szCs w:val="20"/>
              </w:rPr>
              <w:t>3</w:t>
            </w:r>
            <w:r w:rsidR="0054295F">
              <w:rPr>
                <w:sz w:val="20"/>
                <w:szCs w:val="20"/>
              </w:rPr>
              <w:t>3 0</w:t>
            </w:r>
            <w:r w:rsidRPr="00AE6EDB">
              <w:rPr>
                <w:sz w:val="20"/>
                <w:szCs w:val="20"/>
              </w:rPr>
              <w:t>77</w:t>
            </w:r>
          </w:p>
        </w:tc>
        <w:tc>
          <w:tcPr>
            <w:tcW w:w="1644" w:type="dxa"/>
            <w:shd w:val="clear" w:color="auto" w:fill="auto"/>
            <w:noWrap/>
            <w:vAlign w:val="bottom"/>
          </w:tcPr>
          <w:p w:rsidR="009717AB" w:rsidRPr="00AE6EDB" w:rsidRDefault="009717AB">
            <w:pPr>
              <w:jc w:val="right"/>
              <w:rPr>
                <w:sz w:val="20"/>
                <w:szCs w:val="20"/>
              </w:rPr>
            </w:pPr>
            <w:r w:rsidRPr="00AE6EDB">
              <w:rPr>
                <w:sz w:val="20"/>
                <w:szCs w:val="20"/>
              </w:rPr>
              <w:t>21</w:t>
            </w:r>
            <w:r w:rsidR="0054295F">
              <w:rPr>
                <w:sz w:val="20"/>
                <w:szCs w:val="20"/>
              </w:rPr>
              <w:t>3 6</w:t>
            </w:r>
            <w:r w:rsidRPr="00AE6EDB">
              <w:rPr>
                <w:sz w:val="20"/>
                <w:szCs w:val="20"/>
              </w:rPr>
              <w:t>8</w:t>
            </w:r>
            <w:r w:rsidR="00AC44CB">
              <w:rPr>
                <w:sz w:val="20"/>
                <w:szCs w:val="20"/>
              </w:rPr>
              <w:t>5 7</w:t>
            </w:r>
            <w:r w:rsidRPr="00AE6EDB">
              <w:rPr>
                <w:sz w:val="20"/>
                <w:szCs w:val="20"/>
              </w:rPr>
              <w:t>97</w:t>
            </w:r>
          </w:p>
        </w:tc>
        <w:tc>
          <w:tcPr>
            <w:tcW w:w="778" w:type="dxa"/>
            <w:shd w:val="clear" w:color="auto" w:fill="auto"/>
            <w:noWrap/>
            <w:vAlign w:val="bottom"/>
          </w:tcPr>
          <w:p w:rsidR="009717AB" w:rsidRPr="00AE6EDB" w:rsidRDefault="009717AB">
            <w:pPr>
              <w:jc w:val="right"/>
              <w:rPr>
                <w:sz w:val="20"/>
                <w:szCs w:val="20"/>
              </w:rPr>
            </w:pPr>
            <w:r w:rsidRPr="00AE6EDB">
              <w:rPr>
                <w:sz w:val="20"/>
                <w:szCs w:val="20"/>
              </w:rPr>
              <w:t>99,7</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07C0102</w:t>
            </w:r>
          </w:p>
        </w:tc>
        <w:tc>
          <w:tcPr>
            <w:tcW w:w="6662" w:type="dxa"/>
            <w:shd w:val="clear" w:color="auto" w:fill="auto"/>
            <w:noWrap/>
            <w:vAlign w:val="bottom"/>
            <w:hideMark/>
          </w:tcPr>
          <w:p w:rsidR="009717AB" w:rsidRPr="00AE6EDB" w:rsidRDefault="0011713C">
            <w:pPr>
              <w:rPr>
                <w:sz w:val="18"/>
                <w:szCs w:val="18"/>
              </w:rPr>
            </w:pPr>
            <w:r w:rsidRPr="00AE6EDB">
              <w:rPr>
                <w:color w:val="000000" w:themeColor="text1"/>
              </w:rPr>
              <w:t>–</w:t>
            </w:r>
            <w:r w:rsidRPr="00AE6EDB">
              <w:rPr>
                <w:sz w:val="18"/>
                <w:szCs w:val="18"/>
              </w:rPr>
              <w:t xml:space="preserve"> </w:t>
            </w:r>
            <w:r w:rsidR="009717AB" w:rsidRPr="00AE6EDB">
              <w:rPr>
                <w:sz w:val="18"/>
                <w:szCs w:val="18"/>
              </w:rPr>
              <w:t>Dotácia na výkon osobitného príjemcu</w:t>
            </w:r>
          </w:p>
        </w:tc>
        <w:tc>
          <w:tcPr>
            <w:tcW w:w="1541" w:type="dxa"/>
            <w:shd w:val="clear" w:color="auto" w:fill="auto"/>
            <w:noWrap/>
            <w:vAlign w:val="bottom"/>
          </w:tcPr>
          <w:p w:rsidR="009717AB" w:rsidRPr="00AE6EDB" w:rsidRDefault="009717AB">
            <w:pPr>
              <w:jc w:val="right"/>
              <w:rPr>
                <w:sz w:val="20"/>
                <w:szCs w:val="20"/>
              </w:rPr>
            </w:pPr>
            <w:r w:rsidRPr="00AE6EDB">
              <w:rPr>
                <w:sz w:val="20"/>
                <w:szCs w:val="20"/>
              </w:rPr>
              <w:t>18</w:t>
            </w:r>
            <w:r w:rsidR="0054295F">
              <w:rPr>
                <w:sz w:val="20"/>
                <w:szCs w:val="20"/>
              </w:rPr>
              <w:t>4 4</w:t>
            </w:r>
            <w:r w:rsidRPr="00AE6EDB">
              <w:rPr>
                <w:sz w:val="20"/>
                <w:szCs w:val="20"/>
              </w:rPr>
              <w:t>00</w:t>
            </w:r>
          </w:p>
        </w:tc>
        <w:tc>
          <w:tcPr>
            <w:tcW w:w="1606" w:type="dxa"/>
            <w:shd w:val="clear" w:color="auto" w:fill="auto"/>
            <w:noWrap/>
            <w:vAlign w:val="bottom"/>
          </w:tcPr>
          <w:p w:rsidR="009717AB" w:rsidRPr="00AE6EDB" w:rsidRDefault="009717AB">
            <w:pPr>
              <w:jc w:val="right"/>
              <w:rPr>
                <w:sz w:val="20"/>
                <w:szCs w:val="20"/>
              </w:rPr>
            </w:pPr>
            <w:r w:rsidRPr="00AE6EDB">
              <w:rPr>
                <w:sz w:val="20"/>
                <w:szCs w:val="20"/>
              </w:rPr>
              <w:t>16</w:t>
            </w:r>
            <w:r w:rsidR="00AC44CB">
              <w:rPr>
                <w:sz w:val="20"/>
                <w:szCs w:val="20"/>
              </w:rPr>
              <w:t>8 9</w:t>
            </w:r>
            <w:r w:rsidRPr="00AE6EDB">
              <w:rPr>
                <w:sz w:val="20"/>
                <w:szCs w:val="20"/>
              </w:rPr>
              <w:t>69</w:t>
            </w:r>
          </w:p>
        </w:tc>
        <w:tc>
          <w:tcPr>
            <w:tcW w:w="1644" w:type="dxa"/>
            <w:shd w:val="clear" w:color="auto" w:fill="auto"/>
            <w:noWrap/>
            <w:vAlign w:val="bottom"/>
          </w:tcPr>
          <w:p w:rsidR="009717AB" w:rsidRPr="00AE6EDB" w:rsidRDefault="009717AB">
            <w:pPr>
              <w:jc w:val="right"/>
              <w:rPr>
                <w:sz w:val="20"/>
                <w:szCs w:val="20"/>
              </w:rPr>
            </w:pPr>
            <w:r w:rsidRPr="00AE6EDB">
              <w:rPr>
                <w:sz w:val="20"/>
                <w:szCs w:val="20"/>
              </w:rPr>
              <w:t>16</w:t>
            </w:r>
            <w:r w:rsidR="0054295F">
              <w:rPr>
                <w:sz w:val="20"/>
                <w:szCs w:val="20"/>
              </w:rPr>
              <w:t>4 3</w:t>
            </w:r>
            <w:r w:rsidRPr="00AE6EDB">
              <w:rPr>
                <w:sz w:val="20"/>
                <w:szCs w:val="20"/>
              </w:rPr>
              <w:t>33</w:t>
            </w:r>
          </w:p>
        </w:tc>
        <w:tc>
          <w:tcPr>
            <w:tcW w:w="778" w:type="dxa"/>
            <w:shd w:val="clear" w:color="auto" w:fill="auto"/>
            <w:noWrap/>
            <w:vAlign w:val="bottom"/>
          </w:tcPr>
          <w:p w:rsidR="009717AB" w:rsidRPr="00AE6EDB" w:rsidRDefault="009717AB">
            <w:pPr>
              <w:jc w:val="right"/>
              <w:rPr>
                <w:sz w:val="20"/>
                <w:szCs w:val="20"/>
              </w:rPr>
            </w:pPr>
            <w:r w:rsidRPr="00AE6EDB">
              <w:rPr>
                <w:sz w:val="20"/>
                <w:szCs w:val="20"/>
              </w:rPr>
              <w:t>97,3</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07C0103</w:t>
            </w:r>
          </w:p>
        </w:tc>
        <w:tc>
          <w:tcPr>
            <w:tcW w:w="6662" w:type="dxa"/>
            <w:shd w:val="clear" w:color="auto" w:fill="auto"/>
            <w:noWrap/>
            <w:vAlign w:val="bottom"/>
            <w:hideMark/>
          </w:tcPr>
          <w:p w:rsidR="009717AB" w:rsidRPr="00AE6EDB" w:rsidRDefault="0011713C" w:rsidP="002641CA">
            <w:pPr>
              <w:rPr>
                <w:sz w:val="18"/>
                <w:szCs w:val="18"/>
              </w:rPr>
            </w:pPr>
            <w:r w:rsidRPr="00AE6EDB">
              <w:rPr>
                <w:color w:val="000000" w:themeColor="text1"/>
              </w:rPr>
              <w:t>–</w:t>
            </w:r>
            <w:r w:rsidRPr="00AE6EDB">
              <w:rPr>
                <w:sz w:val="18"/>
                <w:szCs w:val="18"/>
              </w:rPr>
              <w:t xml:space="preserve"> </w:t>
            </w:r>
            <w:r w:rsidR="009717AB" w:rsidRPr="00AE6EDB">
              <w:rPr>
                <w:sz w:val="18"/>
                <w:szCs w:val="18"/>
              </w:rPr>
              <w:t>Dotácia na stravu pre dieťa v hmotnej núdzi</w:t>
            </w:r>
          </w:p>
        </w:tc>
        <w:tc>
          <w:tcPr>
            <w:tcW w:w="1541" w:type="dxa"/>
            <w:shd w:val="clear" w:color="auto" w:fill="auto"/>
            <w:noWrap/>
            <w:vAlign w:val="bottom"/>
          </w:tcPr>
          <w:p w:rsidR="009717AB" w:rsidRPr="00AE6EDB" w:rsidRDefault="009717AB">
            <w:pPr>
              <w:jc w:val="right"/>
              <w:rPr>
                <w:sz w:val="20"/>
                <w:szCs w:val="20"/>
              </w:rPr>
            </w:pPr>
            <w:r w:rsidRPr="00AE6EDB">
              <w:rPr>
                <w:sz w:val="20"/>
                <w:szCs w:val="20"/>
              </w:rPr>
              <w:t>1</w:t>
            </w:r>
            <w:r w:rsidR="0054295F">
              <w:rPr>
                <w:sz w:val="20"/>
                <w:szCs w:val="20"/>
              </w:rPr>
              <w:t>2 4</w:t>
            </w:r>
            <w:r w:rsidRPr="00AE6EDB">
              <w:rPr>
                <w:sz w:val="20"/>
                <w:szCs w:val="20"/>
              </w:rPr>
              <w:t>9</w:t>
            </w:r>
            <w:r w:rsidR="0054295F">
              <w:rPr>
                <w:sz w:val="20"/>
                <w:szCs w:val="20"/>
              </w:rPr>
              <w:t>0 4</w:t>
            </w:r>
            <w:r w:rsidRPr="00AE6EDB">
              <w:rPr>
                <w:sz w:val="20"/>
                <w:szCs w:val="20"/>
              </w:rPr>
              <w:t>00</w:t>
            </w:r>
          </w:p>
        </w:tc>
        <w:tc>
          <w:tcPr>
            <w:tcW w:w="1606" w:type="dxa"/>
            <w:shd w:val="clear" w:color="auto" w:fill="auto"/>
            <w:noWrap/>
            <w:vAlign w:val="bottom"/>
          </w:tcPr>
          <w:p w:rsidR="009717AB" w:rsidRPr="00AE6EDB" w:rsidRDefault="009717AB">
            <w:pPr>
              <w:jc w:val="right"/>
              <w:rPr>
                <w:sz w:val="20"/>
                <w:szCs w:val="20"/>
              </w:rPr>
            </w:pPr>
            <w:r w:rsidRPr="00AE6EDB">
              <w:rPr>
                <w:sz w:val="20"/>
                <w:szCs w:val="20"/>
              </w:rPr>
              <w:t>1</w:t>
            </w:r>
            <w:r w:rsidR="0054295F">
              <w:rPr>
                <w:sz w:val="20"/>
                <w:szCs w:val="20"/>
              </w:rPr>
              <w:t>1 1</w:t>
            </w:r>
            <w:r w:rsidRPr="00AE6EDB">
              <w:rPr>
                <w:sz w:val="20"/>
                <w:szCs w:val="20"/>
              </w:rPr>
              <w:t>5</w:t>
            </w:r>
            <w:r w:rsidR="00AC44CB">
              <w:rPr>
                <w:sz w:val="20"/>
                <w:szCs w:val="20"/>
              </w:rPr>
              <w:t>5 5</w:t>
            </w:r>
            <w:r w:rsidRPr="00AE6EDB">
              <w:rPr>
                <w:sz w:val="20"/>
                <w:szCs w:val="20"/>
              </w:rPr>
              <w:t>19</w:t>
            </w:r>
          </w:p>
        </w:tc>
        <w:tc>
          <w:tcPr>
            <w:tcW w:w="1644" w:type="dxa"/>
            <w:shd w:val="clear" w:color="auto" w:fill="auto"/>
            <w:noWrap/>
            <w:vAlign w:val="bottom"/>
          </w:tcPr>
          <w:p w:rsidR="009717AB" w:rsidRPr="00AE6EDB" w:rsidRDefault="009717AB">
            <w:pPr>
              <w:jc w:val="right"/>
              <w:rPr>
                <w:sz w:val="20"/>
                <w:szCs w:val="20"/>
              </w:rPr>
            </w:pPr>
            <w:r w:rsidRPr="00AE6EDB">
              <w:rPr>
                <w:sz w:val="20"/>
                <w:szCs w:val="20"/>
              </w:rPr>
              <w:t>1</w:t>
            </w:r>
            <w:r w:rsidR="0054295F">
              <w:rPr>
                <w:sz w:val="20"/>
                <w:szCs w:val="20"/>
              </w:rPr>
              <w:t>0 7</w:t>
            </w:r>
            <w:r w:rsidRPr="00AE6EDB">
              <w:rPr>
                <w:sz w:val="20"/>
                <w:szCs w:val="20"/>
              </w:rPr>
              <w:t>6</w:t>
            </w:r>
            <w:r w:rsidR="00AC44CB">
              <w:rPr>
                <w:sz w:val="20"/>
                <w:szCs w:val="20"/>
              </w:rPr>
              <w:t>7 7</w:t>
            </w:r>
            <w:r w:rsidRPr="00AE6EDB">
              <w:rPr>
                <w:sz w:val="20"/>
                <w:szCs w:val="20"/>
              </w:rPr>
              <w:t>28</w:t>
            </w:r>
          </w:p>
        </w:tc>
        <w:tc>
          <w:tcPr>
            <w:tcW w:w="778" w:type="dxa"/>
            <w:shd w:val="clear" w:color="auto" w:fill="auto"/>
            <w:noWrap/>
            <w:vAlign w:val="bottom"/>
          </w:tcPr>
          <w:p w:rsidR="009717AB" w:rsidRPr="00AE6EDB" w:rsidRDefault="009717AB">
            <w:pPr>
              <w:jc w:val="right"/>
              <w:rPr>
                <w:sz w:val="20"/>
                <w:szCs w:val="20"/>
              </w:rPr>
            </w:pPr>
            <w:r w:rsidRPr="00AE6EDB">
              <w:rPr>
                <w:sz w:val="20"/>
                <w:szCs w:val="20"/>
              </w:rPr>
              <w:t>96,5</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07C0104</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Dotácia na školské potreby pre dieťa v hmotnej núdzi</w:t>
            </w:r>
          </w:p>
        </w:tc>
        <w:tc>
          <w:tcPr>
            <w:tcW w:w="1541" w:type="dxa"/>
            <w:shd w:val="clear" w:color="auto" w:fill="auto"/>
            <w:noWrap/>
            <w:vAlign w:val="bottom"/>
          </w:tcPr>
          <w:p w:rsidR="009717AB" w:rsidRPr="00AE6EDB" w:rsidRDefault="0054295F">
            <w:pPr>
              <w:jc w:val="right"/>
              <w:rPr>
                <w:sz w:val="20"/>
                <w:szCs w:val="20"/>
              </w:rPr>
            </w:pPr>
            <w:r>
              <w:rPr>
                <w:sz w:val="20"/>
                <w:szCs w:val="20"/>
              </w:rPr>
              <w:t>2 7</w:t>
            </w:r>
            <w:r w:rsidR="009717AB" w:rsidRPr="00AE6EDB">
              <w:rPr>
                <w:sz w:val="20"/>
                <w:szCs w:val="20"/>
              </w:rPr>
              <w:t>4</w:t>
            </w:r>
            <w:r w:rsidR="00AC44CB">
              <w:rPr>
                <w:sz w:val="20"/>
                <w:szCs w:val="20"/>
              </w:rPr>
              <w:t>9 9</w:t>
            </w:r>
            <w:r w:rsidR="009717AB" w:rsidRPr="00AE6EDB">
              <w:rPr>
                <w:sz w:val="20"/>
                <w:szCs w:val="20"/>
              </w:rPr>
              <w:t>00</w:t>
            </w:r>
          </w:p>
        </w:tc>
        <w:tc>
          <w:tcPr>
            <w:tcW w:w="1606" w:type="dxa"/>
            <w:shd w:val="clear" w:color="auto" w:fill="auto"/>
            <w:noWrap/>
            <w:vAlign w:val="bottom"/>
          </w:tcPr>
          <w:p w:rsidR="009717AB" w:rsidRPr="00AE6EDB" w:rsidRDefault="0054295F">
            <w:pPr>
              <w:jc w:val="right"/>
              <w:rPr>
                <w:sz w:val="20"/>
                <w:szCs w:val="20"/>
              </w:rPr>
            </w:pPr>
            <w:r>
              <w:rPr>
                <w:sz w:val="20"/>
                <w:szCs w:val="20"/>
              </w:rPr>
              <w:t>2 4</w:t>
            </w:r>
            <w:r w:rsidR="009717AB" w:rsidRPr="00AE6EDB">
              <w:rPr>
                <w:sz w:val="20"/>
                <w:szCs w:val="20"/>
              </w:rPr>
              <w:t>3</w:t>
            </w:r>
            <w:r>
              <w:rPr>
                <w:sz w:val="20"/>
                <w:szCs w:val="20"/>
              </w:rPr>
              <w:t>2 4</w:t>
            </w:r>
            <w:r w:rsidR="009717AB" w:rsidRPr="00AE6EDB">
              <w:rPr>
                <w:sz w:val="20"/>
                <w:szCs w:val="20"/>
              </w:rPr>
              <w:t>18</w:t>
            </w:r>
          </w:p>
        </w:tc>
        <w:tc>
          <w:tcPr>
            <w:tcW w:w="1644" w:type="dxa"/>
            <w:shd w:val="clear" w:color="auto" w:fill="auto"/>
            <w:noWrap/>
            <w:vAlign w:val="bottom"/>
          </w:tcPr>
          <w:p w:rsidR="009717AB" w:rsidRPr="00AE6EDB" w:rsidRDefault="0054295F">
            <w:pPr>
              <w:jc w:val="right"/>
              <w:rPr>
                <w:sz w:val="20"/>
                <w:szCs w:val="20"/>
              </w:rPr>
            </w:pPr>
            <w:r>
              <w:rPr>
                <w:sz w:val="20"/>
                <w:szCs w:val="20"/>
              </w:rPr>
              <w:t>2 4</w:t>
            </w:r>
            <w:r w:rsidR="009717AB" w:rsidRPr="00AE6EDB">
              <w:rPr>
                <w:sz w:val="20"/>
                <w:szCs w:val="20"/>
              </w:rPr>
              <w:t>0</w:t>
            </w:r>
            <w:r w:rsidR="00AC44CB">
              <w:rPr>
                <w:sz w:val="20"/>
                <w:szCs w:val="20"/>
              </w:rPr>
              <w:t>7 4</w:t>
            </w:r>
            <w:r w:rsidR="009717AB" w:rsidRPr="00AE6EDB">
              <w:rPr>
                <w:sz w:val="20"/>
                <w:szCs w:val="20"/>
              </w:rPr>
              <w:t>08</w:t>
            </w:r>
          </w:p>
        </w:tc>
        <w:tc>
          <w:tcPr>
            <w:tcW w:w="778" w:type="dxa"/>
            <w:shd w:val="clear" w:color="auto" w:fill="auto"/>
            <w:noWrap/>
            <w:vAlign w:val="bottom"/>
          </w:tcPr>
          <w:p w:rsidR="009717AB" w:rsidRPr="00AE6EDB" w:rsidRDefault="009717AB">
            <w:pPr>
              <w:jc w:val="right"/>
              <w:rPr>
                <w:sz w:val="20"/>
                <w:szCs w:val="20"/>
              </w:rPr>
            </w:pPr>
            <w:r w:rsidRPr="00AE6EDB">
              <w:rPr>
                <w:sz w:val="20"/>
                <w:szCs w:val="20"/>
              </w:rPr>
              <w:t>99,0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07C0106</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Náhradné výživné</w:t>
            </w:r>
          </w:p>
        </w:tc>
        <w:tc>
          <w:tcPr>
            <w:tcW w:w="1541" w:type="dxa"/>
            <w:shd w:val="clear" w:color="auto" w:fill="auto"/>
            <w:noWrap/>
            <w:vAlign w:val="bottom"/>
          </w:tcPr>
          <w:p w:rsidR="009717AB" w:rsidRPr="00AE6EDB" w:rsidRDefault="009717AB">
            <w:pPr>
              <w:jc w:val="right"/>
              <w:rPr>
                <w:sz w:val="20"/>
                <w:szCs w:val="20"/>
              </w:rPr>
            </w:pPr>
            <w:r w:rsidRPr="00AE6EDB">
              <w:rPr>
                <w:sz w:val="20"/>
                <w:szCs w:val="20"/>
              </w:rPr>
              <w:t>1</w:t>
            </w:r>
            <w:r w:rsidR="0054295F">
              <w:rPr>
                <w:sz w:val="20"/>
                <w:szCs w:val="20"/>
              </w:rPr>
              <w:t>0 9</w:t>
            </w:r>
            <w:r w:rsidRPr="00AE6EDB">
              <w:rPr>
                <w:sz w:val="20"/>
                <w:szCs w:val="20"/>
              </w:rPr>
              <w:t>7</w:t>
            </w:r>
            <w:r w:rsidR="00AC44CB">
              <w:rPr>
                <w:sz w:val="20"/>
                <w:szCs w:val="20"/>
              </w:rPr>
              <w:t>7 9</w:t>
            </w:r>
            <w:r w:rsidRPr="00AE6EDB">
              <w:rPr>
                <w:sz w:val="20"/>
                <w:szCs w:val="20"/>
              </w:rPr>
              <w:t>41</w:t>
            </w:r>
          </w:p>
        </w:tc>
        <w:tc>
          <w:tcPr>
            <w:tcW w:w="1606" w:type="dxa"/>
            <w:shd w:val="clear" w:color="auto" w:fill="auto"/>
            <w:noWrap/>
            <w:vAlign w:val="bottom"/>
          </w:tcPr>
          <w:p w:rsidR="009717AB" w:rsidRPr="00AE6EDB" w:rsidRDefault="00AC44CB">
            <w:pPr>
              <w:jc w:val="right"/>
              <w:rPr>
                <w:sz w:val="20"/>
                <w:szCs w:val="20"/>
              </w:rPr>
            </w:pPr>
            <w:r>
              <w:rPr>
                <w:sz w:val="20"/>
                <w:szCs w:val="20"/>
              </w:rPr>
              <w:t>8 9</w:t>
            </w:r>
            <w:r w:rsidR="009717AB" w:rsidRPr="00AE6EDB">
              <w:rPr>
                <w:sz w:val="20"/>
                <w:szCs w:val="20"/>
              </w:rPr>
              <w:t>4</w:t>
            </w:r>
            <w:r w:rsidR="0054295F">
              <w:rPr>
                <w:sz w:val="20"/>
                <w:szCs w:val="20"/>
              </w:rPr>
              <w:t>0 7</w:t>
            </w:r>
            <w:r w:rsidR="009717AB" w:rsidRPr="00AE6EDB">
              <w:rPr>
                <w:sz w:val="20"/>
                <w:szCs w:val="20"/>
              </w:rPr>
              <w:t>43</w:t>
            </w:r>
          </w:p>
        </w:tc>
        <w:tc>
          <w:tcPr>
            <w:tcW w:w="1644" w:type="dxa"/>
            <w:shd w:val="clear" w:color="auto" w:fill="auto"/>
            <w:noWrap/>
            <w:vAlign w:val="bottom"/>
          </w:tcPr>
          <w:p w:rsidR="009717AB" w:rsidRPr="00AE6EDB" w:rsidRDefault="00AC44CB">
            <w:pPr>
              <w:jc w:val="right"/>
              <w:rPr>
                <w:sz w:val="20"/>
                <w:szCs w:val="20"/>
              </w:rPr>
            </w:pPr>
            <w:r>
              <w:rPr>
                <w:sz w:val="20"/>
                <w:szCs w:val="20"/>
              </w:rPr>
              <w:t>8 9</w:t>
            </w:r>
            <w:r w:rsidR="009717AB" w:rsidRPr="00AE6EDB">
              <w:rPr>
                <w:sz w:val="20"/>
                <w:szCs w:val="20"/>
              </w:rPr>
              <w:t>1</w:t>
            </w:r>
            <w:r w:rsidR="0054295F">
              <w:rPr>
                <w:sz w:val="20"/>
                <w:szCs w:val="20"/>
              </w:rPr>
              <w:t>1 4</w:t>
            </w:r>
            <w:r w:rsidR="009717AB" w:rsidRPr="00AE6EDB">
              <w:rPr>
                <w:sz w:val="20"/>
                <w:szCs w:val="20"/>
              </w:rPr>
              <w:t>60</w:t>
            </w:r>
          </w:p>
        </w:tc>
        <w:tc>
          <w:tcPr>
            <w:tcW w:w="778" w:type="dxa"/>
            <w:shd w:val="clear" w:color="auto" w:fill="auto"/>
            <w:noWrap/>
            <w:vAlign w:val="bottom"/>
          </w:tcPr>
          <w:p w:rsidR="009717AB" w:rsidRPr="00AE6EDB" w:rsidRDefault="009717AB">
            <w:pPr>
              <w:jc w:val="right"/>
              <w:rPr>
                <w:sz w:val="20"/>
                <w:szCs w:val="20"/>
              </w:rPr>
            </w:pPr>
            <w:r w:rsidRPr="00AE6EDB">
              <w:rPr>
                <w:sz w:val="20"/>
                <w:szCs w:val="20"/>
              </w:rPr>
              <w:t>99,7</w:t>
            </w:r>
          </w:p>
        </w:tc>
      </w:tr>
      <w:tr w:rsidR="009717AB" w:rsidRPr="00AE6EDB" w:rsidTr="00DE0EEC">
        <w:trPr>
          <w:trHeight w:val="262"/>
        </w:trPr>
        <w:tc>
          <w:tcPr>
            <w:tcW w:w="1862" w:type="dxa"/>
            <w:shd w:val="clear" w:color="auto" w:fill="auto"/>
            <w:noWrap/>
            <w:vAlign w:val="bottom"/>
            <w:hideMark/>
          </w:tcPr>
          <w:p w:rsidR="009717AB" w:rsidRPr="00AE6EDB" w:rsidRDefault="009717AB">
            <w:pPr>
              <w:rPr>
                <w:b/>
                <w:bCs/>
                <w:sz w:val="20"/>
                <w:szCs w:val="20"/>
              </w:rPr>
            </w:pPr>
            <w:r w:rsidRPr="00AE6EDB">
              <w:rPr>
                <w:b/>
                <w:bCs/>
                <w:sz w:val="20"/>
                <w:szCs w:val="20"/>
              </w:rPr>
              <w:t>07C02</w:t>
            </w:r>
          </w:p>
        </w:tc>
        <w:tc>
          <w:tcPr>
            <w:tcW w:w="6662" w:type="dxa"/>
            <w:shd w:val="clear" w:color="auto" w:fill="auto"/>
            <w:noWrap/>
            <w:vAlign w:val="bottom"/>
            <w:hideMark/>
          </w:tcPr>
          <w:p w:rsidR="009717AB" w:rsidRPr="00AE6EDB" w:rsidRDefault="009717AB">
            <w:pPr>
              <w:rPr>
                <w:b/>
                <w:bCs/>
                <w:sz w:val="20"/>
                <w:szCs w:val="20"/>
              </w:rPr>
            </w:pPr>
            <w:r w:rsidRPr="00AE6EDB">
              <w:rPr>
                <w:b/>
                <w:bCs/>
                <w:sz w:val="20"/>
                <w:szCs w:val="20"/>
              </w:rPr>
              <w:t>Podpora rodiny</w:t>
            </w:r>
          </w:p>
        </w:tc>
        <w:tc>
          <w:tcPr>
            <w:tcW w:w="1541" w:type="dxa"/>
            <w:shd w:val="clear" w:color="auto" w:fill="auto"/>
            <w:noWrap/>
            <w:vAlign w:val="bottom"/>
            <w:hideMark/>
          </w:tcPr>
          <w:p w:rsidR="009717AB" w:rsidRPr="00AE6EDB" w:rsidRDefault="009717AB">
            <w:pPr>
              <w:jc w:val="right"/>
              <w:rPr>
                <w:b/>
                <w:bCs/>
                <w:sz w:val="20"/>
                <w:szCs w:val="20"/>
              </w:rPr>
            </w:pPr>
            <w:r w:rsidRPr="00AE6EDB">
              <w:rPr>
                <w:b/>
                <w:bCs/>
                <w:sz w:val="20"/>
                <w:szCs w:val="20"/>
              </w:rPr>
              <w:t>97</w:t>
            </w:r>
            <w:r w:rsidR="00AC44CB">
              <w:rPr>
                <w:b/>
                <w:bCs/>
                <w:sz w:val="20"/>
                <w:szCs w:val="20"/>
              </w:rPr>
              <w:t>7 8</w:t>
            </w:r>
            <w:r w:rsidRPr="00AE6EDB">
              <w:rPr>
                <w:b/>
                <w:bCs/>
                <w:sz w:val="20"/>
                <w:szCs w:val="20"/>
              </w:rPr>
              <w:t>0</w:t>
            </w:r>
            <w:r w:rsidR="0054295F">
              <w:rPr>
                <w:b/>
                <w:bCs/>
                <w:sz w:val="20"/>
                <w:szCs w:val="20"/>
              </w:rPr>
              <w:t>2 5</w:t>
            </w:r>
            <w:r w:rsidRPr="00AE6EDB">
              <w:rPr>
                <w:b/>
                <w:bCs/>
                <w:sz w:val="20"/>
                <w:szCs w:val="20"/>
              </w:rPr>
              <w:t>67</w:t>
            </w:r>
          </w:p>
        </w:tc>
        <w:tc>
          <w:tcPr>
            <w:tcW w:w="1606" w:type="dxa"/>
            <w:shd w:val="clear" w:color="auto" w:fill="auto"/>
            <w:noWrap/>
            <w:vAlign w:val="bottom"/>
            <w:hideMark/>
          </w:tcPr>
          <w:p w:rsidR="009717AB" w:rsidRPr="00AE6EDB" w:rsidRDefault="009717AB">
            <w:pPr>
              <w:jc w:val="right"/>
              <w:rPr>
                <w:b/>
                <w:bCs/>
                <w:sz w:val="20"/>
                <w:szCs w:val="20"/>
              </w:rPr>
            </w:pPr>
            <w:r w:rsidRPr="00AE6EDB">
              <w:rPr>
                <w:b/>
                <w:bCs/>
                <w:sz w:val="20"/>
                <w:szCs w:val="20"/>
              </w:rPr>
              <w:t>94</w:t>
            </w:r>
            <w:r w:rsidR="00AC44CB">
              <w:rPr>
                <w:b/>
                <w:bCs/>
                <w:sz w:val="20"/>
                <w:szCs w:val="20"/>
              </w:rPr>
              <w:t>6 8</w:t>
            </w:r>
            <w:r w:rsidRPr="00AE6EDB">
              <w:rPr>
                <w:b/>
                <w:bCs/>
                <w:sz w:val="20"/>
                <w:szCs w:val="20"/>
              </w:rPr>
              <w:t>1</w:t>
            </w:r>
            <w:r w:rsidR="0054295F">
              <w:rPr>
                <w:b/>
                <w:bCs/>
                <w:sz w:val="20"/>
                <w:szCs w:val="20"/>
              </w:rPr>
              <w:t>4 2</w:t>
            </w:r>
            <w:r w:rsidRPr="00AE6EDB">
              <w:rPr>
                <w:b/>
                <w:bCs/>
                <w:sz w:val="20"/>
                <w:szCs w:val="20"/>
              </w:rPr>
              <w:t>91</w:t>
            </w:r>
          </w:p>
        </w:tc>
        <w:tc>
          <w:tcPr>
            <w:tcW w:w="1644" w:type="dxa"/>
            <w:shd w:val="clear" w:color="auto" w:fill="auto"/>
            <w:noWrap/>
            <w:vAlign w:val="bottom"/>
            <w:hideMark/>
          </w:tcPr>
          <w:p w:rsidR="009717AB" w:rsidRPr="00AE6EDB" w:rsidRDefault="009717AB">
            <w:pPr>
              <w:jc w:val="right"/>
              <w:rPr>
                <w:b/>
                <w:bCs/>
                <w:sz w:val="20"/>
                <w:szCs w:val="20"/>
              </w:rPr>
            </w:pPr>
            <w:r w:rsidRPr="00AE6EDB">
              <w:rPr>
                <w:b/>
                <w:bCs/>
                <w:sz w:val="20"/>
                <w:szCs w:val="20"/>
              </w:rPr>
              <w:t>94</w:t>
            </w:r>
            <w:r w:rsidR="00AC44CB">
              <w:rPr>
                <w:b/>
                <w:bCs/>
                <w:sz w:val="20"/>
                <w:szCs w:val="20"/>
              </w:rPr>
              <w:t>6 4</w:t>
            </w:r>
            <w:r w:rsidRPr="00AE6EDB">
              <w:rPr>
                <w:b/>
                <w:bCs/>
                <w:sz w:val="20"/>
                <w:szCs w:val="20"/>
              </w:rPr>
              <w:t>2</w:t>
            </w:r>
            <w:r w:rsidR="00AC44CB">
              <w:rPr>
                <w:b/>
                <w:bCs/>
                <w:sz w:val="20"/>
                <w:szCs w:val="20"/>
              </w:rPr>
              <w:t>9 7</w:t>
            </w:r>
            <w:r w:rsidRPr="00AE6EDB">
              <w:rPr>
                <w:b/>
                <w:bCs/>
                <w:sz w:val="20"/>
                <w:szCs w:val="20"/>
              </w:rPr>
              <w:t>16</w:t>
            </w:r>
          </w:p>
        </w:tc>
        <w:tc>
          <w:tcPr>
            <w:tcW w:w="778" w:type="dxa"/>
            <w:shd w:val="clear" w:color="auto" w:fill="auto"/>
            <w:noWrap/>
            <w:vAlign w:val="bottom"/>
            <w:hideMark/>
          </w:tcPr>
          <w:p w:rsidR="009717AB" w:rsidRPr="00AE6EDB" w:rsidRDefault="009717AB">
            <w:pPr>
              <w:jc w:val="right"/>
              <w:rPr>
                <w:b/>
                <w:bCs/>
                <w:sz w:val="20"/>
                <w:szCs w:val="20"/>
              </w:rPr>
            </w:pPr>
            <w:r w:rsidRPr="00AE6EDB">
              <w:rPr>
                <w:b/>
                <w:bCs/>
                <w:sz w:val="20"/>
                <w:szCs w:val="20"/>
              </w:rPr>
              <w:t>100,0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07C0201</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Prídavok na dieťa</w:t>
            </w:r>
          </w:p>
        </w:tc>
        <w:tc>
          <w:tcPr>
            <w:tcW w:w="1541" w:type="dxa"/>
            <w:shd w:val="clear" w:color="auto" w:fill="auto"/>
            <w:noWrap/>
            <w:vAlign w:val="bottom"/>
            <w:hideMark/>
          </w:tcPr>
          <w:p w:rsidR="009717AB" w:rsidRPr="00AE6EDB" w:rsidRDefault="009717AB">
            <w:pPr>
              <w:jc w:val="right"/>
              <w:rPr>
                <w:sz w:val="20"/>
                <w:szCs w:val="20"/>
              </w:rPr>
            </w:pPr>
            <w:r w:rsidRPr="00AE6EDB">
              <w:rPr>
                <w:sz w:val="20"/>
                <w:szCs w:val="20"/>
              </w:rPr>
              <w:t>31</w:t>
            </w:r>
            <w:r w:rsidR="00AC44CB">
              <w:rPr>
                <w:sz w:val="20"/>
                <w:szCs w:val="20"/>
              </w:rPr>
              <w:t>9 1</w:t>
            </w:r>
            <w:r w:rsidRPr="00AE6EDB">
              <w:rPr>
                <w:sz w:val="20"/>
                <w:szCs w:val="20"/>
              </w:rPr>
              <w:t>5</w:t>
            </w:r>
            <w:r w:rsidR="00AC44CB">
              <w:rPr>
                <w:sz w:val="20"/>
                <w:szCs w:val="20"/>
              </w:rPr>
              <w:t>8 5</w:t>
            </w:r>
            <w:r w:rsidRPr="00AE6EDB">
              <w:rPr>
                <w:sz w:val="20"/>
                <w:szCs w:val="20"/>
              </w:rPr>
              <w:t>57</w:t>
            </w:r>
          </w:p>
        </w:tc>
        <w:tc>
          <w:tcPr>
            <w:tcW w:w="1606" w:type="dxa"/>
            <w:shd w:val="clear" w:color="auto" w:fill="auto"/>
            <w:noWrap/>
            <w:vAlign w:val="bottom"/>
            <w:hideMark/>
          </w:tcPr>
          <w:p w:rsidR="009717AB" w:rsidRPr="00AE6EDB" w:rsidRDefault="009717AB">
            <w:pPr>
              <w:jc w:val="right"/>
              <w:rPr>
                <w:sz w:val="20"/>
                <w:szCs w:val="20"/>
              </w:rPr>
            </w:pPr>
            <w:r w:rsidRPr="00AE6EDB">
              <w:rPr>
                <w:sz w:val="20"/>
                <w:szCs w:val="20"/>
              </w:rPr>
              <w:t>31</w:t>
            </w:r>
            <w:r w:rsidR="00AC44CB">
              <w:rPr>
                <w:sz w:val="20"/>
                <w:szCs w:val="20"/>
              </w:rPr>
              <w:t>5 4</w:t>
            </w:r>
            <w:r w:rsidRPr="00AE6EDB">
              <w:rPr>
                <w:sz w:val="20"/>
                <w:szCs w:val="20"/>
              </w:rPr>
              <w:t>0</w:t>
            </w:r>
            <w:r w:rsidR="0054295F">
              <w:rPr>
                <w:sz w:val="20"/>
                <w:szCs w:val="20"/>
              </w:rPr>
              <w:t>1 9</w:t>
            </w:r>
            <w:r w:rsidRPr="00AE6EDB">
              <w:rPr>
                <w:sz w:val="20"/>
                <w:szCs w:val="20"/>
              </w:rPr>
              <w:t>30</w:t>
            </w:r>
          </w:p>
        </w:tc>
        <w:tc>
          <w:tcPr>
            <w:tcW w:w="1644" w:type="dxa"/>
            <w:shd w:val="clear" w:color="auto" w:fill="auto"/>
            <w:noWrap/>
            <w:vAlign w:val="bottom"/>
            <w:hideMark/>
          </w:tcPr>
          <w:p w:rsidR="009717AB" w:rsidRPr="00AE6EDB" w:rsidRDefault="009717AB">
            <w:pPr>
              <w:jc w:val="right"/>
              <w:rPr>
                <w:sz w:val="20"/>
                <w:szCs w:val="20"/>
              </w:rPr>
            </w:pPr>
            <w:r w:rsidRPr="00AE6EDB">
              <w:rPr>
                <w:sz w:val="20"/>
                <w:szCs w:val="20"/>
              </w:rPr>
              <w:t>31</w:t>
            </w:r>
            <w:r w:rsidR="00AC44CB">
              <w:rPr>
                <w:sz w:val="20"/>
                <w:szCs w:val="20"/>
              </w:rPr>
              <w:t>5 3</w:t>
            </w:r>
            <w:r w:rsidRPr="00AE6EDB">
              <w:rPr>
                <w:sz w:val="20"/>
                <w:szCs w:val="20"/>
              </w:rPr>
              <w:t>6</w:t>
            </w:r>
            <w:r w:rsidR="00AC44CB">
              <w:rPr>
                <w:sz w:val="20"/>
                <w:szCs w:val="20"/>
              </w:rPr>
              <w:t>4 9</w:t>
            </w:r>
            <w:r w:rsidRPr="00AE6EDB">
              <w:rPr>
                <w:sz w:val="20"/>
                <w:szCs w:val="20"/>
              </w:rPr>
              <w:t>48</w:t>
            </w:r>
          </w:p>
        </w:tc>
        <w:tc>
          <w:tcPr>
            <w:tcW w:w="778" w:type="dxa"/>
            <w:shd w:val="clear" w:color="auto" w:fill="auto"/>
            <w:noWrap/>
            <w:vAlign w:val="bottom"/>
            <w:hideMark/>
          </w:tcPr>
          <w:p w:rsidR="009717AB" w:rsidRPr="00AE6EDB" w:rsidRDefault="009717AB">
            <w:pPr>
              <w:jc w:val="right"/>
              <w:rPr>
                <w:sz w:val="20"/>
                <w:szCs w:val="20"/>
              </w:rPr>
            </w:pPr>
            <w:r w:rsidRPr="00AE6EDB">
              <w:rPr>
                <w:sz w:val="20"/>
                <w:szCs w:val="20"/>
              </w:rPr>
              <w:t>100,0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07C0202</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Rodičovský príspevok</w:t>
            </w:r>
          </w:p>
        </w:tc>
        <w:tc>
          <w:tcPr>
            <w:tcW w:w="1541" w:type="dxa"/>
            <w:shd w:val="clear" w:color="auto" w:fill="auto"/>
            <w:noWrap/>
            <w:vAlign w:val="bottom"/>
            <w:hideMark/>
          </w:tcPr>
          <w:p w:rsidR="009717AB" w:rsidRPr="00AE6EDB" w:rsidRDefault="009717AB">
            <w:pPr>
              <w:jc w:val="right"/>
              <w:rPr>
                <w:sz w:val="20"/>
                <w:szCs w:val="20"/>
              </w:rPr>
            </w:pPr>
            <w:r w:rsidRPr="00AE6EDB">
              <w:rPr>
                <w:sz w:val="20"/>
                <w:szCs w:val="20"/>
              </w:rPr>
              <w:t>35</w:t>
            </w:r>
            <w:r w:rsidR="00AC44CB">
              <w:rPr>
                <w:sz w:val="20"/>
                <w:szCs w:val="20"/>
              </w:rPr>
              <w:t>8 4</w:t>
            </w:r>
            <w:r w:rsidRPr="00AE6EDB">
              <w:rPr>
                <w:sz w:val="20"/>
                <w:szCs w:val="20"/>
              </w:rPr>
              <w:t>4</w:t>
            </w:r>
            <w:r w:rsidR="0054295F">
              <w:rPr>
                <w:sz w:val="20"/>
                <w:szCs w:val="20"/>
              </w:rPr>
              <w:t>2 8</w:t>
            </w:r>
            <w:r w:rsidRPr="00AE6EDB">
              <w:rPr>
                <w:sz w:val="20"/>
                <w:szCs w:val="20"/>
              </w:rPr>
              <w:t>39</w:t>
            </w:r>
          </w:p>
        </w:tc>
        <w:tc>
          <w:tcPr>
            <w:tcW w:w="1606" w:type="dxa"/>
            <w:shd w:val="clear" w:color="auto" w:fill="auto"/>
            <w:noWrap/>
            <w:vAlign w:val="bottom"/>
            <w:hideMark/>
          </w:tcPr>
          <w:p w:rsidR="009717AB" w:rsidRPr="00AE6EDB" w:rsidRDefault="009717AB">
            <w:pPr>
              <w:jc w:val="right"/>
              <w:rPr>
                <w:sz w:val="20"/>
                <w:szCs w:val="20"/>
              </w:rPr>
            </w:pPr>
            <w:r w:rsidRPr="00AE6EDB">
              <w:rPr>
                <w:sz w:val="20"/>
                <w:szCs w:val="20"/>
              </w:rPr>
              <w:t>35</w:t>
            </w:r>
            <w:r w:rsidR="00AC44CB">
              <w:rPr>
                <w:sz w:val="20"/>
                <w:szCs w:val="20"/>
              </w:rPr>
              <w:t>5 4</w:t>
            </w:r>
            <w:r w:rsidRPr="00AE6EDB">
              <w:rPr>
                <w:sz w:val="20"/>
                <w:szCs w:val="20"/>
              </w:rPr>
              <w:t>1</w:t>
            </w:r>
            <w:r w:rsidR="0054295F">
              <w:rPr>
                <w:sz w:val="20"/>
                <w:szCs w:val="20"/>
              </w:rPr>
              <w:t>0 6</w:t>
            </w:r>
            <w:r w:rsidRPr="00AE6EDB">
              <w:rPr>
                <w:sz w:val="20"/>
                <w:szCs w:val="20"/>
              </w:rPr>
              <w:t>12</w:t>
            </w:r>
          </w:p>
        </w:tc>
        <w:tc>
          <w:tcPr>
            <w:tcW w:w="1644" w:type="dxa"/>
            <w:shd w:val="clear" w:color="auto" w:fill="auto"/>
            <w:noWrap/>
            <w:vAlign w:val="bottom"/>
            <w:hideMark/>
          </w:tcPr>
          <w:p w:rsidR="009717AB" w:rsidRPr="00AE6EDB" w:rsidRDefault="009717AB">
            <w:pPr>
              <w:jc w:val="right"/>
              <w:rPr>
                <w:sz w:val="20"/>
                <w:szCs w:val="20"/>
              </w:rPr>
            </w:pPr>
            <w:r w:rsidRPr="00AE6EDB">
              <w:rPr>
                <w:sz w:val="20"/>
                <w:szCs w:val="20"/>
              </w:rPr>
              <w:t>35</w:t>
            </w:r>
            <w:r w:rsidR="00AC44CB">
              <w:rPr>
                <w:sz w:val="20"/>
                <w:szCs w:val="20"/>
              </w:rPr>
              <w:t>5 2</w:t>
            </w:r>
            <w:r w:rsidRPr="00AE6EDB">
              <w:rPr>
                <w:sz w:val="20"/>
                <w:szCs w:val="20"/>
              </w:rPr>
              <w:t>8</w:t>
            </w:r>
            <w:r w:rsidR="0054295F">
              <w:rPr>
                <w:sz w:val="20"/>
                <w:szCs w:val="20"/>
              </w:rPr>
              <w:t>0 1</w:t>
            </w:r>
            <w:r w:rsidRPr="00AE6EDB">
              <w:rPr>
                <w:sz w:val="20"/>
                <w:szCs w:val="20"/>
              </w:rPr>
              <w:t>74</w:t>
            </w:r>
          </w:p>
        </w:tc>
        <w:tc>
          <w:tcPr>
            <w:tcW w:w="778" w:type="dxa"/>
            <w:shd w:val="clear" w:color="auto" w:fill="auto"/>
            <w:noWrap/>
            <w:vAlign w:val="bottom"/>
            <w:hideMark/>
          </w:tcPr>
          <w:p w:rsidR="009717AB" w:rsidRPr="00AE6EDB" w:rsidRDefault="009717AB">
            <w:pPr>
              <w:jc w:val="right"/>
              <w:rPr>
                <w:sz w:val="20"/>
                <w:szCs w:val="20"/>
              </w:rPr>
            </w:pPr>
            <w:r w:rsidRPr="00AE6EDB">
              <w:rPr>
                <w:sz w:val="20"/>
                <w:szCs w:val="20"/>
              </w:rPr>
              <w:t>100,0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07C0206</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Ostatné príspevky na podporu rodiny</w:t>
            </w:r>
          </w:p>
        </w:tc>
        <w:tc>
          <w:tcPr>
            <w:tcW w:w="1541" w:type="dxa"/>
            <w:shd w:val="clear" w:color="auto" w:fill="auto"/>
            <w:noWrap/>
            <w:vAlign w:val="bottom"/>
            <w:hideMark/>
          </w:tcPr>
          <w:p w:rsidR="009717AB" w:rsidRPr="00AE6EDB" w:rsidRDefault="009717AB">
            <w:pPr>
              <w:jc w:val="right"/>
              <w:rPr>
                <w:sz w:val="20"/>
                <w:szCs w:val="20"/>
              </w:rPr>
            </w:pPr>
            <w:r w:rsidRPr="00AE6EDB">
              <w:rPr>
                <w:sz w:val="20"/>
                <w:szCs w:val="20"/>
              </w:rPr>
              <w:t>4</w:t>
            </w:r>
            <w:r w:rsidR="00AC44CB">
              <w:rPr>
                <w:sz w:val="20"/>
                <w:szCs w:val="20"/>
              </w:rPr>
              <w:t>6 7</w:t>
            </w:r>
            <w:r w:rsidRPr="00AE6EDB">
              <w:rPr>
                <w:sz w:val="20"/>
                <w:szCs w:val="20"/>
              </w:rPr>
              <w:t>5</w:t>
            </w:r>
            <w:r w:rsidR="00AC44CB">
              <w:rPr>
                <w:sz w:val="20"/>
                <w:szCs w:val="20"/>
              </w:rPr>
              <w:t>7 9</w:t>
            </w:r>
            <w:r w:rsidRPr="00AE6EDB">
              <w:rPr>
                <w:sz w:val="20"/>
                <w:szCs w:val="20"/>
              </w:rPr>
              <w:t>84</w:t>
            </w:r>
          </w:p>
        </w:tc>
        <w:tc>
          <w:tcPr>
            <w:tcW w:w="1606" w:type="dxa"/>
            <w:shd w:val="clear" w:color="auto" w:fill="auto"/>
            <w:noWrap/>
            <w:vAlign w:val="bottom"/>
            <w:hideMark/>
          </w:tcPr>
          <w:p w:rsidR="009717AB" w:rsidRPr="00AE6EDB" w:rsidRDefault="009717AB">
            <w:pPr>
              <w:jc w:val="right"/>
              <w:rPr>
                <w:sz w:val="20"/>
                <w:szCs w:val="20"/>
              </w:rPr>
            </w:pPr>
            <w:r w:rsidRPr="00AE6EDB">
              <w:rPr>
                <w:sz w:val="20"/>
                <w:szCs w:val="20"/>
              </w:rPr>
              <w:t>4</w:t>
            </w:r>
            <w:r w:rsidR="00AC44CB">
              <w:rPr>
                <w:sz w:val="20"/>
                <w:szCs w:val="20"/>
              </w:rPr>
              <w:t>5 5</w:t>
            </w:r>
            <w:r w:rsidRPr="00AE6EDB">
              <w:rPr>
                <w:sz w:val="20"/>
                <w:szCs w:val="20"/>
              </w:rPr>
              <w:t>9</w:t>
            </w:r>
            <w:r w:rsidR="0054295F">
              <w:rPr>
                <w:sz w:val="20"/>
                <w:szCs w:val="20"/>
              </w:rPr>
              <w:t>2 1</w:t>
            </w:r>
            <w:r w:rsidRPr="00AE6EDB">
              <w:rPr>
                <w:sz w:val="20"/>
                <w:szCs w:val="20"/>
              </w:rPr>
              <w:t>19</w:t>
            </w:r>
          </w:p>
        </w:tc>
        <w:tc>
          <w:tcPr>
            <w:tcW w:w="1644" w:type="dxa"/>
            <w:shd w:val="clear" w:color="auto" w:fill="auto"/>
            <w:noWrap/>
            <w:vAlign w:val="bottom"/>
            <w:hideMark/>
          </w:tcPr>
          <w:p w:rsidR="009717AB" w:rsidRPr="00AE6EDB" w:rsidRDefault="009717AB">
            <w:pPr>
              <w:jc w:val="right"/>
              <w:rPr>
                <w:sz w:val="20"/>
                <w:szCs w:val="20"/>
              </w:rPr>
            </w:pPr>
            <w:r w:rsidRPr="00AE6EDB">
              <w:rPr>
                <w:sz w:val="20"/>
                <w:szCs w:val="20"/>
              </w:rPr>
              <w:t>4</w:t>
            </w:r>
            <w:r w:rsidR="00AC44CB">
              <w:rPr>
                <w:sz w:val="20"/>
                <w:szCs w:val="20"/>
              </w:rPr>
              <w:t>5 5</w:t>
            </w:r>
            <w:r w:rsidRPr="00AE6EDB">
              <w:rPr>
                <w:sz w:val="20"/>
                <w:szCs w:val="20"/>
              </w:rPr>
              <w:t>8</w:t>
            </w:r>
            <w:r w:rsidR="0054295F">
              <w:rPr>
                <w:sz w:val="20"/>
                <w:szCs w:val="20"/>
              </w:rPr>
              <w:t>2 1</w:t>
            </w:r>
            <w:r w:rsidRPr="00AE6EDB">
              <w:rPr>
                <w:sz w:val="20"/>
                <w:szCs w:val="20"/>
              </w:rPr>
              <w:t>25</w:t>
            </w:r>
          </w:p>
        </w:tc>
        <w:tc>
          <w:tcPr>
            <w:tcW w:w="778" w:type="dxa"/>
            <w:shd w:val="clear" w:color="auto" w:fill="auto"/>
            <w:noWrap/>
            <w:vAlign w:val="bottom"/>
            <w:hideMark/>
          </w:tcPr>
          <w:p w:rsidR="009717AB" w:rsidRPr="00AE6EDB" w:rsidRDefault="009717AB">
            <w:pPr>
              <w:jc w:val="right"/>
              <w:rPr>
                <w:sz w:val="20"/>
                <w:szCs w:val="20"/>
              </w:rPr>
            </w:pPr>
            <w:r w:rsidRPr="00AE6EDB">
              <w:rPr>
                <w:sz w:val="20"/>
                <w:szCs w:val="20"/>
              </w:rPr>
              <w:t>100,0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07C020A</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Štátom platené poistné za osoby starajúce sa o dieťa</w:t>
            </w:r>
          </w:p>
        </w:tc>
        <w:tc>
          <w:tcPr>
            <w:tcW w:w="1541" w:type="dxa"/>
            <w:shd w:val="clear" w:color="auto" w:fill="auto"/>
            <w:noWrap/>
            <w:vAlign w:val="bottom"/>
            <w:hideMark/>
          </w:tcPr>
          <w:p w:rsidR="009717AB" w:rsidRPr="00AE6EDB" w:rsidRDefault="009717AB">
            <w:pPr>
              <w:jc w:val="right"/>
              <w:rPr>
                <w:sz w:val="20"/>
                <w:szCs w:val="20"/>
              </w:rPr>
            </w:pPr>
            <w:r w:rsidRPr="00AE6EDB">
              <w:rPr>
                <w:sz w:val="20"/>
                <w:szCs w:val="20"/>
              </w:rPr>
              <w:t>25</w:t>
            </w:r>
            <w:r w:rsidR="0054295F">
              <w:rPr>
                <w:sz w:val="20"/>
                <w:szCs w:val="20"/>
              </w:rPr>
              <w:t>0 9</w:t>
            </w:r>
            <w:r w:rsidRPr="00AE6EDB">
              <w:rPr>
                <w:sz w:val="20"/>
                <w:szCs w:val="20"/>
              </w:rPr>
              <w:t>1</w:t>
            </w:r>
            <w:r w:rsidR="00AC44CB">
              <w:rPr>
                <w:sz w:val="20"/>
                <w:szCs w:val="20"/>
              </w:rPr>
              <w:t>7 8</w:t>
            </w:r>
            <w:r w:rsidRPr="00AE6EDB">
              <w:rPr>
                <w:sz w:val="20"/>
                <w:szCs w:val="20"/>
              </w:rPr>
              <w:t>88</w:t>
            </w:r>
          </w:p>
        </w:tc>
        <w:tc>
          <w:tcPr>
            <w:tcW w:w="1606" w:type="dxa"/>
            <w:shd w:val="clear" w:color="auto" w:fill="auto"/>
            <w:noWrap/>
            <w:vAlign w:val="bottom"/>
            <w:hideMark/>
          </w:tcPr>
          <w:p w:rsidR="009717AB" w:rsidRPr="00AE6EDB" w:rsidRDefault="009717AB">
            <w:pPr>
              <w:jc w:val="right"/>
              <w:rPr>
                <w:sz w:val="20"/>
                <w:szCs w:val="20"/>
              </w:rPr>
            </w:pPr>
            <w:r w:rsidRPr="00AE6EDB">
              <w:rPr>
                <w:sz w:val="20"/>
                <w:szCs w:val="20"/>
              </w:rPr>
              <w:t>22</w:t>
            </w:r>
            <w:r w:rsidR="00AC44CB">
              <w:rPr>
                <w:sz w:val="20"/>
                <w:szCs w:val="20"/>
              </w:rPr>
              <w:t>7 7</w:t>
            </w:r>
            <w:r w:rsidRPr="00AE6EDB">
              <w:rPr>
                <w:sz w:val="20"/>
                <w:szCs w:val="20"/>
              </w:rPr>
              <w:t>5</w:t>
            </w:r>
            <w:r w:rsidR="00AC44CB">
              <w:rPr>
                <w:sz w:val="20"/>
                <w:szCs w:val="20"/>
              </w:rPr>
              <w:t>7 8</w:t>
            </w:r>
            <w:r w:rsidRPr="00AE6EDB">
              <w:rPr>
                <w:sz w:val="20"/>
                <w:szCs w:val="20"/>
              </w:rPr>
              <w:t>88</w:t>
            </w:r>
          </w:p>
        </w:tc>
        <w:tc>
          <w:tcPr>
            <w:tcW w:w="1644" w:type="dxa"/>
            <w:shd w:val="clear" w:color="auto" w:fill="auto"/>
            <w:noWrap/>
            <w:vAlign w:val="bottom"/>
            <w:hideMark/>
          </w:tcPr>
          <w:p w:rsidR="009717AB" w:rsidRPr="00AE6EDB" w:rsidRDefault="009717AB">
            <w:pPr>
              <w:jc w:val="right"/>
              <w:rPr>
                <w:sz w:val="20"/>
                <w:szCs w:val="20"/>
              </w:rPr>
            </w:pPr>
            <w:r w:rsidRPr="00AE6EDB">
              <w:rPr>
                <w:sz w:val="20"/>
                <w:szCs w:val="20"/>
              </w:rPr>
              <w:t>22</w:t>
            </w:r>
            <w:r w:rsidR="00AC44CB">
              <w:rPr>
                <w:sz w:val="20"/>
                <w:szCs w:val="20"/>
              </w:rPr>
              <w:t>7 7</w:t>
            </w:r>
            <w:r w:rsidRPr="00AE6EDB">
              <w:rPr>
                <w:sz w:val="20"/>
                <w:szCs w:val="20"/>
              </w:rPr>
              <w:t>5</w:t>
            </w:r>
            <w:r w:rsidR="00AC44CB">
              <w:rPr>
                <w:sz w:val="20"/>
                <w:szCs w:val="20"/>
              </w:rPr>
              <w:t>5 9</w:t>
            </w:r>
            <w:r w:rsidRPr="00AE6EDB">
              <w:rPr>
                <w:sz w:val="20"/>
                <w:szCs w:val="20"/>
              </w:rPr>
              <w:t>96</w:t>
            </w:r>
          </w:p>
        </w:tc>
        <w:tc>
          <w:tcPr>
            <w:tcW w:w="778" w:type="dxa"/>
            <w:shd w:val="clear" w:color="auto" w:fill="auto"/>
            <w:noWrap/>
            <w:vAlign w:val="bottom"/>
            <w:hideMark/>
          </w:tcPr>
          <w:p w:rsidR="009717AB" w:rsidRPr="00AE6EDB" w:rsidRDefault="009717AB">
            <w:pPr>
              <w:jc w:val="right"/>
              <w:rPr>
                <w:sz w:val="20"/>
                <w:szCs w:val="20"/>
              </w:rPr>
            </w:pPr>
            <w:r w:rsidRPr="00AE6EDB">
              <w:rPr>
                <w:sz w:val="20"/>
                <w:szCs w:val="20"/>
              </w:rPr>
              <w:t>100,0</w:t>
            </w:r>
          </w:p>
        </w:tc>
      </w:tr>
      <w:tr w:rsidR="009717AB" w:rsidRPr="00AE6EDB" w:rsidTr="00DE0EEC">
        <w:trPr>
          <w:trHeight w:val="262"/>
        </w:trPr>
        <w:tc>
          <w:tcPr>
            <w:tcW w:w="1862" w:type="dxa"/>
            <w:shd w:val="clear" w:color="auto" w:fill="auto"/>
            <w:noWrap/>
            <w:vAlign w:val="bottom"/>
            <w:hideMark/>
          </w:tcPr>
          <w:p w:rsidR="009717AB" w:rsidRPr="00AE6EDB" w:rsidRDefault="009717AB">
            <w:pPr>
              <w:rPr>
                <w:sz w:val="18"/>
                <w:szCs w:val="18"/>
              </w:rPr>
            </w:pPr>
            <w:r w:rsidRPr="00AE6EDB">
              <w:rPr>
                <w:sz w:val="18"/>
                <w:szCs w:val="18"/>
              </w:rPr>
              <w:t>07C020B</w:t>
            </w:r>
          </w:p>
        </w:tc>
        <w:tc>
          <w:tcPr>
            <w:tcW w:w="6662" w:type="dxa"/>
            <w:shd w:val="clear" w:color="auto" w:fill="auto"/>
            <w:noWrap/>
            <w:vAlign w:val="bottom"/>
            <w:hideMark/>
          </w:tcPr>
          <w:p w:rsidR="009717AB" w:rsidRPr="00AE6EDB" w:rsidRDefault="0011713C" w:rsidP="0011713C">
            <w:pPr>
              <w:rPr>
                <w:sz w:val="18"/>
                <w:szCs w:val="18"/>
              </w:rPr>
            </w:pPr>
            <w:r w:rsidRPr="00AE6EDB">
              <w:rPr>
                <w:color w:val="000000" w:themeColor="text1"/>
              </w:rPr>
              <w:t>–</w:t>
            </w:r>
            <w:r w:rsidRPr="00AE6EDB">
              <w:rPr>
                <w:sz w:val="18"/>
                <w:szCs w:val="18"/>
              </w:rPr>
              <w:t xml:space="preserve"> </w:t>
            </w:r>
            <w:r w:rsidR="009717AB" w:rsidRPr="00AE6EDB">
              <w:rPr>
                <w:sz w:val="18"/>
                <w:szCs w:val="18"/>
              </w:rPr>
              <w:t>Príspevok na starostlivosť o dieťa</w:t>
            </w:r>
          </w:p>
        </w:tc>
        <w:tc>
          <w:tcPr>
            <w:tcW w:w="1541" w:type="dxa"/>
            <w:shd w:val="clear" w:color="auto" w:fill="auto"/>
            <w:noWrap/>
            <w:vAlign w:val="bottom"/>
            <w:hideMark/>
          </w:tcPr>
          <w:p w:rsidR="009717AB" w:rsidRPr="00AE6EDB" w:rsidRDefault="0054295F">
            <w:pPr>
              <w:jc w:val="right"/>
              <w:rPr>
                <w:sz w:val="20"/>
                <w:szCs w:val="20"/>
              </w:rPr>
            </w:pPr>
            <w:r>
              <w:rPr>
                <w:sz w:val="20"/>
                <w:szCs w:val="20"/>
              </w:rPr>
              <w:t>2 5</w:t>
            </w:r>
            <w:r w:rsidR="009717AB" w:rsidRPr="00AE6EDB">
              <w:rPr>
                <w:sz w:val="20"/>
                <w:szCs w:val="20"/>
              </w:rPr>
              <w:t>2</w:t>
            </w:r>
            <w:r w:rsidR="00AC44CB">
              <w:rPr>
                <w:sz w:val="20"/>
                <w:szCs w:val="20"/>
              </w:rPr>
              <w:t>5 2</w:t>
            </w:r>
            <w:r w:rsidR="009717AB" w:rsidRPr="00AE6EDB">
              <w:rPr>
                <w:sz w:val="20"/>
                <w:szCs w:val="20"/>
              </w:rPr>
              <w:t>99</w:t>
            </w:r>
          </w:p>
        </w:tc>
        <w:tc>
          <w:tcPr>
            <w:tcW w:w="1606" w:type="dxa"/>
            <w:shd w:val="clear" w:color="auto" w:fill="auto"/>
            <w:noWrap/>
            <w:vAlign w:val="bottom"/>
            <w:hideMark/>
          </w:tcPr>
          <w:p w:rsidR="009717AB" w:rsidRPr="00AE6EDB" w:rsidRDefault="0054295F">
            <w:pPr>
              <w:jc w:val="right"/>
              <w:rPr>
                <w:sz w:val="20"/>
                <w:szCs w:val="20"/>
              </w:rPr>
            </w:pPr>
            <w:r>
              <w:rPr>
                <w:sz w:val="20"/>
                <w:szCs w:val="20"/>
              </w:rPr>
              <w:t>2 6</w:t>
            </w:r>
            <w:r w:rsidR="009717AB" w:rsidRPr="00AE6EDB">
              <w:rPr>
                <w:sz w:val="20"/>
                <w:szCs w:val="20"/>
              </w:rPr>
              <w:t>5</w:t>
            </w:r>
            <w:r>
              <w:rPr>
                <w:sz w:val="20"/>
                <w:szCs w:val="20"/>
              </w:rPr>
              <w:t>1 7</w:t>
            </w:r>
            <w:r w:rsidR="009717AB" w:rsidRPr="00AE6EDB">
              <w:rPr>
                <w:sz w:val="20"/>
                <w:szCs w:val="20"/>
              </w:rPr>
              <w:t>42</w:t>
            </w:r>
          </w:p>
        </w:tc>
        <w:tc>
          <w:tcPr>
            <w:tcW w:w="1644" w:type="dxa"/>
            <w:shd w:val="clear" w:color="auto" w:fill="auto"/>
            <w:noWrap/>
            <w:vAlign w:val="bottom"/>
            <w:hideMark/>
          </w:tcPr>
          <w:p w:rsidR="009717AB" w:rsidRPr="00AE6EDB" w:rsidRDefault="0054295F">
            <w:pPr>
              <w:jc w:val="right"/>
              <w:rPr>
                <w:sz w:val="20"/>
                <w:szCs w:val="20"/>
              </w:rPr>
            </w:pPr>
            <w:r>
              <w:rPr>
                <w:sz w:val="20"/>
                <w:szCs w:val="20"/>
              </w:rPr>
              <w:t>2 4</w:t>
            </w:r>
            <w:r w:rsidR="009717AB" w:rsidRPr="00AE6EDB">
              <w:rPr>
                <w:sz w:val="20"/>
                <w:szCs w:val="20"/>
              </w:rPr>
              <w:t>4</w:t>
            </w:r>
            <w:r w:rsidR="00AC44CB">
              <w:rPr>
                <w:sz w:val="20"/>
                <w:szCs w:val="20"/>
              </w:rPr>
              <w:t>6 4</w:t>
            </w:r>
            <w:r w:rsidR="009717AB" w:rsidRPr="00AE6EDB">
              <w:rPr>
                <w:sz w:val="20"/>
                <w:szCs w:val="20"/>
              </w:rPr>
              <w:t>73</w:t>
            </w:r>
          </w:p>
        </w:tc>
        <w:tc>
          <w:tcPr>
            <w:tcW w:w="778" w:type="dxa"/>
            <w:shd w:val="clear" w:color="auto" w:fill="auto"/>
            <w:noWrap/>
            <w:vAlign w:val="bottom"/>
            <w:hideMark/>
          </w:tcPr>
          <w:p w:rsidR="009717AB" w:rsidRPr="00AE6EDB" w:rsidRDefault="009717AB">
            <w:pPr>
              <w:jc w:val="right"/>
              <w:rPr>
                <w:sz w:val="20"/>
                <w:szCs w:val="20"/>
              </w:rPr>
            </w:pPr>
            <w:r w:rsidRPr="00AE6EDB">
              <w:rPr>
                <w:sz w:val="20"/>
                <w:szCs w:val="20"/>
              </w:rPr>
              <w:t>92,3</w:t>
            </w:r>
          </w:p>
        </w:tc>
      </w:tr>
      <w:tr w:rsidR="009717AB" w:rsidRPr="00AE6EDB" w:rsidTr="00DE0EEC">
        <w:trPr>
          <w:trHeight w:val="262"/>
        </w:trPr>
        <w:tc>
          <w:tcPr>
            <w:tcW w:w="1862" w:type="dxa"/>
            <w:shd w:val="clear" w:color="auto" w:fill="auto"/>
            <w:noWrap/>
            <w:vAlign w:val="bottom"/>
            <w:hideMark/>
          </w:tcPr>
          <w:p w:rsidR="009717AB" w:rsidRPr="00AE6EDB" w:rsidRDefault="009717AB">
            <w:pPr>
              <w:rPr>
                <w:b/>
                <w:bCs/>
                <w:sz w:val="20"/>
                <w:szCs w:val="20"/>
              </w:rPr>
            </w:pPr>
            <w:r w:rsidRPr="00AE6EDB">
              <w:rPr>
                <w:b/>
                <w:bCs/>
                <w:sz w:val="20"/>
                <w:szCs w:val="20"/>
              </w:rPr>
              <w:t>07C03</w:t>
            </w:r>
          </w:p>
        </w:tc>
        <w:tc>
          <w:tcPr>
            <w:tcW w:w="6662" w:type="dxa"/>
            <w:shd w:val="clear" w:color="auto" w:fill="auto"/>
            <w:noWrap/>
            <w:vAlign w:val="bottom"/>
            <w:hideMark/>
          </w:tcPr>
          <w:p w:rsidR="009717AB" w:rsidRPr="00AE6EDB" w:rsidRDefault="009717AB">
            <w:pPr>
              <w:rPr>
                <w:b/>
                <w:bCs/>
                <w:sz w:val="20"/>
                <w:szCs w:val="20"/>
              </w:rPr>
            </w:pPr>
            <w:r w:rsidRPr="00AE6EDB">
              <w:rPr>
                <w:b/>
                <w:bCs/>
                <w:sz w:val="20"/>
                <w:szCs w:val="20"/>
              </w:rPr>
              <w:t>Kompenzácia sociálnych dôsledkov ŤZP</w:t>
            </w:r>
          </w:p>
        </w:tc>
        <w:tc>
          <w:tcPr>
            <w:tcW w:w="1541" w:type="dxa"/>
            <w:shd w:val="clear" w:color="auto" w:fill="auto"/>
            <w:noWrap/>
            <w:vAlign w:val="bottom"/>
            <w:hideMark/>
          </w:tcPr>
          <w:p w:rsidR="009717AB" w:rsidRPr="00AE6EDB" w:rsidRDefault="009717AB">
            <w:pPr>
              <w:jc w:val="right"/>
              <w:rPr>
                <w:b/>
                <w:bCs/>
                <w:sz w:val="20"/>
                <w:szCs w:val="20"/>
              </w:rPr>
            </w:pPr>
            <w:r w:rsidRPr="00AE6EDB">
              <w:rPr>
                <w:b/>
                <w:bCs/>
                <w:sz w:val="20"/>
                <w:szCs w:val="20"/>
              </w:rPr>
              <w:t>24</w:t>
            </w:r>
            <w:r w:rsidR="00AC44CB">
              <w:rPr>
                <w:b/>
                <w:bCs/>
                <w:sz w:val="20"/>
                <w:szCs w:val="20"/>
              </w:rPr>
              <w:t>7 5</w:t>
            </w:r>
            <w:r w:rsidRPr="00AE6EDB">
              <w:rPr>
                <w:b/>
                <w:bCs/>
                <w:sz w:val="20"/>
                <w:szCs w:val="20"/>
              </w:rPr>
              <w:t>0</w:t>
            </w:r>
            <w:r w:rsidR="0054295F">
              <w:rPr>
                <w:b/>
                <w:bCs/>
                <w:sz w:val="20"/>
                <w:szCs w:val="20"/>
              </w:rPr>
              <w:t>2 9</w:t>
            </w:r>
            <w:r w:rsidRPr="00AE6EDB">
              <w:rPr>
                <w:b/>
                <w:bCs/>
                <w:sz w:val="20"/>
                <w:szCs w:val="20"/>
              </w:rPr>
              <w:t>03</w:t>
            </w:r>
          </w:p>
        </w:tc>
        <w:tc>
          <w:tcPr>
            <w:tcW w:w="1606" w:type="dxa"/>
            <w:shd w:val="clear" w:color="auto" w:fill="auto"/>
            <w:noWrap/>
            <w:vAlign w:val="bottom"/>
            <w:hideMark/>
          </w:tcPr>
          <w:p w:rsidR="009717AB" w:rsidRPr="00AE6EDB" w:rsidRDefault="009717AB">
            <w:pPr>
              <w:jc w:val="right"/>
              <w:rPr>
                <w:b/>
                <w:bCs/>
                <w:sz w:val="20"/>
                <w:szCs w:val="20"/>
              </w:rPr>
            </w:pPr>
            <w:r w:rsidRPr="00AE6EDB">
              <w:rPr>
                <w:b/>
                <w:bCs/>
                <w:sz w:val="20"/>
                <w:szCs w:val="20"/>
              </w:rPr>
              <w:t>23</w:t>
            </w:r>
            <w:r w:rsidR="0054295F">
              <w:rPr>
                <w:b/>
                <w:bCs/>
                <w:sz w:val="20"/>
                <w:szCs w:val="20"/>
              </w:rPr>
              <w:t>3 1</w:t>
            </w:r>
            <w:r w:rsidRPr="00AE6EDB">
              <w:rPr>
                <w:b/>
                <w:bCs/>
                <w:sz w:val="20"/>
                <w:szCs w:val="20"/>
              </w:rPr>
              <w:t>9</w:t>
            </w:r>
            <w:r w:rsidR="00AC44CB">
              <w:rPr>
                <w:b/>
                <w:bCs/>
                <w:sz w:val="20"/>
                <w:szCs w:val="20"/>
              </w:rPr>
              <w:t>5 7</w:t>
            </w:r>
            <w:r w:rsidRPr="00AE6EDB">
              <w:rPr>
                <w:b/>
                <w:bCs/>
                <w:sz w:val="20"/>
                <w:szCs w:val="20"/>
              </w:rPr>
              <w:t>06</w:t>
            </w:r>
          </w:p>
        </w:tc>
        <w:tc>
          <w:tcPr>
            <w:tcW w:w="1644" w:type="dxa"/>
            <w:shd w:val="clear" w:color="auto" w:fill="auto"/>
            <w:noWrap/>
            <w:vAlign w:val="bottom"/>
            <w:hideMark/>
          </w:tcPr>
          <w:p w:rsidR="009717AB" w:rsidRPr="00AE6EDB" w:rsidRDefault="009717AB">
            <w:pPr>
              <w:jc w:val="right"/>
              <w:rPr>
                <w:b/>
                <w:bCs/>
                <w:sz w:val="20"/>
                <w:szCs w:val="20"/>
              </w:rPr>
            </w:pPr>
            <w:r w:rsidRPr="00AE6EDB">
              <w:rPr>
                <w:b/>
                <w:bCs/>
                <w:sz w:val="20"/>
                <w:szCs w:val="20"/>
              </w:rPr>
              <w:t>23</w:t>
            </w:r>
            <w:r w:rsidR="0054295F">
              <w:rPr>
                <w:b/>
                <w:bCs/>
                <w:sz w:val="20"/>
                <w:szCs w:val="20"/>
              </w:rPr>
              <w:t>2 0</w:t>
            </w:r>
            <w:r w:rsidRPr="00AE6EDB">
              <w:rPr>
                <w:b/>
                <w:bCs/>
                <w:sz w:val="20"/>
                <w:szCs w:val="20"/>
              </w:rPr>
              <w:t>1</w:t>
            </w:r>
            <w:r w:rsidR="0054295F">
              <w:rPr>
                <w:b/>
                <w:bCs/>
                <w:sz w:val="20"/>
                <w:szCs w:val="20"/>
              </w:rPr>
              <w:t>3 7</w:t>
            </w:r>
            <w:r w:rsidRPr="00AE6EDB">
              <w:rPr>
                <w:b/>
                <w:bCs/>
                <w:sz w:val="20"/>
                <w:szCs w:val="20"/>
              </w:rPr>
              <w:t>79</w:t>
            </w:r>
          </w:p>
        </w:tc>
        <w:tc>
          <w:tcPr>
            <w:tcW w:w="778" w:type="dxa"/>
            <w:shd w:val="clear" w:color="auto" w:fill="auto"/>
            <w:noWrap/>
            <w:vAlign w:val="bottom"/>
            <w:hideMark/>
          </w:tcPr>
          <w:p w:rsidR="009717AB" w:rsidRPr="00AE6EDB" w:rsidRDefault="009717AB">
            <w:pPr>
              <w:jc w:val="right"/>
              <w:rPr>
                <w:b/>
                <w:bCs/>
                <w:sz w:val="20"/>
                <w:szCs w:val="20"/>
              </w:rPr>
            </w:pPr>
            <w:r w:rsidRPr="00AE6EDB">
              <w:rPr>
                <w:b/>
                <w:bCs/>
                <w:sz w:val="20"/>
                <w:szCs w:val="20"/>
              </w:rPr>
              <w:t>99,5</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b/>
                <w:bCs/>
                <w:sz w:val="20"/>
                <w:szCs w:val="20"/>
              </w:rPr>
            </w:pPr>
            <w:r w:rsidRPr="00AE6EDB">
              <w:rPr>
                <w:b/>
                <w:bCs/>
                <w:sz w:val="20"/>
                <w:szCs w:val="20"/>
              </w:rPr>
              <w:t>07C04</w:t>
            </w:r>
          </w:p>
        </w:tc>
        <w:tc>
          <w:tcPr>
            <w:tcW w:w="6662" w:type="dxa"/>
            <w:shd w:val="clear" w:color="auto" w:fill="auto"/>
            <w:noWrap/>
            <w:vAlign w:val="bottom"/>
            <w:hideMark/>
          </w:tcPr>
          <w:p w:rsidR="009717AB" w:rsidRPr="00AE6EDB" w:rsidRDefault="009717AB" w:rsidP="00DE0EEC">
            <w:pPr>
              <w:rPr>
                <w:b/>
                <w:bCs/>
                <w:sz w:val="20"/>
                <w:szCs w:val="20"/>
              </w:rPr>
            </w:pPr>
            <w:r w:rsidRPr="00AE6EDB">
              <w:rPr>
                <w:b/>
                <w:bCs/>
                <w:sz w:val="20"/>
                <w:szCs w:val="20"/>
              </w:rPr>
              <w:t>Iniciatívy v oblasti sociálnej inklúzie</w:t>
            </w:r>
          </w:p>
        </w:tc>
        <w:tc>
          <w:tcPr>
            <w:tcW w:w="1541" w:type="dxa"/>
            <w:shd w:val="clear" w:color="auto" w:fill="auto"/>
            <w:noWrap/>
            <w:vAlign w:val="bottom"/>
            <w:hideMark/>
          </w:tcPr>
          <w:p w:rsidR="009717AB" w:rsidRPr="00AE6EDB" w:rsidRDefault="0054295F">
            <w:pPr>
              <w:jc w:val="right"/>
              <w:rPr>
                <w:b/>
                <w:bCs/>
                <w:sz w:val="20"/>
                <w:szCs w:val="16"/>
              </w:rPr>
            </w:pPr>
            <w:r>
              <w:rPr>
                <w:b/>
                <w:bCs/>
                <w:sz w:val="20"/>
                <w:szCs w:val="16"/>
              </w:rPr>
              <w:t>3 1</w:t>
            </w:r>
            <w:r w:rsidR="009717AB" w:rsidRPr="00AE6EDB">
              <w:rPr>
                <w:b/>
                <w:bCs/>
                <w:sz w:val="20"/>
                <w:szCs w:val="16"/>
              </w:rPr>
              <w:t>0</w:t>
            </w:r>
            <w:r w:rsidR="00AC44CB">
              <w:rPr>
                <w:b/>
                <w:bCs/>
                <w:sz w:val="20"/>
                <w:szCs w:val="16"/>
              </w:rPr>
              <w:t>9 7</w:t>
            </w:r>
            <w:r w:rsidR="009717AB" w:rsidRPr="00AE6EDB">
              <w:rPr>
                <w:b/>
                <w:bCs/>
                <w:sz w:val="20"/>
                <w:szCs w:val="16"/>
              </w:rPr>
              <w:t>02</w:t>
            </w:r>
          </w:p>
        </w:tc>
        <w:tc>
          <w:tcPr>
            <w:tcW w:w="1606" w:type="dxa"/>
            <w:shd w:val="clear" w:color="auto" w:fill="auto"/>
            <w:noWrap/>
            <w:vAlign w:val="bottom"/>
            <w:hideMark/>
          </w:tcPr>
          <w:p w:rsidR="009717AB" w:rsidRPr="00AE6EDB" w:rsidRDefault="0054295F">
            <w:pPr>
              <w:jc w:val="right"/>
              <w:rPr>
                <w:b/>
                <w:bCs/>
                <w:sz w:val="20"/>
                <w:szCs w:val="16"/>
              </w:rPr>
            </w:pPr>
            <w:r>
              <w:rPr>
                <w:b/>
                <w:bCs/>
                <w:sz w:val="20"/>
                <w:szCs w:val="16"/>
              </w:rPr>
              <w:t>2 8</w:t>
            </w:r>
            <w:r w:rsidR="009717AB" w:rsidRPr="00AE6EDB">
              <w:rPr>
                <w:b/>
                <w:bCs/>
                <w:sz w:val="20"/>
                <w:szCs w:val="16"/>
              </w:rPr>
              <w:t>6</w:t>
            </w:r>
            <w:r w:rsidR="00AC44CB">
              <w:rPr>
                <w:b/>
                <w:bCs/>
                <w:sz w:val="20"/>
                <w:szCs w:val="16"/>
              </w:rPr>
              <w:t>8 3</w:t>
            </w:r>
            <w:r w:rsidR="009717AB" w:rsidRPr="00AE6EDB">
              <w:rPr>
                <w:b/>
                <w:bCs/>
                <w:sz w:val="20"/>
                <w:szCs w:val="16"/>
              </w:rPr>
              <w:t>36</w:t>
            </w:r>
          </w:p>
        </w:tc>
        <w:tc>
          <w:tcPr>
            <w:tcW w:w="1644" w:type="dxa"/>
            <w:shd w:val="clear" w:color="auto" w:fill="auto"/>
            <w:noWrap/>
            <w:vAlign w:val="bottom"/>
            <w:hideMark/>
          </w:tcPr>
          <w:p w:rsidR="009717AB" w:rsidRPr="00AE6EDB" w:rsidRDefault="0054295F">
            <w:pPr>
              <w:jc w:val="right"/>
              <w:rPr>
                <w:b/>
                <w:bCs/>
                <w:sz w:val="20"/>
                <w:szCs w:val="16"/>
              </w:rPr>
            </w:pPr>
            <w:r>
              <w:rPr>
                <w:b/>
                <w:bCs/>
                <w:sz w:val="20"/>
                <w:szCs w:val="16"/>
              </w:rPr>
              <w:t>2 7</w:t>
            </w:r>
            <w:r w:rsidR="009717AB" w:rsidRPr="00AE6EDB">
              <w:rPr>
                <w:b/>
                <w:bCs/>
                <w:sz w:val="20"/>
                <w:szCs w:val="16"/>
              </w:rPr>
              <w:t>2</w:t>
            </w:r>
            <w:r w:rsidR="00AC44CB">
              <w:rPr>
                <w:b/>
                <w:bCs/>
                <w:sz w:val="20"/>
                <w:szCs w:val="16"/>
              </w:rPr>
              <w:t>6 6</w:t>
            </w:r>
            <w:r w:rsidR="009717AB" w:rsidRPr="00AE6EDB">
              <w:rPr>
                <w:b/>
                <w:bCs/>
                <w:sz w:val="20"/>
                <w:szCs w:val="16"/>
              </w:rPr>
              <w:t>06</w:t>
            </w:r>
          </w:p>
        </w:tc>
        <w:tc>
          <w:tcPr>
            <w:tcW w:w="778" w:type="dxa"/>
            <w:shd w:val="clear" w:color="auto" w:fill="auto"/>
            <w:noWrap/>
            <w:vAlign w:val="bottom"/>
            <w:hideMark/>
          </w:tcPr>
          <w:p w:rsidR="009717AB" w:rsidRPr="00AE6EDB" w:rsidRDefault="009717AB">
            <w:pPr>
              <w:jc w:val="right"/>
              <w:rPr>
                <w:b/>
                <w:bCs/>
                <w:sz w:val="20"/>
                <w:szCs w:val="16"/>
              </w:rPr>
            </w:pPr>
            <w:r w:rsidRPr="00AE6EDB">
              <w:rPr>
                <w:b/>
                <w:bCs/>
                <w:sz w:val="20"/>
                <w:szCs w:val="16"/>
              </w:rPr>
              <w:t>95,1</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07C040A</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sz w:val="18"/>
                <w:szCs w:val="18"/>
              </w:rPr>
              <w:t>–</w:t>
            </w:r>
            <w:r w:rsidRPr="00AE6EDB">
              <w:rPr>
                <w:sz w:val="18"/>
                <w:szCs w:val="18"/>
              </w:rPr>
              <w:t xml:space="preserve"> Ostatné iniciatívy</w:t>
            </w:r>
          </w:p>
        </w:tc>
        <w:tc>
          <w:tcPr>
            <w:tcW w:w="1541" w:type="dxa"/>
            <w:shd w:val="clear" w:color="auto" w:fill="auto"/>
            <w:noWrap/>
            <w:vAlign w:val="bottom"/>
            <w:hideMark/>
          </w:tcPr>
          <w:p w:rsidR="009717AB" w:rsidRPr="00AE6EDB" w:rsidRDefault="0054295F">
            <w:pPr>
              <w:jc w:val="right"/>
              <w:rPr>
                <w:sz w:val="20"/>
                <w:szCs w:val="16"/>
              </w:rPr>
            </w:pPr>
            <w:r>
              <w:rPr>
                <w:sz w:val="20"/>
                <w:szCs w:val="16"/>
              </w:rPr>
              <w:t>3 1</w:t>
            </w:r>
            <w:r w:rsidR="009717AB" w:rsidRPr="00AE6EDB">
              <w:rPr>
                <w:sz w:val="20"/>
                <w:szCs w:val="16"/>
              </w:rPr>
              <w:t>0</w:t>
            </w:r>
            <w:r w:rsidR="00AC44CB">
              <w:rPr>
                <w:sz w:val="20"/>
                <w:szCs w:val="16"/>
              </w:rPr>
              <w:t>9 7</w:t>
            </w:r>
            <w:r w:rsidR="009717AB" w:rsidRPr="00AE6EDB">
              <w:rPr>
                <w:sz w:val="20"/>
                <w:szCs w:val="16"/>
              </w:rPr>
              <w:t>02</w:t>
            </w:r>
          </w:p>
        </w:tc>
        <w:tc>
          <w:tcPr>
            <w:tcW w:w="1606" w:type="dxa"/>
            <w:shd w:val="clear" w:color="auto" w:fill="auto"/>
            <w:noWrap/>
            <w:vAlign w:val="bottom"/>
            <w:hideMark/>
          </w:tcPr>
          <w:p w:rsidR="009717AB" w:rsidRPr="00AE6EDB" w:rsidRDefault="0054295F">
            <w:pPr>
              <w:jc w:val="right"/>
              <w:rPr>
                <w:sz w:val="20"/>
                <w:szCs w:val="16"/>
              </w:rPr>
            </w:pPr>
            <w:r>
              <w:rPr>
                <w:sz w:val="20"/>
                <w:szCs w:val="16"/>
              </w:rPr>
              <w:t>2 8</w:t>
            </w:r>
            <w:r w:rsidR="009717AB" w:rsidRPr="00AE6EDB">
              <w:rPr>
                <w:sz w:val="20"/>
                <w:szCs w:val="16"/>
              </w:rPr>
              <w:t>3</w:t>
            </w:r>
            <w:r>
              <w:rPr>
                <w:sz w:val="20"/>
                <w:szCs w:val="16"/>
              </w:rPr>
              <w:t>0 2</w:t>
            </w:r>
            <w:r w:rsidR="009717AB" w:rsidRPr="00AE6EDB">
              <w:rPr>
                <w:sz w:val="20"/>
                <w:szCs w:val="16"/>
              </w:rPr>
              <w:t>02</w:t>
            </w:r>
          </w:p>
        </w:tc>
        <w:tc>
          <w:tcPr>
            <w:tcW w:w="1644" w:type="dxa"/>
            <w:shd w:val="clear" w:color="auto" w:fill="auto"/>
            <w:noWrap/>
            <w:vAlign w:val="bottom"/>
            <w:hideMark/>
          </w:tcPr>
          <w:p w:rsidR="009717AB" w:rsidRPr="00AE6EDB" w:rsidRDefault="0054295F">
            <w:pPr>
              <w:jc w:val="right"/>
              <w:rPr>
                <w:sz w:val="20"/>
                <w:szCs w:val="16"/>
              </w:rPr>
            </w:pPr>
            <w:r>
              <w:rPr>
                <w:sz w:val="20"/>
                <w:szCs w:val="16"/>
              </w:rPr>
              <w:t>2 6</w:t>
            </w:r>
            <w:r w:rsidR="009717AB" w:rsidRPr="00AE6EDB">
              <w:rPr>
                <w:sz w:val="20"/>
                <w:szCs w:val="16"/>
              </w:rPr>
              <w:t>8</w:t>
            </w:r>
            <w:r w:rsidR="00AC44CB">
              <w:rPr>
                <w:sz w:val="20"/>
                <w:szCs w:val="16"/>
              </w:rPr>
              <w:t>8 4</w:t>
            </w:r>
            <w:r w:rsidR="009717AB" w:rsidRPr="00AE6EDB">
              <w:rPr>
                <w:sz w:val="20"/>
                <w:szCs w:val="16"/>
              </w:rPr>
              <w:t>72</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95,0</w:t>
            </w:r>
          </w:p>
        </w:tc>
      </w:tr>
      <w:tr w:rsidR="009717AB" w:rsidRPr="00AE6EDB" w:rsidTr="00DE0EEC">
        <w:trPr>
          <w:trHeight w:val="454"/>
        </w:trPr>
        <w:tc>
          <w:tcPr>
            <w:tcW w:w="1862" w:type="dxa"/>
            <w:shd w:val="clear" w:color="auto" w:fill="auto"/>
            <w:noWrap/>
            <w:vAlign w:val="bottom"/>
          </w:tcPr>
          <w:p w:rsidR="009717AB" w:rsidRPr="00AE6EDB" w:rsidRDefault="009717AB" w:rsidP="00DE0EEC">
            <w:pPr>
              <w:rPr>
                <w:sz w:val="18"/>
                <w:szCs w:val="18"/>
              </w:rPr>
            </w:pPr>
            <w:r w:rsidRPr="00AE6EDB">
              <w:rPr>
                <w:sz w:val="18"/>
                <w:szCs w:val="18"/>
              </w:rPr>
              <w:t>07C040G</w:t>
            </w:r>
          </w:p>
        </w:tc>
        <w:tc>
          <w:tcPr>
            <w:tcW w:w="6662" w:type="dxa"/>
            <w:shd w:val="clear" w:color="auto" w:fill="auto"/>
            <w:noWrap/>
            <w:vAlign w:val="bottom"/>
          </w:tcPr>
          <w:p w:rsidR="009717AB" w:rsidRPr="00AE6EDB" w:rsidRDefault="009717AB" w:rsidP="00DE0EEC">
            <w:pPr>
              <w:rPr>
                <w:sz w:val="18"/>
                <w:szCs w:val="18"/>
              </w:rPr>
            </w:pPr>
            <w:r w:rsidRPr="00AE6EDB">
              <w:rPr>
                <w:sz w:val="18"/>
                <w:szCs w:val="18"/>
              </w:rPr>
              <w:t xml:space="preserve"> </w:t>
            </w:r>
            <w:r w:rsidRPr="00AE6EDB">
              <w:rPr>
                <w:color w:val="000000" w:themeColor="text1"/>
                <w:sz w:val="18"/>
                <w:szCs w:val="18"/>
              </w:rPr>
              <w:t>–</w:t>
            </w:r>
            <w:r w:rsidRPr="00AE6EDB">
              <w:rPr>
                <w:sz w:val="18"/>
                <w:szCs w:val="18"/>
              </w:rPr>
              <w:t xml:space="preserve"> Zabezpečenie hodnotenia a implementácie horizontálnej priority Rovnosť príležitostí – MDVRR SR</w:t>
            </w:r>
          </w:p>
        </w:tc>
        <w:tc>
          <w:tcPr>
            <w:tcW w:w="1541" w:type="dxa"/>
            <w:shd w:val="clear" w:color="auto" w:fill="auto"/>
            <w:noWrap/>
            <w:vAlign w:val="bottom"/>
          </w:tcPr>
          <w:p w:rsidR="009717AB" w:rsidRPr="00AE6EDB" w:rsidRDefault="009717AB">
            <w:pPr>
              <w:jc w:val="right"/>
              <w:rPr>
                <w:sz w:val="20"/>
                <w:szCs w:val="16"/>
              </w:rPr>
            </w:pPr>
            <w:r w:rsidRPr="00AE6EDB">
              <w:rPr>
                <w:sz w:val="20"/>
                <w:szCs w:val="16"/>
              </w:rPr>
              <w:t>0</w:t>
            </w:r>
          </w:p>
        </w:tc>
        <w:tc>
          <w:tcPr>
            <w:tcW w:w="1606" w:type="dxa"/>
            <w:shd w:val="clear" w:color="auto" w:fill="auto"/>
            <w:noWrap/>
            <w:vAlign w:val="bottom"/>
          </w:tcPr>
          <w:p w:rsidR="009717AB" w:rsidRPr="00AE6EDB" w:rsidRDefault="009717AB">
            <w:pPr>
              <w:jc w:val="right"/>
              <w:rPr>
                <w:sz w:val="20"/>
                <w:szCs w:val="16"/>
              </w:rPr>
            </w:pPr>
            <w:r w:rsidRPr="00AE6EDB">
              <w:rPr>
                <w:sz w:val="20"/>
                <w:szCs w:val="16"/>
              </w:rPr>
              <w:t>3</w:t>
            </w:r>
            <w:r w:rsidR="00AC44CB">
              <w:rPr>
                <w:sz w:val="20"/>
                <w:szCs w:val="16"/>
              </w:rPr>
              <w:t>8 1</w:t>
            </w:r>
            <w:r w:rsidRPr="00AE6EDB">
              <w:rPr>
                <w:sz w:val="20"/>
                <w:szCs w:val="16"/>
              </w:rPr>
              <w:t>34</w:t>
            </w:r>
          </w:p>
        </w:tc>
        <w:tc>
          <w:tcPr>
            <w:tcW w:w="1644" w:type="dxa"/>
            <w:shd w:val="clear" w:color="auto" w:fill="auto"/>
            <w:noWrap/>
            <w:vAlign w:val="bottom"/>
          </w:tcPr>
          <w:p w:rsidR="009717AB" w:rsidRPr="00AE6EDB" w:rsidRDefault="009717AB">
            <w:pPr>
              <w:jc w:val="right"/>
              <w:rPr>
                <w:sz w:val="20"/>
                <w:szCs w:val="16"/>
              </w:rPr>
            </w:pPr>
            <w:r w:rsidRPr="00AE6EDB">
              <w:rPr>
                <w:sz w:val="20"/>
                <w:szCs w:val="16"/>
              </w:rPr>
              <w:t>3</w:t>
            </w:r>
            <w:r w:rsidR="00AC44CB">
              <w:rPr>
                <w:sz w:val="20"/>
                <w:szCs w:val="16"/>
              </w:rPr>
              <w:t>8 1</w:t>
            </w:r>
            <w:r w:rsidRPr="00AE6EDB">
              <w:rPr>
                <w:sz w:val="20"/>
                <w:szCs w:val="16"/>
              </w:rPr>
              <w:t>34</w:t>
            </w:r>
          </w:p>
        </w:tc>
        <w:tc>
          <w:tcPr>
            <w:tcW w:w="778" w:type="dxa"/>
            <w:shd w:val="clear" w:color="auto" w:fill="auto"/>
            <w:noWrap/>
            <w:vAlign w:val="bottom"/>
          </w:tcPr>
          <w:p w:rsidR="009717AB" w:rsidRPr="00AE6EDB" w:rsidRDefault="009717AB">
            <w:pPr>
              <w:jc w:val="right"/>
              <w:rPr>
                <w:sz w:val="20"/>
                <w:szCs w:val="16"/>
              </w:rPr>
            </w:pPr>
            <w:r w:rsidRPr="00AE6EDB">
              <w:rPr>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b/>
                <w:bCs/>
                <w:sz w:val="20"/>
                <w:szCs w:val="20"/>
              </w:rPr>
            </w:pPr>
            <w:r w:rsidRPr="00AE6EDB">
              <w:rPr>
                <w:b/>
                <w:bCs/>
                <w:sz w:val="20"/>
                <w:szCs w:val="20"/>
              </w:rPr>
              <w:t>07C05</w:t>
            </w:r>
          </w:p>
        </w:tc>
        <w:tc>
          <w:tcPr>
            <w:tcW w:w="6662" w:type="dxa"/>
            <w:shd w:val="clear" w:color="auto" w:fill="auto"/>
            <w:noWrap/>
            <w:vAlign w:val="bottom"/>
            <w:hideMark/>
          </w:tcPr>
          <w:p w:rsidR="009717AB" w:rsidRPr="00AE6EDB" w:rsidRDefault="009717AB" w:rsidP="00DE0EEC">
            <w:pPr>
              <w:rPr>
                <w:b/>
                <w:bCs/>
                <w:sz w:val="20"/>
                <w:szCs w:val="20"/>
              </w:rPr>
            </w:pPr>
            <w:r w:rsidRPr="00AE6EDB">
              <w:rPr>
                <w:b/>
                <w:bCs/>
                <w:sz w:val="20"/>
                <w:szCs w:val="20"/>
              </w:rPr>
              <w:t>Starostlivosť o ohrozené deti</w:t>
            </w:r>
          </w:p>
        </w:tc>
        <w:tc>
          <w:tcPr>
            <w:tcW w:w="1541" w:type="dxa"/>
            <w:shd w:val="clear" w:color="auto" w:fill="auto"/>
            <w:noWrap/>
            <w:vAlign w:val="bottom"/>
            <w:hideMark/>
          </w:tcPr>
          <w:p w:rsidR="009717AB" w:rsidRPr="00AE6EDB" w:rsidRDefault="009717AB">
            <w:pPr>
              <w:jc w:val="right"/>
              <w:rPr>
                <w:b/>
                <w:bCs/>
                <w:sz w:val="20"/>
                <w:szCs w:val="16"/>
              </w:rPr>
            </w:pPr>
            <w:r w:rsidRPr="00AE6EDB">
              <w:rPr>
                <w:b/>
                <w:bCs/>
                <w:sz w:val="20"/>
                <w:szCs w:val="16"/>
              </w:rPr>
              <w:t>8</w:t>
            </w:r>
            <w:r w:rsidR="0054295F">
              <w:rPr>
                <w:b/>
                <w:bCs/>
                <w:sz w:val="20"/>
                <w:szCs w:val="16"/>
              </w:rPr>
              <w:t>2 7</w:t>
            </w:r>
            <w:r w:rsidRPr="00AE6EDB">
              <w:rPr>
                <w:b/>
                <w:bCs/>
                <w:sz w:val="20"/>
                <w:szCs w:val="16"/>
              </w:rPr>
              <w:t>9</w:t>
            </w:r>
            <w:r w:rsidR="0054295F">
              <w:rPr>
                <w:b/>
                <w:bCs/>
                <w:sz w:val="20"/>
                <w:szCs w:val="16"/>
              </w:rPr>
              <w:t>2 4</w:t>
            </w:r>
            <w:r w:rsidRPr="00AE6EDB">
              <w:rPr>
                <w:b/>
                <w:bCs/>
                <w:sz w:val="20"/>
                <w:szCs w:val="16"/>
              </w:rPr>
              <w:t>89</w:t>
            </w:r>
          </w:p>
        </w:tc>
        <w:tc>
          <w:tcPr>
            <w:tcW w:w="1606" w:type="dxa"/>
            <w:shd w:val="clear" w:color="auto" w:fill="auto"/>
            <w:noWrap/>
            <w:vAlign w:val="bottom"/>
            <w:hideMark/>
          </w:tcPr>
          <w:p w:rsidR="009717AB" w:rsidRPr="00AE6EDB" w:rsidRDefault="009717AB">
            <w:pPr>
              <w:jc w:val="right"/>
              <w:rPr>
                <w:b/>
                <w:bCs/>
                <w:sz w:val="20"/>
                <w:szCs w:val="16"/>
              </w:rPr>
            </w:pPr>
            <w:r w:rsidRPr="00AE6EDB">
              <w:rPr>
                <w:b/>
                <w:bCs/>
                <w:sz w:val="20"/>
                <w:szCs w:val="16"/>
              </w:rPr>
              <w:t>8</w:t>
            </w:r>
            <w:r w:rsidR="00AC44CB">
              <w:rPr>
                <w:b/>
                <w:bCs/>
                <w:sz w:val="20"/>
                <w:szCs w:val="16"/>
              </w:rPr>
              <w:t>8 0</w:t>
            </w:r>
            <w:r w:rsidRPr="00AE6EDB">
              <w:rPr>
                <w:b/>
                <w:bCs/>
                <w:sz w:val="20"/>
                <w:szCs w:val="16"/>
              </w:rPr>
              <w:t>4</w:t>
            </w:r>
            <w:r w:rsidR="00AC44CB">
              <w:rPr>
                <w:b/>
                <w:bCs/>
                <w:sz w:val="20"/>
                <w:szCs w:val="16"/>
              </w:rPr>
              <w:t>7 9</w:t>
            </w:r>
            <w:r w:rsidRPr="00AE6EDB">
              <w:rPr>
                <w:b/>
                <w:bCs/>
                <w:sz w:val="20"/>
                <w:szCs w:val="16"/>
              </w:rPr>
              <w:t>95</w:t>
            </w:r>
          </w:p>
        </w:tc>
        <w:tc>
          <w:tcPr>
            <w:tcW w:w="1644" w:type="dxa"/>
            <w:shd w:val="clear" w:color="auto" w:fill="auto"/>
            <w:noWrap/>
            <w:vAlign w:val="bottom"/>
            <w:hideMark/>
          </w:tcPr>
          <w:p w:rsidR="009717AB" w:rsidRPr="00AE6EDB" w:rsidRDefault="009717AB">
            <w:pPr>
              <w:jc w:val="right"/>
              <w:rPr>
                <w:b/>
                <w:bCs/>
                <w:sz w:val="20"/>
                <w:szCs w:val="16"/>
              </w:rPr>
            </w:pPr>
            <w:r w:rsidRPr="00AE6EDB">
              <w:rPr>
                <w:b/>
                <w:bCs/>
                <w:sz w:val="20"/>
                <w:szCs w:val="16"/>
              </w:rPr>
              <w:t>8</w:t>
            </w:r>
            <w:r w:rsidR="00AC44CB">
              <w:rPr>
                <w:b/>
                <w:bCs/>
                <w:sz w:val="20"/>
                <w:szCs w:val="16"/>
              </w:rPr>
              <w:t>8 2</w:t>
            </w:r>
            <w:r w:rsidRPr="00AE6EDB">
              <w:rPr>
                <w:b/>
                <w:bCs/>
                <w:sz w:val="20"/>
                <w:szCs w:val="16"/>
              </w:rPr>
              <w:t>0</w:t>
            </w:r>
            <w:r w:rsidR="0054295F">
              <w:rPr>
                <w:b/>
                <w:bCs/>
                <w:sz w:val="20"/>
                <w:szCs w:val="16"/>
              </w:rPr>
              <w:t>0 3</w:t>
            </w:r>
            <w:r w:rsidRPr="00AE6EDB">
              <w:rPr>
                <w:b/>
                <w:bCs/>
                <w:sz w:val="20"/>
                <w:szCs w:val="16"/>
              </w:rPr>
              <w:t>85</w:t>
            </w:r>
          </w:p>
        </w:tc>
        <w:tc>
          <w:tcPr>
            <w:tcW w:w="778" w:type="dxa"/>
            <w:shd w:val="clear" w:color="auto" w:fill="auto"/>
            <w:noWrap/>
            <w:vAlign w:val="bottom"/>
            <w:hideMark/>
          </w:tcPr>
          <w:p w:rsidR="009717AB" w:rsidRPr="00AE6EDB" w:rsidRDefault="009717AB">
            <w:pPr>
              <w:jc w:val="right"/>
              <w:rPr>
                <w:b/>
                <w:bCs/>
                <w:sz w:val="20"/>
                <w:szCs w:val="16"/>
              </w:rPr>
            </w:pPr>
            <w:r w:rsidRPr="00AE6EDB">
              <w:rPr>
                <w:b/>
                <w:bCs/>
                <w:sz w:val="20"/>
                <w:szCs w:val="16"/>
              </w:rPr>
              <w:t>100,2</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07C0501</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Náhradná rodinná starostlivosť</w:t>
            </w:r>
          </w:p>
        </w:tc>
        <w:tc>
          <w:tcPr>
            <w:tcW w:w="1541" w:type="dxa"/>
            <w:shd w:val="clear" w:color="auto" w:fill="auto"/>
            <w:noWrap/>
            <w:vAlign w:val="bottom"/>
            <w:hideMark/>
          </w:tcPr>
          <w:p w:rsidR="009717AB" w:rsidRPr="00AE6EDB" w:rsidRDefault="009717AB">
            <w:pPr>
              <w:jc w:val="right"/>
              <w:rPr>
                <w:sz w:val="20"/>
                <w:szCs w:val="16"/>
              </w:rPr>
            </w:pPr>
            <w:r w:rsidRPr="00AE6EDB">
              <w:rPr>
                <w:sz w:val="20"/>
                <w:szCs w:val="16"/>
              </w:rPr>
              <w:t>1</w:t>
            </w:r>
            <w:r w:rsidR="0054295F">
              <w:rPr>
                <w:sz w:val="20"/>
                <w:szCs w:val="16"/>
              </w:rPr>
              <w:t>3 2</w:t>
            </w:r>
            <w:r w:rsidRPr="00AE6EDB">
              <w:rPr>
                <w:sz w:val="20"/>
                <w:szCs w:val="16"/>
              </w:rPr>
              <w:t>4</w:t>
            </w:r>
            <w:r w:rsidR="0054295F">
              <w:rPr>
                <w:sz w:val="20"/>
                <w:szCs w:val="16"/>
              </w:rPr>
              <w:t>3 8</w:t>
            </w:r>
            <w:r w:rsidRPr="00AE6EDB">
              <w:rPr>
                <w:sz w:val="20"/>
                <w:szCs w:val="16"/>
              </w:rPr>
              <w:t>49</w:t>
            </w:r>
          </w:p>
        </w:tc>
        <w:tc>
          <w:tcPr>
            <w:tcW w:w="1606" w:type="dxa"/>
            <w:shd w:val="clear" w:color="auto" w:fill="auto"/>
            <w:noWrap/>
            <w:vAlign w:val="bottom"/>
            <w:hideMark/>
          </w:tcPr>
          <w:p w:rsidR="009717AB" w:rsidRPr="00AE6EDB" w:rsidRDefault="009717AB">
            <w:pPr>
              <w:jc w:val="right"/>
              <w:rPr>
                <w:sz w:val="20"/>
                <w:szCs w:val="16"/>
              </w:rPr>
            </w:pPr>
            <w:r w:rsidRPr="00AE6EDB">
              <w:rPr>
                <w:sz w:val="20"/>
                <w:szCs w:val="16"/>
              </w:rPr>
              <w:t>1</w:t>
            </w:r>
            <w:r w:rsidR="0054295F">
              <w:rPr>
                <w:sz w:val="20"/>
                <w:szCs w:val="16"/>
              </w:rPr>
              <w:t>3 6</w:t>
            </w:r>
            <w:r w:rsidRPr="00AE6EDB">
              <w:rPr>
                <w:sz w:val="20"/>
                <w:szCs w:val="16"/>
              </w:rPr>
              <w:t>6</w:t>
            </w:r>
            <w:r w:rsidR="0054295F">
              <w:rPr>
                <w:sz w:val="20"/>
                <w:szCs w:val="16"/>
              </w:rPr>
              <w:t>3 8</w:t>
            </w:r>
            <w:r w:rsidRPr="00AE6EDB">
              <w:rPr>
                <w:sz w:val="20"/>
                <w:szCs w:val="16"/>
              </w:rPr>
              <w:t>49</w:t>
            </w:r>
          </w:p>
        </w:tc>
        <w:tc>
          <w:tcPr>
            <w:tcW w:w="1644" w:type="dxa"/>
            <w:shd w:val="clear" w:color="auto" w:fill="auto"/>
            <w:noWrap/>
            <w:vAlign w:val="bottom"/>
            <w:hideMark/>
          </w:tcPr>
          <w:p w:rsidR="009717AB" w:rsidRPr="00AE6EDB" w:rsidRDefault="009717AB">
            <w:pPr>
              <w:jc w:val="right"/>
              <w:rPr>
                <w:sz w:val="20"/>
                <w:szCs w:val="16"/>
              </w:rPr>
            </w:pPr>
            <w:r w:rsidRPr="00AE6EDB">
              <w:rPr>
                <w:sz w:val="20"/>
                <w:szCs w:val="16"/>
              </w:rPr>
              <w:t>1</w:t>
            </w:r>
            <w:r w:rsidR="0054295F">
              <w:rPr>
                <w:sz w:val="20"/>
                <w:szCs w:val="16"/>
              </w:rPr>
              <w:t>3 5</w:t>
            </w:r>
            <w:r w:rsidRPr="00AE6EDB">
              <w:rPr>
                <w:sz w:val="20"/>
                <w:szCs w:val="16"/>
              </w:rPr>
              <w:t>5</w:t>
            </w:r>
            <w:r w:rsidR="00AC44CB">
              <w:rPr>
                <w:sz w:val="20"/>
                <w:szCs w:val="16"/>
              </w:rPr>
              <w:t>6 3</w:t>
            </w:r>
            <w:r w:rsidRPr="00AE6EDB">
              <w:rPr>
                <w:sz w:val="20"/>
                <w:szCs w:val="16"/>
              </w:rPr>
              <w:t>37</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99,2</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07C0502</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Ústavná starostlivosť v štátnych detských domovoch</w:t>
            </w:r>
          </w:p>
        </w:tc>
        <w:tc>
          <w:tcPr>
            <w:tcW w:w="1541" w:type="dxa"/>
            <w:shd w:val="clear" w:color="auto" w:fill="auto"/>
            <w:noWrap/>
            <w:vAlign w:val="bottom"/>
            <w:hideMark/>
          </w:tcPr>
          <w:p w:rsidR="009717AB" w:rsidRPr="00AE6EDB" w:rsidRDefault="009717AB">
            <w:pPr>
              <w:jc w:val="right"/>
              <w:rPr>
                <w:sz w:val="20"/>
                <w:szCs w:val="16"/>
              </w:rPr>
            </w:pPr>
            <w:r w:rsidRPr="00AE6EDB">
              <w:rPr>
                <w:sz w:val="20"/>
                <w:szCs w:val="16"/>
              </w:rPr>
              <w:t>5</w:t>
            </w:r>
            <w:r w:rsidR="00AC44CB">
              <w:rPr>
                <w:sz w:val="20"/>
                <w:szCs w:val="16"/>
              </w:rPr>
              <w:t>8 7</w:t>
            </w:r>
            <w:r w:rsidRPr="00AE6EDB">
              <w:rPr>
                <w:sz w:val="20"/>
                <w:szCs w:val="16"/>
              </w:rPr>
              <w:t>5</w:t>
            </w:r>
            <w:r w:rsidR="00AC44CB">
              <w:rPr>
                <w:sz w:val="20"/>
                <w:szCs w:val="16"/>
              </w:rPr>
              <w:t>8 3</w:t>
            </w:r>
            <w:r w:rsidRPr="00AE6EDB">
              <w:rPr>
                <w:sz w:val="20"/>
                <w:szCs w:val="16"/>
              </w:rPr>
              <w:t>40</w:t>
            </w:r>
          </w:p>
        </w:tc>
        <w:tc>
          <w:tcPr>
            <w:tcW w:w="1606" w:type="dxa"/>
            <w:shd w:val="clear" w:color="auto" w:fill="auto"/>
            <w:noWrap/>
            <w:vAlign w:val="bottom"/>
            <w:hideMark/>
          </w:tcPr>
          <w:p w:rsidR="009717AB" w:rsidRPr="00AE6EDB" w:rsidRDefault="009717AB">
            <w:pPr>
              <w:jc w:val="right"/>
              <w:rPr>
                <w:sz w:val="20"/>
                <w:szCs w:val="16"/>
              </w:rPr>
            </w:pPr>
            <w:r w:rsidRPr="00AE6EDB">
              <w:rPr>
                <w:sz w:val="20"/>
                <w:szCs w:val="16"/>
              </w:rPr>
              <w:t>6</w:t>
            </w:r>
            <w:r w:rsidR="0054295F">
              <w:rPr>
                <w:sz w:val="20"/>
                <w:szCs w:val="16"/>
              </w:rPr>
              <w:t>2 8</w:t>
            </w:r>
            <w:r w:rsidRPr="00AE6EDB">
              <w:rPr>
                <w:sz w:val="20"/>
                <w:szCs w:val="16"/>
              </w:rPr>
              <w:t>0</w:t>
            </w:r>
            <w:r w:rsidR="00AC44CB">
              <w:rPr>
                <w:sz w:val="20"/>
                <w:szCs w:val="16"/>
              </w:rPr>
              <w:t>7 5</w:t>
            </w:r>
            <w:r w:rsidRPr="00AE6EDB">
              <w:rPr>
                <w:sz w:val="20"/>
                <w:szCs w:val="16"/>
              </w:rPr>
              <w:t>75</w:t>
            </w:r>
          </w:p>
        </w:tc>
        <w:tc>
          <w:tcPr>
            <w:tcW w:w="1644" w:type="dxa"/>
            <w:shd w:val="clear" w:color="auto" w:fill="auto"/>
            <w:noWrap/>
            <w:vAlign w:val="bottom"/>
            <w:hideMark/>
          </w:tcPr>
          <w:p w:rsidR="009717AB" w:rsidRPr="00AE6EDB" w:rsidRDefault="009717AB">
            <w:pPr>
              <w:jc w:val="right"/>
              <w:rPr>
                <w:sz w:val="20"/>
                <w:szCs w:val="16"/>
              </w:rPr>
            </w:pPr>
            <w:r w:rsidRPr="00AE6EDB">
              <w:rPr>
                <w:sz w:val="20"/>
                <w:szCs w:val="16"/>
              </w:rPr>
              <w:t>6</w:t>
            </w:r>
            <w:r w:rsidR="0054295F">
              <w:rPr>
                <w:sz w:val="20"/>
                <w:szCs w:val="16"/>
              </w:rPr>
              <w:t>3 1</w:t>
            </w:r>
            <w:r w:rsidRPr="00AE6EDB">
              <w:rPr>
                <w:sz w:val="20"/>
                <w:szCs w:val="16"/>
              </w:rPr>
              <w:t>2</w:t>
            </w:r>
            <w:r w:rsidR="0054295F">
              <w:rPr>
                <w:sz w:val="20"/>
                <w:szCs w:val="16"/>
              </w:rPr>
              <w:t>0 3</w:t>
            </w:r>
            <w:r w:rsidRPr="00AE6EDB">
              <w:rPr>
                <w:sz w:val="20"/>
                <w:szCs w:val="16"/>
              </w:rPr>
              <w:t>07</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100,5</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07C0503</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Ústavná starostlivosť v neštátnych zariadeniach</w:t>
            </w:r>
          </w:p>
        </w:tc>
        <w:tc>
          <w:tcPr>
            <w:tcW w:w="1541" w:type="dxa"/>
            <w:shd w:val="clear" w:color="auto" w:fill="auto"/>
            <w:noWrap/>
            <w:vAlign w:val="bottom"/>
            <w:hideMark/>
          </w:tcPr>
          <w:p w:rsidR="009717AB" w:rsidRPr="00AE6EDB" w:rsidRDefault="00AC44CB">
            <w:pPr>
              <w:jc w:val="right"/>
              <w:rPr>
                <w:sz w:val="20"/>
                <w:szCs w:val="16"/>
              </w:rPr>
            </w:pPr>
            <w:r>
              <w:rPr>
                <w:sz w:val="20"/>
                <w:szCs w:val="16"/>
              </w:rPr>
              <w:t>9 5</w:t>
            </w:r>
            <w:r w:rsidR="009717AB" w:rsidRPr="00AE6EDB">
              <w:rPr>
                <w:sz w:val="20"/>
                <w:szCs w:val="16"/>
              </w:rPr>
              <w:t>9</w:t>
            </w:r>
            <w:r w:rsidR="0054295F">
              <w:rPr>
                <w:sz w:val="20"/>
                <w:szCs w:val="16"/>
              </w:rPr>
              <w:t>0 3</w:t>
            </w:r>
            <w:r w:rsidR="009717AB" w:rsidRPr="00AE6EDB">
              <w:rPr>
                <w:sz w:val="20"/>
                <w:szCs w:val="16"/>
              </w:rPr>
              <w:t>00</w:t>
            </w:r>
          </w:p>
        </w:tc>
        <w:tc>
          <w:tcPr>
            <w:tcW w:w="1606" w:type="dxa"/>
            <w:shd w:val="clear" w:color="auto" w:fill="auto"/>
            <w:noWrap/>
            <w:vAlign w:val="bottom"/>
            <w:hideMark/>
          </w:tcPr>
          <w:p w:rsidR="009717AB" w:rsidRPr="00AE6EDB" w:rsidRDefault="009717AB">
            <w:pPr>
              <w:jc w:val="right"/>
              <w:rPr>
                <w:sz w:val="20"/>
                <w:szCs w:val="16"/>
              </w:rPr>
            </w:pPr>
            <w:r w:rsidRPr="00AE6EDB">
              <w:rPr>
                <w:sz w:val="20"/>
                <w:szCs w:val="16"/>
              </w:rPr>
              <w:t>1</w:t>
            </w:r>
            <w:r w:rsidR="0054295F">
              <w:rPr>
                <w:sz w:val="20"/>
                <w:szCs w:val="16"/>
              </w:rPr>
              <w:t>0 5</w:t>
            </w:r>
            <w:r w:rsidRPr="00AE6EDB">
              <w:rPr>
                <w:sz w:val="20"/>
                <w:szCs w:val="16"/>
              </w:rPr>
              <w:t>0</w:t>
            </w:r>
            <w:r w:rsidR="0054295F">
              <w:rPr>
                <w:sz w:val="20"/>
                <w:szCs w:val="16"/>
              </w:rPr>
              <w:t>4 5</w:t>
            </w:r>
            <w:r w:rsidRPr="00AE6EDB">
              <w:rPr>
                <w:sz w:val="20"/>
                <w:szCs w:val="16"/>
              </w:rPr>
              <w:t>62</w:t>
            </w:r>
          </w:p>
        </w:tc>
        <w:tc>
          <w:tcPr>
            <w:tcW w:w="1644" w:type="dxa"/>
            <w:shd w:val="clear" w:color="auto" w:fill="auto"/>
            <w:noWrap/>
            <w:vAlign w:val="bottom"/>
            <w:hideMark/>
          </w:tcPr>
          <w:p w:rsidR="009717AB" w:rsidRPr="00AE6EDB" w:rsidRDefault="009717AB">
            <w:pPr>
              <w:jc w:val="right"/>
              <w:rPr>
                <w:sz w:val="20"/>
                <w:szCs w:val="16"/>
              </w:rPr>
            </w:pPr>
            <w:r w:rsidRPr="00AE6EDB">
              <w:rPr>
                <w:sz w:val="20"/>
                <w:szCs w:val="16"/>
              </w:rPr>
              <w:t>1</w:t>
            </w:r>
            <w:r w:rsidR="0054295F">
              <w:rPr>
                <w:sz w:val="20"/>
                <w:szCs w:val="16"/>
              </w:rPr>
              <w:t>0 4</w:t>
            </w:r>
            <w:r w:rsidRPr="00AE6EDB">
              <w:rPr>
                <w:sz w:val="20"/>
                <w:szCs w:val="16"/>
              </w:rPr>
              <w:t>5</w:t>
            </w:r>
            <w:r w:rsidR="0054295F">
              <w:rPr>
                <w:sz w:val="20"/>
                <w:szCs w:val="16"/>
              </w:rPr>
              <w:t>2 3</w:t>
            </w:r>
            <w:r w:rsidRPr="00AE6EDB">
              <w:rPr>
                <w:sz w:val="20"/>
                <w:szCs w:val="16"/>
              </w:rPr>
              <w:t>44</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99,5</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07C0504</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Prevencia a sanácia (MVO)</w:t>
            </w:r>
          </w:p>
        </w:tc>
        <w:tc>
          <w:tcPr>
            <w:tcW w:w="1541" w:type="dxa"/>
            <w:shd w:val="clear" w:color="auto" w:fill="auto"/>
            <w:noWrap/>
            <w:vAlign w:val="bottom"/>
            <w:hideMark/>
          </w:tcPr>
          <w:p w:rsidR="009717AB" w:rsidRPr="00AE6EDB" w:rsidRDefault="0054295F">
            <w:pPr>
              <w:jc w:val="right"/>
              <w:rPr>
                <w:sz w:val="20"/>
                <w:szCs w:val="16"/>
              </w:rPr>
            </w:pPr>
            <w:r>
              <w:rPr>
                <w:sz w:val="20"/>
                <w:szCs w:val="16"/>
              </w:rPr>
              <w:t>1 2</w:t>
            </w:r>
            <w:r w:rsidR="009717AB" w:rsidRPr="00AE6EDB">
              <w:rPr>
                <w:sz w:val="20"/>
                <w:szCs w:val="16"/>
              </w:rPr>
              <w:t>0</w:t>
            </w:r>
            <w:r>
              <w:rPr>
                <w:sz w:val="20"/>
                <w:szCs w:val="16"/>
              </w:rPr>
              <w:t>0 0</w:t>
            </w:r>
            <w:r w:rsidR="009717AB" w:rsidRPr="00AE6EDB">
              <w:rPr>
                <w:sz w:val="20"/>
                <w:szCs w:val="16"/>
              </w:rPr>
              <w:t>00</w:t>
            </w:r>
          </w:p>
        </w:tc>
        <w:tc>
          <w:tcPr>
            <w:tcW w:w="1606" w:type="dxa"/>
            <w:shd w:val="clear" w:color="auto" w:fill="auto"/>
            <w:noWrap/>
            <w:vAlign w:val="bottom"/>
            <w:hideMark/>
          </w:tcPr>
          <w:p w:rsidR="009717AB" w:rsidRPr="00AE6EDB" w:rsidRDefault="0054295F">
            <w:pPr>
              <w:jc w:val="right"/>
              <w:rPr>
                <w:sz w:val="20"/>
                <w:szCs w:val="16"/>
              </w:rPr>
            </w:pPr>
            <w:r>
              <w:rPr>
                <w:sz w:val="20"/>
                <w:szCs w:val="16"/>
              </w:rPr>
              <w:t>1 0</w:t>
            </w:r>
            <w:r w:rsidR="009717AB" w:rsidRPr="00AE6EDB">
              <w:rPr>
                <w:sz w:val="20"/>
                <w:szCs w:val="16"/>
              </w:rPr>
              <w:t>7</w:t>
            </w:r>
            <w:r>
              <w:rPr>
                <w:sz w:val="20"/>
                <w:szCs w:val="16"/>
              </w:rPr>
              <w:t>2 0</w:t>
            </w:r>
            <w:r w:rsidR="009717AB" w:rsidRPr="00AE6EDB">
              <w:rPr>
                <w:sz w:val="20"/>
                <w:szCs w:val="16"/>
              </w:rPr>
              <w:t>09</w:t>
            </w:r>
          </w:p>
        </w:tc>
        <w:tc>
          <w:tcPr>
            <w:tcW w:w="1644" w:type="dxa"/>
            <w:shd w:val="clear" w:color="auto" w:fill="auto"/>
            <w:noWrap/>
            <w:vAlign w:val="bottom"/>
            <w:hideMark/>
          </w:tcPr>
          <w:p w:rsidR="009717AB" w:rsidRPr="00AE6EDB" w:rsidRDefault="0054295F">
            <w:pPr>
              <w:jc w:val="right"/>
              <w:rPr>
                <w:sz w:val="20"/>
                <w:szCs w:val="16"/>
              </w:rPr>
            </w:pPr>
            <w:r>
              <w:rPr>
                <w:sz w:val="20"/>
                <w:szCs w:val="16"/>
              </w:rPr>
              <w:t>1 0</w:t>
            </w:r>
            <w:r w:rsidR="009717AB" w:rsidRPr="00AE6EDB">
              <w:rPr>
                <w:sz w:val="20"/>
                <w:szCs w:val="16"/>
              </w:rPr>
              <w:t>7</w:t>
            </w:r>
            <w:r>
              <w:rPr>
                <w:sz w:val="20"/>
                <w:szCs w:val="16"/>
              </w:rPr>
              <w:t>1 3</w:t>
            </w:r>
            <w:r w:rsidR="009717AB" w:rsidRPr="00AE6EDB">
              <w:rPr>
                <w:sz w:val="20"/>
                <w:szCs w:val="16"/>
              </w:rPr>
              <w:t>97</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99,9</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b/>
                <w:bCs/>
                <w:sz w:val="20"/>
                <w:szCs w:val="20"/>
              </w:rPr>
            </w:pPr>
            <w:r w:rsidRPr="00AE6EDB">
              <w:rPr>
                <w:b/>
                <w:bCs/>
                <w:sz w:val="20"/>
                <w:szCs w:val="20"/>
              </w:rPr>
              <w:t>07C06</w:t>
            </w:r>
          </w:p>
        </w:tc>
        <w:tc>
          <w:tcPr>
            <w:tcW w:w="6662" w:type="dxa"/>
            <w:shd w:val="clear" w:color="auto" w:fill="auto"/>
            <w:noWrap/>
            <w:vAlign w:val="bottom"/>
            <w:hideMark/>
          </w:tcPr>
          <w:p w:rsidR="009717AB" w:rsidRPr="00AE6EDB" w:rsidRDefault="009717AB" w:rsidP="00DE0EEC">
            <w:pPr>
              <w:rPr>
                <w:b/>
                <w:bCs/>
                <w:sz w:val="20"/>
                <w:szCs w:val="20"/>
              </w:rPr>
            </w:pPr>
            <w:r w:rsidRPr="00AE6EDB">
              <w:rPr>
                <w:b/>
                <w:bCs/>
                <w:sz w:val="20"/>
                <w:szCs w:val="20"/>
              </w:rPr>
              <w:t>Nesystémové dávky sociálneho poistenia</w:t>
            </w:r>
          </w:p>
        </w:tc>
        <w:tc>
          <w:tcPr>
            <w:tcW w:w="1541" w:type="dxa"/>
            <w:shd w:val="clear" w:color="auto" w:fill="auto"/>
            <w:noWrap/>
            <w:vAlign w:val="bottom"/>
            <w:hideMark/>
          </w:tcPr>
          <w:p w:rsidR="009717AB" w:rsidRPr="00AE6EDB" w:rsidRDefault="009717AB">
            <w:pPr>
              <w:jc w:val="right"/>
              <w:rPr>
                <w:b/>
                <w:bCs/>
                <w:sz w:val="20"/>
                <w:szCs w:val="16"/>
              </w:rPr>
            </w:pPr>
            <w:r w:rsidRPr="00AE6EDB">
              <w:rPr>
                <w:b/>
                <w:bCs/>
                <w:sz w:val="20"/>
                <w:szCs w:val="16"/>
              </w:rPr>
              <w:t>5</w:t>
            </w:r>
            <w:r w:rsidR="0054295F">
              <w:rPr>
                <w:b/>
                <w:bCs/>
                <w:sz w:val="20"/>
                <w:szCs w:val="16"/>
              </w:rPr>
              <w:t>4 8</w:t>
            </w:r>
            <w:r w:rsidRPr="00AE6EDB">
              <w:rPr>
                <w:b/>
                <w:bCs/>
                <w:sz w:val="20"/>
                <w:szCs w:val="16"/>
              </w:rPr>
              <w:t>3</w:t>
            </w:r>
            <w:r w:rsidR="0054295F">
              <w:rPr>
                <w:b/>
                <w:bCs/>
                <w:sz w:val="20"/>
                <w:szCs w:val="16"/>
              </w:rPr>
              <w:t>3 6</w:t>
            </w:r>
            <w:r w:rsidRPr="00AE6EDB">
              <w:rPr>
                <w:b/>
                <w:bCs/>
                <w:sz w:val="20"/>
                <w:szCs w:val="16"/>
              </w:rPr>
              <w:t>87</w:t>
            </w:r>
          </w:p>
        </w:tc>
        <w:tc>
          <w:tcPr>
            <w:tcW w:w="1606" w:type="dxa"/>
            <w:shd w:val="clear" w:color="auto" w:fill="auto"/>
            <w:noWrap/>
            <w:vAlign w:val="bottom"/>
            <w:hideMark/>
          </w:tcPr>
          <w:p w:rsidR="009717AB" w:rsidRPr="00AE6EDB" w:rsidRDefault="009717AB">
            <w:pPr>
              <w:jc w:val="right"/>
              <w:rPr>
                <w:b/>
                <w:bCs/>
                <w:sz w:val="20"/>
                <w:szCs w:val="16"/>
              </w:rPr>
            </w:pPr>
            <w:r w:rsidRPr="00AE6EDB">
              <w:rPr>
                <w:b/>
                <w:bCs/>
                <w:sz w:val="20"/>
                <w:szCs w:val="16"/>
              </w:rPr>
              <w:t>6</w:t>
            </w:r>
            <w:r w:rsidR="00AC44CB">
              <w:rPr>
                <w:b/>
                <w:bCs/>
                <w:sz w:val="20"/>
                <w:szCs w:val="16"/>
              </w:rPr>
              <w:t>6 3</w:t>
            </w:r>
            <w:r w:rsidRPr="00AE6EDB">
              <w:rPr>
                <w:b/>
                <w:bCs/>
                <w:sz w:val="20"/>
                <w:szCs w:val="16"/>
              </w:rPr>
              <w:t>3</w:t>
            </w:r>
            <w:r w:rsidR="0054295F">
              <w:rPr>
                <w:b/>
                <w:bCs/>
                <w:sz w:val="20"/>
                <w:szCs w:val="16"/>
              </w:rPr>
              <w:t>3 6</w:t>
            </w:r>
            <w:r w:rsidRPr="00AE6EDB">
              <w:rPr>
                <w:b/>
                <w:bCs/>
                <w:sz w:val="20"/>
                <w:szCs w:val="16"/>
              </w:rPr>
              <w:t>87</w:t>
            </w:r>
          </w:p>
        </w:tc>
        <w:tc>
          <w:tcPr>
            <w:tcW w:w="1644" w:type="dxa"/>
            <w:shd w:val="clear" w:color="auto" w:fill="auto"/>
            <w:noWrap/>
            <w:vAlign w:val="bottom"/>
            <w:hideMark/>
          </w:tcPr>
          <w:p w:rsidR="009717AB" w:rsidRPr="00AE6EDB" w:rsidRDefault="009717AB">
            <w:pPr>
              <w:jc w:val="right"/>
              <w:rPr>
                <w:b/>
                <w:bCs/>
                <w:sz w:val="20"/>
                <w:szCs w:val="16"/>
              </w:rPr>
            </w:pPr>
            <w:r w:rsidRPr="00AE6EDB">
              <w:rPr>
                <w:b/>
                <w:bCs/>
                <w:sz w:val="20"/>
                <w:szCs w:val="16"/>
              </w:rPr>
              <w:t>6</w:t>
            </w:r>
            <w:r w:rsidR="00AC44CB">
              <w:rPr>
                <w:b/>
                <w:bCs/>
                <w:sz w:val="20"/>
                <w:szCs w:val="16"/>
              </w:rPr>
              <w:t>6 3</w:t>
            </w:r>
            <w:r w:rsidRPr="00AE6EDB">
              <w:rPr>
                <w:b/>
                <w:bCs/>
                <w:sz w:val="20"/>
                <w:szCs w:val="16"/>
              </w:rPr>
              <w:t>3</w:t>
            </w:r>
            <w:r w:rsidR="0054295F">
              <w:rPr>
                <w:b/>
                <w:bCs/>
                <w:sz w:val="20"/>
                <w:szCs w:val="16"/>
              </w:rPr>
              <w:t>3 6</w:t>
            </w:r>
            <w:r w:rsidRPr="00AE6EDB">
              <w:rPr>
                <w:b/>
                <w:bCs/>
                <w:sz w:val="20"/>
                <w:szCs w:val="16"/>
              </w:rPr>
              <w:t>87</w:t>
            </w:r>
          </w:p>
        </w:tc>
        <w:tc>
          <w:tcPr>
            <w:tcW w:w="778" w:type="dxa"/>
            <w:shd w:val="clear" w:color="auto" w:fill="auto"/>
            <w:noWrap/>
            <w:vAlign w:val="bottom"/>
            <w:hideMark/>
          </w:tcPr>
          <w:p w:rsidR="009717AB" w:rsidRPr="00AE6EDB" w:rsidRDefault="009717AB">
            <w:pPr>
              <w:jc w:val="right"/>
              <w:rPr>
                <w:b/>
                <w:bCs/>
                <w:sz w:val="20"/>
                <w:szCs w:val="16"/>
              </w:rPr>
            </w:pPr>
            <w:r w:rsidRPr="00AE6EDB">
              <w:rPr>
                <w:b/>
                <w:bCs/>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b/>
                <w:bCs/>
                <w:sz w:val="20"/>
                <w:szCs w:val="20"/>
              </w:rPr>
            </w:pPr>
            <w:r w:rsidRPr="00AE6EDB">
              <w:rPr>
                <w:b/>
                <w:bCs/>
                <w:sz w:val="20"/>
                <w:szCs w:val="20"/>
              </w:rPr>
              <w:t>07C07</w:t>
            </w:r>
          </w:p>
        </w:tc>
        <w:tc>
          <w:tcPr>
            <w:tcW w:w="6662" w:type="dxa"/>
            <w:shd w:val="clear" w:color="auto" w:fill="auto"/>
            <w:noWrap/>
            <w:vAlign w:val="bottom"/>
            <w:hideMark/>
          </w:tcPr>
          <w:p w:rsidR="009717AB" w:rsidRPr="00AE6EDB" w:rsidRDefault="009717AB" w:rsidP="00DE0EEC">
            <w:pPr>
              <w:rPr>
                <w:b/>
                <w:bCs/>
                <w:sz w:val="20"/>
                <w:szCs w:val="20"/>
              </w:rPr>
            </w:pPr>
            <w:r w:rsidRPr="00AE6EDB">
              <w:rPr>
                <w:b/>
                <w:bCs/>
                <w:sz w:val="20"/>
                <w:szCs w:val="20"/>
              </w:rPr>
              <w:t>Vianočný príspevok dôchodcom</w:t>
            </w:r>
          </w:p>
        </w:tc>
        <w:tc>
          <w:tcPr>
            <w:tcW w:w="1541" w:type="dxa"/>
            <w:shd w:val="clear" w:color="auto" w:fill="auto"/>
            <w:noWrap/>
            <w:vAlign w:val="bottom"/>
            <w:hideMark/>
          </w:tcPr>
          <w:p w:rsidR="009717AB" w:rsidRPr="00AE6EDB" w:rsidRDefault="009717AB">
            <w:pPr>
              <w:jc w:val="right"/>
              <w:rPr>
                <w:b/>
                <w:bCs/>
                <w:sz w:val="20"/>
                <w:szCs w:val="16"/>
              </w:rPr>
            </w:pPr>
            <w:r w:rsidRPr="00AE6EDB">
              <w:rPr>
                <w:b/>
                <w:bCs/>
                <w:sz w:val="20"/>
                <w:szCs w:val="16"/>
              </w:rPr>
              <w:t>6</w:t>
            </w:r>
            <w:r w:rsidR="00AC44CB">
              <w:rPr>
                <w:b/>
                <w:bCs/>
                <w:sz w:val="20"/>
                <w:szCs w:val="16"/>
              </w:rPr>
              <w:t>5 0</w:t>
            </w:r>
            <w:r w:rsidRPr="00AE6EDB">
              <w:rPr>
                <w:b/>
                <w:bCs/>
                <w:sz w:val="20"/>
                <w:szCs w:val="16"/>
              </w:rPr>
              <w:t>0</w:t>
            </w:r>
            <w:r w:rsidR="0054295F">
              <w:rPr>
                <w:b/>
                <w:bCs/>
                <w:sz w:val="20"/>
                <w:szCs w:val="16"/>
              </w:rPr>
              <w:t>0 </w:t>
            </w:r>
            <w:proofErr w:type="spellStart"/>
            <w:r w:rsidR="0054295F">
              <w:rPr>
                <w:b/>
                <w:bCs/>
                <w:sz w:val="20"/>
                <w:szCs w:val="16"/>
              </w:rPr>
              <w:t>0</w:t>
            </w:r>
            <w:r w:rsidRPr="00AE6EDB">
              <w:rPr>
                <w:b/>
                <w:bCs/>
                <w:sz w:val="20"/>
                <w:szCs w:val="16"/>
              </w:rPr>
              <w:t>00</w:t>
            </w:r>
            <w:proofErr w:type="spellEnd"/>
          </w:p>
        </w:tc>
        <w:tc>
          <w:tcPr>
            <w:tcW w:w="1606" w:type="dxa"/>
            <w:shd w:val="clear" w:color="auto" w:fill="auto"/>
            <w:noWrap/>
            <w:vAlign w:val="bottom"/>
            <w:hideMark/>
          </w:tcPr>
          <w:p w:rsidR="009717AB" w:rsidRPr="00AE6EDB" w:rsidRDefault="009717AB">
            <w:pPr>
              <w:jc w:val="right"/>
              <w:rPr>
                <w:b/>
                <w:bCs/>
                <w:sz w:val="20"/>
                <w:szCs w:val="16"/>
              </w:rPr>
            </w:pPr>
            <w:r w:rsidRPr="00AE6EDB">
              <w:rPr>
                <w:b/>
                <w:bCs/>
                <w:sz w:val="20"/>
                <w:szCs w:val="16"/>
              </w:rPr>
              <w:t>8</w:t>
            </w:r>
            <w:r w:rsidR="0054295F">
              <w:rPr>
                <w:b/>
                <w:bCs/>
                <w:sz w:val="20"/>
                <w:szCs w:val="16"/>
              </w:rPr>
              <w:t>1 5</w:t>
            </w:r>
            <w:r w:rsidRPr="00AE6EDB">
              <w:rPr>
                <w:b/>
                <w:bCs/>
                <w:sz w:val="20"/>
                <w:szCs w:val="16"/>
              </w:rPr>
              <w:t>2</w:t>
            </w:r>
            <w:r w:rsidR="0054295F">
              <w:rPr>
                <w:b/>
                <w:bCs/>
                <w:sz w:val="20"/>
                <w:szCs w:val="16"/>
              </w:rPr>
              <w:t>2 0</w:t>
            </w:r>
            <w:r w:rsidRPr="00AE6EDB">
              <w:rPr>
                <w:b/>
                <w:bCs/>
                <w:sz w:val="20"/>
                <w:szCs w:val="16"/>
              </w:rPr>
              <w:t>94</w:t>
            </w:r>
          </w:p>
        </w:tc>
        <w:tc>
          <w:tcPr>
            <w:tcW w:w="1644" w:type="dxa"/>
            <w:shd w:val="clear" w:color="auto" w:fill="auto"/>
            <w:noWrap/>
            <w:vAlign w:val="bottom"/>
            <w:hideMark/>
          </w:tcPr>
          <w:p w:rsidR="009717AB" w:rsidRPr="00AE6EDB" w:rsidRDefault="009717AB">
            <w:pPr>
              <w:jc w:val="right"/>
              <w:rPr>
                <w:b/>
                <w:bCs/>
                <w:sz w:val="20"/>
                <w:szCs w:val="16"/>
              </w:rPr>
            </w:pPr>
            <w:r w:rsidRPr="00AE6EDB">
              <w:rPr>
                <w:b/>
                <w:bCs/>
                <w:sz w:val="20"/>
                <w:szCs w:val="16"/>
              </w:rPr>
              <w:t>8</w:t>
            </w:r>
            <w:r w:rsidR="0054295F">
              <w:rPr>
                <w:b/>
                <w:bCs/>
                <w:sz w:val="20"/>
                <w:szCs w:val="16"/>
              </w:rPr>
              <w:t>1 5</w:t>
            </w:r>
            <w:r w:rsidRPr="00AE6EDB">
              <w:rPr>
                <w:b/>
                <w:bCs/>
                <w:sz w:val="20"/>
                <w:szCs w:val="16"/>
              </w:rPr>
              <w:t>2</w:t>
            </w:r>
            <w:r w:rsidR="0054295F">
              <w:rPr>
                <w:b/>
                <w:bCs/>
                <w:sz w:val="20"/>
                <w:szCs w:val="16"/>
              </w:rPr>
              <w:t>2 0</w:t>
            </w:r>
            <w:r w:rsidRPr="00AE6EDB">
              <w:rPr>
                <w:b/>
                <w:bCs/>
                <w:sz w:val="20"/>
                <w:szCs w:val="16"/>
              </w:rPr>
              <w:t>94</w:t>
            </w:r>
          </w:p>
        </w:tc>
        <w:tc>
          <w:tcPr>
            <w:tcW w:w="778" w:type="dxa"/>
            <w:shd w:val="clear" w:color="auto" w:fill="auto"/>
            <w:noWrap/>
            <w:vAlign w:val="bottom"/>
            <w:hideMark/>
          </w:tcPr>
          <w:p w:rsidR="009717AB" w:rsidRPr="00AE6EDB" w:rsidRDefault="009717AB">
            <w:pPr>
              <w:jc w:val="right"/>
              <w:rPr>
                <w:b/>
                <w:bCs/>
                <w:sz w:val="20"/>
                <w:szCs w:val="16"/>
              </w:rPr>
            </w:pPr>
            <w:r w:rsidRPr="00AE6EDB">
              <w:rPr>
                <w:b/>
                <w:bCs/>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b/>
                <w:bCs/>
                <w:sz w:val="20"/>
                <w:szCs w:val="20"/>
              </w:rPr>
            </w:pPr>
            <w:r w:rsidRPr="00AE6EDB">
              <w:rPr>
                <w:b/>
                <w:bCs/>
                <w:sz w:val="20"/>
                <w:szCs w:val="20"/>
              </w:rPr>
              <w:t>07C08</w:t>
            </w:r>
          </w:p>
        </w:tc>
        <w:tc>
          <w:tcPr>
            <w:tcW w:w="6662" w:type="dxa"/>
            <w:shd w:val="clear" w:color="auto" w:fill="auto"/>
            <w:noWrap/>
            <w:vAlign w:val="bottom"/>
            <w:hideMark/>
          </w:tcPr>
          <w:p w:rsidR="009717AB" w:rsidRPr="00AE6EDB" w:rsidRDefault="009717AB" w:rsidP="00DE0EEC">
            <w:pPr>
              <w:rPr>
                <w:b/>
                <w:bCs/>
                <w:sz w:val="20"/>
                <w:szCs w:val="20"/>
              </w:rPr>
            </w:pPr>
            <w:r w:rsidRPr="00AE6EDB">
              <w:rPr>
                <w:b/>
                <w:bCs/>
                <w:sz w:val="20"/>
                <w:szCs w:val="20"/>
              </w:rPr>
              <w:t>Podpora sociálnej inklúzie</w:t>
            </w:r>
          </w:p>
        </w:tc>
        <w:tc>
          <w:tcPr>
            <w:tcW w:w="1541" w:type="dxa"/>
            <w:shd w:val="clear" w:color="auto" w:fill="auto"/>
            <w:noWrap/>
            <w:vAlign w:val="bottom"/>
            <w:hideMark/>
          </w:tcPr>
          <w:p w:rsidR="009717AB" w:rsidRPr="00AE6EDB" w:rsidRDefault="009717AB">
            <w:pPr>
              <w:jc w:val="right"/>
              <w:rPr>
                <w:b/>
                <w:bCs/>
                <w:sz w:val="20"/>
                <w:szCs w:val="16"/>
              </w:rPr>
            </w:pPr>
            <w:r w:rsidRPr="00AE6EDB">
              <w:rPr>
                <w:b/>
                <w:bCs/>
                <w:sz w:val="20"/>
                <w:szCs w:val="16"/>
              </w:rPr>
              <w:t>7</w:t>
            </w:r>
            <w:r w:rsidR="00AC44CB">
              <w:rPr>
                <w:b/>
                <w:bCs/>
                <w:sz w:val="20"/>
                <w:szCs w:val="16"/>
              </w:rPr>
              <w:t>9 8</w:t>
            </w:r>
            <w:r w:rsidRPr="00AE6EDB">
              <w:rPr>
                <w:b/>
                <w:bCs/>
                <w:sz w:val="20"/>
                <w:szCs w:val="16"/>
              </w:rPr>
              <w:t>7</w:t>
            </w:r>
            <w:r w:rsidR="00AC44CB">
              <w:rPr>
                <w:b/>
                <w:bCs/>
                <w:sz w:val="20"/>
                <w:szCs w:val="16"/>
              </w:rPr>
              <w:t>8 2</w:t>
            </w:r>
            <w:r w:rsidRPr="00AE6EDB">
              <w:rPr>
                <w:b/>
                <w:bCs/>
                <w:sz w:val="20"/>
                <w:szCs w:val="16"/>
              </w:rPr>
              <w:t>67</w:t>
            </w:r>
          </w:p>
        </w:tc>
        <w:tc>
          <w:tcPr>
            <w:tcW w:w="1606" w:type="dxa"/>
            <w:shd w:val="clear" w:color="auto" w:fill="auto"/>
            <w:noWrap/>
            <w:vAlign w:val="bottom"/>
            <w:hideMark/>
          </w:tcPr>
          <w:p w:rsidR="009717AB" w:rsidRPr="00AE6EDB" w:rsidRDefault="009717AB">
            <w:pPr>
              <w:jc w:val="right"/>
              <w:rPr>
                <w:b/>
                <w:bCs/>
                <w:sz w:val="20"/>
                <w:szCs w:val="16"/>
              </w:rPr>
            </w:pPr>
            <w:r w:rsidRPr="00AE6EDB">
              <w:rPr>
                <w:b/>
                <w:bCs/>
                <w:sz w:val="20"/>
                <w:szCs w:val="16"/>
              </w:rPr>
              <w:t>6</w:t>
            </w:r>
            <w:r w:rsidR="0054295F">
              <w:rPr>
                <w:b/>
                <w:bCs/>
                <w:sz w:val="20"/>
                <w:szCs w:val="16"/>
              </w:rPr>
              <w:t>1 5</w:t>
            </w:r>
            <w:r w:rsidRPr="00AE6EDB">
              <w:rPr>
                <w:b/>
                <w:bCs/>
                <w:sz w:val="20"/>
                <w:szCs w:val="16"/>
              </w:rPr>
              <w:t>1</w:t>
            </w:r>
            <w:r w:rsidR="00AC44CB">
              <w:rPr>
                <w:b/>
                <w:bCs/>
                <w:sz w:val="20"/>
                <w:szCs w:val="16"/>
              </w:rPr>
              <w:t>9 9</w:t>
            </w:r>
            <w:r w:rsidRPr="00AE6EDB">
              <w:rPr>
                <w:b/>
                <w:bCs/>
                <w:sz w:val="20"/>
                <w:szCs w:val="16"/>
              </w:rPr>
              <w:t>86</w:t>
            </w:r>
          </w:p>
        </w:tc>
        <w:tc>
          <w:tcPr>
            <w:tcW w:w="1644" w:type="dxa"/>
            <w:shd w:val="clear" w:color="auto" w:fill="auto"/>
            <w:noWrap/>
            <w:vAlign w:val="bottom"/>
            <w:hideMark/>
          </w:tcPr>
          <w:p w:rsidR="009717AB" w:rsidRPr="00AE6EDB" w:rsidRDefault="009717AB">
            <w:pPr>
              <w:jc w:val="right"/>
              <w:rPr>
                <w:b/>
                <w:bCs/>
                <w:sz w:val="20"/>
                <w:szCs w:val="16"/>
              </w:rPr>
            </w:pPr>
            <w:r w:rsidRPr="00AE6EDB">
              <w:rPr>
                <w:b/>
                <w:bCs/>
                <w:sz w:val="20"/>
                <w:szCs w:val="16"/>
              </w:rPr>
              <w:t>6</w:t>
            </w:r>
            <w:r w:rsidR="0054295F">
              <w:rPr>
                <w:b/>
                <w:bCs/>
                <w:sz w:val="20"/>
                <w:szCs w:val="16"/>
              </w:rPr>
              <w:t>1 5</w:t>
            </w:r>
            <w:r w:rsidRPr="00AE6EDB">
              <w:rPr>
                <w:b/>
                <w:bCs/>
                <w:sz w:val="20"/>
                <w:szCs w:val="16"/>
              </w:rPr>
              <w:t>1</w:t>
            </w:r>
            <w:r w:rsidR="00AC44CB">
              <w:rPr>
                <w:b/>
                <w:bCs/>
                <w:sz w:val="20"/>
                <w:szCs w:val="16"/>
              </w:rPr>
              <w:t>9 7</w:t>
            </w:r>
            <w:r w:rsidRPr="00AE6EDB">
              <w:rPr>
                <w:b/>
                <w:bCs/>
                <w:sz w:val="20"/>
                <w:szCs w:val="16"/>
              </w:rPr>
              <w:t>93</w:t>
            </w:r>
          </w:p>
        </w:tc>
        <w:tc>
          <w:tcPr>
            <w:tcW w:w="778" w:type="dxa"/>
            <w:shd w:val="clear" w:color="auto" w:fill="auto"/>
            <w:noWrap/>
            <w:vAlign w:val="bottom"/>
            <w:hideMark/>
          </w:tcPr>
          <w:p w:rsidR="009717AB" w:rsidRPr="00AE6EDB" w:rsidRDefault="009717AB">
            <w:pPr>
              <w:jc w:val="right"/>
              <w:rPr>
                <w:b/>
                <w:bCs/>
                <w:sz w:val="20"/>
                <w:szCs w:val="16"/>
              </w:rPr>
            </w:pPr>
            <w:r w:rsidRPr="00AE6EDB">
              <w:rPr>
                <w:b/>
                <w:bCs/>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07C0801</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soc. inklúzie osôb ohroz. soc. vylúčením alebo sociálne vylúčených prostredníctvom rozvoja služieb starostlivosti s osobitným zreteľom na marginalizované rómske komunity </w:t>
            </w:r>
            <w:r w:rsidRPr="00AE6EDB">
              <w:rPr>
                <w:color w:val="000000" w:themeColor="text1"/>
              </w:rPr>
              <w:t>–</w:t>
            </w:r>
            <w:r w:rsidRPr="00AE6EDB">
              <w:rPr>
                <w:sz w:val="18"/>
                <w:szCs w:val="18"/>
              </w:rPr>
              <w:t xml:space="preserve"> opatrenie 2.1</w:t>
            </w:r>
          </w:p>
        </w:tc>
        <w:tc>
          <w:tcPr>
            <w:tcW w:w="1541" w:type="dxa"/>
            <w:shd w:val="clear" w:color="auto" w:fill="auto"/>
            <w:noWrap/>
            <w:vAlign w:val="bottom"/>
            <w:hideMark/>
          </w:tcPr>
          <w:p w:rsidR="009717AB" w:rsidRPr="00AE6EDB" w:rsidRDefault="009717AB">
            <w:pPr>
              <w:jc w:val="right"/>
              <w:rPr>
                <w:sz w:val="20"/>
                <w:szCs w:val="16"/>
              </w:rPr>
            </w:pPr>
            <w:r w:rsidRPr="00AE6EDB">
              <w:rPr>
                <w:sz w:val="20"/>
                <w:szCs w:val="16"/>
              </w:rPr>
              <w:t>4</w:t>
            </w:r>
            <w:r w:rsidR="0054295F">
              <w:rPr>
                <w:sz w:val="20"/>
                <w:szCs w:val="16"/>
              </w:rPr>
              <w:t>3 5</w:t>
            </w:r>
            <w:r w:rsidRPr="00AE6EDB">
              <w:rPr>
                <w:sz w:val="20"/>
                <w:szCs w:val="16"/>
              </w:rPr>
              <w:t>0</w:t>
            </w:r>
            <w:r w:rsidR="0054295F">
              <w:rPr>
                <w:sz w:val="20"/>
                <w:szCs w:val="16"/>
              </w:rPr>
              <w:t>0 1</w:t>
            </w:r>
            <w:r w:rsidRPr="00AE6EDB">
              <w:rPr>
                <w:sz w:val="20"/>
                <w:szCs w:val="16"/>
              </w:rPr>
              <w:t>39</w:t>
            </w:r>
          </w:p>
        </w:tc>
        <w:tc>
          <w:tcPr>
            <w:tcW w:w="1606" w:type="dxa"/>
            <w:shd w:val="clear" w:color="auto" w:fill="auto"/>
            <w:noWrap/>
            <w:vAlign w:val="bottom"/>
            <w:hideMark/>
          </w:tcPr>
          <w:p w:rsidR="009717AB" w:rsidRPr="00AE6EDB" w:rsidRDefault="009717AB">
            <w:pPr>
              <w:jc w:val="right"/>
              <w:rPr>
                <w:sz w:val="20"/>
                <w:szCs w:val="16"/>
              </w:rPr>
            </w:pPr>
            <w:r w:rsidRPr="00AE6EDB">
              <w:rPr>
                <w:sz w:val="20"/>
                <w:szCs w:val="16"/>
              </w:rPr>
              <w:t>4</w:t>
            </w:r>
            <w:r w:rsidR="00AC44CB">
              <w:rPr>
                <w:sz w:val="20"/>
                <w:szCs w:val="16"/>
              </w:rPr>
              <w:t>9 0</w:t>
            </w:r>
            <w:r w:rsidRPr="00AE6EDB">
              <w:rPr>
                <w:sz w:val="20"/>
                <w:szCs w:val="16"/>
              </w:rPr>
              <w:t>9</w:t>
            </w:r>
            <w:r w:rsidR="00AC44CB">
              <w:rPr>
                <w:sz w:val="20"/>
                <w:szCs w:val="16"/>
              </w:rPr>
              <w:t>4 9</w:t>
            </w:r>
            <w:r w:rsidRPr="00AE6EDB">
              <w:rPr>
                <w:sz w:val="20"/>
                <w:szCs w:val="16"/>
              </w:rPr>
              <w:t>40</w:t>
            </w:r>
          </w:p>
        </w:tc>
        <w:tc>
          <w:tcPr>
            <w:tcW w:w="1644" w:type="dxa"/>
            <w:shd w:val="clear" w:color="auto" w:fill="auto"/>
            <w:noWrap/>
            <w:vAlign w:val="bottom"/>
            <w:hideMark/>
          </w:tcPr>
          <w:p w:rsidR="009717AB" w:rsidRPr="00AE6EDB" w:rsidRDefault="009717AB">
            <w:pPr>
              <w:jc w:val="right"/>
              <w:rPr>
                <w:sz w:val="20"/>
                <w:szCs w:val="16"/>
              </w:rPr>
            </w:pPr>
            <w:r w:rsidRPr="00AE6EDB">
              <w:rPr>
                <w:sz w:val="20"/>
                <w:szCs w:val="16"/>
              </w:rPr>
              <w:t>4</w:t>
            </w:r>
            <w:r w:rsidR="00AC44CB">
              <w:rPr>
                <w:sz w:val="20"/>
                <w:szCs w:val="16"/>
              </w:rPr>
              <w:t>9 0</w:t>
            </w:r>
            <w:r w:rsidRPr="00AE6EDB">
              <w:rPr>
                <w:sz w:val="20"/>
                <w:szCs w:val="16"/>
              </w:rPr>
              <w:t>9</w:t>
            </w:r>
            <w:r w:rsidR="0054295F">
              <w:rPr>
                <w:sz w:val="20"/>
                <w:szCs w:val="16"/>
              </w:rPr>
              <w:t>4 8</w:t>
            </w:r>
            <w:r w:rsidRPr="00AE6EDB">
              <w:rPr>
                <w:sz w:val="20"/>
                <w:szCs w:val="16"/>
              </w:rPr>
              <w:t>12</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07C0802</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vytvárania rovnosti príležitostí v prístupe na trh práce a podpora integrácie znevýhodnených skupín na trh práce s osobitným zreteľom na marginalizované komunity </w:t>
            </w:r>
            <w:r w:rsidRPr="00AE6EDB">
              <w:rPr>
                <w:color w:val="000000" w:themeColor="text1"/>
              </w:rPr>
              <w:t>–</w:t>
            </w:r>
            <w:r w:rsidRPr="00AE6EDB">
              <w:rPr>
                <w:sz w:val="18"/>
                <w:szCs w:val="18"/>
              </w:rPr>
              <w:t xml:space="preserve"> opatrenie 2.2</w:t>
            </w:r>
          </w:p>
        </w:tc>
        <w:tc>
          <w:tcPr>
            <w:tcW w:w="1541" w:type="dxa"/>
            <w:shd w:val="clear" w:color="auto" w:fill="auto"/>
            <w:noWrap/>
            <w:vAlign w:val="bottom"/>
            <w:hideMark/>
          </w:tcPr>
          <w:p w:rsidR="009717AB" w:rsidRPr="00AE6EDB" w:rsidRDefault="009717AB">
            <w:pPr>
              <w:jc w:val="right"/>
              <w:rPr>
                <w:sz w:val="20"/>
                <w:szCs w:val="16"/>
              </w:rPr>
            </w:pPr>
            <w:r w:rsidRPr="00AE6EDB">
              <w:rPr>
                <w:sz w:val="20"/>
                <w:szCs w:val="16"/>
              </w:rPr>
              <w:t>2</w:t>
            </w:r>
            <w:r w:rsidR="0054295F">
              <w:rPr>
                <w:sz w:val="20"/>
                <w:szCs w:val="16"/>
              </w:rPr>
              <w:t>0 4</w:t>
            </w:r>
            <w:r w:rsidRPr="00AE6EDB">
              <w:rPr>
                <w:sz w:val="20"/>
                <w:szCs w:val="16"/>
              </w:rPr>
              <w:t>6</w:t>
            </w:r>
            <w:r w:rsidR="00AC44CB">
              <w:rPr>
                <w:sz w:val="20"/>
                <w:szCs w:val="16"/>
              </w:rPr>
              <w:t>9 2</w:t>
            </w:r>
            <w:r w:rsidRPr="00AE6EDB">
              <w:rPr>
                <w:sz w:val="20"/>
                <w:szCs w:val="16"/>
              </w:rPr>
              <w:t>69</w:t>
            </w:r>
          </w:p>
        </w:tc>
        <w:tc>
          <w:tcPr>
            <w:tcW w:w="1606" w:type="dxa"/>
            <w:shd w:val="clear" w:color="auto" w:fill="auto"/>
            <w:noWrap/>
            <w:vAlign w:val="bottom"/>
            <w:hideMark/>
          </w:tcPr>
          <w:p w:rsidR="009717AB" w:rsidRPr="00AE6EDB" w:rsidRDefault="0054295F">
            <w:pPr>
              <w:jc w:val="right"/>
              <w:rPr>
                <w:sz w:val="20"/>
                <w:szCs w:val="16"/>
              </w:rPr>
            </w:pPr>
            <w:r>
              <w:rPr>
                <w:sz w:val="20"/>
                <w:szCs w:val="16"/>
              </w:rPr>
              <w:t>3 5</w:t>
            </w:r>
            <w:r w:rsidR="009717AB" w:rsidRPr="00AE6EDB">
              <w:rPr>
                <w:sz w:val="20"/>
                <w:szCs w:val="16"/>
              </w:rPr>
              <w:t>0</w:t>
            </w:r>
            <w:r>
              <w:rPr>
                <w:sz w:val="20"/>
                <w:szCs w:val="16"/>
              </w:rPr>
              <w:t>3 7</w:t>
            </w:r>
            <w:r w:rsidR="009717AB" w:rsidRPr="00AE6EDB">
              <w:rPr>
                <w:sz w:val="20"/>
                <w:szCs w:val="16"/>
              </w:rPr>
              <w:t>47</w:t>
            </w:r>
          </w:p>
        </w:tc>
        <w:tc>
          <w:tcPr>
            <w:tcW w:w="1644" w:type="dxa"/>
            <w:shd w:val="clear" w:color="auto" w:fill="auto"/>
            <w:noWrap/>
            <w:vAlign w:val="bottom"/>
            <w:hideMark/>
          </w:tcPr>
          <w:p w:rsidR="009717AB" w:rsidRPr="00AE6EDB" w:rsidRDefault="0054295F">
            <w:pPr>
              <w:jc w:val="right"/>
              <w:rPr>
                <w:sz w:val="20"/>
                <w:szCs w:val="16"/>
              </w:rPr>
            </w:pPr>
            <w:r>
              <w:rPr>
                <w:sz w:val="20"/>
                <w:szCs w:val="16"/>
              </w:rPr>
              <w:t>3 5</w:t>
            </w:r>
            <w:r w:rsidR="009717AB" w:rsidRPr="00AE6EDB">
              <w:rPr>
                <w:sz w:val="20"/>
                <w:szCs w:val="16"/>
              </w:rPr>
              <w:t>0</w:t>
            </w:r>
            <w:r>
              <w:rPr>
                <w:sz w:val="20"/>
                <w:szCs w:val="16"/>
              </w:rPr>
              <w:t>3 7</w:t>
            </w:r>
            <w:r w:rsidR="009717AB" w:rsidRPr="00AE6EDB">
              <w:rPr>
                <w:sz w:val="20"/>
                <w:szCs w:val="16"/>
              </w:rPr>
              <w:t>47</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100,0</w:t>
            </w:r>
          </w:p>
        </w:tc>
      </w:tr>
      <w:tr w:rsidR="009717AB" w:rsidRPr="00AE6EDB" w:rsidTr="00DE0EEC">
        <w:trPr>
          <w:trHeight w:val="262"/>
        </w:trPr>
        <w:tc>
          <w:tcPr>
            <w:tcW w:w="1862" w:type="dxa"/>
            <w:shd w:val="clear" w:color="auto" w:fill="auto"/>
            <w:noWrap/>
            <w:vAlign w:val="bottom"/>
            <w:hideMark/>
          </w:tcPr>
          <w:p w:rsidR="009717AB" w:rsidRPr="00AE6EDB" w:rsidRDefault="009717AB" w:rsidP="00DE0EEC">
            <w:pPr>
              <w:rPr>
                <w:sz w:val="18"/>
                <w:szCs w:val="18"/>
              </w:rPr>
            </w:pPr>
            <w:r w:rsidRPr="00AE6EDB">
              <w:rPr>
                <w:sz w:val="18"/>
                <w:szCs w:val="18"/>
              </w:rPr>
              <w:t>07C0803</w:t>
            </w:r>
          </w:p>
        </w:tc>
        <w:tc>
          <w:tcPr>
            <w:tcW w:w="6662" w:type="dxa"/>
            <w:shd w:val="clear" w:color="auto" w:fill="auto"/>
            <w:noWrap/>
            <w:vAlign w:val="bottom"/>
            <w:hideMark/>
          </w:tcPr>
          <w:p w:rsidR="009717AB" w:rsidRPr="00AE6EDB" w:rsidRDefault="009717AB"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zosúladenia rodinného a pracovného života </w:t>
            </w:r>
            <w:r w:rsidRPr="00AE6EDB">
              <w:rPr>
                <w:color w:val="000000" w:themeColor="text1"/>
              </w:rPr>
              <w:t>–</w:t>
            </w:r>
            <w:r w:rsidRPr="00AE6EDB">
              <w:rPr>
                <w:sz w:val="18"/>
                <w:szCs w:val="18"/>
              </w:rPr>
              <w:t xml:space="preserve"> opatrenie 2.3</w:t>
            </w:r>
          </w:p>
        </w:tc>
        <w:tc>
          <w:tcPr>
            <w:tcW w:w="1541" w:type="dxa"/>
            <w:shd w:val="clear" w:color="auto" w:fill="auto"/>
            <w:noWrap/>
            <w:vAlign w:val="bottom"/>
            <w:hideMark/>
          </w:tcPr>
          <w:p w:rsidR="009717AB" w:rsidRPr="00AE6EDB" w:rsidRDefault="009717AB">
            <w:pPr>
              <w:jc w:val="right"/>
              <w:rPr>
                <w:sz w:val="20"/>
                <w:szCs w:val="16"/>
              </w:rPr>
            </w:pPr>
            <w:r w:rsidRPr="00AE6EDB">
              <w:rPr>
                <w:sz w:val="20"/>
                <w:szCs w:val="16"/>
              </w:rPr>
              <w:t>1</w:t>
            </w:r>
            <w:r w:rsidR="00AC44CB">
              <w:rPr>
                <w:sz w:val="20"/>
                <w:szCs w:val="16"/>
              </w:rPr>
              <w:t>5 9</w:t>
            </w:r>
            <w:r w:rsidRPr="00AE6EDB">
              <w:rPr>
                <w:sz w:val="20"/>
                <w:szCs w:val="16"/>
              </w:rPr>
              <w:t>0</w:t>
            </w:r>
            <w:r w:rsidR="00AC44CB">
              <w:rPr>
                <w:sz w:val="20"/>
                <w:szCs w:val="16"/>
              </w:rPr>
              <w:t>8 8</w:t>
            </w:r>
            <w:r w:rsidRPr="00AE6EDB">
              <w:rPr>
                <w:sz w:val="20"/>
                <w:szCs w:val="16"/>
              </w:rPr>
              <w:t>59</w:t>
            </w:r>
          </w:p>
        </w:tc>
        <w:tc>
          <w:tcPr>
            <w:tcW w:w="1606" w:type="dxa"/>
            <w:shd w:val="clear" w:color="auto" w:fill="auto"/>
            <w:noWrap/>
            <w:vAlign w:val="bottom"/>
            <w:hideMark/>
          </w:tcPr>
          <w:p w:rsidR="009717AB" w:rsidRPr="00AE6EDB" w:rsidRDefault="00AC44CB">
            <w:pPr>
              <w:jc w:val="right"/>
              <w:rPr>
                <w:sz w:val="20"/>
                <w:szCs w:val="16"/>
              </w:rPr>
            </w:pPr>
            <w:r>
              <w:rPr>
                <w:sz w:val="20"/>
                <w:szCs w:val="16"/>
              </w:rPr>
              <w:t>8 9</w:t>
            </w:r>
            <w:r w:rsidR="009717AB" w:rsidRPr="00AE6EDB">
              <w:rPr>
                <w:sz w:val="20"/>
                <w:szCs w:val="16"/>
              </w:rPr>
              <w:t>2</w:t>
            </w:r>
            <w:r w:rsidR="0054295F">
              <w:rPr>
                <w:sz w:val="20"/>
                <w:szCs w:val="16"/>
              </w:rPr>
              <w:t>1 2</w:t>
            </w:r>
            <w:r w:rsidR="009717AB" w:rsidRPr="00AE6EDB">
              <w:rPr>
                <w:sz w:val="20"/>
                <w:szCs w:val="16"/>
              </w:rPr>
              <w:t>99</w:t>
            </w:r>
          </w:p>
        </w:tc>
        <w:tc>
          <w:tcPr>
            <w:tcW w:w="1644" w:type="dxa"/>
            <w:shd w:val="clear" w:color="auto" w:fill="auto"/>
            <w:noWrap/>
            <w:vAlign w:val="bottom"/>
            <w:hideMark/>
          </w:tcPr>
          <w:p w:rsidR="009717AB" w:rsidRPr="00AE6EDB" w:rsidRDefault="00AC44CB">
            <w:pPr>
              <w:jc w:val="right"/>
              <w:rPr>
                <w:sz w:val="20"/>
                <w:szCs w:val="16"/>
              </w:rPr>
            </w:pPr>
            <w:r>
              <w:rPr>
                <w:sz w:val="20"/>
                <w:szCs w:val="16"/>
              </w:rPr>
              <w:t>8 9</w:t>
            </w:r>
            <w:r w:rsidR="009717AB" w:rsidRPr="00AE6EDB">
              <w:rPr>
                <w:sz w:val="20"/>
                <w:szCs w:val="16"/>
              </w:rPr>
              <w:t>2</w:t>
            </w:r>
            <w:r w:rsidR="0054295F">
              <w:rPr>
                <w:sz w:val="20"/>
                <w:szCs w:val="16"/>
              </w:rPr>
              <w:t>1 2</w:t>
            </w:r>
            <w:r w:rsidR="009717AB" w:rsidRPr="00AE6EDB">
              <w:rPr>
                <w:sz w:val="20"/>
                <w:szCs w:val="16"/>
              </w:rPr>
              <w:t>34</w:t>
            </w:r>
          </w:p>
        </w:tc>
        <w:tc>
          <w:tcPr>
            <w:tcW w:w="778" w:type="dxa"/>
            <w:shd w:val="clear" w:color="auto" w:fill="auto"/>
            <w:noWrap/>
            <w:vAlign w:val="bottom"/>
            <w:hideMark/>
          </w:tcPr>
          <w:p w:rsidR="009717AB" w:rsidRPr="00AE6EDB" w:rsidRDefault="009717AB">
            <w:pPr>
              <w:jc w:val="right"/>
              <w:rPr>
                <w:sz w:val="20"/>
                <w:szCs w:val="16"/>
              </w:rPr>
            </w:pPr>
            <w:r w:rsidRPr="00AE6EDB">
              <w:rPr>
                <w:sz w:val="20"/>
                <w:szCs w:val="16"/>
              </w:rPr>
              <w:t>100,0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bCs/>
                <w:sz w:val="20"/>
                <w:szCs w:val="20"/>
              </w:rPr>
            </w:pPr>
            <w:r w:rsidRPr="00AE6EDB">
              <w:rPr>
                <w:b/>
                <w:bCs/>
                <w:sz w:val="20"/>
                <w:szCs w:val="20"/>
              </w:rPr>
              <w:t>07E</w:t>
            </w:r>
          </w:p>
        </w:tc>
        <w:tc>
          <w:tcPr>
            <w:tcW w:w="6662" w:type="dxa"/>
            <w:shd w:val="clear" w:color="auto" w:fill="auto"/>
            <w:noWrap/>
            <w:vAlign w:val="bottom"/>
            <w:hideMark/>
          </w:tcPr>
          <w:p w:rsidR="0011713C" w:rsidRPr="00AE6EDB" w:rsidRDefault="0011713C" w:rsidP="00DE0EEC">
            <w:pPr>
              <w:rPr>
                <w:b/>
                <w:bCs/>
                <w:sz w:val="20"/>
                <w:szCs w:val="20"/>
              </w:rPr>
            </w:pPr>
            <w:r w:rsidRPr="00AE6EDB">
              <w:rPr>
                <w:b/>
                <w:bCs/>
                <w:sz w:val="20"/>
                <w:szCs w:val="20"/>
              </w:rPr>
              <w:t>Tvorba a implementácia politík</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13</w:t>
            </w:r>
            <w:r w:rsidR="00AC44CB">
              <w:rPr>
                <w:b/>
                <w:bCs/>
                <w:sz w:val="20"/>
                <w:szCs w:val="16"/>
              </w:rPr>
              <w:t>8 7</w:t>
            </w:r>
            <w:r w:rsidRPr="00AE6EDB">
              <w:rPr>
                <w:b/>
                <w:bCs/>
                <w:sz w:val="20"/>
                <w:szCs w:val="16"/>
              </w:rPr>
              <w:t>1</w:t>
            </w:r>
            <w:r w:rsidR="0054295F">
              <w:rPr>
                <w:b/>
                <w:bCs/>
                <w:sz w:val="20"/>
                <w:szCs w:val="16"/>
              </w:rPr>
              <w:t>2 5</w:t>
            </w:r>
            <w:r w:rsidRPr="00AE6EDB">
              <w:rPr>
                <w:b/>
                <w:bCs/>
                <w:sz w:val="20"/>
                <w:szCs w:val="16"/>
              </w:rPr>
              <w:t>18</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17</w:t>
            </w:r>
            <w:r w:rsidR="00AC44CB">
              <w:rPr>
                <w:b/>
                <w:bCs/>
                <w:sz w:val="20"/>
                <w:szCs w:val="16"/>
              </w:rPr>
              <w:t>8 3</w:t>
            </w:r>
            <w:r w:rsidRPr="00AE6EDB">
              <w:rPr>
                <w:b/>
                <w:bCs/>
                <w:sz w:val="20"/>
                <w:szCs w:val="16"/>
              </w:rPr>
              <w:t>5</w:t>
            </w:r>
            <w:r w:rsidR="0054295F">
              <w:rPr>
                <w:b/>
                <w:bCs/>
                <w:sz w:val="20"/>
                <w:szCs w:val="16"/>
              </w:rPr>
              <w:t>4 4</w:t>
            </w:r>
            <w:r w:rsidRPr="00AE6EDB">
              <w:rPr>
                <w:b/>
                <w:bCs/>
                <w:sz w:val="20"/>
                <w:szCs w:val="16"/>
              </w:rPr>
              <w:t>65</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17</w:t>
            </w:r>
            <w:r w:rsidR="00AC44CB">
              <w:rPr>
                <w:b/>
                <w:bCs/>
                <w:sz w:val="20"/>
                <w:szCs w:val="16"/>
              </w:rPr>
              <w:t>8 4</w:t>
            </w:r>
            <w:r w:rsidRPr="00AE6EDB">
              <w:rPr>
                <w:b/>
                <w:bCs/>
                <w:sz w:val="20"/>
                <w:szCs w:val="16"/>
              </w:rPr>
              <w:t>1</w:t>
            </w:r>
            <w:r w:rsidR="0054295F">
              <w:rPr>
                <w:b/>
                <w:bCs/>
                <w:sz w:val="20"/>
                <w:szCs w:val="16"/>
              </w:rPr>
              <w:t>4 2</w:t>
            </w:r>
            <w:r w:rsidRPr="00AE6EDB">
              <w:rPr>
                <w:b/>
                <w:bCs/>
                <w:sz w:val="20"/>
                <w:szCs w:val="16"/>
              </w:rPr>
              <w:t>74</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bCs/>
                <w:sz w:val="20"/>
                <w:szCs w:val="20"/>
              </w:rPr>
            </w:pPr>
            <w:r w:rsidRPr="00AE6EDB">
              <w:rPr>
                <w:b/>
                <w:bCs/>
                <w:sz w:val="20"/>
                <w:szCs w:val="20"/>
              </w:rPr>
              <w:t>07E03</w:t>
            </w:r>
          </w:p>
        </w:tc>
        <w:tc>
          <w:tcPr>
            <w:tcW w:w="6662" w:type="dxa"/>
            <w:shd w:val="clear" w:color="auto" w:fill="auto"/>
            <w:noWrap/>
            <w:vAlign w:val="bottom"/>
            <w:hideMark/>
          </w:tcPr>
          <w:p w:rsidR="0011713C" w:rsidRPr="00AE6EDB" w:rsidRDefault="0011713C" w:rsidP="00DE0EEC">
            <w:pPr>
              <w:rPr>
                <w:b/>
                <w:bCs/>
                <w:sz w:val="20"/>
                <w:szCs w:val="20"/>
              </w:rPr>
            </w:pPr>
            <w:r w:rsidRPr="00AE6EDB">
              <w:rPr>
                <w:b/>
                <w:bCs/>
                <w:sz w:val="20"/>
                <w:szCs w:val="20"/>
              </w:rPr>
              <w:t>Riadiaca, koncepčná a výskumná činnosť</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1</w:t>
            </w:r>
            <w:r w:rsidR="00AC44CB">
              <w:rPr>
                <w:b/>
                <w:bCs/>
                <w:sz w:val="20"/>
                <w:szCs w:val="16"/>
              </w:rPr>
              <w:t>9 2</w:t>
            </w:r>
            <w:r w:rsidRPr="00AE6EDB">
              <w:rPr>
                <w:b/>
                <w:bCs/>
                <w:sz w:val="20"/>
                <w:szCs w:val="16"/>
              </w:rPr>
              <w:t>5</w:t>
            </w:r>
            <w:r w:rsidR="00AC44CB">
              <w:rPr>
                <w:b/>
                <w:bCs/>
                <w:sz w:val="20"/>
                <w:szCs w:val="16"/>
              </w:rPr>
              <w:t>5 4</w:t>
            </w:r>
            <w:r w:rsidRPr="00AE6EDB">
              <w:rPr>
                <w:b/>
                <w:bCs/>
                <w:sz w:val="20"/>
                <w:szCs w:val="16"/>
              </w:rPr>
              <w:t>59</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2</w:t>
            </w:r>
            <w:r w:rsidR="00AC44CB">
              <w:rPr>
                <w:b/>
                <w:bCs/>
                <w:sz w:val="20"/>
                <w:szCs w:val="16"/>
              </w:rPr>
              <w:t>6 0</w:t>
            </w:r>
            <w:r w:rsidRPr="00AE6EDB">
              <w:rPr>
                <w:b/>
                <w:bCs/>
                <w:sz w:val="20"/>
                <w:szCs w:val="16"/>
              </w:rPr>
              <w:t>9</w:t>
            </w:r>
            <w:r w:rsidR="0054295F">
              <w:rPr>
                <w:b/>
                <w:bCs/>
                <w:sz w:val="20"/>
                <w:szCs w:val="16"/>
              </w:rPr>
              <w:t>3 5</w:t>
            </w:r>
            <w:r w:rsidRPr="00AE6EDB">
              <w:rPr>
                <w:b/>
                <w:bCs/>
                <w:sz w:val="20"/>
                <w:szCs w:val="16"/>
              </w:rPr>
              <w:t>32</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2</w:t>
            </w:r>
            <w:r w:rsidR="00AC44CB">
              <w:rPr>
                <w:b/>
                <w:bCs/>
                <w:sz w:val="20"/>
                <w:szCs w:val="16"/>
              </w:rPr>
              <w:t>6 1</w:t>
            </w:r>
            <w:r w:rsidRPr="00AE6EDB">
              <w:rPr>
                <w:b/>
                <w:bCs/>
                <w:sz w:val="20"/>
                <w:szCs w:val="16"/>
              </w:rPr>
              <w:t>1</w:t>
            </w:r>
            <w:r w:rsidR="0054295F">
              <w:rPr>
                <w:b/>
                <w:bCs/>
                <w:sz w:val="20"/>
                <w:szCs w:val="16"/>
              </w:rPr>
              <w:t>1 8</w:t>
            </w:r>
            <w:r w:rsidRPr="00AE6EDB">
              <w:rPr>
                <w:b/>
                <w:bCs/>
                <w:sz w:val="20"/>
                <w:szCs w:val="16"/>
              </w:rPr>
              <w:t>44</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100,1</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07E0301</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Aparát ministerstva</w:t>
            </w:r>
          </w:p>
        </w:tc>
        <w:tc>
          <w:tcPr>
            <w:tcW w:w="1541" w:type="dxa"/>
            <w:shd w:val="clear" w:color="auto" w:fill="auto"/>
            <w:noWrap/>
            <w:vAlign w:val="bottom"/>
            <w:hideMark/>
          </w:tcPr>
          <w:p w:rsidR="0011713C" w:rsidRPr="00AE6EDB" w:rsidRDefault="0011713C">
            <w:pPr>
              <w:jc w:val="right"/>
              <w:rPr>
                <w:sz w:val="20"/>
                <w:szCs w:val="16"/>
              </w:rPr>
            </w:pPr>
            <w:r w:rsidRPr="00AE6EDB">
              <w:rPr>
                <w:sz w:val="20"/>
                <w:szCs w:val="16"/>
              </w:rPr>
              <w:t>1</w:t>
            </w:r>
            <w:r w:rsidR="00AC44CB">
              <w:rPr>
                <w:sz w:val="20"/>
                <w:szCs w:val="16"/>
              </w:rPr>
              <w:t>9 2</w:t>
            </w:r>
            <w:r w:rsidRPr="00AE6EDB">
              <w:rPr>
                <w:sz w:val="20"/>
                <w:szCs w:val="16"/>
              </w:rPr>
              <w:t>5</w:t>
            </w:r>
            <w:r w:rsidR="00AC44CB">
              <w:rPr>
                <w:sz w:val="20"/>
                <w:szCs w:val="16"/>
              </w:rPr>
              <w:t>5 4</w:t>
            </w:r>
            <w:r w:rsidRPr="00AE6EDB">
              <w:rPr>
                <w:sz w:val="20"/>
                <w:szCs w:val="16"/>
              </w:rPr>
              <w:t>59</w:t>
            </w:r>
          </w:p>
        </w:tc>
        <w:tc>
          <w:tcPr>
            <w:tcW w:w="1606" w:type="dxa"/>
            <w:shd w:val="clear" w:color="auto" w:fill="auto"/>
            <w:noWrap/>
            <w:vAlign w:val="bottom"/>
            <w:hideMark/>
          </w:tcPr>
          <w:p w:rsidR="0011713C" w:rsidRPr="00AE6EDB" w:rsidRDefault="0011713C">
            <w:pPr>
              <w:jc w:val="right"/>
              <w:rPr>
                <w:sz w:val="20"/>
                <w:szCs w:val="16"/>
              </w:rPr>
            </w:pPr>
            <w:r w:rsidRPr="00AE6EDB">
              <w:rPr>
                <w:sz w:val="20"/>
                <w:szCs w:val="16"/>
              </w:rPr>
              <w:t>2</w:t>
            </w:r>
            <w:r w:rsidR="00AC44CB">
              <w:rPr>
                <w:sz w:val="20"/>
                <w:szCs w:val="16"/>
              </w:rPr>
              <w:t>6 0</w:t>
            </w:r>
            <w:r w:rsidRPr="00AE6EDB">
              <w:rPr>
                <w:sz w:val="20"/>
                <w:szCs w:val="16"/>
              </w:rPr>
              <w:t>9</w:t>
            </w:r>
            <w:r w:rsidR="0054295F">
              <w:rPr>
                <w:sz w:val="20"/>
                <w:szCs w:val="16"/>
              </w:rPr>
              <w:t>3 5</w:t>
            </w:r>
            <w:r w:rsidRPr="00AE6EDB">
              <w:rPr>
                <w:sz w:val="20"/>
                <w:szCs w:val="16"/>
              </w:rPr>
              <w:t>32</w:t>
            </w:r>
          </w:p>
        </w:tc>
        <w:tc>
          <w:tcPr>
            <w:tcW w:w="1644" w:type="dxa"/>
            <w:shd w:val="clear" w:color="auto" w:fill="auto"/>
            <w:noWrap/>
            <w:vAlign w:val="bottom"/>
            <w:hideMark/>
          </w:tcPr>
          <w:p w:rsidR="0011713C" w:rsidRPr="00AE6EDB" w:rsidRDefault="0011713C">
            <w:pPr>
              <w:jc w:val="right"/>
              <w:rPr>
                <w:sz w:val="20"/>
                <w:szCs w:val="16"/>
              </w:rPr>
            </w:pPr>
            <w:r w:rsidRPr="00AE6EDB">
              <w:rPr>
                <w:sz w:val="20"/>
                <w:szCs w:val="16"/>
              </w:rPr>
              <w:t>2</w:t>
            </w:r>
            <w:r w:rsidR="00AC44CB">
              <w:rPr>
                <w:sz w:val="20"/>
                <w:szCs w:val="16"/>
              </w:rPr>
              <w:t>6 1</w:t>
            </w:r>
            <w:r w:rsidRPr="00AE6EDB">
              <w:rPr>
                <w:sz w:val="20"/>
                <w:szCs w:val="16"/>
              </w:rPr>
              <w:t>1</w:t>
            </w:r>
            <w:r w:rsidR="0054295F">
              <w:rPr>
                <w:sz w:val="20"/>
                <w:szCs w:val="16"/>
              </w:rPr>
              <w:t>1 8</w:t>
            </w:r>
            <w:r w:rsidRPr="00AE6EDB">
              <w:rPr>
                <w:sz w:val="20"/>
                <w:szCs w:val="16"/>
              </w:rPr>
              <w:t>44</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100,1</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bCs/>
                <w:sz w:val="20"/>
                <w:szCs w:val="20"/>
              </w:rPr>
            </w:pPr>
            <w:r w:rsidRPr="00AE6EDB">
              <w:rPr>
                <w:b/>
                <w:bCs/>
                <w:sz w:val="20"/>
                <w:szCs w:val="20"/>
              </w:rPr>
              <w:t>07E04</w:t>
            </w:r>
          </w:p>
        </w:tc>
        <w:tc>
          <w:tcPr>
            <w:tcW w:w="6662" w:type="dxa"/>
            <w:shd w:val="clear" w:color="auto" w:fill="auto"/>
            <w:noWrap/>
            <w:vAlign w:val="bottom"/>
            <w:hideMark/>
          </w:tcPr>
          <w:p w:rsidR="0011713C" w:rsidRPr="00AE6EDB" w:rsidRDefault="0011713C" w:rsidP="00DE0EEC">
            <w:pPr>
              <w:rPr>
                <w:b/>
                <w:bCs/>
                <w:sz w:val="20"/>
                <w:szCs w:val="20"/>
              </w:rPr>
            </w:pPr>
            <w:r w:rsidRPr="00AE6EDB">
              <w:rPr>
                <w:b/>
                <w:bCs/>
                <w:sz w:val="20"/>
                <w:szCs w:val="20"/>
              </w:rPr>
              <w:t>Výkon štátnej správy na úseku soc. vecí, rodiny, práce a zamestnanosti</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11</w:t>
            </w:r>
            <w:r w:rsidR="00AC44CB">
              <w:rPr>
                <w:b/>
                <w:bCs/>
                <w:sz w:val="20"/>
                <w:szCs w:val="16"/>
              </w:rPr>
              <w:t>7 4</w:t>
            </w:r>
            <w:r w:rsidRPr="00AE6EDB">
              <w:rPr>
                <w:b/>
                <w:bCs/>
                <w:sz w:val="20"/>
                <w:szCs w:val="16"/>
              </w:rPr>
              <w:t>5</w:t>
            </w:r>
            <w:r w:rsidR="0054295F">
              <w:rPr>
                <w:b/>
                <w:bCs/>
                <w:sz w:val="20"/>
                <w:szCs w:val="16"/>
              </w:rPr>
              <w:t>4 6</w:t>
            </w:r>
            <w:r w:rsidRPr="00AE6EDB">
              <w:rPr>
                <w:b/>
                <w:bCs/>
                <w:sz w:val="20"/>
                <w:szCs w:val="16"/>
              </w:rPr>
              <w:t>84</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15</w:t>
            </w:r>
            <w:r w:rsidR="0054295F">
              <w:rPr>
                <w:b/>
                <w:bCs/>
                <w:sz w:val="20"/>
                <w:szCs w:val="16"/>
              </w:rPr>
              <w:t>0 2</w:t>
            </w:r>
            <w:r w:rsidRPr="00AE6EDB">
              <w:rPr>
                <w:b/>
                <w:bCs/>
                <w:sz w:val="20"/>
                <w:szCs w:val="16"/>
              </w:rPr>
              <w:t>8</w:t>
            </w:r>
            <w:r w:rsidR="00AC44CB">
              <w:rPr>
                <w:b/>
                <w:bCs/>
                <w:sz w:val="20"/>
                <w:szCs w:val="16"/>
              </w:rPr>
              <w:t>9 6</w:t>
            </w:r>
            <w:r w:rsidRPr="00AE6EDB">
              <w:rPr>
                <w:b/>
                <w:bCs/>
                <w:sz w:val="20"/>
                <w:szCs w:val="16"/>
              </w:rPr>
              <w:t>92</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15</w:t>
            </w:r>
            <w:r w:rsidR="0054295F">
              <w:rPr>
                <w:b/>
                <w:bCs/>
                <w:sz w:val="20"/>
                <w:szCs w:val="16"/>
              </w:rPr>
              <w:t>0 3</w:t>
            </w:r>
            <w:r w:rsidRPr="00AE6EDB">
              <w:rPr>
                <w:b/>
                <w:bCs/>
                <w:sz w:val="20"/>
                <w:szCs w:val="16"/>
              </w:rPr>
              <w:t>2</w:t>
            </w:r>
            <w:r w:rsidR="0054295F">
              <w:rPr>
                <w:b/>
                <w:bCs/>
                <w:sz w:val="20"/>
                <w:szCs w:val="16"/>
              </w:rPr>
              <w:t>0 0</w:t>
            </w:r>
            <w:r w:rsidRPr="00AE6EDB">
              <w:rPr>
                <w:b/>
                <w:bCs/>
                <w:sz w:val="20"/>
                <w:szCs w:val="16"/>
              </w:rPr>
              <w:t>44</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07E0401</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Špecializovaná štátna správa</w:t>
            </w:r>
          </w:p>
        </w:tc>
        <w:tc>
          <w:tcPr>
            <w:tcW w:w="1541" w:type="dxa"/>
            <w:shd w:val="clear" w:color="auto" w:fill="auto"/>
            <w:noWrap/>
            <w:vAlign w:val="bottom"/>
            <w:hideMark/>
          </w:tcPr>
          <w:p w:rsidR="0011713C" w:rsidRPr="00AE6EDB" w:rsidRDefault="0011713C">
            <w:pPr>
              <w:jc w:val="right"/>
              <w:rPr>
                <w:sz w:val="20"/>
                <w:szCs w:val="16"/>
              </w:rPr>
            </w:pPr>
            <w:r w:rsidRPr="00AE6EDB">
              <w:rPr>
                <w:sz w:val="20"/>
                <w:szCs w:val="16"/>
              </w:rPr>
              <w:t>10</w:t>
            </w:r>
            <w:r w:rsidR="00AC44CB">
              <w:rPr>
                <w:sz w:val="20"/>
                <w:szCs w:val="16"/>
              </w:rPr>
              <w:t>6 5</w:t>
            </w:r>
            <w:r w:rsidRPr="00AE6EDB">
              <w:rPr>
                <w:sz w:val="20"/>
                <w:szCs w:val="16"/>
              </w:rPr>
              <w:t>0</w:t>
            </w:r>
            <w:r w:rsidR="0054295F">
              <w:rPr>
                <w:sz w:val="20"/>
                <w:szCs w:val="16"/>
              </w:rPr>
              <w:t>0 1</w:t>
            </w:r>
            <w:r w:rsidRPr="00AE6EDB">
              <w:rPr>
                <w:sz w:val="20"/>
                <w:szCs w:val="16"/>
              </w:rPr>
              <w:t>82</w:t>
            </w:r>
          </w:p>
        </w:tc>
        <w:tc>
          <w:tcPr>
            <w:tcW w:w="1606" w:type="dxa"/>
            <w:shd w:val="clear" w:color="auto" w:fill="auto"/>
            <w:noWrap/>
            <w:vAlign w:val="bottom"/>
            <w:hideMark/>
          </w:tcPr>
          <w:p w:rsidR="0011713C" w:rsidRPr="00AE6EDB" w:rsidRDefault="0011713C">
            <w:pPr>
              <w:jc w:val="right"/>
              <w:rPr>
                <w:sz w:val="20"/>
                <w:szCs w:val="16"/>
              </w:rPr>
            </w:pPr>
            <w:r w:rsidRPr="00AE6EDB">
              <w:rPr>
                <w:sz w:val="20"/>
                <w:szCs w:val="16"/>
              </w:rPr>
              <w:t>13</w:t>
            </w:r>
            <w:r w:rsidR="00AC44CB">
              <w:rPr>
                <w:sz w:val="20"/>
                <w:szCs w:val="16"/>
              </w:rPr>
              <w:t>8 5</w:t>
            </w:r>
            <w:r w:rsidRPr="00AE6EDB">
              <w:rPr>
                <w:sz w:val="20"/>
                <w:szCs w:val="16"/>
              </w:rPr>
              <w:t>8</w:t>
            </w:r>
            <w:r w:rsidR="00AC44CB">
              <w:rPr>
                <w:sz w:val="20"/>
                <w:szCs w:val="16"/>
              </w:rPr>
              <w:t>6 0</w:t>
            </w:r>
            <w:r w:rsidRPr="00AE6EDB">
              <w:rPr>
                <w:sz w:val="20"/>
                <w:szCs w:val="16"/>
              </w:rPr>
              <w:t>10</w:t>
            </w:r>
          </w:p>
        </w:tc>
        <w:tc>
          <w:tcPr>
            <w:tcW w:w="1644" w:type="dxa"/>
            <w:shd w:val="clear" w:color="auto" w:fill="auto"/>
            <w:noWrap/>
            <w:vAlign w:val="bottom"/>
            <w:hideMark/>
          </w:tcPr>
          <w:p w:rsidR="0011713C" w:rsidRPr="00AE6EDB" w:rsidRDefault="0011713C">
            <w:pPr>
              <w:jc w:val="right"/>
              <w:rPr>
                <w:sz w:val="20"/>
                <w:szCs w:val="16"/>
              </w:rPr>
            </w:pPr>
            <w:r w:rsidRPr="00AE6EDB">
              <w:rPr>
                <w:sz w:val="20"/>
                <w:szCs w:val="16"/>
              </w:rPr>
              <w:t>13</w:t>
            </w:r>
            <w:r w:rsidR="00AC44CB">
              <w:rPr>
                <w:sz w:val="20"/>
                <w:szCs w:val="16"/>
              </w:rPr>
              <w:t>8 5</w:t>
            </w:r>
            <w:r w:rsidRPr="00AE6EDB">
              <w:rPr>
                <w:sz w:val="20"/>
                <w:szCs w:val="16"/>
              </w:rPr>
              <w:t>9</w:t>
            </w:r>
            <w:r w:rsidR="00AC44CB">
              <w:rPr>
                <w:sz w:val="20"/>
                <w:szCs w:val="16"/>
              </w:rPr>
              <w:t>6 6</w:t>
            </w:r>
            <w:r w:rsidRPr="00AE6EDB">
              <w:rPr>
                <w:sz w:val="20"/>
                <w:szCs w:val="16"/>
              </w:rPr>
              <w:t>79</w:t>
            </w:r>
          </w:p>
        </w:tc>
        <w:tc>
          <w:tcPr>
            <w:tcW w:w="778" w:type="dxa"/>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07E0402</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Ostatná štátna správa</w:t>
            </w:r>
          </w:p>
        </w:tc>
        <w:tc>
          <w:tcPr>
            <w:tcW w:w="1541" w:type="dxa"/>
            <w:shd w:val="clear" w:color="auto" w:fill="auto"/>
            <w:noWrap/>
            <w:vAlign w:val="bottom"/>
            <w:hideMark/>
          </w:tcPr>
          <w:p w:rsidR="0011713C" w:rsidRPr="00AE6EDB" w:rsidRDefault="0011713C">
            <w:pPr>
              <w:jc w:val="right"/>
              <w:rPr>
                <w:sz w:val="20"/>
                <w:szCs w:val="16"/>
              </w:rPr>
            </w:pPr>
            <w:r w:rsidRPr="00AE6EDB">
              <w:rPr>
                <w:sz w:val="20"/>
                <w:szCs w:val="16"/>
              </w:rPr>
              <w:t>1</w:t>
            </w:r>
            <w:r w:rsidR="0054295F">
              <w:rPr>
                <w:sz w:val="20"/>
                <w:szCs w:val="16"/>
              </w:rPr>
              <w:t>0 9</w:t>
            </w:r>
            <w:r w:rsidRPr="00AE6EDB">
              <w:rPr>
                <w:sz w:val="20"/>
                <w:szCs w:val="16"/>
              </w:rPr>
              <w:t>5</w:t>
            </w:r>
            <w:r w:rsidR="0054295F">
              <w:rPr>
                <w:sz w:val="20"/>
                <w:szCs w:val="16"/>
              </w:rPr>
              <w:t>4 5</w:t>
            </w:r>
            <w:r w:rsidRPr="00AE6EDB">
              <w:rPr>
                <w:sz w:val="20"/>
                <w:szCs w:val="16"/>
              </w:rPr>
              <w:t>02</w:t>
            </w:r>
          </w:p>
        </w:tc>
        <w:tc>
          <w:tcPr>
            <w:tcW w:w="1606" w:type="dxa"/>
            <w:shd w:val="clear" w:color="auto" w:fill="auto"/>
            <w:noWrap/>
            <w:vAlign w:val="bottom"/>
            <w:hideMark/>
          </w:tcPr>
          <w:p w:rsidR="0011713C" w:rsidRPr="00AE6EDB" w:rsidRDefault="0011713C">
            <w:pPr>
              <w:jc w:val="right"/>
              <w:rPr>
                <w:sz w:val="20"/>
                <w:szCs w:val="16"/>
              </w:rPr>
            </w:pPr>
            <w:r w:rsidRPr="00AE6EDB">
              <w:rPr>
                <w:sz w:val="20"/>
                <w:szCs w:val="16"/>
              </w:rPr>
              <w:t>1</w:t>
            </w:r>
            <w:r w:rsidR="0054295F">
              <w:rPr>
                <w:sz w:val="20"/>
                <w:szCs w:val="16"/>
              </w:rPr>
              <w:t>1 7</w:t>
            </w:r>
            <w:r w:rsidRPr="00AE6EDB">
              <w:rPr>
                <w:sz w:val="20"/>
                <w:szCs w:val="16"/>
              </w:rPr>
              <w:t>0</w:t>
            </w:r>
            <w:r w:rsidR="0054295F">
              <w:rPr>
                <w:sz w:val="20"/>
                <w:szCs w:val="16"/>
              </w:rPr>
              <w:t>3 6</w:t>
            </w:r>
            <w:r w:rsidRPr="00AE6EDB">
              <w:rPr>
                <w:sz w:val="20"/>
                <w:szCs w:val="16"/>
              </w:rPr>
              <w:t>82</w:t>
            </w:r>
          </w:p>
        </w:tc>
        <w:tc>
          <w:tcPr>
            <w:tcW w:w="1644" w:type="dxa"/>
            <w:shd w:val="clear" w:color="auto" w:fill="auto"/>
            <w:noWrap/>
            <w:vAlign w:val="bottom"/>
            <w:hideMark/>
          </w:tcPr>
          <w:p w:rsidR="0011713C" w:rsidRPr="00AE6EDB" w:rsidRDefault="0011713C">
            <w:pPr>
              <w:jc w:val="right"/>
              <w:rPr>
                <w:sz w:val="20"/>
                <w:szCs w:val="16"/>
              </w:rPr>
            </w:pPr>
            <w:r w:rsidRPr="00AE6EDB">
              <w:rPr>
                <w:sz w:val="20"/>
                <w:szCs w:val="16"/>
              </w:rPr>
              <w:t>1</w:t>
            </w:r>
            <w:r w:rsidR="0054295F">
              <w:rPr>
                <w:sz w:val="20"/>
                <w:szCs w:val="16"/>
              </w:rPr>
              <w:t>1 7</w:t>
            </w:r>
            <w:r w:rsidRPr="00AE6EDB">
              <w:rPr>
                <w:sz w:val="20"/>
                <w:szCs w:val="16"/>
              </w:rPr>
              <w:t>2</w:t>
            </w:r>
            <w:r w:rsidR="0054295F">
              <w:rPr>
                <w:sz w:val="20"/>
                <w:szCs w:val="16"/>
              </w:rPr>
              <w:t>3 3</w:t>
            </w:r>
            <w:r w:rsidRPr="00AE6EDB">
              <w:rPr>
                <w:sz w:val="20"/>
                <w:szCs w:val="16"/>
              </w:rPr>
              <w:t>65</w:t>
            </w:r>
          </w:p>
        </w:tc>
        <w:tc>
          <w:tcPr>
            <w:tcW w:w="778" w:type="dxa"/>
            <w:shd w:val="clear" w:color="auto" w:fill="auto"/>
            <w:noWrap/>
            <w:vAlign w:val="bottom"/>
            <w:hideMark/>
          </w:tcPr>
          <w:p w:rsidR="0011713C" w:rsidRPr="00AE6EDB" w:rsidRDefault="0011713C">
            <w:pPr>
              <w:jc w:val="right"/>
              <w:rPr>
                <w:sz w:val="20"/>
                <w:szCs w:val="16"/>
              </w:rPr>
            </w:pPr>
            <w:r w:rsidRPr="00AE6EDB">
              <w:rPr>
                <w:sz w:val="20"/>
                <w:szCs w:val="16"/>
              </w:rPr>
              <w:t>100,2</w:t>
            </w:r>
          </w:p>
        </w:tc>
      </w:tr>
      <w:tr w:rsidR="0011713C" w:rsidRPr="00AE6EDB" w:rsidTr="00DE0EEC">
        <w:trPr>
          <w:trHeight w:val="262"/>
        </w:trPr>
        <w:tc>
          <w:tcPr>
            <w:tcW w:w="1862" w:type="dxa"/>
            <w:shd w:val="clear" w:color="auto" w:fill="auto"/>
            <w:noWrap/>
            <w:vAlign w:val="bottom"/>
          </w:tcPr>
          <w:p w:rsidR="0011713C" w:rsidRPr="00AE6EDB" w:rsidRDefault="0011713C">
            <w:pPr>
              <w:rPr>
                <w:b/>
                <w:bCs/>
                <w:sz w:val="20"/>
                <w:szCs w:val="16"/>
              </w:rPr>
            </w:pPr>
            <w:r w:rsidRPr="00AE6EDB">
              <w:rPr>
                <w:b/>
                <w:bCs/>
                <w:sz w:val="20"/>
                <w:szCs w:val="16"/>
              </w:rPr>
              <w:t>07E05</w:t>
            </w:r>
          </w:p>
        </w:tc>
        <w:tc>
          <w:tcPr>
            <w:tcW w:w="6662" w:type="dxa"/>
            <w:shd w:val="clear" w:color="auto" w:fill="auto"/>
            <w:noWrap/>
            <w:vAlign w:val="bottom"/>
          </w:tcPr>
          <w:p w:rsidR="0011713C" w:rsidRPr="00AE6EDB" w:rsidRDefault="0011713C">
            <w:pPr>
              <w:rPr>
                <w:b/>
                <w:bCs/>
                <w:sz w:val="20"/>
                <w:szCs w:val="16"/>
              </w:rPr>
            </w:pPr>
            <w:r w:rsidRPr="00AE6EDB">
              <w:rPr>
                <w:b/>
                <w:bCs/>
                <w:sz w:val="20"/>
                <w:szCs w:val="16"/>
              </w:rPr>
              <w:t>Implementácia projektov</w:t>
            </w:r>
          </w:p>
        </w:tc>
        <w:tc>
          <w:tcPr>
            <w:tcW w:w="1541" w:type="dxa"/>
            <w:shd w:val="clear" w:color="auto" w:fill="auto"/>
            <w:noWrap/>
            <w:vAlign w:val="bottom"/>
          </w:tcPr>
          <w:p w:rsidR="0011713C" w:rsidRPr="00AE6EDB" w:rsidRDefault="0054295F">
            <w:pPr>
              <w:jc w:val="right"/>
              <w:rPr>
                <w:b/>
                <w:bCs/>
                <w:sz w:val="20"/>
                <w:szCs w:val="16"/>
              </w:rPr>
            </w:pPr>
            <w:r>
              <w:rPr>
                <w:b/>
                <w:bCs/>
                <w:sz w:val="20"/>
                <w:szCs w:val="16"/>
              </w:rPr>
              <w:t>2 0</w:t>
            </w:r>
            <w:r w:rsidR="0011713C" w:rsidRPr="00AE6EDB">
              <w:rPr>
                <w:b/>
                <w:bCs/>
                <w:sz w:val="20"/>
                <w:szCs w:val="16"/>
              </w:rPr>
              <w:t>0</w:t>
            </w:r>
            <w:r>
              <w:rPr>
                <w:b/>
                <w:bCs/>
                <w:sz w:val="20"/>
                <w:szCs w:val="16"/>
              </w:rPr>
              <w:t>2 3</w:t>
            </w:r>
            <w:r w:rsidR="0011713C" w:rsidRPr="00AE6EDB">
              <w:rPr>
                <w:b/>
                <w:bCs/>
                <w:sz w:val="20"/>
                <w:szCs w:val="16"/>
              </w:rPr>
              <w:t>75</w:t>
            </w:r>
          </w:p>
        </w:tc>
        <w:tc>
          <w:tcPr>
            <w:tcW w:w="1606" w:type="dxa"/>
            <w:shd w:val="clear" w:color="auto" w:fill="auto"/>
            <w:noWrap/>
            <w:vAlign w:val="bottom"/>
          </w:tcPr>
          <w:p w:rsidR="0011713C" w:rsidRPr="00AE6EDB" w:rsidRDefault="0054295F">
            <w:pPr>
              <w:jc w:val="right"/>
              <w:rPr>
                <w:b/>
                <w:bCs/>
                <w:sz w:val="20"/>
                <w:szCs w:val="16"/>
              </w:rPr>
            </w:pPr>
            <w:r>
              <w:rPr>
                <w:b/>
                <w:bCs/>
                <w:sz w:val="20"/>
                <w:szCs w:val="16"/>
              </w:rPr>
              <w:t>1 9</w:t>
            </w:r>
            <w:r w:rsidR="0011713C" w:rsidRPr="00AE6EDB">
              <w:rPr>
                <w:b/>
                <w:bCs/>
                <w:sz w:val="20"/>
                <w:szCs w:val="16"/>
              </w:rPr>
              <w:t>7</w:t>
            </w:r>
            <w:r>
              <w:rPr>
                <w:b/>
                <w:bCs/>
                <w:sz w:val="20"/>
                <w:szCs w:val="16"/>
              </w:rPr>
              <w:t>1 2</w:t>
            </w:r>
            <w:r w:rsidR="0011713C" w:rsidRPr="00AE6EDB">
              <w:rPr>
                <w:b/>
                <w:bCs/>
                <w:sz w:val="20"/>
                <w:szCs w:val="16"/>
              </w:rPr>
              <w:t>41</w:t>
            </w:r>
          </w:p>
        </w:tc>
        <w:tc>
          <w:tcPr>
            <w:tcW w:w="1644" w:type="dxa"/>
            <w:shd w:val="clear" w:color="auto" w:fill="auto"/>
            <w:noWrap/>
            <w:vAlign w:val="bottom"/>
          </w:tcPr>
          <w:p w:rsidR="0011713C" w:rsidRPr="00AE6EDB" w:rsidRDefault="0054295F">
            <w:pPr>
              <w:jc w:val="right"/>
              <w:rPr>
                <w:b/>
                <w:bCs/>
                <w:sz w:val="20"/>
                <w:szCs w:val="16"/>
              </w:rPr>
            </w:pPr>
            <w:r>
              <w:rPr>
                <w:b/>
                <w:bCs/>
                <w:sz w:val="20"/>
                <w:szCs w:val="16"/>
              </w:rPr>
              <w:t>1 9</w:t>
            </w:r>
            <w:r w:rsidR="0011713C" w:rsidRPr="00AE6EDB">
              <w:rPr>
                <w:b/>
                <w:bCs/>
                <w:sz w:val="20"/>
                <w:szCs w:val="16"/>
              </w:rPr>
              <w:t>8</w:t>
            </w:r>
            <w:r>
              <w:rPr>
                <w:b/>
                <w:bCs/>
                <w:sz w:val="20"/>
                <w:szCs w:val="16"/>
              </w:rPr>
              <w:t>2 3</w:t>
            </w:r>
            <w:r w:rsidR="0011713C" w:rsidRPr="00AE6EDB">
              <w:rPr>
                <w:b/>
                <w:bCs/>
                <w:sz w:val="20"/>
                <w:szCs w:val="16"/>
              </w:rPr>
              <w:t>86</w:t>
            </w:r>
          </w:p>
        </w:tc>
        <w:tc>
          <w:tcPr>
            <w:tcW w:w="778" w:type="dxa"/>
            <w:shd w:val="clear" w:color="auto" w:fill="auto"/>
            <w:noWrap/>
            <w:vAlign w:val="bottom"/>
          </w:tcPr>
          <w:p w:rsidR="0011713C" w:rsidRPr="00AE6EDB" w:rsidRDefault="0011713C">
            <w:pPr>
              <w:jc w:val="right"/>
              <w:rPr>
                <w:b/>
                <w:bCs/>
                <w:sz w:val="20"/>
                <w:szCs w:val="16"/>
              </w:rPr>
            </w:pPr>
            <w:r w:rsidRPr="00AE6EDB">
              <w:rPr>
                <w:b/>
                <w:bCs/>
                <w:sz w:val="20"/>
                <w:szCs w:val="16"/>
              </w:rPr>
              <w:t>100,6</w:t>
            </w:r>
          </w:p>
        </w:tc>
      </w:tr>
      <w:tr w:rsidR="0011713C" w:rsidRPr="00AE6EDB" w:rsidTr="00DE0EEC">
        <w:trPr>
          <w:trHeight w:val="262"/>
        </w:trPr>
        <w:tc>
          <w:tcPr>
            <w:tcW w:w="1862" w:type="dxa"/>
            <w:shd w:val="clear" w:color="auto" w:fill="auto"/>
            <w:noWrap/>
            <w:vAlign w:val="bottom"/>
          </w:tcPr>
          <w:p w:rsidR="0011713C" w:rsidRPr="00AE6EDB" w:rsidRDefault="0011713C">
            <w:pPr>
              <w:rPr>
                <w:sz w:val="18"/>
                <w:szCs w:val="16"/>
              </w:rPr>
            </w:pPr>
            <w:r w:rsidRPr="00AE6EDB">
              <w:rPr>
                <w:sz w:val="18"/>
                <w:szCs w:val="16"/>
              </w:rPr>
              <w:t>07E0501</w:t>
            </w:r>
          </w:p>
        </w:tc>
        <w:tc>
          <w:tcPr>
            <w:tcW w:w="6662" w:type="dxa"/>
            <w:shd w:val="clear" w:color="auto" w:fill="auto"/>
            <w:noWrap/>
            <w:vAlign w:val="bottom"/>
          </w:tcPr>
          <w:p w:rsidR="0011713C" w:rsidRPr="00AE6EDB" w:rsidRDefault="0011713C">
            <w:pPr>
              <w:rPr>
                <w:sz w:val="18"/>
                <w:szCs w:val="16"/>
              </w:rPr>
            </w:pPr>
            <w:r w:rsidRPr="00AE6EDB">
              <w:rPr>
                <w:sz w:val="18"/>
                <w:szCs w:val="16"/>
              </w:rPr>
              <w:t>Implementačná agentúra</w:t>
            </w:r>
          </w:p>
        </w:tc>
        <w:tc>
          <w:tcPr>
            <w:tcW w:w="1541" w:type="dxa"/>
            <w:shd w:val="clear" w:color="auto" w:fill="auto"/>
            <w:noWrap/>
            <w:vAlign w:val="bottom"/>
          </w:tcPr>
          <w:p w:rsidR="0011713C" w:rsidRPr="00AE6EDB" w:rsidRDefault="0054295F">
            <w:pPr>
              <w:jc w:val="right"/>
              <w:rPr>
                <w:sz w:val="20"/>
                <w:szCs w:val="16"/>
              </w:rPr>
            </w:pPr>
            <w:r>
              <w:rPr>
                <w:sz w:val="20"/>
                <w:szCs w:val="16"/>
              </w:rPr>
              <w:t>2 0</w:t>
            </w:r>
            <w:r w:rsidR="0011713C" w:rsidRPr="00AE6EDB">
              <w:rPr>
                <w:sz w:val="20"/>
                <w:szCs w:val="16"/>
              </w:rPr>
              <w:t>0</w:t>
            </w:r>
            <w:r>
              <w:rPr>
                <w:sz w:val="20"/>
                <w:szCs w:val="16"/>
              </w:rPr>
              <w:t>2 3</w:t>
            </w:r>
            <w:r w:rsidR="0011713C" w:rsidRPr="00AE6EDB">
              <w:rPr>
                <w:sz w:val="20"/>
                <w:szCs w:val="16"/>
              </w:rPr>
              <w:t>75</w:t>
            </w:r>
          </w:p>
        </w:tc>
        <w:tc>
          <w:tcPr>
            <w:tcW w:w="1606" w:type="dxa"/>
            <w:shd w:val="clear" w:color="auto" w:fill="auto"/>
            <w:noWrap/>
            <w:vAlign w:val="bottom"/>
          </w:tcPr>
          <w:p w:rsidR="0011713C" w:rsidRPr="00AE6EDB" w:rsidRDefault="0054295F">
            <w:pPr>
              <w:jc w:val="right"/>
              <w:rPr>
                <w:sz w:val="20"/>
                <w:szCs w:val="16"/>
              </w:rPr>
            </w:pPr>
            <w:r>
              <w:rPr>
                <w:sz w:val="20"/>
                <w:szCs w:val="16"/>
              </w:rPr>
              <w:t>1 9</w:t>
            </w:r>
            <w:r w:rsidR="0011713C" w:rsidRPr="00AE6EDB">
              <w:rPr>
                <w:sz w:val="20"/>
                <w:szCs w:val="16"/>
              </w:rPr>
              <w:t>7</w:t>
            </w:r>
            <w:r>
              <w:rPr>
                <w:sz w:val="20"/>
                <w:szCs w:val="16"/>
              </w:rPr>
              <w:t>1 2</w:t>
            </w:r>
            <w:r w:rsidR="0011713C" w:rsidRPr="00AE6EDB">
              <w:rPr>
                <w:sz w:val="20"/>
                <w:szCs w:val="16"/>
              </w:rPr>
              <w:t>41</w:t>
            </w:r>
          </w:p>
        </w:tc>
        <w:tc>
          <w:tcPr>
            <w:tcW w:w="1644" w:type="dxa"/>
            <w:shd w:val="clear" w:color="auto" w:fill="auto"/>
            <w:noWrap/>
            <w:vAlign w:val="bottom"/>
          </w:tcPr>
          <w:p w:rsidR="0011713C" w:rsidRPr="00AE6EDB" w:rsidRDefault="0054295F">
            <w:pPr>
              <w:jc w:val="right"/>
              <w:rPr>
                <w:sz w:val="20"/>
                <w:szCs w:val="16"/>
              </w:rPr>
            </w:pPr>
            <w:r>
              <w:rPr>
                <w:sz w:val="20"/>
                <w:szCs w:val="16"/>
              </w:rPr>
              <w:t>1 9</w:t>
            </w:r>
            <w:r w:rsidR="0011713C" w:rsidRPr="00AE6EDB">
              <w:rPr>
                <w:sz w:val="20"/>
                <w:szCs w:val="16"/>
              </w:rPr>
              <w:t>8</w:t>
            </w:r>
            <w:r>
              <w:rPr>
                <w:sz w:val="20"/>
                <w:szCs w:val="16"/>
              </w:rPr>
              <w:t>2 3</w:t>
            </w:r>
            <w:r w:rsidR="0011713C" w:rsidRPr="00AE6EDB">
              <w:rPr>
                <w:sz w:val="20"/>
                <w:szCs w:val="16"/>
              </w:rPr>
              <w:t>86</w:t>
            </w:r>
          </w:p>
        </w:tc>
        <w:tc>
          <w:tcPr>
            <w:tcW w:w="778" w:type="dxa"/>
            <w:shd w:val="clear" w:color="auto" w:fill="auto"/>
            <w:noWrap/>
            <w:vAlign w:val="bottom"/>
          </w:tcPr>
          <w:p w:rsidR="0011713C" w:rsidRPr="00AE6EDB" w:rsidRDefault="0011713C">
            <w:pPr>
              <w:jc w:val="right"/>
              <w:rPr>
                <w:sz w:val="20"/>
                <w:szCs w:val="16"/>
              </w:rPr>
            </w:pPr>
            <w:r w:rsidRPr="00AE6EDB">
              <w:rPr>
                <w:sz w:val="20"/>
                <w:szCs w:val="16"/>
              </w:rPr>
              <w:t>100,6</w:t>
            </w:r>
          </w:p>
        </w:tc>
      </w:tr>
      <w:tr w:rsidR="000A7585" w:rsidRPr="00AE6EDB" w:rsidTr="00DE0EEC">
        <w:trPr>
          <w:trHeight w:val="262"/>
        </w:trPr>
        <w:tc>
          <w:tcPr>
            <w:tcW w:w="1862" w:type="dxa"/>
            <w:shd w:val="clear" w:color="auto" w:fill="auto"/>
            <w:noWrap/>
            <w:vAlign w:val="bottom"/>
            <w:hideMark/>
          </w:tcPr>
          <w:p w:rsidR="000A7585" w:rsidRPr="00AE6EDB" w:rsidRDefault="000A7585" w:rsidP="00DE0EEC">
            <w:pPr>
              <w:rPr>
                <w:b/>
                <w:sz w:val="18"/>
                <w:szCs w:val="18"/>
              </w:rPr>
            </w:pPr>
            <w:r w:rsidRPr="00AE6EDB">
              <w:rPr>
                <w:b/>
                <w:sz w:val="18"/>
                <w:szCs w:val="18"/>
              </w:rPr>
              <w:t> </w:t>
            </w:r>
          </w:p>
        </w:tc>
        <w:tc>
          <w:tcPr>
            <w:tcW w:w="6662" w:type="dxa"/>
            <w:shd w:val="clear" w:color="auto" w:fill="auto"/>
            <w:noWrap/>
            <w:vAlign w:val="bottom"/>
            <w:hideMark/>
          </w:tcPr>
          <w:p w:rsidR="000A7585" w:rsidRPr="00AE6EDB" w:rsidRDefault="000A7585" w:rsidP="00DE0EEC">
            <w:pPr>
              <w:rPr>
                <w:b/>
                <w:sz w:val="18"/>
                <w:szCs w:val="18"/>
              </w:rPr>
            </w:pPr>
            <w:r w:rsidRPr="00AE6EDB">
              <w:rPr>
                <w:b/>
                <w:sz w:val="18"/>
                <w:szCs w:val="18"/>
              </w:rPr>
              <w:t>Medzirezortné programy a podprogramy, ktorých je kapitola gestorom a účastníkom</w:t>
            </w:r>
          </w:p>
        </w:tc>
        <w:tc>
          <w:tcPr>
            <w:tcW w:w="1541" w:type="dxa"/>
            <w:shd w:val="clear" w:color="auto" w:fill="auto"/>
            <w:noWrap/>
            <w:vAlign w:val="bottom"/>
            <w:hideMark/>
          </w:tcPr>
          <w:p w:rsidR="000A7585" w:rsidRPr="00AE6EDB" w:rsidRDefault="000A7585" w:rsidP="00DE0EEC">
            <w:pPr>
              <w:jc w:val="right"/>
              <w:rPr>
                <w:b/>
                <w:sz w:val="18"/>
                <w:szCs w:val="18"/>
              </w:rPr>
            </w:pPr>
            <w:r w:rsidRPr="00AE6EDB">
              <w:rPr>
                <w:b/>
                <w:sz w:val="18"/>
                <w:szCs w:val="18"/>
              </w:rPr>
              <w:t> </w:t>
            </w:r>
          </w:p>
        </w:tc>
        <w:tc>
          <w:tcPr>
            <w:tcW w:w="1606" w:type="dxa"/>
            <w:shd w:val="clear" w:color="auto" w:fill="auto"/>
            <w:noWrap/>
            <w:vAlign w:val="bottom"/>
            <w:hideMark/>
          </w:tcPr>
          <w:p w:rsidR="000A7585" w:rsidRPr="00AE6EDB" w:rsidRDefault="000A7585" w:rsidP="00DE0EEC">
            <w:pPr>
              <w:jc w:val="right"/>
              <w:rPr>
                <w:b/>
                <w:sz w:val="18"/>
                <w:szCs w:val="18"/>
              </w:rPr>
            </w:pPr>
            <w:r w:rsidRPr="00AE6EDB">
              <w:rPr>
                <w:b/>
                <w:sz w:val="18"/>
                <w:szCs w:val="18"/>
              </w:rPr>
              <w:t> </w:t>
            </w:r>
          </w:p>
        </w:tc>
        <w:tc>
          <w:tcPr>
            <w:tcW w:w="1644" w:type="dxa"/>
            <w:shd w:val="clear" w:color="auto" w:fill="auto"/>
            <w:noWrap/>
            <w:vAlign w:val="bottom"/>
            <w:hideMark/>
          </w:tcPr>
          <w:p w:rsidR="000A7585" w:rsidRPr="00AE6EDB" w:rsidRDefault="000A7585" w:rsidP="00DE0EEC">
            <w:pPr>
              <w:jc w:val="right"/>
              <w:rPr>
                <w:b/>
                <w:sz w:val="18"/>
                <w:szCs w:val="18"/>
              </w:rPr>
            </w:pPr>
            <w:r w:rsidRPr="00AE6EDB">
              <w:rPr>
                <w:b/>
                <w:sz w:val="18"/>
                <w:szCs w:val="18"/>
              </w:rPr>
              <w:t> </w:t>
            </w:r>
          </w:p>
        </w:tc>
        <w:tc>
          <w:tcPr>
            <w:tcW w:w="778" w:type="dxa"/>
            <w:shd w:val="clear" w:color="auto" w:fill="auto"/>
            <w:noWrap/>
            <w:vAlign w:val="bottom"/>
            <w:hideMark/>
          </w:tcPr>
          <w:p w:rsidR="000A7585" w:rsidRPr="00AE6EDB" w:rsidRDefault="000A7585" w:rsidP="00DE0EEC">
            <w:pPr>
              <w:jc w:val="right"/>
              <w:rPr>
                <w:b/>
                <w:sz w:val="18"/>
                <w:szCs w:val="18"/>
              </w:rPr>
            </w:pPr>
            <w:r w:rsidRPr="00AE6EDB">
              <w:rPr>
                <w:b/>
                <w:sz w:val="18"/>
                <w:szCs w:val="18"/>
              </w:rPr>
              <w:t> </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sz w:val="18"/>
                <w:szCs w:val="18"/>
              </w:rPr>
            </w:pPr>
            <w:r w:rsidRPr="00AE6EDB">
              <w:rPr>
                <w:b/>
                <w:sz w:val="18"/>
                <w:szCs w:val="18"/>
              </w:rPr>
              <w:t>06G</w:t>
            </w:r>
          </w:p>
        </w:tc>
        <w:tc>
          <w:tcPr>
            <w:tcW w:w="6662" w:type="dxa"/>
            <w:shd w:val="clear" w:color="auto" w:fill="auto"/>
            <w:noWrap/>
            <w:vAlign w:val="bottom"/>
            <w:hideMark/>
          </w:tcPr>
          <w:p w:rsidR="0011713C" w:rsidRPr="00AE6EDB" w:rsidRDefault="0011713C" w:rsidP="00DE0EEC">
            <w:pPr>
              <w:rPr>
                <w:b/>
                <w:sz w:val="18"/>
                <w:szCs w:val="18"/>
              </w:rPr>
            </w:pPr>
            <w:r w:rsidRPr="00AE6EDB">
              <w:rPr>
                <w:b/>
                <w:sz w:val="18"/>
                <w:szCs w:val="18"/>
              </w:rPr>
              <w:t>Ľudské zdroje</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23</w:t>
            </w:r>
            <w:r w:rsidR="0054295F">
              <w:rPr>
                <w:b/>
                <w:bCs/>
                <w:sz w:val="20"/>
                <w:szCs w:val="16"/>
              </w:rPr>
              <w:t>4 1</w:t>
            </w:r>
            <w:r w:rsidRPr="00AE6EDB">
              <w:rPr>
                <w:b/>
                <w:bCs/>
                <w:sz w:val="20"/>
                <w:szCs w:val="16"/>
              </w:rPr>
              <w:t>8</w:t>
            </w:r>
            <w:r w:rsidR="0054295F">
              <w:rPr>
                <w:b/>
                <w:bCs/>
                <w:sz w:val="20"/>
                <w:szCs w:val="16"/>
              </w:rPr>
              <w:t>0 0</w:t>
            </w:r>
            <w:r w:rsidRPr="00AE6EDB">
              <w:rPr>
                <w:b/>
                <w:bCs/>
                <w:sz w:val="20"/>
                <w:szCs w:val="16"/>
              </w:rPr>
              <w:t>53</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18</w:t>
            </w:r>
            <w:r w:rsidR="00AC44CB">
              <w:rPr>
                <w:b/>
                <w:bCs/>
                <w:sz w:val="20"/>
                <w:szCs w:val="16"/>
              </w:rPr>
              <w:t>7 8</w:t>
            </w:r>
            <w:r w:rsidRPr="00AE6EDB">
              <w:rPr>
                <w:b/>
                <w:bCs/>
                <w:sz w:val="20"/>
                <w:szCs w:val="16"/>
              </w:rPr>
              <w:t>9</w:t>
            </w:r>
            <w:r w:rsidR="0054295F">
              <w:rPr>
                <w:b/>
                <w:bCs/>
                <w:sz w:val="20"/>
                <w:szCs w:val="16"/>
              </w:rPr>
              <w:t>3 5</w:t>
            </w:r>
            <w:r w:rsidRPr="00AE6EDB">
              <w:rPr>
                <w:b/>
                <w:bCs/>
                <w:sz w:val="20"/>
                <w:szCs w:val="16"/>
              </w:rPr>
              <w:t>24</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18</w:t>
            </w:r>
            <w:r w:rsidR="00AC44CB">
              <w:rPr>
                <w:b/>
                <w:bCs/>
                <w:sz w:val="20"/>
                <w:szCs w:val="16"/>
              </w:rPr>
              <w:t>8 2</w:t>
            </w:r>
            <w:r w:rsidRPr="00AE6EDB">
              <w:rPr>
                <w:b/>
                <w:bCs/>
                <w:sz w:val="20"/>
                <w:szCs w:val="16"/>
              </w:rPr>
              <w:t>6</w:t>
            </w:r>
            <w:r w:rsidR="00AC44CB">
              <w:rPr>
                <w:b/>
                <w:bCs/>
                <w:sz w:val="20"/>
                <w:szCs w:val="16"/>
              </w:rPr>
              <w:t>5 0</w:t>
            </w:r>
            <w:r w:rsidRPr="00AE6EDB">
              <w:rPr>
                <w:b/>
                <w:bCs/>
                <w:sz w:val="20"/>
                <w:szCs w:val="16"/>
              </w:rPr>
              <w:t>75</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100,2</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sz w:val="18"/>
                <w:szCs w:val="18"/>
              </w:rPr>
            </w:pPr>
            <w:r w:rsidRPr="00AE6EDB">
              <w:rPr>
                <w:b/>
                <w:sz w:val="18"/>
                <w:szCs w:val="18"/>
              </w:rPr>
              <w:t>06G04</w:t>
            </w:r>
          </w:p>
        </w:tc>
        <w:tc>
          <w:tcPr>
            <w:tcW w:w="6662" w:type="dxa"/>
            <w:shd w:val="clear" w:color="auto" w:fill="auto"/>
            <w:noWrap/>
            <w:vAlign w:val="bottom"/>
            <w:hideMark/>
          </w:tcPr>
          <w:p w:rsidR="0011713C" w:rsidRPr="00AE6EDB" w:rsidRDefault="0011713C" w:rsidP="00DE0EEC">
            <w:pPr>
              <w:rPr>
                <w:b/>
                <w:sz w:val="18"/>
                <w:szCs w:val="18"/>
              </w:rPr>
            </w:pPr>
            <w:r w:rsidRPr="00AE6EDB">
              <w:rPr>
                <w:b/>
                <w:sz w:val="18"/>
                <w:szCs w:val="18"/>
              </w:rPr>
              <w:t xml:space="preserve">Aktívna politika trhu práce a zvýšenie zamestnanosti </w:t>
            </w:r>
            <w:r w:rsidRPr="00AE6EDB">
              <w:rPr>
                <w:color w:val="000000" w:themeColor="text1"/>
              </w:rPr>
              <w:t>–</w:t>
            </w:r>
            <w:r w:rsidRPr="00AE6EDB">
              <w:rPr>
                <w:b/>
                <w:sz w:val="18"/>
                <w:szCs w:val="18"/>
              </w:rPr>
              <w:t xml:space="preserve"> MPSVR SR</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3</w:t>
            </w:r>
            <w:r w:rsidR="00AC44CB">
              <w:rPr>
                <w:b/>
                <w:bCs/>
                <w:sz w:val="20"/>
                <w:szCs w:val="16"/>
              </w:rPr>
              <w:t>7 5</w:t>
            </w:r>
            <w:r w:rsidRPr="00AE6EDB">
              <w:rPr>
                <w:b/>
                <w:bCs/>
                <w:sz w:val="20"/>
                <w:szCs w:val="16"/>
              </w:rPr>
              <w:t>6</w:t>
            </w:r>
            <w:r w:rsidR="00AC44CB">
              <w:rPr>
                <w:b/>
                <w:bCs/>
                <w:sz w:val="20"/>
                <w:szCs w:val="16"/>
              </w:rPr>
              <w:t>4 9</w:t>
            </w:r>
            <w:r w:rsidRPr="00AE6EDB">
              <w:rPr>
                <w:b/>
                <w:bCs/>
                <w:sz w:val="20"/>
                <w:szCs w:val="16"/>
              </w:rPr>
              <w:t>10</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3</w:t>
            </w:r>
            <w:r w:rsidR="0054295F">
              <w:rPr>
                <w:b/>
                <w:bCs/>
                <w:sz w:val="20"/>
                <w:szCs w:val="16"/>
              </w:rPr>
              <w:t>2 3</w:t>
            </w:r>
            <w:r w:rsidRPr="00AE6EDB">
              <w:rPr>
                <w:b/>
                <w:bCs/>
                <w:sz w:val="20"/>
                <w:szCs w:val="16"/>
              </w:rPr>
              <w:t>2</w:t>
            </w:r>
            <w:r w:rsidR="0054295F">
              <w:rPr>
                <w:b/>
                <w:bCs/>
                <w:sz w:val="20"/>
                <w:szCs w:val="16"/>
              </w:rPr>
              <w:t>2 8</w:t>
            </w:r>
            <w:r w:rsidRPr="00AE6EDB">
              <w:rPr>
                <w:b/>
                <w:bCs/>
                <w:sz w:val="20"/>
                <w:szCs w:val="16"/>
              </w:rPr>
              <w:t>43</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3</w:t>
            </w:r>
            <w:r w:rsidR="0054295F">
              <w:rPr>
                <w:b/>
                <w:bCs/>
                <w:sz w:val="20"/>
                <w:szCs w:val="16"/>
              </w:rPr>
              <w:t>2 6</w:t>
            </w:r>
            <w:r w:rsidRPr="00AE6EDB">
              <w:rPr>
                <w:b/>
                <w:bCs/>
                <w:sz w:val="20"/>
                <w:szCs w:val="16"/>
              </w:rPr>
              <w:t>9</w:t>
            </w:r>
            <w:r w:rsidR="0054295F">
              <w:rPr>
                <w:b/>
                <w:bCs/>
                <w:sz w:val="20"/>
                <w:szCs w:val="16"/>
              </w:rPr>
              <w:t>4 4</w:t>
            </w:r>
            <w:r w:rsidRPr="00AE6EDB">
              <w:rPr>
                <w:b/>
                <w:bCs/>
                <w:sz w:val="20"/>
                <w:szCs w:val="16"/>
              </w:rPr>
              <w:t>13</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101,1</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06G0404</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Národné programy na rozvoj APTP a zvýšenie zamestnanosti</w:t>
            </w:r>
          </w:p>
        </w:tc>
        <w:tc>
          <w:tcPr>
            <w:tcW w:w="1541" w:type="dxa"/>
            <w:shd w:val="clear" w:color="auto" w:fill="auto"/>
            <w:noWrap/>
            <w:vAlign w:val="bottom"/>
            <w:hideMark/>
          </w:tcPr>
          <w:p w:rsidR="0011713C" w:rsidRPr="00AE6EDB" w:rsidRDefault="0011713C">
            <w:pPr>
              <w:jc w:val="right"/>
              <w:rPr>
                <w:sz w:val="20"/>
                <w:szCs w:val="16"/>
              </w:rPr>
            </w:pPr>
            <w:r w:rsidRPr="00AE6EDB">
              <w:rPr>
                <w:sz w:val="20"/>
                <w:szCs w:val="16"/>
              </w:rPr>
              <w:t>3</w:t>
            </w:r>
            <w:r w:rsidR="0054295F">
              <w:rPr>
                <w:sz w:val="20"/>
                <w:szCs w:val="16"/>
              </w:rPr>
              <w:t>4 6</w:t>
            </w:r>
            <w:r w:rsidRPr="00AE6EDB">
              <w:rPr>
                <w:sz w:val="20"/>
                <w:szCs w:val="16"/>
              </w:rPr>
              <w:t>5</w:t>
            </w:r>
            <w:r w:rsidR="0054295F">
              <w:rPr>
                <w:sz w:val="20"/>
                <w:szCs w:val="16"/>
              </w:rPr>
              <w:t>4 5</w:t>
            </w:r>
            <w:r w:rsidRPr="00AE6EDB">
              <w:rPr>
                <w:sz w:val="20"/>
                <w:szCs w:val="16"/>
              </w:rPr>
              <w:t>67</w:t>
            </w:r>
          </w:p>
        </w:tc>
        <w:tc>
          <w:tcPr>
            <w:tcW w:w="1606" w:type="dxa"/>
            <w:shd w:val="clear" w:color="auto" w:fill="auto"/>
            <w:noWrap/>
            <w:vAlign w:val="bottom"/>
            <w:hideMark/>
          </w:tcPr>
          <w:p w:rsidR="0011713C" w:rsidRPr="00AE6EDB" w:rsidRDefault="0011713C">
            <w:pPr>
              <w:jc w:val="right"/>
              <w:rPr>
                <w:sz w:val="20"/>
                <w:szCs w:val="16"/>
              </w:rPr>
            </w:pPr>
            <w:r w:rsidRPr="00AE6EDB">
              <w:rPr>
                <w:sz w:val="20"/>
                <w:szCs w:val="16"/>
              </w:rPr>
              <w:t>2</w:t>
            </w:r>
            <w:r w:rsidR="00AC44CB">
              <w:rPr>
                <w:sz w:val="20"/>
                <w:szCs w:val="16"/>
              </w:rPr>
              <w:t>6 4</w:t>
            </w:r>
            <w:r w:rsidRPr="00AE6EDB">
              <w:rPr>
                <w:sz w:val="20"/>
                <w:szCs w:val="16"/>
              </w:rPr>
              <w:t>7</w:t>
            </w:r>
            <w:r w:rsidR="0054295F">
              <w:rPr>
                <w:sz w:val="20"/>
                <w:szCs w:val="16"/>
              </w:rPr>
              <w:t>2 5</w:t>
            </w:r>
            <w:r w:rsidRPr="00AE6EDB">
              <w:rPr>
                <w:sz w:val="20"/>
                <w:szCs w:val="16"/>
              </w:rPr>
              <w:t>00</w:t>
            </w:r>
          </w:p>
        </w:tc>
        <w:tc>
          <w:tcPr>
            <w:tcW w:w="1644" w:type="dxa"/>
            <w:shd w:val="clear" w:color="auto" w:fill="auto"/>
            <w:noWrap/>
            <w:vAlign w:val="bottom"/>
            <w:hideMark/>
          </w:tcPr>
          <w:p w:rsidR="0011713C" w:rsidRPr="00AE6EDB" w:rsidRDefault="0011713C">
            <w:pPr>
              <w:jc w:val="right"/>
              <w:rPr>
                <w:sz w:val="20"/>
                <w:szCs w:val="16"/>
              </w:rPr>
            </w:pPr>
            <w:r w:rsidRPr="00AE6EDB">
              <w:rPr>
                <w:sz w:val="20"/>
                <w:szCs w:val="16"/>
              </w:rPr>
              <w:t>2</w:t>
            </w:r>
            <w:r w:rsidR="00AC44CB">
              <w:rPr>
                <w:sz w:val="20"/>
                <w:szCs w:val="16"/>
              </w:rPr>
              <w:t>6 8</w:t>
            </w:r>
            <w:r w:rsidRPr="00AE6EDB">
              <w:rPr>
                <w:sz w:val="20"/>
                <w:szCs w:val="16"/>
              </w:rPr>
              <w:t>5</w:t>
            </w:r>
            <w:r w:rsidR="0054295F">
              <w:rPr>
                <w:sz w:val="20"/>
                <w:szCs w:val="16"/>
              </w:rPr>
              <w:t>2 6</w:t>
            </w:r>
            <w:r w:rsidRPr="00AE6EDB">
              <w:rPr>
                <w:sz w:val="20"/>
                <w:szCs w:val="16"/>
              </w:rPr>
              <w:t>33</w:t>
            </w:r>
          </w:p>
        </w:tc>
        <w:tc>
          <w:tcPr>
            <w:tcW w:w="778" w:type="dxa"/>
            <w:shd w:val="clear" w:color="auto" w:fill="auto"/>
            <w:noWrap/>
            <w:vAlign w:val="bottom"/>
            <w:hideMark/>
          </w:tcPr>
          <w:p w:rsidR="0011713C" w:rsidRPr="00AE6EDB" w:rsidRDefault="0011713C">
            <w:pPr>
              <w:jc w:val="right"/>
              <w:rPr>
                <w:sz w:val="20"/>
                <w:szCs w:val="16"/>
              </w:rPr>
            </w:pPr>
            <w:r w:rsidRPr="00AE6EDB">
              <w:rPr>
                <w:sz w:val="20"/>
                <w:szCs w:val="16"/>
              </w:rPr>
              <w:t>101,4</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06G040J</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Individuálna štátna pomoc</w:t>
            </w:r>
          </w:p>
        </w:tc>
        <w:tc>
          <w:tcPr>
            <w:tcW w:w="1541" w:type="dxa"/>
            <w:shd w:val="clear" w:color="auto" w:fill="auto"/>
            <w:noWrap/>
            <w:vAlign w:val="bottom"/>
            <w:hideMark/>
          </w:tcPr>
          <w:p w:rsidR="0011713C" w:rsidRPr="00AE6EDB" w:rsidRDefault="0054295F">
            <w:pPr>
              <w:jc w:val="right"/>
              <w:rPr>
                <w:sz w:val="20"/>
                <w:szCs w:val="16"/>
              </w:rPr>
            </w:pPr>
            <w:r>
              <w:rPr>
                <w:sz w:val="20"/>
                <w:szCs w:val="16"/>
              </w:rPr>
              <w:t>2 9</w:t>
            </w:r>
            <w:r w:rsidR="0011713C" w:rsidRPr="00AE6EDB">
              <w:rPr>
                <w:sz w:val="20"/>
                <w:szCs w:val="16"/>
              </w:rPr>
              <w:t>1</w:t>
            </w:r>
            <w:r>
              <w:rPr>
                <w:sz w:val="20"/>
                <w:szCs w:val="16"/>
              </w:rPr>
              <w:t>0 3</w:t>
            </w:r>
            <w:r w:rsidR="0011713C" w:rsidRPr="00AE6EDB">
              <w:rPr>
                <w:sz w:val="20"/>
                <w:szCs w:val="16"/>
              </w:rPr>
              <w:t>43</w:t>
            </w:r>
          </w:p>
        </w:tc>
        <w:tc>
          <w:tcPr>
            <w:tcW w:w="1606" w:type="dxa"/>
            <w:shd w:val="clear" w:color="auto" w:fill="auto"/>
            <w:noWrap/>
            <w:vAlign w:val="bottom"/>
            <w:hideMark/>
          </w:tcPr>
          <w:p w:rsidR="0011713C" w:rsidRPr="00AE6EDB" w:rsidRDefault="00AC44CB">
            <w:pPr>
              <w:jc w:val="right"/>
              <w:rPr>
                <w:sz w:val="20"/>
                <w:szCs w:val="16"/>
              </w:rPr>
            </w:pPr>
            <w:r>
              <w:rPr>
                <w:sz w:val="20"/>
                <w:szCs w:val="16"/>
              </w:rPr>
              <w:t>5 8</w:t>
            </w:r>
            <w:r w:rsidR="0011713C" w:rsidRPr="00AE6EDB">
              <w:rPr>
                <w:sz w:val="20"/>
                <w:szCs w:val="16"/>
              </w:rPr>
              <w:t>5</w:t>
            </w:r>
            <w:r w:rsidR="0054295F">
              <w:rPr>
                <w:sz w:val="20"/>
                <w:szCs w:val="16"/>
              </w:rPr>
              <w:t>0 3</w:t>
            </w:r>
            <w:r w:rsidR="0011713C" w:rsidRPr="00AE6EDB">
              <w:rPr>
                <w:sz w:val="20"/>
                <w:szCs w:val="16"/>
              </w:rPr>
              <w:t>43</w:t>
            </w:r>
          </w:p>
        </w:tc>
        <w:tc>
          <w:tcPr>
            <w:tcW w:w="1644" w:type="dxa"/>
            <w:shd w:val="clear" w:color="auto" w:fill="auto"/>
            <w:noWrap/>
            <w:vAlign w:val="bottom"/>
            <w:hideMark/>
          </w:tcPr>
          <w:p w:rsidR="0011713C" w:rsidRPr="00AE6EDB" w:rsidRDefault="00AC44CB">
            <w:pPr>
              <w:jc w:val="right"/>
              <w:rPr>
                <w:sz w:val="20"/>
                <w:szCs w:val="16"/>
              </w:rPr>
            </w:pPr>
            <w:r>
              <w:rPr>
                <w:sz w:val="20"/>
                <w:szCs w:val="16"/>
              </w:rPr>
              <w:t>5 8</w:t>
            </w:r>
            <w:r w:rsidR="0011713C" w:rsidRPr="00AE6EDB">
              <w:rPr>
                <w:sz w:val="20"/>
                <w:szCs w:val="16"/>
              </w:rPr>
              <w:t>4</w:t>
            </w:r>
            <w:r w:rsidR="0054295F">
              <w:rPr>
                <w:sz w:val="20"/>
                <w:szCs w:val="16"/>
              </w:rPr>
              <w:t>1 7</w:t>
            </w:r>
            <w:r w:rsidR="0011713C" w:rsidRPr="00AE6EDB">
              <w:rPr>
                <w:sz w:val="20"/>
                <w:szCs w:val="16"/>
              </w:rPr>
              <w:t>80</w:t>
            </w:r>
          </w:p>
        </w:tc>
        <w:tc>
          <w:tcPr>
            <w:tcW w:w="778" w:type="dxa"/>
            <w:shd w:val="clear" w:color="auto" w:fill="auto"/>
            <w:noWrap/>
            <w:vAlign w:val="bottom"/>
            <w:hideMark/>
          </w:tcPr>
          <w:p w:rsidR="0011713C" w:rsidRPr="00AE6EDB" w:rsidRDefault="0011713C">
            <w:pPr>
              <w:jc w:val="right"/>
              <w:rPr>
                <w:sz w:val="20"/>
                <w:szCs w:val="16"/>
              </w:rPr>
            </w:pPr>
            <w:r w:rsidRPr="00AE6EDB">
              <w:rPr>
                <w:sz w:val="20"/>
                <w:szCs w:val="16"/>
              </w:rPr>
              <w:t>99,9</w:t>
            </w:r>
          </w:p>
        </w:tc>
      </w:tr>
      <w:tr w:rsidR="0011713C" w:rsidRPr="00AE6EDB" w:rsidTr="00DE0EEC">
        <w:trPr>
          <w:trHeight w:val="262"/>
        </w:trPr>
        <w:tc>
          <w:tcPr>
            <w:tcW w:w="1862" w:type="dxa"/>
            <w:shd w:val="clear" w:color="auto" w:fill="auto"/>
            <w:noWrap/>
            <w:vAlign w:val="bottom"/>
          </w:tcPr>
          <w:p w:rsidR="0011713C" w:rsidRPr="00AE6EDB" w:rsidRDefault="0011713C">
            <w:pPr>
              <w:rPr>
                <w:b/>
                <w:bCs/>
                <w:sz w:val="20"/>
                <w:szCs w:val="16"/>
              </w:rPr>
            </w:pPr>
            <w:r w:rsidRPr="00AE6EDB">
              <w:rPr>
                <w:b/>
                <w:bCs/>
                <w:sz w:val="20"/>
                <w:szCs w:val="16"/>
              </w:rPr>
              <w:t>06G1S</w:t>
            </w:r>
          </w:p>
        </w:tc>
        <w:tc>
          <w:tcPr>
            <w:tcW w:w="6662" w:type="dxa"/>
            <w:shd w:val="clear" w:color="auto" w:fill="auto"/>
            <w:noWrap/>
            <w:vAlign w:val="bottom"/>
          </w:tcPr>
          <w:p w:rsidR="0011713C" w:rsidRPr="00AE6EDB" w:rsidRDefault="0011713C">
            <w:pPr>
              <w:rPr>
                <w:b/>
                <w:bCs/>
                <w:sz w:val="20"/>
                <w:szCs w:val="16"/>
              </w:rPr>
            </w:pPr>
            <w:r w:rsidRPr="00AE6EDB">
              <w:rPr>
                <w:b/>
                <w:bCs/>
                <w:sz w:val="20"/>
                <w:szCs w:val="16"/>
              </w:rPr>
              <w:t>OP Ľudské zdroje 2014 - 2020 - MPSVR SR</w:t>
            </w:r>
          </w:p>
        </w:tc>
        <w:tc>
          <w:tcPr>
            <w:tcW w:w="1541" w:type="dxa"/>
            <w:shd w:val="clear" w:color="auto" w:fill="auto"/>
            <w:noWrap/>
            <w:vAlign w:val="bottom"/>
          </w:tcPr>
          <w:p w:rsidR="0011713C" w:rsidRPr="00AE6EDB" w:rsidRDefault="0011713C">
            <w:pPr>
              <w:jc w:val="right"/>
              <w:rPr>
                <w:b/>
                <w:bCs/>
                <w:sz w:val="20"/>
                <w:szCs w:val="16"/>
              </w:rPr>
            </w:pPr>
            <w:r w:rsidRPr="00AE6EDB">
              <w:rPr>
                <w:b/>
                <w:bCs/>
                <w:sz w:val="20"/>
                <w:szCs w:val="16"/>
              </w:rPr>
              <w:t>16</w:t>
            </w:r>
            <w:r w:rsidR="00AC44CB">
              <w:rPr>
                <w:b/>
                <w:bCs/>
                <w:sz w:val="20"/>
                <w:szCs w:val="16"/>
              </w:rPr>
              <w:t>5 2</w:t>
            </w:r>
            <w:r w:rsidRPr="00AE6EDB">
              <w:rPr>
                <w:b/>
                <w:bCs/>
                <w:sz w:val="20"/>
                <w:szCs w:val="16"/>
              </w:rPr>
              <w:t>9</w:t>
            </w:r>
            <w:r w:rsidR="0054295F">
              <w:rPr>
                <w:b/>
                <w:bCs/>
                <w:sz w:val="20"/>
                <w:szCs w:val="16"/>
              </w:rPr>
              <w:t>4 1</w:t>
            </w:r>
            <w:r w:rsidRPr="00AE6EDB">
              <w:rPr>
                <w:b/>
                <w:bCs/>
                <w:sz w:val="20"/>
                <w:szCs w:val="16"/>
              </w:rPr>
              <w:t>17</w:t>
            </w:r>
          </w:p>
        </w:tc>
        <w:tc>
          <w:tcPr>
            <w:tcW w:w="1606" w:type="dxa"/>
            <w:shd w:val="clear" w:color="auto" w:fill="auto"/>
            <w:noWrap/>
            <w:vAlign w:val="bottom"/>
          </w:tcPr>
          <w:p w:rsidR="0011713C" w:rsidRPr="00AE6EDB" w:rsidRDefault="0011713C">
            <w:pPr>
              <w:jc w:val="right"/>
              <w:rPr>
                <w:b/>
                <w:bCs/>
                <w:sz w:val="20"/>
                <w:szCs w:val="16"/>
              </w:rPr>
            </w:pPr>
            <w:r w:rsidRPr="00AE6EDB">
              <w:rPr>
                <w:b/>
                <w:bCs/>
                <w:sz w:val="20"/>
                <w:szCs w:val="16"/>
              </w:rPr>
              <w:t>0</w:t>
            </w:r>
          </w:p>
        </w:tc>
        <w:tc>
          <w:tcPr>
            <w:tcW w:w="1644" w:type="dxa"/>
            <w:shd w:val="clear" w:color="auto" w:fill="auto"/>
            <w:noWrap/>
            <w:vAlign w:val="bottom"/>
          </w:tcPr>
          <w:p w:rsidR="0011713C" w:rsidRPr="00AE6EDB" w:rsidRDefault="0011713C">
            <w:pPr>
              <w:jc w:val="right"/>
              <w:rPr>
                <w:b/>
                <w:bCs/>
                <w:sz w:val="20"/>
                <w:szCs w:val="16"/>
              </w:rPr>
            </w:pPr>
            <w:r w:rsidRPr="00AE6EDB">
              <w:rPr>
                <w:b/>
                <w:bCs/>
                <w:sz w:val="20"/>
                <w:szCs w:val="16"/>
              </w:rPr>
              <w:t>0</w:t>
            </w:r>
          </w:p>
        </w:tc>
        <w:tc>
          <w:tcPr>
            <w:tcW w:w="778" w:type="dxa"/>
            <w:shd w:val="clear" w:color="auto" w:fill="auto"/>
            <w:noWrap/>
            <w:vAlign w:val="bottom"/>
          </w:tcPr>
          <w:p w:rsidR="0011713C" w:rsidRPr="00AE6EDB" w:rsidRDefault="0011713C">
            <w:pPr>
              <w:jc w:val="right"/>
              <w:rPr>
                <w:b/>
                <w:bCs/>
                <w:sz w:val="20"/>
                <w:szCs w:val="16"/>
              </w:rPr>
            </w:pPr>
            <w:r w:rsidRPr="00AE6EDB">
              <w:rPr>
                <w:b/>
                <w:bCs/>
                <w:sz w:val="20"/>
                <w:szCs w:val="16"/>
              </w:rPr>
              <w:t>0,0</w:t>
            </w:r>
          </w:p>
        </w:tc>
      </w:tr>
      <w:tr w:rsidR="0011713C" w:rsidRPr="00AE6EDB" w:rsidTr="00DE0EEC">
        <w:trPr>
          <w:trHeight w:val="262"/>
        </w:trPr>
        <w:tc>
          <w:tcPr>
            <w:tcW w:w="1862" w:type="dxa"/>
            <w:shd w:val="clear" w:color="auto" w:fill="auto"/>
            <w:noWrap/>
            <w:vAlign w:val="bottom"/>
          </w:tcPr>
          <w:p w:rsidR="0011713C" w:rsidRPr="00AE6EDB" w:rsidRDefault="0011713C">
            <w:pPr>
              <w:rPr>
                <w:sz w:val="18"/>
                <w:szCs w:val="16"/>
              </w:rPr>
            </w:pPr>
            <w:r w:rsidRPr="00AE6EDB">
              <w:rPr>
                <w:sz w:val="18"/>
                <w:szCs w:val="16"/>
              </w:rPr>
              <w:t>06G1S01</w:t>
            </w:r>
          </w:p>
        </w:tc>
        <w:tc>
          <w:tcPr>
            <w:tcW w:w="6662" w:type="dxa"/>
            <w:shd w:val="clear" w:color="auto" w:fill="auto"/>
            <w:noWrap/>
            <w:vAlign w:val="bottom"/>
          </w:tcPr>
          <w:p w:rsidR="0011713C" w:rsidRPr="00AE6EDB" w:rsidRDefault="0011713C">
            <w:pPr>
              <w:rPr>
                <w:sz w:val="18"/>
                <w:szCs w:val="16"/>
              </w:rPr>
            </w:pPr>
            <w:r w:rsidRPr="00AE6EDB">
              <w:rPr>
                <w:sz w:val="18"/>
                <w:szCs w:val="16"/>
              </w:rPr>
              <w:t>Zamestnanosť</w:t>
            </w:r>
          </w:p>
        </w:tc>
        <w:tc>
          <w:tcPr>
            <w:tcW w:w="1541" w:type="dxa"/>
            <w:shd w:val="clear" w:color="auto" w:fill="auto"/>
            <w:noWrap/>
            <w:vAlign w:val="bottom"/>
          </w:tcPr>
          <w:p w:rsidR="0011713C" w:rsidRPr="00AE6EDB" w:rsidRDefault="0011713C">
            <w:pPr>
              <w:jc w:val="right"/>
              <w:rPr>
                <w:sz w:val="20"/>
                <w:szCs w:val="16"/>
              </w:rPr>
            </w:pPr>
            <w:r w:rsidRPr="00AE6EDB">
              <w:rPr>
                <w:sz w:val="20"/>
                <w:szCs w:val="16"/>
              </w:rPr>
              <w:t>13</w:t>
            </w:r>
            <w:r w:rsidR="00AC44CB">
              <w:rPr>
                <w:sz w:val="20"/>
                <w:szCs w:val="16"/>
              </w:rPr>
              <w:t>8 8</w:t>
            </w:r>
            <w:r w:rsidRPr="00AE6EDB">
              <w:rPr>
                <w:sz w:val="20"/>
                <w:szCs w:val="16"/>
              </w:rPr>
              <w:t>5</w:t>
            </w:r>
            <w:r w:rsidR="0054295F">
              <w:rPr>
                <w:sz w:val="20"/>
                <w:szCs w:val="16"/>
              </w:rPr>
              <w:t>0 2</w:t>
            </w:r>
            <w:r w:rsidRPr="00AE6EDB">
              <w:rPr>
                <w:sz w:val="20"/>
                <w:szCs w:val="16"/>
              </w:rPr>
              <w:t>67</w:t>
            </w:r>
          </w:p>
        </w:tc>
        <w:tc>
          <w:tcPr>
            <w:tcW w:w="1606"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1644"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778" w:type="dxa"/>
            <w:shd w:val="clear" w:color="auto" w:fill="auto"/>
            <w:noWrap/>
            <w:vAlign w:val="bottom"/>
          </w:tcPr>
          <w:p w:rsidR="0011713C" w:rsidRPr="00AE6EDB" w:rsidRDefault="0011713C">
            <w:pPr>
              <w:jc w:val="right"/>
              <w:rPr>
                <w:sz w:val="20"/>
                <w:szCs w:val="16"/>
              </w:rPr>
            </w:pPr>
            <w:r w:rsidRPr="00AE6EDB">
              <w:rPr>
                <w:sz w:val="20"/>
                <w:szCs w:val="16"/>
              </w:rPr>
              <w:t>0,0</w:t>
            </w:r>
          </w:p>
        </w:tc>
      </w:tr>
      <w:tr w:rsidR="0011713C" w:rsidRPr="00AE6EDB" w:rsidTr="00DE0EEC">
        <w:trPr>
          <w:trHeight w:val="262"/>
        </w:trPr>
        <w:tc>
          <w:tcPr>
            <w:tcW w:w="1862" w:type="dxa"/>
            <w:shd w:val="clear" w:color="auto" w:fill="auto"/>
            <w:noWrap/>
            <w:vAlign w:val="bottom"/>
          </w:tcPr>
          <w:p w:rsidR="0011713C" w:rsidRPr="00AE6EDB" w:rsidRDefault="0011713C">
            <w:pPr>
              <w:rPr>
                <w:sz w:val="18"/>
                <w:szCs w:val="16"/>
              </w:rPr>
            </w:pPr>
            <w:r w:rsidRPr="00AE6EDB">
              <w:rPr>
                <w:sz w:val="18"/>
                <w:szCs w:val="16"/>
              </w:rPr>
              <w:t>06G1S02</w:t>
            </w:r>
          </w:p>
        </w:tc>
        <w:tc>
          <w:tcPr>
            <w:tcW w:w="6662" w:type="dxa"/>
            <w:shd w:val="clear" w:color="auto" w:fill="auto"/>
            <w:noWrap/>
            <w:vAlign w:val="bottom"/>
          </w:tcPr>
          <w:p w:rsidR="0011713C" w:rsidRPr="00AE6EDB" w:rsidRDefault="0011713C">
            <w:pPr>
              <w:rPr>
                <w:sz w:val="18"/>
                <w:szCs w:val="16"/>
              </w:rPr>
            </w:pPr>
            <w:r w:rsidRPr="00AE6EDB">
              <w:rPr>
                <w:sz w:val="18"/>
                <w:szCs w:val="16"/>
              </w:rPr>
              <w:t>Sociálne začlenenie</w:t>
            </w:r>
          </w:p>
        </w:tc>
        <w:tc>
          <w:tcPr>
            <w:tcW w:w="1541" w:type="dxa"/>
            <w:shd w:val="clear" w:color="auto" w:fill="auto"/>
            <w:noWrap/>
            <w:vAlign w:val="bottom"/>
          </w:tcPr>
          <w:p w:rsidR="0011713C" w:rsidRPr="00AE6EDB" w:rsidRDefault="0011713C">
            <w:pPr>
              <w:jc w:val="right"/>
              <w:rPr>
                <w:sz w:val="20"/>
                <w:szCs w:val="16"/>
              </w:rPr>
            </w:pPr>
            <w:r w:rsidRPr="00AE6EDB">
              <w:rPr>
                <w:sz w:val="20"/>
                <w:szCs w:val="16"/>
              </w:rPr>
              <w:t>1</w:t>
            </w:r>
            <w:r w:rsidR="00AC44CB">
              <w:rPr>
                <w:sz w:val="20"/>
                <w:szCs w:val="16"/>
              </w:rPr>
              <w:t>7 4</w:t>
            </w:r>
            <w:r w:rsidRPr="00AE6EDB">
              <w:rPr>
                <w:sz w:val="20"/>
                <w:szCs w:val="16"/>
              </w:rPr>
              <w:t>2</w:t>
            </w:r>
            <w:r w:rsidR="0054295F">
              <w:rPr>
                <w:sz w:val="20"/>
                <w:szCs w:val="16"/>
              </w:rPr>
              <w:t>4 2</w:t>
            </w:r>
            <w:r w:rsidRPr="00AE6EDB">
              <w:rPr>
                <w:sz w:val="20"/>
                <w:szCs w:val="16"/>
              </w:rPr>
              <w:t>42</w:t>
            </w:r>
          </w:p>
        </w:tc>
        <w:tc>
          <w:tcPr>
            <w:tcW w:w="1606"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1644"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778" w:type="dxa"/>
            <w:shd w:val="clear" w:color="auto" w:fill="auto"/>
            <w:noWrap/>
            <w:vAlign w:val="bottom"/>
          </w:tcPr>
          <w:p w:rsidR="0011713C" w:rsidRPr="00AE6EDB" w:rsidRDefault="0011713C">
            <w:pPr>
              <w:jc w:val="right"/>
              <w:rPr>
                <w:sz w:val="20"/>
                <w:szCs w:val="16"/>
              </w:rPr>
            </w:pPr>
            <w:r w:rsidRPr="00AE6EDB">
              <w:rPr>
                <w:sz w:val="20"/>
                <w:szCs w:val="16"/>
              </w:rPr>
              <w:t>0,0</w:t>
            </w:r>
          </w:p>
        </w:tc>
      </w:tr>
      <w:tr w:rsidR="0011713C" w:rsidRPr="00AE6EDB" w:rsidTr="00DE0EEC">
        <w:trPr>
          <w:trHeight w:val="262"/>
        </w:trPr>
        <w:tc>
          <w:tcPr>
            <w:tcW w:w="1862" w:type="dxa"/>
            <w:shd w:val="clear" w:color="auto" w:fill="auto"/>
            <w:noWrap/>
            <w:vAlign w:val="bottom"/>
          </w:tcPr>
          <w:p w:rsidR="0011713C" w:rsidRPr="00AE6EDB" w:rsidRDefault="0011713C">
            <w:pPr>
              <w:rPr>
                <w:sz w:val="18"/>
                <w:szCs w:val="16"/>
              </w:rPr>
            </w:pPr>
            <w:r w:rsidRPr="00AE6EDB">
              <w:rPr>
                <w:sz w:val="18"/>
                <w:szCs w:val="16"/>
              </w:rPr>
              <w:t>06G1S03</w:t>
            </w:r>
          </w:p>
        </w:tc>
        <w:tc>
          <w:tcPr>
            <w:tcW w:w="6662" w:type="dxa"/>
            <w:shd w:val="clear" w:color="auto" w:fill="auto"/>
            <w:noWrap/>
            <w:vAlign w:val="bottom"/>
          </w:tcPr>
          <w:p w:rsidR="0011713C" w:rsidRPr="00AE6EDB" w:rsidRDefault="0011713C">
            <w:pPr>
              <w:rPr>
                <w:sz w:val="18"/>
                <w:szCs w:val="16"/>
              </w:rPr>
            </w:pPr>
            <w:r w:rsidRPr="00AE6EDB">
              <w:rPr>
                <w:sz w:val="18"/>
                <w:szCs w:val="16"/>
              </w:rPr>
              <w:t>Technická pomoc</w:t>
            </w:r>
          </w:p>
        </w:tc>
        <w:tc>
          <w:tcPr>
            <w:tcW w:w="1541" w:type="dxa"/>
            <w:shd w:val="clear" w:color="auto" w:fill="auto"/>
            <w:noWrap/>
            <w:vAlign w:val="bottom"/>
          </w:tcPr>
          <w:p w:rsidR="0011713C" w:rsidRPr="00AE6EDB" w:rsidRDefault="00AC44CB">
            <w:pPr>
              <w:jc w:val="right"/>
              <w:rPr>
                <w:sz w:val="20"/>
                <w:szCs w:val="16"/>
              </w:rPr>
            </w:pPr>
            <w:r>
              <w:rPr>
                <w:sz w:val="20"/>
                <w:szCs w:val="16"/>
              </w:rPr>
              <w:t>9 0</w:t>
            </w:r>
            <w:r w:rsidR="0011713C" w:rsidRPr="00AE6EDB">
              <w:rPr>
                <w:sz w:val="20"/>
                <w:szCs w:val="16"/>
              </w:rPr>
              <w:t>1</w:t>
            </w:r>
            <w:r>
              <w:rPr>
                <w:sz w:val="20"/>
                <w:szCs w:val="16"/>
              </w:rPr>
              <w:t>9 6</w:t>
            </w:r>
            <w:r w:rsidR="0011713C" w:rsidRPr="00AE6EDB">
              <w:rPr>
                <w:sz w:val="20"/>
                <w:szCs w:val="16"/>
              </w:rPr>
              <w:t>08</w:t>
            </w:r>
          </w:p>
        </w:tc>
        <w:tc>
          <w:tcPr>
            <w:tcW w:w="1606"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1644"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778" w:type="dxa"/>
            <w:shd w:val="clear" w:color="auto" w:fill="auto"/>
            <w:noWrap/>
            <w:vAlign w:val="bottom"/>
          </w:tcPr>
          <w:p w:rsidR="0011713C" w:rsidRPr="00AE6EDB" w:rsidRDefault="0011713C">
            <w:pPr>
              <w:jc w:val="right"/>
              <w:rPr>
                <w:sz w:val="20"/>
                <w:szCs w:val="16"/>
              </w:rPr>
            </w:pPr>
            <w:r w:rsidRPr="00AE6EDB">
              <w:rPr>
                <w:sz w:val="20"/>
                <w:szCs w:val="16"/>
              </w:rPr>
              <w:t>0,0</w:t>
            </w:r>
          </w:p>
        </w:tc>
      </w:tr>
      <w:tr w:rsidR="0011713C" w:rsidRPr="00AE6EDB" w:rsidTr="00DE0EEC">
        <w:trPr>
          <w:trHeight w:val="262"/>
        </w:trPr>
        <w:tc>
          <w:tcPr>
            <w:tcW w:w="1862" w:type="dxa"/>
            <w:shd w:val="clear" w:color="auto" w:fill="auto"/>
            <w:noWrap/>
            <w:vAlign w:val="bottom"/>
          </w:tcPr>
          <w:p w:rsidR="0011713C" w:rsidRPr="00AE6EDB" w:rsidRDefault="0011713C">
            <w:pPr>
              <w:rPr>
                <w:sz w:val="18"/>
                <w:szCs w:val="16"/>
              </w:rPr>
            </w:pPr>
            <w:r w:rsidRPr="00AE6EDB">
              <w:rPr>
                <w:sz w:val="18"/>
                <w:szCs w:val="16"/>
              </w:rPr>
              <w:t>06G1S04</w:t>
            </w:r>
          </w:p>
        </w:tc>
        <w:tc>
          <w:tcPr>
            <w:tcW w:w="6662" w:type="dxa"/>
            <w:shd w:val="clear" w:color="auto" w:fill="auto"/>
            <w:noWrap/>
            <w:vAlign w:val="bottom"/>
          </w:tcPr>
          <w:p w:rsidR="0011713C" w:rsidRPr="00AE6EDB" w:rsidRDefault="0011713C">
            <w:pPr>
              <w:rPr>
                <w:sz w:val="18"/>
                <w:szCs w:val="16"/>
              </w:rPr>
            </w:pPr>
            <w:r w:rsidRPr="00AE6EDB">
              <w:rPr>
                <w:sz w:val="18"/>
                <w:szCs w:val="16"/>
              </w:rPr>
              <w:t>Iniciatíva na podporu zamestnanosti mladých</w:t>
            </w:r>
          </w:p>
        </w:tc>
        <w:tc>
          <w:tcPr>
            <w:tcW w:w="1541"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1606"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1644" w:type="dxa"/>
            <w:shd w:val="clear" w:color="auto" w:fill="auto"/>
            <w:noWrap/>
            <w:vAlign w:val="bottom"/>
          </w:tcPr>
          <w:p w:rsidR="0011713C" w:rsidRPr="00AE6EDB" w:rsidRDefault="0011713C">
            <w:pPr>
              <w:jc w:val="right"/>
              <w:rPr>
                <w:sz w:val="20"/>
                <w:szCs w:val="16"/>
              </w:rPr>
            </w:pPr>
            <w:r w:rsidRPr="00AE6EDB">
              <w:rPr>
                <w:sz w:val="20"/>
                <w:szCs w:val="16"/>
              </w:rPr>
              <w:t>0</w:t>
            </w:r>
          </w:p>
        </w:tc>
        <w:tc>
          <w:tcPr>
            <w:tcW w:w="778" w:type="dxa"/>
            <w:shd w:val="clear" w:color="auto" w:fill="auto"/>
            <w:noWrap/>
            <w:vAlign w:val="bottom"/>
          </w:tcPr>
          <w:p w:rsidR="0011713C" w:rsidRPr="00AE6EDB" w:rsidRDefault="0011713C">
            <w:pPr>
              <w:jc w:val="right"/>
              <w:rPr>
                <w:sz w:val="20"/>
                <w:szCs w:val="16"/>
              </w:rPr>
            </w:pPr>
            <w:r w:rsidRPr="00AE6EDB">
              <w:rPr>
                <w:sz w:val="20"/>
                <w:szCs w:val="16"/>
              </w:rPr>
              <w:t>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b/>
                <w:sz w:val="18"/>
                <w:szCs w:val="18"/>
              </w:rPr>
            </w:pPr>
            <w:r w:rsidRPr="00AE6EDB">
              <w:rPr>
                <w:b/>
                <w:sz w:val="18"/>
                <w:szCs w:val="18"/>
              </w:rPr>
              <w:t>06G15</w:t>
            </w:r>
          </w:p>
        </w:tc>
        <w:tc>
          <w:tcPr>
            <w:tcW w:w="6662" w:type="dxa"/>
            <w:shd w:val="clear" w:color="auto" w:fill="auto"/>
            <w:noWrap/>
            <w:vAlign w:val="bottom"/>
            <w:hideMark/>
          </w:tcPr>
          <w:p w:rsidR="0011713C" w:rsidRPr="00AE6EDB" w:rsidRDefault="0011713C" w:rsidP="00DE0EEC">
            <w:pPr>
              <w:rPr>
                <w:b/>
                <w:sz w:val="18"/>
                <w:szCs w:val="18"/>
              </w:rPr>
            </w:pPr>
            <w:r w:rsidRPr="00AE6EDB">
              <w:rPr>
                <w:b/>
                <w:sz w:val="18"/>
                <w:szCs w:val="18"/>
              </w:rPr>
              <w:t>Podpora rastu zamestnanosti</w:t>
            </w:r>
          </w:p>
        </w:tc>
        <w:tc>
          <w:tcPr>
            <w:tcW w:w="1541" w:type="dxa"/>
            <w:shd w:val="clear" w:color="auto" w:fill="auto"/>
            <w:noWrap/>
            <w:vAlign w:val="bottom"/>
            <w:hideMark/>
          </w:tcPr>
          <w:p w:rsidR="0011713C" w:rsidRPr="00AE6EDB" w:rsidRDefault="0011713C">
            <w:pPr>
              <w:jc w:val="right"/>
              <w:rPr>
                <w:b/>
                <w:bCs/>
                <w:sz w:val="20"/>
                <w:szCs w:val="16"/>
              </w:rPr>
            </w:pPr>
            <w:r w:rsidRPr="00AE6EDB">
              <w:rPr>
                <w:b/>
                <w:bCs/>
                <w:sz w:val="20"/>
                <w:szCs w:val="16"/>
              </w:rPr>
              <w:t>1</w:t>
            </w:r>
            <w:r w:rsidR="00AC44CB">
              <w:rPr>
                <w:b/>
                <w:bCs/>
                <w:sz w:val="20"/>
                <w:szCs w:val="16"/>
              </w:rPr>
              <w:t>5 7</w:t>
            </w:r>
            <w:r w:rsidRPr="00AE6EDB">
              <w:rPr>
                <w:b/>
                <w:bCs/>
                <w:sz w:val="20"/>
                <w:szCs w:val="16"/>
              </w:rPr>
              <w:t>4</w:t>
            </w:r>
            <w:r w:rsidR="00AC44CB">
              <w:rPr>
                <w:b/>
                <w:bCs/>
                <w:sz w:val="20"/>
                <w:szCs w:val="16"/>
              </w:rPr>
              <w:t>8 5</w:t>
            </w:r>
            <w:r w:rsidRPr="00AE6EDB">
              <w:rPr>
                <w:b/>
                <w:bCs/>
                <w:sz w:val="20"/>
                <w:szCs w:val="16"/>
              </w:rPr>
              <w:t>06</w:t>
            </w:r>
          </w:p>
        </w:tc>
        <w:tc>
          <w:tcPr>
            <w:tcW w:w="1606" w:type="dxa"/>
            <w:shd w:val="clear" w:color="auto" w:fill="auto"/>
            <w:noWrap/>
            <w:vAlign w:val="bottom"/>
            <w:hideMark/>
          </w:tcPr>
          <w:p w:rsidR="0011713C" w:rsidRPr="00AE6EDB" w:rsidRDefault="0011713C">
            <w:pPr>
              <w:jc w:val="right"/>
              <w:rPr>
                <w:b/>
                <w:bCs/>
                <w:sz w:val="20"/>
                <w:szCs w:val="16"/>
              </w:rPr>
            </w:pPr>
            <w:r w:rsidRPr="00AE6EDB">
              <w:rPr>
                <w:b/>
                <w:bCs/>
                <w:sz w:val="20"/>
                <w:szCs w:val="16"/>
              </w:rPr>
              <w:t>14</w:t>
            </w:r>
            <w:r w:rsidR="00AC44CB">
              <w:rPr>
                <w:b/>
                <w:bCs/>
                <w:sz w:val="20"/>
                <w:szCs w:val="16"/>
              </w:rPr>
              <w:t>7 1</w:t>
            </w:r>
            <w:r w:rsidRPr="00AE6EDB">
              <w:rPr>
                <w:b/>
                <w:bCs/>
                <w:sz w:val="20"/>
                <w:szCs w:val="16"/>
              </w:rPr>
              <w:t>1</w:t>
            </w:r>
            <w:r w:rsidR="0054295F">
              <w:rPr>
                <w:b/>
                <w:bCs/>
                <w:sz w:val="20"/>
                <w:szCs w:val="16"/>
              </w:rPr>
              <w:t>0 2</w:t>
            </w:r>
            <w:r w:rsidRPr="00AE6EDB">
              <w:rPr>
                <w:b/>
                <w:bCs/>
                <w:sz w:val="20"/>
                <w:szCs w:val="16"/>
              </w:rPr>
              <w:t>14</w:t>
            </w:r>
          </w:p>
        </w:tc>
        <w:tc>
          <w:tcPr>
            <w:tcW w:w="1644" w:type="dxa"/>
            <w:shd w:val="clear" w:color="auto" w:fill="auto"/>
            <w:noWrap/>
            <w:vAlign w:val="bottom"/>
            <w:hideMark/>
          </w:tcPr>
          <w:p w:rsidR="0011713C" w:rsidRPr="00AE6EDB" w:rsidRDefault="0011713C">
            <w:pPr>
              <w:jc w:val="right"/>
              <w:rPr>
                <w:b/>
                <w:bCs/>
                <w:sz w:val="20"/>
                <w:szCs w:val="16"/>
              </w:rPr>
            </w:pPr>
            <w:r w:rsidRPr="00AE6EDB">
              <w:rPr>
                <w:b/>
                <w:bCs/>
                <w:sz w:val="20"/>
                <w:szCs w:val="16"/>
              </w:rPr>
              <w:t>14</w:t>
            </w:r>
            <w:r w:rsidR="00AC44CB">
              <w:rPr>
                <w:b/>
                <w:bCs/>
                <w:sz w:val="20"/>
                <w:szCs w:val="16"/>
              </w:rPr>
              <w:t>7 1</w:t>
            </w:r>
            <w:r w:rsidRPr="00AE6EDB">
              <w:rPr>
                <w:b/>
                <w:bCs/>
                <w:sz w:val="20"/>
                <w:szCs w:val="16"/>
              </w:rPr>
              <w:t>1</w:t>
            </w:r>
            <w:r w:rsidR="0054295F">
              <w:rPr>
                <w:b/>
                <w:bCs/>
                <w:sz w:val="20"/>
                <w:szCs w:val="16"/>
              </w:rPr>
              <w:t>0 2</w:t>
            </w:r>
            <w:r w:rsidRPr="00AE6EDB">
              <w:rPr>
                <w:b/>
                <w:bCs/>
                <w:sz w:val="20"/>
                <w:szCs w:val="16"/>
              </w:rPr>
              <w:t>02</w:t>
            </w:r>
          </w:p>
        </w:tc>
        <w:tc>
          <w:tcPr>
            <w:tcW w:w="778" w:type="dxa"/>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rPr>
          <w:trHeight w:val="262"/>
        </w:trPr>
        <w:tc>
          <w:tcPr>
            <w:tcW w:w="1862" w:type="dxa"/>
            <w:shd w:val="clear" w:color="auto" w:fill="auto"/>
            <w:noWrap/>
            <w:vAlign w:val="bottom"/>
            <w:hideMark/>
          </w:tcPr>
          <w:p w:rsidR="0011713C" w:rsidRPr="00AE6EDB" w:rsidRDefault="0011713C" w:rsidP="00DE0EEC">
            <w:pPr>
              <w:rPr>
                <w:sz w:val="18"/>
                <w:szCs w:val="18"/>
              </w:rPr>
            </w:pPr>
            <w:r w:rsidRPr="00AE6EDB">
              <w:rPr>
                <w:sz w:val="18"/>
                <w:szCs w:val="18"/>
              </w:rPr>
              <w:t>06G1501</w:t>
            </w:r>
          </w:p>
        </w:tc>
        <w:tc>
          <w:tcPr>
            <w:tcW w:w="6662" w:type="dxa"/>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programov v oblasti podpory zamestnanosti a riešenia nezamestnanosti a dlhodobej nezamestnanosti </w:t>
            </w:r>
            <w:r w:rsidRPr="00AE6EDB">
              <w:rPr>
                <w:color w:val="000000" w:themeColor="text1"/>
              </w:rPr>
              <w:t>–</w:t>
            </w:r>
            <w:r w:rsidRPr="00AE6EDB">
              <w:rPr>
                <w:sz w:val="18"/>
                <w:szCs w:val="18"/>
              </w:rPr>
              <w:t xml:space="preserve"> opatrenie 1.1</w:t>
            </w:r>
          </w:p>
        </w:tc>
        <w:tc>
          <w:tcPr>
            <w:tcW w:w="1541" w:type="dxa"/>
            <w:shd w:val="clear" w:color="auto" w:fill="auto"/>
            <w:noWrap/>
            <w:vAlign w:val="bottom"/>
            <w:hideMark/>
          </w:tcPr>
          <w:p w:rsidR="0011713C" w:rsidRPr="00AE6EDB" w:rsidRDefault="0011713C">
            <w:pPr>
              <w:jc w:val="right"/>
              <w:rPr>
                <w:sz w:val="20"/>
                <w:szCs w:val="16"/>
              </w:rPr>
            </w:pPr>
            <w:r w:rsidRPr="00AE6EDB">
              <w:rPr>
                <w:sz w:val="20"/>
                <w:szCs w:val="16"/>
              </w:rPr>
              <w:t>1</w:t>
            </w:r>
            <w:r w:rsidR="0054295F">
              <w:rPr>
                <w:sz w:val="20"/>
                <w:szCs w:val="16"/>
              </w:rPr>
              <w:t>3 3</w:t>
            </w:r>
            <w:r w:rsidRPr="00AE6EDB">
              <w:rPr>
                <w:sz w:val="20"/>
                <w:szCs w:val="16"/>
              </w:rPr>
              <w:t>5</w:t>
            </w:r>
            <w:r w:rsidR="00AC44CB">
              <w:rPr>
                <w:sz w:val="20"/>
                <w:szCs w:val="16"/>
              </w:rPr>
              <w:t>5 3</w:t>
            </w:r>
            <w:r w:rsidRPr="00AE6EDB">
              <w:rPr>
                <w:sz w:val="20"/>
                <w:szCs w:val="16"/>
              </w:rPr>
              <w:t>60</w:t>
            </w:r>
          </w:p>
        </w:tc>
        <w:tc>
          <w:tcPr>
            <w:tcW w:w="1606" w:type="dxa"/>
            <w:shd w:val="clear" w:color="auto" w:fill="auto"/>
            <w:noWrap/>
            <w:vAlign w:val="bottom"/>
            <w:hideMark/>
          </w:tcPr>
          <w:p w:rsidR="0011713C" w:rsidRPr="00AE6EDB" w:rsidRDefault="0011713C">
            <w:pPr>
              <w:jc w:val="right"/>
              <w:rPr>
                <w:sz w:val="20"/>
                <w:szCs w:val="16"/>
              </w:rPr>
            </w:pPr>
            <w:r w:rsidRPr="00AE6EDB">
              <w:rPr>
                <w:sz w:val="20"/>
                <w:szCs w:val="16"/>
              </w:rPr>
              <w:t>14</w:t>
            </w:r>
            <w:r w:rsidR="00AC44CB">
              <w:rPr>
                <w:sz w:val="20"/>
                <w:szCs w:val="16"/>
              </w:rPr>
              <w:t>5 9</w:t>
            </w:r>
            <w:r w:rsidRPr="00AE6EDB">
              <w:rPr>
                <w:sz w:val="20"/>
                <w:szCs w:val="16"/>
              </w:rPr>
              <w:t>2</w:t>
            </w:r>
            <w:r w:rsidR="0054295F">
              <w:rPr>
                <w:sz w:val="20"/>
                <w:szCs w:val="16"/>
              </w:rPr>
              <w:t>1 2</w:t>
            </w:r>
            <w:r w:rsidRPr="00AE6EDB">
              <w:rPr>
                <w:sz w:val="20"/>
                <w:szCs w:val="16"/>
              </w:rPr>
              <w:t>68</w:t>
            </w:r>
          </w:p>
        </w:tc>
        <w:tc>
          <w:tcPr>
            <w:tcW w:w="1644" w:type="dxa"/>
            <w:shd w:val="clear" w:color="auto" w:fill="auto"/>
            <w:noWrap/>
            <w:vAlign w:val="bottom"/>
            <w:hideMark/>
          </w:tcPr>
          <w:p w:rsidR="0011713C" w:rsidRPr="00AE6EDB" w:rsidRDefault="0011713C">
            <w:pPr>
              <w:jc w:val="right"/>
              <w:rPr>
                <w:sz w:val="20"/>
                <w:szCs w:val="16"/>
              </w:rPr>
            </w:pPr>
            <w:r w:rsidRPr="00AE6EDB">
              <w:rPr>
                <w:sz w:val="20"/>
                <w:szCs w:val="16"/>
              </w:rPr>
              <w:t>14</w:t>
            </w:r>
            <w:r w:rsidR="00AC44CB">
              <w:rPr>
                <w:sz w:val="20"/>
                <w:szCs w:val="16"/>
              </w:rPr>
              <w:t>5 9</w:t>
            </w:r>
            <w:r w:rsidRPr="00AE6EDB">
              <w:rPr>
                <w:sz w:val="20"/>
                <w:szCs w:val="16"/>
              </w:rPr>
              <w:t>2</w:t>
            </w:r>
            <w:r w:rsidR="0054295F">
              <w:rPr>
                <w:sz w:val="20"/>
                <w:szCs w:val="16"/>
              </w:rPr>
              <w:t>1 2</w:t>
            </w:r>
            <w:r w:rsidRPr="00AE6EDB">
              <w:rPr>
                <w:sz w:val="20"/>
                <w:szCs w:val="16"/>
              </w:rPr>
              <w:t>56</w:t>
            </w:r>
          </w:p>
        </w:tc>
        <w:tc>
          <w:tcPr>
            <w:tcW w:w="778" w:type="dxa"/>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rPr>
          <w:trHeight w:val="262"/>
        </w:trPr>
        <w:tc>
          <w:tcPr>
            <w:tcW w:w="1862" w:type="dxa"/>
            <w:tcBorders>
              <w:bottom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06G1502</w:t>
            </w:r>
          </w:p>
        </w:tc>
        <w:tc>
          <w:tcPr>
            <w:tcW w:w="6662" w:type="dxa"/>
            <w:tcBorders>
              <w:bottom w:val="single" w:sz="4" w:space="0" w:color="auto"/>
            </w:tcBorders>
            <w:shd w:val="clear" w:color="auto" w:fill="auto"/>
            <w:noWrap/>
            <w:vAlign w:val="bottom"/>
            <w:hideMark/>
          </w:tcPr>
          <w:p w:rsidR="0011713C" w:rsidRPr="00AE6EDB" w:rsidRDefault="0011713C" w:rsidP="00DE0EEC">
            <w:pPr>
              <w:rPr>
                <w:sz w:val="18"/>
                <w:szCs w:val="18"/>
              </w:rPr>
            </w:pPr>
            <w:r w:rsidRPr="00AE6EDB">
              <w:rPr>
                <w:color w:val="000000" w:themeColor="text1"/>
              </w:rPr>
              <w:t>–</w:t>
            </w:r>
            <w:r w:rsidRPr="00AE6EDB">
              <w:rPr>
                <w:sz w:val="18"/>
                <w:szCs w:val="18"/>
              </w:rPr>
              <w:t xml:space="preserve"> Podpora tvorby a udržania prac. miest prostred. zvýšenia adaptability prac., podnikov a podpory podnikania </w:t>
            </w:r>
            <w:r w:rsidRPr="00AE6EDB">
              <w:rPr>
                <w:color w:val="000000" w:themeColor="text1"/>
              </w:rPr>
              <w:t>–</w:t>
            </w:r>
            <w:r w:rsidRPr="00AE6EDB">
              <w:rPr>
                <w:sz w:val="18"/>
                <w:szCs w:val="18"/>
              </w:rPr>
              <w:t xml:space="preserve"> opatrenie 1.2</w:t>
            </w:r>
          </w:p>
        </w:tc>
        <w:tc>
          <w:tcPr>
            <w:tcW w:w="1541" w:type="dxa"/>
            <w:tcBorders>
              <w:bottom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2 3</w:t>
            </w:r>
            <w:r w:rsidR="0011713C" w:rsidRPr="00AE6EDB">
              <w:rPr>
                <w:sz w:val="20"/>
                <w:szCs w:val="16"/>
              </w:rPr>
              <w:t>9</w:t>
            </w:r>
            <w:r>
              <w:rPr>
                <w:sz w:val="20"/>
                <w:szCs w:val="16"/>
              </w:rPr>
              <w:t>3 1</w:t>
            </w:r>
            <w:r w:rsidR="0011713C" w:rsidRPr="00AE6EDB">
              <w:rPr>
                <w:sz w:val="20"/>
                <w:szCs w:val="16"/>
              </w:rPr>
              <w:t>46</w:t>
            </w:r>
          </w:p>
        </w:tc>
        <w:tc>
          <w:tcPr>
            <w:tcW w:w="1606" w:type="dxa"/>
            <w:tcBorders>
              <w:bottom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1 1</w:t>
            </w:r>
            <w:r w:rsidR="0011713C" w:rsidRPr="00AE6EDB">
              <w:rPr>
                <w:sz w:val="20"/>
                <w:szCs w:val="16"/>
              </w:rPr>
              <w:t>8</w:t>
            </w:r>
            <w:r w:rsidR="00AC44CB">
              <w:rPr>
                <w:sz w:val="20"/>
                <w:szCs w:val="16"/>
              </w:rPr>
              <w:t>8 9</w:t>
            </w:r>
            <w:r w:rsidR="0011713C" w:rsidRPr="00AE6EDB">
              <w:rPr>
                <w:sz w:val="20"/>
                <w:szCs w:val="16"/>
              </w:rPr>
              <w:t>46</w:t>
            </w:r>
          </w:p>
        </w:tc>
        <w:tc>
          <w:tcPr>
            <w:tcW w:w="1644" w:type="dxa"/>
            <w:tcBorders>
              <w:bottom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1 1</w:t>
            </w:r>
            <w:r w:rsidR="0011713C" w:rsidRPr="00AE6EDB">
              <w:rPr>
                <w:sz w:val="20"/>
                <w:szCs w:val="16"/>
              </w:rPr>
              <w:t>8</w:t>
            </w:r>
            <w:r w:rsidR="00AC44CB">
              <w:rPr>
                <w:sz w:val="20"/>
                <w:szCs w:val="16"/>
              </w:rPr>
              <w:t>8 9</w:t>
            </w:r>
            <w:r w:rsidR="0011713C" w:rsidRPr="00AE6EDB">
              <w:rPr>
                <w:sz w:val="20"/>
                <w:szCs w:val="16"/>
              </w:rPr>
              <w:t>46</w:t>
            </w:r>
          </w:p>
        </w:tc>
        <w:tc>
          <w:tcPr>
            <w:tcW w:w="778" w:type="dxa"/>
            <w:tcBorders>
              <w:bottom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b/>
                <w:bCs/>
                <w:sz w:val="20"/>
                <w:szCs w:val="20"/>
              </w:rPr>
            </w:pPr>
            <w:r w:rsidRPr="00AE6EDB">
              <w:rPr>
                <w:b/>
                <w:bCs/>
                <w:sz w:val="20"/>
                <w:szCs w:val="20"/>
              </w:rPr>
              <w:t>06G16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b/>
                <w:bCs/>
                <w:sz w:val="20"/>
                <w:szCs w:val="20"/>
              </w:rPr>
            </w:pPr>
            <w:r w:rsidRPr="00AE6EDB">
              <w:rPr>
                <w:b/>
                <w:bCs/>
                <w:sz w:val="20"/>
                <w:szCs w:val="20"/>
              </w:rPr>
              <w:t>Podpora zamestnanosti, sociálnej inklúzie a budovanie kapacít v BSK</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2 1</w:t>
            </w:r>
            <w:r w:rsidR="0011713C" w:rsidRPr="00AE6EDB">
              <w:rPr>
                <w:b/>
                <w:bCs/>
                <w:sz w:val="20"/>
                <w:szCs w:val="16"/>
              </w:rPr>
              <w:t>2</w:t>
            </w:r>
            <w:r>
              <w:rPr>
                <w:b/>
                <w:bCs/>
                <w:sz w:val="20"/>
                <w:szCs w:val="16"/>
              </w:rPr>
              <w:t>2 4</w:t>
            </w:r>
            <w:r w:rsidR="0011713C" w:rsidRPr="00AE6EDB">
              <w:rPr>
                <w:b/>
                <w:bCs/>
                <w:sz w:val="20"/>
                <w:szCs w:val="16"/>
              </w:rPr>
              <w:t>03</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2 1</w:t>
            </w:r>
            <w:r w:rsidR="0011713C" w:rsidRPr="00AE6EDB">
              <w:rPr>
                <w:b/>
                <w:bCs/>
                <w:sz w:val="20"/>
                <w:szCs w:val="16"/>
              </w:rPr>
              <w:t>1</w:t>
            </w:r>
            <w:r w:rsidR="00AC44CB">
              <w:rPr>
                <w:b/>
                <w:bCs/>
                <w:sz w:val="20"/>
                <w:szCs w:val="16"/>
              </w:rPr>
              <w:t>9 1</w:t>
            </w:r>
            <w:r w:rsidR="0011713C" w:rsidRPr="00AE6EDB">
              <w:rPr>
                <w:b/>
                <w:bCs/>
                <w:sz w:val="20"/>
                <w:szCs w:val="16"/>
              </w:rPr>
              <w:t>27</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2 1</w:t>
            </w:r>
            <w:r w:rsidR="0011713C" w:rsidRPr="00AE6EDB">
              <w:rPr>
                <w:b/>
                <w:bCs/>
                <w:sz w:val="20"/>
                <w:szCs w:val="16"/>
              </w:rPr>
              <w:t>1</w:t>
            </w:r>
            <w:r w:rsidR="00AC44CB">
              <w:rPr>
                <w:b/>
                <w:bCs/>
                <w:sz w:val="20"/>
                <w:szCs w:val="16"/>
              </w:rPr>
              <w:t>9 1</w:t>
            </w:r>
            <w:r w:rsidR="0011713C" w:rsidRPr="00AE6EDB">
              <w:rPr>
                <w:b/>
                <w:bCs/>
                <w:sz w:val="20"/>
                <w:szCs w:val="16"/>
              </w:rPr>
              <w:t>26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06G1601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rastu zamestnanosti zlepšenia zamestnanosti s osobitným zreteľom na vzdelanostnú spoločnosť </w:t>
            </w:r>
            <w:r w:rsidRPr="00AE6EDB">
              <w:rPr>
                <w:color w:val="000000" w:themeColor="text1"/>
              </w:rPr>
              <w:t>–</w:t>
            </w:r>
            <w:r w:rsidRPr="00AE6EDB">
              <w:rPr>
                <w:sz w:val="18"/>
                <w:szCs w:val="18"/>
              </w:rPr>
              <w:t xml:space="preserve"> opatrenie 3.1</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24</w:t>
            </w:r>
            <w:r w:rsidR="0054295F">
              <w:rPr>
                <w:sz w:val="20"/>
                <w:szCs w:val="16"/>
              </w:rPr>
              <w:t>2 8</w:t>
            </w:r>
            <w:r w:rsidRPr="00AE6EDB">
              <w:rPr>
                <w:sz w:val="20"/>
                <w:szCs w:val="16"/>
              </w:rPr>
              <w:t>80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sz w:val="20"/>
                <w:szCs w:val="16"/>
              </w:rPr>
            </w:pPr>
            <w:r>
              <w:rPr>
                <w:sz w:val="20"/>
                <w:szCs w:val="16"/>
              </w:rPr>
              <w:t>1 2</w:t>
            </w:r>
            <w:r w:rsidR="0011713C" w:rsidRPr="00AE6EDB">
              <w:rPr>
                <w:sz w:val="20"/>
                <w:szCs w:val="16"/>
              </w:rPr>
              <w:t>1</w:t>
            </w:r>
            <w:r>
              <w:rPr>
                <w:sz w:val="20"/>
                <w:szCs w:val="16"/>
              </w:rPr>
              <w:t>4 1</w:t>
            </w:r>
            <w:r w:rsidR="0011713C" w:rsidRPr="00AE6EDB">
              <w:rPr>
                <w:sz w:val="20"/>
                <w:szCs w:val="16"/>
              </w:rPr>
              <w:t>07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1 2</w:t>
            </w:r>
            <w:r w:rsidR="0011713C" w:rsidRPr="00AE6EDB">
              <w:rPr>
                <w:sz w:val="20"/>
                <w:szCs w:val="16"/>
              </w:rPr>
              <w:t>1</w:t>
            </w:r>
            <w:r>
              <w:rPr>
                <w:sz w:val="20"/>
                <w:szCs w:val="16"/>
              </w:rPr>
              <w:t>4 1</w:t>
            </w:r>
            <w:r w:rsidR="0011713C" w:rsidRPr="00AE6EDB">
              <w:rPr>
                <w:sz w:val="20"/>
                <w:szCs w:val="16"/>
              </w:rPr>
              <w:t>07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06G1602</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Podpora soc. inklúzie, rodovej rovnosti a zosúladenie prac. a rod. života v BSK </w:t>
            </w:r>
            <w:r w:rsidRPr="00AE6EDB">
              <w:rPr>
                <w:color w:val="000000" w:themeColor="text1"/>
              </w:rPr>
              <w:t>–</w:t>
            </w:r>
            <w:r w:rsidRPr="00AE6EDB">
              <w:rPr>
                <w:sz w:val="18"/>
                <w:szCs w:val="18"/>
              </w:rPr>
              <w:t xml:space="preserve"> opatrenie 3.2</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98</w:t>
            </w:r>
            <w:r w:rsidR="00AC44CB">
              <w:rPr>
                <w:sz w:val="20"/>
                <w:szCs w:val="16"/>
              </w:rPr>
              <w:t>8 9</w:t>
            </w:r>
            <w:r w:rsidRPr="00AE6EDB">
              <w:rPr>
                <w:sz w:val="20"/>
                <w:szCs w:val="16"/>
              </w:rPr>
              <w:t>84</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64</w:t>
            </w:r>
            <w:r w:rsidR="0054295F">
              <w:rPr>
                <w:sz w:val="20"/>
                <w:szCs w:val="16"/>
              </w:rPr>
              <w:t>2 4</w:t>
            </w:r>
            <w:r w:rsidRPr="00AE6EDB">
              <w:rPr>
                <w:sz w:val="20"/>
                <w:szCs w:val="16"/>
              </w:rPr>
              <w:t>01</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64</w:t>
            </w:r>
            <w:r w:rsidR="0054295F">
              <w:rPr>
                <w:sz w:val="20"/>
                <w:szCs w:val="16"/>
              </w:rPr>
              <w:t>2 4</w:t>
            </w:r>
            <w:r w:rsidRPr="00AE6EDB">
              <w:rPr>
                <w:sz w:val="20"/>
                <w:szCs w:val="16"/>
              </w:rPr>
              <w:t>01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06G1603</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Budovanie kapacít a zlepšovanie. kvality verejnej správy v BSK </w:t>
            </w:r>
            <w:r w:rsidRPr="00AE6EDB">
              <w:rPr>
                <w:color w:val="000000" w:themeColor="text1"/>
              </w:rPr>
              <w:t>–</w:t>
            </w:r>
            <w:r w:rsidRPr="00AE6EDB">
              <w:rPr>
                <w:sz w:val="18"/>
                <w:szCs w:val="18"/>
              </w:rPr>
              <w:t xml:space="preserve"> opatrenie 3.3</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89</w:t>
            </w:r>
            <w:r w:rsidR="0054295F">
              <w:rPr>
                <w:sz w:val="20"/>
                <w:szCs w:val="16"/>
              </w:rPr>
              <w:t>0 5</w:t>
            </w:r>
            <w:r w:rsidRPr="00AE6EDB">
              <w:rPr>
                <w:sz w:val="20"/>
                <w:szCs w:val="16"/>
              </w:rPr>
              <w:t>39</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13</w:t>
            </w:r>
            <w:r w:rsidR="00AC44CB">
              <w:rPr>
                <w:sz w:val="20"/>
                <w:szCs w:val="16"/>
              </w:rPr>
              <w:t>6 0</w:t>
            </w:r>
            <w:r w:rsidRPr="00AE6EDB">
              <w:rPr>
                <w:sz w:val="20"/>
                <w:szCs w:val="16"/>
              </w:rPr>
              <w:t>92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13</w:t>
            </w:r>
            <w:r w:rsidR="00AC44CB">
              <w:rPr>
                <w:sz w:val="20"/>
                <w:szCs w:val="16"/>
              </w:rPr>
              <w:t>6 0</w:t>
            </w:r>
            <w:r w:rsidRPr="00AE6EDB">
              <w:rPr>
                <w:sz w:val="20"/>
                <w:szCs w:val="16"/>
              </w:rPr>
              <w:t>91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13C" w:rsidRPr="00AE6EDB" w:rsidRDefault="0011713C">
            <w:pPr>
              <w:rPr>
                <w:sz w:val="18"/>
                <w:szCs w:val="16"/>
              </w:rPr>
            </w:pPr>
            <w:r w:rsidRPr="00AE6EDB">
              <w:rPr>
                <w:sz w:val="18"/>
                <w:szCs w:val="16"/>
              </w:rPr>
              <w:t>06G1604</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11713C" w:rsidRPr="00AE6EDB" w:rsidRDefault="0011713C" w:rsidP="00F45681">
            <w:pPr>
              <w:rPr>
                <w:sz w:val="18"/>
                <w:szCs w:val="16"/>
              </w:rPr>
            </w:pPr>
            <w:r w:rsidRPr="00AE6EDB">
              <w:rPr>
                <w:color w:val="000000" w:themeColor="text1"/>
              </w:rPr>
              <w:t>–</w:t>
            </w:r>
            <w:r w:rsidRPr="00AE6EDB">
              <w:rPr>
                <w:sz w:val="18"/>
                <w:szCs w:val="18"/>
              </w:rPr>
              <w:t xml:space="preserve"> </w:t>
            </w:r>
            <w:r w:rsidRPr="00AE6EDB">
              <w:rPr>
                <w:sz w:val="18"/>
                <w:szCs w:val="16"/>
              </w:rPr>
              <w:t>Technická pomoc pre BSK</w:t>
            </w:r>
            <w:r w:rsidR="00F45681">
              <w:rPr>
                <w:sz w:val="18"/>
                <w:szCs w:val="16"/>
              </w:rPr>
              <w:t xml:space="preserve"> – </w:t>
            </w:r>
            <w:r w:rsidRPr="00AE6EDB">
              <w:rPr>
                <w:sz w:val="18"/>
                <w:szCs w:val="16"/>
              </w:rPr>
              <w:t>op</w:t>
            </w:r>
            <w:r w:rsidR="00F45681">
              <w:rPr>
                <w:sz w:val="18"/>
                <w:szCs w:val="16"/>
              </w:rPr>
              <w:t>atrenie</w:t>
            </w:r>
            <w:r w:rsidRPr="00AE6EDB">
              <w:rPr>
                <w:sz w:val="18"/>
                <w:szCs w:val="16"/>
              </w:rPr>
              <w:t xml:space="preserve"> 3.4</w:t>
            </w:r>
          </w:p>
        </w:tc>
        <w:tc>
          <w:tcPr>
            <w:tcW w:w="1541" w:type="dxa"/>
            <w:tcBorders>
              <w:top w:val="single" w:sz="4" w:space="0" w:color="auto"/>
              <w:left w:val="nil"/>
              <w:bottom w:val="single" w:sz="4" w:space="0" w:color="auto"/>
              <w:right w:val="nil"/>
            </w:tcBorders>
            <w:shd w:val="clear" w:color="auto" w:fill="auto"/>
            <w:noWrap/>
            <w:vAlign w:val="bottom"/>
          </w:tcPr>
          <w:p w:rsidR="0011713C" w:rsidRPr="00AE6EDB" w:rsidRDefault="0011713C">
            <w:pPr>
              <w:jc w:val="right"/>
              <w:rPr>
                <w:sz w:val="20"/>
                <w:szCs w:val="16"/>
              </w:rPr>
            </w:pPr>
            <w:r w:rsidRPr="00AE6EDB">
              <w:rPr>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11713C" w:rsidRPr="00AE6EDB" w:rsidRDefault="0011713C">
            <w:pPr>
              <w:jc w:val="right"/>
              <w:rPr>
                <w:sz w:val="20"/>
                <w:szCs w:val="16"/>
              </w:rPr>
            </w:pPr>
            <w:r w:rsidRPr="00AE6EDB">
              <w:rPr>
                <w:sz w:val="20"/>
                <w:szCs w:val="16"/>
              </w:rPr>
              <w:t>12</w:t>
            </w:r>
            <w:r w:rsidR="00AC44CB">
              <w:rPr>
                <w:sz w:val="20"/>
                <w:szCs w:val="16"/>
              </w:rPr>
              <w:t>6 5</w:t>
            </w:r>
            <w:r w:rsidRPr="00AE6EDB">
              <w:rPr>
                <w:sz w:val="20"/>
                <w:szCs w:val="16"/>
              </w:rPr>
              <w:t>27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13C" w:rsidRPr="00AE6EDB" w:rsidRDefault="0011713C">
            <w:pPr>
              <w:jc w:val="right"/>
              <w:rPr>
                <w:sz w:val="20"/>
                <w:szCs w:val="16"/>
              </w:rPr>
            </w:pPr>
            <w:r w:rsidRPr="00AE6EDB">
              <w:rPr>
                <w:sz w:val="20"/>
                <w:szCs w:val="16"/>
              </w:rPr>
              <w:t>12</w:t>
            </w:r>
            <w:r w:rsidR="00AC44CB">
              <w:rPr>
                <w:sz w:val="20"/>
                <w:szCs w:val="16"/>
              </w:rPr>
              <w:t>6 5</w:t>
            </w:r>
            <w:r w:rsidRPr="00AE6EDB">
              <w:rPr>
                <w:sz w:val="20"/>
                <w:szCs w:val="16"/>
              </w:rPr>
              <w:t>27</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b/>
                <w:bCs/>
                <w:sz w:val="18"/>
                <w:szCs w:val="18"/>
              </w:rPr>
            </w:pPr>
            <w:r w:rsidRPr="00AE6EDB">
              <w:rPr>
                <w:b/>
                <w:bCs/>
                <w:sz w:val="18"/>
                <w:szCs w:val="18"/>
              </w:rPr>
              <w:t>06G17</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b/>
                <w:bCs/>
                <w:sz w:val="18"/>
                <w:szCs w:val="18"/>
              </w:rPr>
            </w:pPr>
            <w:r w:rsidRPr="00AE6EDB">
              <w:rPr>
                <w:b/>
                <w:bCs/>
                <w:sz w:val="18"/>
                <w:szCs w:val="18"/>
              </w:rPr>
              <w:t>Budovanie kapacít a zlepšenie kvality verejnej správy</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11713C">
            <w:pPr>
              <w:jc w:val="right"/>
              <w:rPr>
                <w:b/>
                <w:bCs/>
                <w:sz w:val="20"/>
                <w:szCs w:val="16"/>
              </w:rPr>
            </w:pPr>
            <w:r w:rsidRPr="00AE6EDB">
              <w:rPr>
                <w:b/>
                <w:bCs/>
                <w:sz w:val="20"/>
                <w:szCs w:val="16"/>
              </w:rPr>
              <w:t>1</w:t>
            </w:r>
            <w:r w:rsidR="0054295F">
              <w:rPr>
                <w:b/>
                <w:bCs/>
                <w:sz w:val="20"/>
                <w:szCs w:val="16"/>
              </w:rPr>
              <w:t>1 2</w:t>
            </w:r>
            <w:r w:rsidRPr="00AE6EDB">
              <w:rPr>
                <w:b/>
                <w:bCs/>
                <w:sz w:val="20"/>
                <w:szCs w:val="16"/>
              </w:rPr>
              <w:t>8</w:t>
            </w:r>
            <w:r w:rsidR="0054295F">
              <w:rPr>
                <w:b/>
                <w:bCs/>
                <w:sz w:val="20"/>
                <w:szCs w:val="16"/>
              </w:rPr>
              <w:t>4 1</w:t>
            </w:r>
            <w:r w:rsidRPr="00AE6EDB">
              <w:rPr>
                <w:b/>
                <w:bCs/>
                <w:sz w:val="20"/>
                <w:szCs w:val="16"/>
              </w:rPr>
              <w:t>53</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1 8</w:t>
            </w:r>
            <w:r w:rsidR="0011713C" w:rsidRPr="00AE6EDB">
              <w:rPr>
                <w:b/>
                <w:bCs/>
                <w:sz w:val="20"/>
                <w:szCs w:val="16"/>
              </w:rPr>
              <w:t>3</w:t>
            </w:r>
            <w:r>
              <w:rPr>
                <w:b/>
                <w:bCs/>
                <w:sz w:val="20"/>
                <w:szCs w:val="16"/>
              </w:rPr>
              <w:t>0 9</w:t>
            </w:r>
            <w:r w:rsidR="0011713C" w:rsidRPr="00AE6EDB">
              <w:rPr>
                <w:b/>
                <w:bCs/>
                <w:sz w:val="20"/>
                <w:szCs w:val="16"/>
              </w:rPr>
              <w:t>66</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1 8</w:t>
            </w:r>
            <w:r w:rsidR="0011713C" w:rsidRPr="00AE6EDB">
              <w:rPr>
                <w:b/>
                <w:bCs/>
                <w:sz w:val="20"/>
                <w:szCs w:val="16"/>
              </w:rPr>
              <w:t>3</w:t>
            </w:r>
            <w:r>
              <w:rPr>
                <w:b/>
                <w:bCs/>
                <w:sz w:val="20"/>
                <w:szCs w:val="16"/>
              </w:rPr>
              <w:t>0 9</w:t>
            </w:r>
            <w:r w:rsidR="0011713C" w:rsidRPr="00AE6EDB">
              <w:rPr>
                <w:b/>
                <w:bCs/>
                <w:sz w:val="20"/>
                <w:szCs w:val="16"/>
              </w:rPr>
              <w:t>60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06G1701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11713C">
            <w:pPr>
              <w:rPr>
                <w:sz w:val="18"/>
                <w:szCs w:val="18"/>
              </w:rPr>
            </w:pPr>
            <w:r w:rsidRPr="00AE6EDB">
              <w:rPr>
                <w:sz w:val="18"/>
                <w:szCs w:val="18"/>
              </w:rPr>
              <w:t xml:space="preserve"> </w:t>
            </w:r>
            <w:r w:rsidRPr="00AE6EDB">
              <w:rPr>
                <w:color w:val="000000" w:themeColor="text1"/>
                <w:sz w:val="18"/>
                <w:szCs w:val="18"/>
              </w:rPr>
              <w:t>–</w:t>
            </w:r>
            <w:r w:rsidRPr="00AE6EDB">
              <w:rPr>
                <w:sz w:val="18"/>
                <w:szCs w:val="18"/>
              </w:rPr>
              <w:t xml:space="preserve"> Zlepšenie kvality služieb poskytovaných verejnej správe a neziskovým organizáciám </w:t>
            </w:r>
            <w:r w:rsidRPr="00AE6EDB">
              <w:rPr>
                <w:color w:val="000000" w:themeColor="text1"/>
                <w:sz w:val="18"/>
                <w:szCs w:val="18"/>
              </w:rPr>
              <w:t xml:space="preserve">– opatrenie </w:t>
            </w:r>
            <w:r w:rsidRPr="00AE6EDB">
              <w:rPr>
                <w:sz w:val="18"/>
                <w:szCs w:val="18"/>
              </w:rPr>
              <w:t>4.1</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11713C">
            <w:pPr>
              <w:jc w:val="right"/>
              <w:rPr>
                <w:sz w:val="20"/>
                <w:szCs w:val="16"/>
              </w:rPr>
            </w:pPr>
            <w:r w:rsidRPr="00AE6EDB">
              <w:rPr>
                <w:sz w:val="20"/>
                <w:szCs w:val="16"/>
              </w:rPr>
              <w:t>1</w:t>
            </w:r>
            <w:r w:rsidR="0054295F">
              <w:rPr>
                <w:sz w:val="20"/>
                <w:szCs w:val="16"/>
              </w:rPr>
              <w:t>1 1</w:t>
            </w:r>
            <w:r w:rsidRPr="00AE6EDB">
              <w:rPr>
                <w:sz w:val="20"/>
                <w:szCs w:val="16"/>
              </w:rPr>
              <w:t>8</w:t>
            </w:r>
            <w:r w:rsidR="00AC44CB">
              <w:rPr>
                <w:sz w:val="20"/>
                <w:szCs w:val="16"/>
              </w:rPr>
              <w:t>5 2</w:t>
            </w:r>
            <w:r w:rsidRPr="00AE6EDB">
              <w:rPr>
                <w:sz w:val="20"/>
                <w:szCs w:val="16"/>
              </w:rPr>
              <w:t>33</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sz w:val="20"/>
                <w:szCs w:val="16"/>
              </w:rPr>
            </w:pPr>
            <w:r>
              <w:rPr>
                <w:sz w:val="20"/>
                <w:szCs w:val="16"/>
              </w:rPr>
              <w:t>1 7</w:t>
            </w:r>
            <w:r w:rsidR="0011713C" w:rsidRPr="00AE6EDB">
              <w:rPr>
                <w:sz w:val="20"/>
                <w:szCs w:val="16"/>
              </w:rPr>
              <w:t>0</w:t>
            </w:r>
            <w:r>
              <w:rPr>
                <w:sz w:val="20"/>
                <w:szCs w:val="16"/>
              </w:rPr>
              <w:t>3 8</w:t>
            </w:r>
            <w:r w:rsidR="0011713C" w:rsidRPr="00AE6EDB">
              <w:rPr>
                <w:sz w:val="20"/>
                <w:szCs w:val="16"/>
              </w:rPr>
              <w:t>07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1 7</w:t>
            </w:r>
            <w:r w:rsidR="0011713C" w:rsidRPr="00AE6EDB">
              <w:rPr>
                <w:sz w:val="20"/>
                <w:szCs w:val="16"/>
              </w:rPr>
              <w:t>0</w:t>
            </w:r>
            <w:r>
              <w:rPr>
                <w:sz w:val="20"/>
                <w:szCs w:val="16"/>
              </w:rPr>
              <w:t>3 8</w:t>
            </w:r>
            <w:r w:rsidR="0011713C" w:rsidRPr="00AE6EDB">
              <w:rPr>
                <w:sz w:val="20"/>
                <w:szCs w:val="16"/>
              </w:rPr>
              <w:t>07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13C" w:rsidRPr="00AE6EDB" w:rsidRDefault="0011713C" w:rsidP="00DE0EEC">
            <w:pPr>
              <w:rPr>
                <w:sz w:val="18"/>
                <w:szCs w:val="18"/>
              </w:rPr>
            </w:pPr>
            <w:r w:rsidRPr="00AE6EDB">
              <w:rPr>
                <w:sz w:val="18"/>
                <w:szCs w:val="18"/>
              </w:rPr>
              <w:t>06G1702</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11713C" w:rsidRPr="00AE6EDB" w:rsidRDefault="0011713C" w:rsidP="00DE0EEC">
            <w:pPr>
              <w:rPr>
                <w:sz w:val="18"/>
                <w:szCs w:val="18"/>
              </w:rPr>
            </w:pPr>
            <w:r w:rsidRPr="00AE6EDB">
              <w:rPr>
                <w:sz w:val="18"/>
                <w:szCs w:val="18"/>
              </w:rPr>
              <w:t>Zavedenie systémov riadenia kvality vo verejnej správe a pre mimovládne organizácie v oblasti politiky zamestnanosti a sociálnej politiky – opatrenie 4.2</w:t>
            </w:r>
          </w:p>
        </w:tc>
        <w:tc>
          <w:tcPr>
            <w:tcW w:w="1541" w:type="dxa"/>
            <w:tcBorders>
              <w:top w:val="single" w:sz="4" w:space="0" w:color="auto"/>
              <w:left w:val="nil"/>
              <w:bottom w:val="single" w:sz="4" w:space="0" w:color="auto"/>
              <w:right w:val="nil"/>
            </w:tcBorders>
            <w:shd w:val="clear" w:color="auto" w:fill="auto"/>
            <w:noWrap/>
            <w:vAlign w:val="bottom"/>
          </w:tcPr>
          <w:p w:rsidR="0011713C" w:rsidRPr="00AE6EDB" w:rsidRDefault="0011713C">
            <w:pPr>
              <w:jc w:val="right"/>
              <w:rPr>
                <w:sz w:val="20"/>
                <w:szCs w:val="16"/>
              </w:rPr>
            </w:pPr>
            <w:r w:rsidRPr="00AE6EDB">
              <w:rPr>
                <w:sz w:val="20"/>
                <w:szCs w:val="16"/>
              </w:rPr>
              <w:t>9</w:t>
            </w:r>
            <w:r w:rsidR="00AC44CB">
              <w:rPr>
                <w:sz w:val="20"/>
                <w:szCs w:val="16"/>
              </w:rPr>
              <w:t>8 9</w:t>
            </w:r>
            <w:r w:rsidRPr="00AE6EDB">
              <w:rPr>
                <w:sz w:val="20"/>
                <w:szCs w:val="16"/>
              </w:rPr>
              <w:t>20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11713C" w:rsidRPr="00AE6EDB" w:rsidRDefault="0011713C">
            <w:pPr>
              <w:jc w:val="right"/>
              <w:rPr>
                <w:sz w:val="20"/>
                <w:szCs w:val="16"/>
              </w:rPr>
            </w:pPr>
            <w:r w:rsidRPr="00AE6EDB">
              <w:rPr>
                <w:sz w:val="20"/>
                <w:szCs w:val="16"/>
              </w:rPr>
              <w:t>12</w:t>
            </w:r>
            <w:r w:rsidR="00AC44CB">
              <w:rPr>
                <w:sz w:val="20"/>
                <w:szCs w:val="16"/>
              </w:rPr>
              <w:t>7 1</w:t>
            </w:r>
            <w:r w:rsidRPr="00AE6EDB">
              <w:rPr>
                <w:sz w:val="20"/>
                <w:szCs w:val="16"/>
              </w:rPr>
              <w:t>59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13C" w:rsidRPr="00AE6EDB" w:rsidRDefault="0011713C">
            <w:pPr>
              <w:jc w:val="right"/>
              <w:rPr>
                <w:sz w:val="20"/>
                <w:szCs w:val="16"/>
              </w:rPr>
            </w:pPr>
            <w:r w:rsidRPr="00AE6EDB">
              <w:rPr>
                <w:sz w:val="20"/>
                <w:szCs w:val="16"/>
              </w:rPr>
              <w:t>12</w:t>
            </w:r>
            <w:r w:rsidR="00AC44CB">
              <w:rPr>
                <w:sz w:val="20"/>
                <w:szCs w:val="16"/>
              </w:rPr>
              <w:t>7 1</w:t>
            </w:r>
            <w:r w:rsidRPr="00AE6EDB">
              <w:rPr>
                <w:sz w:val="20"/>
                <w:szCs w:val="16"/>
              </w:rPr>
              <w:t>53</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11713C" w:rsidRPr="00AE6EDB" w:rsidRDefault="0011713C">
            <w:pPr>
              <w:jc w:val="right"/>
              <w:rPr>
                <w:sz w:val="20"/>
                <w:szCs w:val="16"/>
              </w:rPr>
            </w:pPr>
            <w:r w:rsidRPr="00AE6EDB">
              <w:rPr>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b/>
                <w:bCs/>
                <w:sz w:val="20"/>
                <w:szCs w:val="20"/>
              </w:rPr>
            </w:pPr>
            <w:r w:rsidRPr="00AE6EDB">
              <w:rPr>
                <w:b/>
                <w:bCs/>
                <w:sz w:val="20"/>
                <w:szCs w:val="20"/>
              </w:rPr>
              <w:t>06G18</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b/>
                <w:bCs/>
                <w:sz w:val="20"/>
                <w:szCs w:val="20"/>
              </w:rPr>
            </w:pPr>
            <w:r w:rsidRPr="00AE6EDB">
              <w:rPr>
                <w:b/>
                <w:bCs/>
                <w:sz w:val="20"/>
                <w:szCs w:val="20"/>
              </w:rPr>
              <w:t>Technická pomoc</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2 1</w:t>
            </w:r>
            <w:r w:rsidR="0011713C" w:rsidRPr="00AE6EDB">
              <w:rPr>
                <w:b/>
                <w:bCs/>
                <w:sz w:val="20"/>
                <w:szCs w:val="16"/>
              </w:rPr>
              <w:t>6</w:t>
            </w:r>
            <w:r w:rsidR="00AC44CB">
              <w:rPr>
                <w:b/>
                <w:bCs/>
                <w:sz w:val="20"/>
                <w:szCs w:val="16"/>
              </w:rPr>
              <w:t>5 9</w:t>
            </w:r>
            <w:r w:rsidR="0011713C" w:rsidRPr="00AE6EDB">
              <w:rPr>
                <w:b/>
                <w:bCs/>
                <w:sz w:val="20"/>
                <w:szCs w:val="16"/>
              </w:rPr>
              <w:t>64</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4 5</w:t>
            </w:r>
            <w:r w:rsidR="0011713C" w:rsidRPr="00AE6EDB">
              <w:rPr>
                <w:b/>
                <w:bCs/>
                <w:sz w:val="20"/>
                <w:szCs w:val="16"/>
              </w:rPr>
              <w:t>1</w:t>
            </w:r>
            <w:r>
              <w:rPr>
                <w:b/>
                <w:bCs/>
                <w:sz w:val="20"/>
                <w:szCs w:val="16"/>
              </w:rPr>
              <w:t>0 3</w:t>
            </w:r>
            <w:r w:rsidR="0011713C" w:rsidRPr="00AE6EDB">
              <w:rPr>
                <w:b/>
                <w:bCs/>
                <w:sz w:val="20"/>
                <w:szCs w:val="16"/>
              </w:rPr>
              <w:t>74</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b/>
                <w:bCs/>
                <w:sz w:val="20"/>
                <w:szCs w:val="16"/>
              </w:rPr>
            </w:pPr>
            <w:r>
              <w:rPr>
                <w:b/>
                <w:bCs/>
                <w:sz w:val="20"/>
                <w:szCs w:val="16"/>
              </w:rPr>
              <w:t>4 5</w:t>
            </w:r>
            <w:r w:rsidR="0011713C" w:rsidRPr="00AE6EDB">
              <w:rPr>
                <w:b/>
                <w:bCs/>
                <w:sz w:val="20"/>
                <w:szCs w:val="16"/>
              </w:rPr>
              <w:t>1</w:t>
            </w:r>
            <w:r>
              <w:rPr>
                <w:b/>
                <w:bCs/>
                <w:sz w:val="20"/>
                <w:szCs w:val="16"/>
              </w:rPr>
              <w:t>0 3</w:t>
            </w:r>
            <w:r w:rsidR="0011713C" w:rsidRPr="00AE6EDB">
              <w:rPr>
                <w:b/>
                <w:bCs/>
                <w:sz w:val="20"/>
                <w:szCs w:val="16"/>
              </w:rPr>
              <w:t>74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pPr>
              <w:jc w:val="right"/>
              <w:rPr>
                <w:b/>
                <w:bCs/>
                <w:sz w:val="20"/>
                <w:szCs w:val="16"/>
              </w:rPr>
            </w:pPr>
            <w:r w:rsidRPr="00AE6EDB">
              <w:rPr>
                <w:b/>
                <w:bCs/>
                <w:sz w:val="20"/>
                <w:szCs w:val="16"/>
              </w:rPr>
              <w:t>100,0</w:t>
            </w:r>
          </w:p>
        </w:tc>
      </w:tr>
      <w:tr w:rsidR="0011713C"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06G1801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rsidP="00DE0EEC">
            <w:pPr>
              <w:rPr>
                <w:sz w:val="18"/>
                <w:szCs w:val="18"/>
              </w:rPr>
            </w:pPr>
            <w:r w:rsidRPr="00AE6EDB">
              <w:rPr>
                <w:sz w:val="18"/>
                <w:szCs w:val="18"/>
              </w:rPr>
              <w:t xml:space="preserve"> </w:t>
            </w:r>
            <w:r w:rsidRPr="00AE6EDB">
              <w:rPr>
                <w:color w:val="000000" w:themeColor="text1"/>
              </w:rPr>
              <w:t>–</w:t>
            </w:r>
            <w:r w:rsidRPr="00AE6EDB">
              <w:rPr>
                <w:sz w:val="18"/>
                <w:szCs w:val="18"/>
              </w:rPr>
              <w:t xml:space="preserve"> Technická pomoc </w:t>
            </w:r>
            <w:r w:rsidRPr="00AE6EDB">
              <w:rPr>
                <w:color w:val="000000" w:themeColor="text1"/>
              </w:rPr>
              <w:t>–</w:t>
            </w:r>
            <w:r w:rsidRPr="00AE6EDB">
              <w:rPr>
                <w:sz w:val="18"/>
                <w:szCs w:val="18"/>
              </w:rPr>
              <w:t xml:space="preserve"> opatrenie 5.1</w:t>
            </w:r>
          </w:p>
        </w:tc>
        <w:tc>
          <w:tcPr>
            <w:tcW w:w="1541" w:type="dxa"/>
            <w:tcBorders>
              <w:top w:val="single" w:sz="4" w:space="0" w:color="auto"/>
              <w:left w:val="nil"/>
              <w:bottom w:val="single" w:sz="4" w:space="0" w:color="auto"/>
              <w:right w:val="nil"/>
            </w:tcBorders>
            <w:shd w:val="clear" w:color="auto" w:fill="auto"/>
            <w:noWrap/>
            <w:vAlign w:val="bottom"/>
            <w:hideMark/>
          </w:tcPr>
          <w:p w:rsidR="0011713C" w:rsidRPr="00AE6EDB" w:rsidRDefault="0054295F">
            <w:pPr>
              <w:jc w:val="right"/>
              <w:rPr>
                <w:sz w:val="20"/>
                <w:szCs w:val="16"/>
              </w:rPr>
            </w:pPr>
            <w:r>
              <w:rPr>
                <w:sz w:val="20"/>
                <w:szCs w:val="16"/>
              </w:rPr>
              <w:t>2 1</w:t>
            </w:r>
            <w:r w:rsidR="0011713C" w:rsidRPr="00AE6EDB">
              <w:rPr>
                <w:sz w:val="20"/>
                <w:szCs w:val="16"/>
              </w:rPr>
              <w:t>6</w:t>
            </w:r>
            <w:r w:rsidR="00AC44CB">
              <w:rPr>
                <w:sz w:val="20"/>
                <w:szCs w:val="16"/>
              </w:rPr>
              <w:t>5 9</w:t>
            </w:r>
            <w:r w:rsidR="0011713C" w:rsidRPr="00AE6EDB">
              <w:rPr>
                <w:sz w:val="20"/>
                <w:szCs w:val="16"/>
              </w:rPr>
              <w:t>64</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11713C" w:rsidRPr="00AE6EDB" w:rsidRDefault="0054295F">
            <w:pPr>
              <w:jc w:val="right"/>
              <w:rPr>
                <w:sz w:val="20"/>
                <w:szCs w:val="16"/>
              </w:rPr>
            </w:pPr>
            <w:r>
              <w:rPr>
                <w:sz w:val="20"/>
                <w:szCs w:val="16"/>
              </w:rPr>
              <w:t>4 5</w:t>
            </w:r>
            <w:r w:rsidR="0011713C" w:rsidRPr="00AE6EDB">
              <w:rPr>
                <w:sz w:val="20"/>
                <w:szCs w:val="16"/>
              </w:rPr>
              <w:t>1</w:t>
            </w:r>
            <w:r>
              <w:rPr>
                <w:sz w:val="20"/>
                <w:szCs w:val="16"/>
              </w:rPr>
              <w:t>0 3</w:t>
            </w:r>
            <w:r w:rsidR="0011713C" w:rsidRPr="00AE6EDB">
              <w:rPr>
                <w:sz w:val="20"/>
                <w:szCs w:val="16"/>
              </w:rPr>
              <w:t>74</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13C" w:rsidRPr="00AE6EDB" w:rsidRDefault="0054295F">
            <w:pPr>
              <w:jc w:val="right"/>
              <w:rPr>
                <w:sz w:val="20"/>
                <w:szCs w:val="16"/>
              </w:rPr>
            </w:pPr>
            <w:r>
              <w:rPr>
                <w:sz w:val="20"/>
                <w:szCs w:val="16"/>
              </w:rPr>
              <w:t>4 5</w:t>
            </w:r>
            <w:r w:rsidR="0011713C" w:rsidRPr="00AE6EDB">
              <w:rPr>
                <w:sz w:val="20"/>
                <w:szCs w:val="16"/>
              </w:rPr>
              <w:t>1</w:t>
            </w:r>
            <w:r>
              <w:rPr>
                <w:sz w:val="20"/>
                <w:szCs w:val="16"/>
              </w:rPr>
              <w:t>0 3</w:t>
            </w:r>
            <w:r w:rsidR="0011713C" w:rsidRPr="00AE6EDB">
              <w:rPr>
                <w:sz w:val="20"/>
                <w:szCs w:val="16"/>
              </w:rPr>
              <w:t>74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11713C" w:rsidRPr="00AE6EDB" w:rsidRDefault="0011713C">
            <w:pPr>
              <w:jc w:val="right"/>
              <w:rPr>
                <w:sz w:val="20"/>
                <w:szCs w:val="16"/>
              </w:rPr>
            </w:pPr>
            <w:r w:rsidRPr="00AE6EDB">
              <w:rPr>
                <w:sz w:val="20"/>
                <w:szCs w:val="16"/>
              </w:rPr>
              <w:t>100,0</w:t>
            </w:r>
          </w:p>
        </w:tc>
      </w:tr>
      <w:tr w:rsidR="000A7585"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AE6EDB" w:rsidRDefault="000A7585" w:rsidP="00DE0EEC">
            <w:pPr>
              <w:rPr>
                <w:sz w:val="20"/>
                <w:szCs w:val="20"/>
              </w:rPr>
            </w:pPr>
            <w:r w:rsidRPr="00AE6EDB">
              <w:rPr>
                <w:sz w:val="20"/>
                <w:szCs w:val="20"/>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0A7585" w:rsidRPr="00AE6EDB" w:rsidRDefault="000A7585" w:rsidP="00DE0EEC">
            <w:pPr>
              <w:rPr>
                <w:b/>
                <w:bCs/>
                <w:sz w:val="20"/>
                <w:szCs w:val="20"/>
              </w:rPr>
            </w:pPr>
            <w:r w:rsidRPr="00AE6EDB">
              <w:rPr>
                <w:b/>
                <w:bCs/>
                <w:sz w:val="20"/>
                <w:szCs w:val="20"/>
              </w:rPr>
              <w:t>Podprogramy, ktoré kapitola rieši ako účastník medzirezortného programu</w:t>
            </w:r>
          </w:p>
        </w:tc>
        <w:tc>
          <w:tcPr>
            <w:tcW w:w="1541" w:type="dxa"/>
            <w:tcBorders>
              <w:top w:val="single" w:sz="4" w:space="0" w:color="auto"/>
              <w:left w:val="nil"/>
              <w:bottom w:val="single" w:sz="4" w:space="0" w:color="auto"/>
              <w:right w:val="nil"/>
            </w:tcBorders>
            <w:shd w:val="clear" w:color="auto" w:fill="auto"/>
            <w:noWrap/>
            <w:vAlign w:val="bottom"/>
            <w:hideMark/>
          </w:tcPr>
          <w:p w:rsidR="000A7585" w:rsidRPr="00AE6EDB" w:rsidRDefault="000A7585" w:rsidP="00DE0EEC">
            <w:pPr>
              <w:rPr>
                <w:sz w:val="20"/>
                <w:szCs w:val="20"/>
              </w:rPr>
            </w:pPr>
            <w:r w:rsidRPr="00AE6EDB">
              <w:rPr>
                <w:sz w:val="20"/>
                <w:szCs w:val="20"/>
              </w:rPr>
              <w:t> </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0A7585" w:rsidRPr="00AE6EDB" w:rsidRDefault="000A7585" w:rsidP="00DE0EEC">
            <w:pPr>
              <w:rPr>
                <w:sz w:val="20"/>
                <w:szCs w:val="20"/>
              </w:rPr>
            </w:pPr>
            <w:r w:rsidRPr="00AE6EDB">
              <w:rPr>
                <w:sz w:val="20"/>
                <w:szCs w:val="20"/>
              </w:rPr>
              <w:t> </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AE6EDB" w:rsidRDefault="000A7585" w:rsidP="00DE0EEC">
            <w:pPr>
              <w:jc w:val="right"/>
              <w:rPr>
                <w:sz w:val="20"/>
                <w:szCs w:val="20"/>
              </w:rPr>
            </w:pPr>
            <w:r w:rsidRPr="00AE6EDB">
              <w:rPr>
                <w:sz w:val="20"/>
                <w:szCs w:val="20"/>
              </w:rPr>
              <w:t>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A7585" w:rsidRPr="00AE6EDB" w:rsidRDefault="000A7585" w:rsidP="00DE0EEC">
            <w:pPr>
              <w:jc w:val="right"/>
              <w:rPr>
                <w:sz w:val="20"/>
                <w:szCs w:val="20"/>
              </w:rPr>
            </w:pPr>
            <w:r w:rsidRPr="00AE6EDB">
              <w:rPr>
                <w:sz w:val="20"/>
                <w:szCs w:val="20"/>
              </w:rPr>
              <w:t> </w:t>
            </w: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06H09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rsidP="006A00FD">
            <w:pPr>
              <w:rPr>
                <w:b/>
                <w:bCs/>
                <w:sz w:val="20"/>
                <w:szCs w:val="20"/>
              </w:rPr>
            </w:pPr>
            <w:r w:rsidRPr="00AE6EDB">
              <w:rPr>
                <w:b/>
                <w:bCs/>
                <w:sz w:val="20"/>
                <w:szCs w:val="20"/>
              </w:rPr>
              <w:t xml:space="preserve">Hospodárska mobilizácia </w:t>
            </w:r>
            <w:r w:rsidRPr="00AE6EDB">
              <w:rPr>
                <w:color w:val="000000" w:themeColor="text1"/>
              </w:rPr>
              <w:t>–</w:t>
            </w:r>
            <w:r w:rsidRPr="00AE6EDB">
              <w:rPr>
                <w:b/>
                <w:bCs/>
                <w:sz w:val="20"/>
                <w:szCs w:val="20"/>
              </w:rPr>
              <w:t xml:space="preserve"> MPSVR SR </w:t>
            </w:r>
          </w:p>
        </w:tc>
        <w:tc>
          <w:tcPr>
            <w:tcW w:w="1541" w:type="dxa"/>
            <w:tcBorders>
              <w:top w:val="single" w:sz="4" w:space="0" w:color="auto"/>
              <w:left w:val="nil"/>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4</w:t>
            </w:r>
            <w:r w:rsidR="00AC44CB">
              <w:rPr>
                <w:b/>
                <w:bCs/>
                <w:sz w:val="20"/>
                <w:szCs w:val="16"/>
              </w:rPr>
              <w:t>5 1</w:t>
            </w:r>
            <w:r w:rsidRPr="00AE6EDB">
              <w:rPr>
                <w:b/>
                <w:bCs/>
                <w:sz w:val="20"/>
                <w:szCs w:val="16"/>
              </w:rPr>
              <w:t>89</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6</w:t>
            </w:r>
            <w:r w:rsidR="0054295F">
              <w:rPr>
                <w:b/>
                <w:bCs/>
                <w:sz w:val="20"/>
                <w:szCs w:val="16"/>
              </w:rPr>
              <w:t>3 5</w:t>
            </w:r>
            <w:r w:rsidRPr="00AE6EDB">
              <w:rPr>
                <w:b/>
                <w:bCs/>
                <w:sz w:val="20"/>
                <w:szCs w:val="16"/>
              </w:rPr>
              <w:t>22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6</w:t>
            </w:r>
            <w:r w:rsidR="0054295F">
              <w:rPr>
                <w:b/>
                <w:bCs/>
                <w:sz w:val="20"/>
                <w:szCs w:val="16"/>
              </w:rPr>
              <w:t>3 4</w:t>
            </w:r>
            <w:r w:rsidRPr="00AE6EDB">
              <w:rPr>
                <w:b/>
                <w:bCs/>
                <w:sz w:val="20"/>
                <w:szCs w:val="16"/>
              </w:rPr>
              <w:t>52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99,9</w:t>
            </w: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09706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rsidP="006A00FD">
            <w:pPr>
              <w:rPr>
                <w:b/>
                <w:bCs/>
                <w:sz w:val="20"/>
                <w:szCs w:val="20"/>
              </w:rPr>
            </w:pPr>
            <w:r w:rsidRPr="00AE6EDB">
              <w:rPr>
                <w:b/>
                <w:bCs/>
                <w:sz w:val="20"/>
                <w:szCs w:val="20"/>
              </w:rPr>
              <w:t xml:space="preserve">Príspevky SR do medzinárodných organizácií </w:t>
            </w:r>
            <w:r w:rsidRPr="00AE6EDB">
              <w:rPr>
                <w:color w:val="000000" w:themeColor="text1"/>
              </w:rPr>
              <w:t>–</w:t>
            </w:r>
            <w:r w:rsidRPr="00AE6EDB">
              <w:rPr>
                <w:b/>
                <w:bCs/>
                <w:sz w:val="20"/>
                <w:szCs w:val="20"/>
              </w:rPr>
              <w:t xml:space="preserve"> MPSVR SR </w:t>
            </w:r>
          </w:p>
        </w:tc>
        <w:tc>
          <w:tcPr>
            <w:tcW w:w="1541" w:type="dxa"/>
            <w:tcBorders>
              <w:top w:val="single" w:sz="4" w:space="0" w:color="auto"/>
              <w:left w:val="nil"/>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44</w:t>
            </w:r>
            <w:r w:rsidR="0054295F">
              <w:rPr>
                <w:b/>
                <w:bCs/>
                <w:sz w:val="20"/>
                <w:szCs w:val="16"/>
              </w:rPr>
              <w:t>0 3</w:t>
            </w:r>
            <w:r w:rsidRPr="00AE6EDB">
              <w:rPr>
                <w:b/>
                <w:bCs/>
                <w:sz w:val="20"/>
                <w:szCs w:val="16"/>
              </w:rPr>
              <w:t>67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66</w:t>
            </w:r>
            <w:r w:rsidR="00AC44CB">
              <w:rPr>
                <w:b/>
                <w:bCs/>
                <w:sz w:val="20"/>
                <w:szCs w:val="16"/>
              </w:rPr>
              <w:t>6 3</w:t>
            </w:r>
            <w:r w:rsidRPr="00AE6EDB">
              <w:rPr>
                <w:b/>
                <w:bCs/>
                <w:sz w:val="20"/>
                <w:szCs w:val="16"/>
              </w:rPr>
              <w:t>67</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66</w:t>
            </w:r>
            <w:r w:rsidR="00AC44CB">
              <w:rPr>
                <w:b/>
                <w:bCs/>
                <w:sz w:val="20"/>
                <w:szCs w:val="16"/>
              </w:rPr>
              <w:t>6 3</w:t>
            </w:r>
            <w:r w:rsidRPr="00AE6EDB">
              <w:rPr>
                <w:b/>
                <w:bCs/>
                <w:sz w:val="20"/>
                <w:szCs w:val="16"/>
              </w:rPr>
              <w:t>67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100,0</w:t>
            </w: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0A909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 xml:space="preserve">Elektronizácia VS a rozvoj elektronických služieb na centrálnej úrovni MF SR </w:t>
            </w:r>
            <w:r w:rsidRPr="00AE6EDB">
              <w:rPr>
                <w:color w:val="000000" w:themeColor="text1"/>
              </w:rPr>
              <w:t>–</w:t>
            </w:r>
            <w:r w:rsidRPr="00AE6EDB">
              <w:rPr>
                <w:b/>
                <w:bCs/>
                <w:sz w:val="20"/>
                <w:szCs w:val="20"/>
              </w:rPr>
              <w:t xml:space="preserve"> MPSVR SR</w:t>
            </w:r>
          </w:p>
        </w:tc>
        <w:tc>
          <w:tcPr>
            <w:tcW w:w="1541" w:type="dxa"/>
            <w:tcBorders>
              <w:top w:val="single" w:sz="4" w:space="0" w:color="auto"/>
              <w:left w:val="nil"/>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5</w:t>
            </w:r>
            <w:r w:rsidR="0054295F">
              <w:rPr>
                <w:b/>
                <w:bCs/>
                <w:sz w:val="20"/>
                <w:szCs w:val="16"/>
              </w:rPr>
              <w:t>0 6</w:t>
            </w:r>
            <w:r w:rsidRPr="00AE6EDB">
              <w:rPr>
                <w:b/>
                <w:bCs/>
                <w:sz w:val="20"/>
                <w:szCs w:val="16"/>
              </w:rPr>
              <w:t>78</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5</w:t>
            </w:r>
            <w:r w:rsidR="0054295F">
              <w:rPr>
                <w:b/>
                <w:bCs/>
                <w:sz w:val="20"/>
                <w:szCs w:val="16"/>
              </w:rPr>
              <w:t>0 6</w:t>
            </w:r>
            <w:r w:rsidRPr="00AE6EDB">
              <w:rPr>
                <w:b/>
                <w:bCs/>
                <w:sz w:val="20"/>
                <w:szCs w:val="16"/>
              </w:rPr>
              <w:t>77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100,0</w:t>
            </w: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0AR05</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rsidP="00DE0EEC">
            <w:pPr>
              <w:rPr>
                <w:b/>
                <w:bCs/>
                <w:sz w:val="20"/>
                <w:szCs w:val="20"/>
              </w:rPr>
            </w:pPr>
            <w:r w:rsidRPr="00AE6EDB">
              <w:rPr>
                <w:b/>
                <w:bCs/>
                <w:sz w:val="20"/>
                <w:szCs w:val="20"/>
              </w:rPr>
              <w:t xml:space="preserve">MPSVR SR </w:t>
            </w:r>
            <w:r w:rsidRPr="00AE6EDB">
              <w:rPr>
                <w:color w:val="000000" w:themeColor="text1"/>
              </w:rPr>
              <w:t>–</w:t>
            </w:r>
            <w:r w:rsidRPr="00AE6EDB">
              <w:rPr>
                <w:b/>
                <w:bCs/>
                <w:sz w:val="20"/>
                <w:szCs w:val="20"/>
              </w:rPr>
              <w:t xml:space="preserve"> Protidrogová politika </w:t>
            </w:r>
            <w:r w:rsidRPr="00AE6EDB">
              <w:rPr>
                <w:sz w:val="20"/>
                <w:szCs w:val="20"/>
              </w:rPr>
              <w:t>(gestor Úrad vlády SR)</w:t>
            </w:r>
          </w:p>
        </w:tc>
        <w:tc>
          <w:tcPr>
            <w:tcW w:w="1541" w:type="dxa"/>
            <w:tcBorders>
              <w:top w:val="single" w:sz="4" w:space="0" w:color="auto"/>
              <w:left w:val="nil"/>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5</w:t>
            </w:r>
            <w:r w:rsidR="0054295F">
              <w:rPr>
                <w:b/>
                <w:bCs/>
                <w:sz w:val="20"/>
                <w:szCs w:val="16"/>
              </w:rPr>
              <w:t>0 0</w:t>
            </w:r>
            <w:r w:rsidRPr="00AE6EDB">
              <w:rPr>
                <w:b/>
                <w:bCs/>
                <w:sz w:val="20"/>
                <w:szCs w:val="16"/>
              </w:rPr>
              <w:t>00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5</w:t>
            </w:r>
            <w:r w:rsidR="00AC44CB">
              <w:rPr>
                <w:b/>
                <w:bCs/>
                <w:sz w:val="20"/>
                <w:szCs w:val="16"/>
              </w:rPr>
              <w:t>9 5</w:t>
            </w:r>
            <w:r w:rsidRPr="00AE6EDB">
              <w:rPr>
                <w:b/>
                <w:bCs/>
                <w:sz w:val="20"/>
                <w:szCs w:val="16"/>
              </w:rPr>
              <w:t>00</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6A00FD" w:rsidRPr="00AE6EDB" w:rsidRDefault="006A00FD">
            <w:pPr>
              <w:jc w:val="right"/>
              <w:rPr>
                <w:b/>
                <w:bCs/>
                <w:sz w:val="20"/>
                <w:szCs w:val="16"/>
              </w:rPr>
            </w:pPr>
            <w:r w:rsidRPr="00AE6EDB">
              <w:rPr>
                <w:b/>
                <w:bCs/>
                <w:sz w:val="20"/>
                <w:szCs w:val="16"/>
              </w:rPr>
              <w:t>5</w:t>
            </w:r>
            <w:r w:rsidR="00AC44CB">
              <w:rPr>
                <w:b/>
                <w:bCs/>
                <w:sz w:val="20"/>
                <w:szCs w:val="16"/>
              </w:rPr>
              <w:t>8 9</w:t>
            </w:r>
            <w:r w:rsidRPr="00AE6EDB">
              <w:rPr>
                <w:b/>
                <w:bCs/>
                <w:sz w:val="20"/>
                <w:szCs w:val="16"/>
              </w:rPr>
              <w:t>68</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99,1</w:t>
            </w: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00FD" w:rsidRPr="00AE6EDB" w:rsidRDefault="006A00FD" w:rsidP="00DE0EEC">
            <w:pPr>
              <w:rPr>
                <w:b/>
                <w:bCs/>
                <w:sz w:val="20"/>
                <w:szCs w:val="20"/>
              </w:rPr>
            </w:pPr>
            <w:r w:rsidRPr="00AE6EDB">
              <w:rPr>
                <w:b/>
                <w:bCs/>
                <w:sz w:val="20"/>
                <w:szCs w:val="20"/>
              </w:rPr>
              <w:t>0D40A</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6A00FD" w:rsidRPr="00AE6EDB" w:rsidRDefault="006A00FD" w:rsidP="00DE0EEC">
            <w:pPr>
              <w:rPr>
                <w:b/>
                <w:bCs/>
                <w:sz w:val="20"/>
                <w:szCs w:val="20"/>
              </w:rPr>
            </w:pPr>
            <w:r w:rsidRPr="00AE6EDB">
              <w:rPr>
                <w:b/>
                <w:bCs/>
                <w:sz w:val="20"/>
                <w:szCs w:val="20"/>
              </w:rPr>
              <w:t>SK PRES 2016 – MPSVR SR</w:t>
            </w:r>
          </w:p>
        </w:tc>
        <w:tc>
          <w:tcPr>
            <w:tcW w:w="1541" w:type="dxa"/>
            <w:tcBorders>
              <w:top w:val="single" w:sz="4" w:space="0" w:color="auto"/>
              <w:left w:val="nil"/>
              <w:bottom w:val="single" w:sz="4" w:space="0" w:color="auto"/>
              <w:right w:val="nil"/>
            </w:tcBorders>
            <w:shd w:val="clear" w:color="auto" w:fill="auto"/>
            <w:noWrap/>
            <w:vAlign w:val="bottom"/>
          </w:tcPr>
          <w:p w:rsidR="006A00FD" w:rsidRPr="00AE6EDB" w:rsidRDefault="006A00FD">
            <w:pPr>
              <w:jc w:val="right"/>
              <w:rPr>
                <w:b/>
                <w:bCs/>
                <w:sz w:val="20"/>
                <w:szCs w:val="16"/>
              </w:rPr>
            </w:pPr>
            <w:r w:rsidRPr="00AE6EDB">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6A00FD" w:rsidRPr="00AE6EDB" w:rsidRDefault="006A00FD">
            <w:pPr>
              <w:jc w:val="right"/>
              <w:rPr>
                <w:b/>
                <w:bCs/>
                <w:sz w:val="20"/>
                <w:szCs w:val="16"/>
              </w:rPr>
            </w:pPr>
            <w:r w:rsidRPr="00AE6EDB">
              <w:rPr>
                <w:b/>
                <w:bCs/>
                <w:sz w:val="20"/>
                <w:szCs w:val="16"/>
              </w:rPr>
              <w:t>12</w:t>
            </w:r>
            <w:r w:rsidR="0054295F">
              <w:rPr>
                <w:b/>
                <w:bCs/>
                <w:sz w:val="20"/>
                <w:szCs w:val="16"/>
              </w:rPr>
              <w:t>3 8</w:t>
            </w:r>
            <w:r w:rsidRPr="00AE6EDB">
              <w:rPr>
                <w:b/>
                <w:bCs/>
                <w:sz w:val="20"/>
                <w:szCs w:val="16"/>
              </w:rPr>
              <w:t>67</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6A00FD" w:rsidRPr="00AE6EDB" w:rsidRDefault="006A00FD">
            <w:pPr>
              <w:jc w:val="right"/>
              <w:rPr>
                <w:b/>
                <w:bCs/>
                <w:sz w:val="20"/>
                <w:szCs w:val="16"/>
              </w:rPr>
            </w:pPr>
            <w:r w:rsidRPr="00AE6EDB">
              <w:rPr>
                <w:b/>
                <w:bCs/>
                <w:sz w:val="20"/>
                <w:szCs w:val="16"/>
              </w:rPr>
              <w:t>12</w:t>
            </w:r>
            <w:r w:rsidR="0054295F">
              <w:rPr>
                <w:b/>
                <w:bCs/>
                <w:sz w:val="20"/>
                <w:szCs w:val="16"/>
              </w:rPr>
              <w:t>1 3</w:t>
            </w:r>
            <w:r w:rsidRPr="00AE6EDB">
              <w:rPr>
                <w:b/>
                <w:bCs/>
                <w:sz w:val="20"/>
                <w:szCs w:val="16"/>
              </w:rPr>
              <w:t>64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00FD" w:rsidRPr="00AE6EDB" w:rsidRDefault="006A00FD">
            <w:pPr>
              <w:jc w:val="right"/>
              <w:rPr>
                <w:b/>
                <w:bCs/>
                <w:sz w:val="20"/>
                <w:szCs w:val="16"/>
              </w:rPr>
            </w:pPr>
            <w:r w:rsidRPr="00AE6EDB">
              <w:rPr>
                <w:b/>
                <w:bCs/>
                <w:sz w:val="20"/>
                <w:szCs w:val="16"/>
              </w:rPr>
              <w:t>98,0</w:t>
            </w:r>
          </w:p>
        </w:tc>
      </w:tr>
      <w:tr w:rsidR="000A7585"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40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AE6EDB" w:rsidRDefault="000A7585" w:rsidP="00DE0EEC">
            <w:pPr>
              <w:jc w:val="right"/>
              <w:rPr>
                <w:b/>
                <w:bCs/>
              </w:rPr>
            </w:pPr>
          </w:p>
        </w:tc>
      </w:tr>
      <w:tr w:rsidR="006A00FD" w:rsidRPr="00AE6EDB"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AE6EDB" w:rsidRDefault="006A00FD" w:rsidP="00DE0EEC">
            <w:pPr>
              <w:rPr>
                <w:b/>
                <w:bCs/>
              </w:rPr>
            </w:pPr>
            <w:r w:rsidRPr="00AE6EDB">
              <w:rPr>
                <w:b/>
                <w:bCs/>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rsidP="00DE0EEC">
            <w:pPr>
              <w:rPr>
                <w:b/>
                <w:bCs/>
              </w:rPr>
            </w:pPr>
            <w:r w:rsidRPr="00AE6EDB">
              <w:rPr>
                <w:b/>
                <w:bCs/>
              </w:rPr>
              <w:t>Výdavky spolu za kapitolu</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54295F">
            <w:pPr>
              <w:jc w:val="right"/>
              <w:rPr>
                <w:b/>
                <w:bCs/>
                <w:sz w:val="20"/>
                <w:szCs w:val="16"/>
              </w:rPr>
            </w:pPr>
            <w:r>
              <w:rPr>
                <w:b/>
                <w:bCs/>
                <w:sz w:val="20"/>
                <w:szCs w:val="16"/>
              </w:rPr>
              <w:t>2 2</w:t>
            </w:r>
            <w:r w:rsidR="006A00FD" w:rsidRPr="00AE6EDB">
              <w:rPr>
                <w:b/>
                <w:bCs/>
                <w:sz w:val="20"/>
                <w:szCs w:val="16"/>
              </w:rPr>
              <w:t>4</w:t>
            </w:r>
            <w:r w:rsidR="00AC44CB">
              <w:rPr>
                <w:b/>
                <w:bCs/>
                <w:sz w:val="20"/>
                <w:szCs w:val="16"/>
              </w:rPr>
              <w:t>8 0</w:t>
            </w:r>
            <w:r w:rsidR="006A00FD" w:rsidRPr="00AE6EDB">
              <w:rPr>
                <w:b/>
                <w:bCs/>
                <w:sz w:val="20"/>
                <w:szCs w:val="16"/>
              </w:rPr>
              <w:t>8</w:t>
            </w:r>
            <w:r>
              <w:rPr>
                <w:b/>
                <w:bCs/>
                <w:sz w:val="20"/>
                <w:szCs w:val="16"/>
              </w:rPr>
              <w:t>0 4</w:t>
            </w:r>
            <w:r w:rsidR="006A00FD" w:rsidRPr="00AE6EDB">
              <w:rPr>
                <w:b/>
                <w:bCs/>
                <w:sz w:val="20"/>
                <w:szCs w:val="16"/>
              </w:rPr>
              <w:t>45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54295F">
            <w:pPr>
              <w:jc w:val="right"/>
              <w:rPr>
                <w:b/>
                <w:bCs/>
                <w:sz w:val="20"/>
                <w:szCs w:val="16"/>
              </w:rPr>
            </w:pPr>
            <w:r>
              <w:rPr>
                <w:b/>
                <w:bCs/>
                <w:sz w:val="20"/>
                <w:szCs w:val="16"/>
              </w:rPr>
              <w:t>2 1</w:t>
            </w:r>
            <w:r w:rsidR="006A00FD" w:rsidRPr="00AE6EDB">
              <w:rPr>
                <w:b/>
                <w:bCs/>
                <w:sz w:val="20"/>
                <w:szCs w:val="16"/>
              </w:rPr>
              <w:t>5</w:t>
            </w:r>
            <w:r w:rsidR="00AC44CB">
              <w:rPr>
                <w:b/>
                <w:bCs/>
                <w:sz w:val="20"/>
                <w:szCs w:val="16"/>
              </w:rPr>
              <w:t>8 3</w:t>
            </w:r>
            <w:r w:rsidR="006A00FD" w:rsidRPr="00AE6EDB">
              <w:rPr>
                <w:b/>
                <w:bCs/>
                <w:sz w:val="20"/>
                <w:szCs w:val="16"/>
              </w:rPr>
              <w:t>0</w:t>
            </w:r>
            <w:r>
              <w:rPr>
                <w:b/>
                <w:bCs/>
                <w:sz w:val="20"/>
                <w:szCs w:val="16"/>
              </w:rPr>
              <w:t>4 5</w:t>
            </w:r>
            <w:r w:rsidR="006A00FD" w:rsidRPr="00AE6EDB">
              <w:rPr>
                <w:b/>
                <w:bCs/>
                <w:sz w:val="20"/>
                <w:szCs w:val="16"/>
              </w:rPr>
              <w:t>04</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54295F">
            <w:pPr>
              <w:jc w:val="right"/>
              <w:rPr>
                <w:b/>
                <w:bCs/>
                <w:sz w:val="20"/>
                <w:szCs w:val="16"/>
              </w:rPr>
            </w:pPr>
            <w:r>
              <w:rPr>
                <w:b/>
                <w:bCs/>
                <w:sz w:val="20"/>
                <w:szCs w:val="16"/>
              </w:rPr>
              <w:t>2 1</w:t>
            </w:r>
            <w:r w:rsidR="006A00FD" w:rsidRPr="00AE6EDB">
              <w:rPr>
                <w:b/>
                <w:bCs/>
                <w:sz w:val="20"/>
                <w:szCs w:val="16"/>
              </w:rPr>
              <w:t>5</w:t>
            </w:r>
            <w:r w:rsidR="00AC44CB">
              <w:rPr>
                <w:b/>
                <w:bCs/>
                <w:sz w:val="20"/>
                <w:szCs w:val="16"/>
              </w:rPr>
              <w:t>5 3</w:t>
            </w:r>
            <w:r w:rsidR="006A00FD" w:rsidRPr="00AE6EDB">
              <w:rPr>
                <w:b/>
                <w:bCs/>
                <w:sz w:val="20"/>
                <w:szCs w:val="16"/>
              </w:rPr>
              <w:t>6</w:t>
            </w:r>
            <w:r>
              <w:rPr>
                <w:b/>
                <w:bCs/>
                <w:sz w:val="20"/>
                <w:szCs w:val="16"/>
              </w:rPr>
              <w:t>2 5</w:t>
            </w:r>
            <w:r w:rsidR="006A00FD" w:rsidRPr="00AE6EDB">
              <w:rPr>
                <w:b/>
                <w:bCs/>
                <w:sz w:val="20"/>
                <w:szCs w:val="16"/>
              </w:rPr>
              <w:t>61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A00FD" w:rsidRPr="00AE6EDB" w:rsidRDefault="006A00FD">
            <w:pPr>
              <w:jc w:val="right"/>
              <w:rPr>
                <w:b/>
                <w:bCs/>
                <w:sz w:val="20"/>
                <w:szCs w:val="16"/>
              </w:rPr>
            </w:pPr>
            <w:r w:rsidRPr="00AE6EDB">
              <w:rPr>
                <w:b/>
                <w:bCs/>
                <w:sz w:val="20"/>
                <w:szCs w:val="16"/>
              </w:rPr>
              <w:t>99,9</w:t>
            </w:r>
          </w:p>
        </w:tc>
      </w:tr>
    </w:tbl>
    <w:p w:rsidR="000A7585" w:rsidRPr="00AE6EDB" w:rsidRDefault="000A7585" w:rsidP="000A7585">
      <w:pPr>
        <w:pStyle w:val="zdroj"/>
      </w:pPr>
      <w:r w:rsidRPr="00AE6EDB">
        <w:t>Zdroj: MPSVR SR, Návrh štátneho záverečného účtu</w:t>
      </w:r>
    </w:p>
    <w:p w:rsidR="00352824" w:rsidRDefault="00352824" w:rsidP="000A7585">
      <w:pPr>
        <w:pStyle w:val="zdroj"/>
        <w:rPr>
          <w:color w:val="000000" w:themeColor="text1"/>
          <w:highlight w:val="cyan"/>
        </w:rPr>
        <w:sectPr w:rsidR="00352824" w:rsidSect="004F3C97">
          <w:pgSz w:w="16838" w:h="11906" w:orient="landscape"/>
          <w:pgMar w:top="1417" w:right="1417" w:bottom="1417" w:left="1417" w:header="708" w:footer="708" w:gutter="0"/>
          <w:cols w:space="708"/>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352824" w:rsidRDefault="000A7585" w:rsidP="000A7585">
      <w:pPr>
        <w:pStyle w:val="Nadpis1"/>
        <w:numPr>
          <w:ilvl w:val="0"/>
          <w:numId w:val="0"/>
        </w:numPr>
        <w:ind w:left="432"/>
        <w:jc w:val="center"/>
        <w:sectPr w:rsidR="00352824" w:rsidSect="004F3C97">
          <w:headerReference w:type="even" r:id="rId118"/>
          <w:headerReference w:type="first" r:id="rId119"/>
          <w:type w:val="oddPage"/>
          <w:pgSz w:w="11906" w:h="16838"/>
          <w:pgMar w:top="1417" w:right="1417" w:bottom="1417" w:left="1417" w:header="708" w:footer="708" w:gutter="0"/>
          <w:cols w:space="708"/>
          <w:titlePg/>
          <w:docGrid w:linePitch="360"/>
        </w:sectPr>
      </w:pPr>
      <w:bookmarkStart w:id="887" w:name="_Toc387413126"/>
      <w:bookmarkStart w:id="888" w:name="_Toc387659192"/>
      <w:bookmarkStart w:id="889" w:name="_Toc388534247"/>
      <w:bookmarkStart w:id="890" w:name="_Toc389646869"/>
      <w:bookmarkStart w:id="891" w:name="_Toc394062247"/>
      <w:bookmarkStart w:id="892" w:name="_Toc418672289"/>
      <w:bookmarkStart w:id="893" w:name="_Toc419355274"/>
      <w:bookmarkStart w:id="894" w:name="_Toc419795397"/>
      <w:bookmarkStart w:id="895" w:name="_Toc422151017"/>
      <w:bookmarkStart w:id="896" w:name="_Toc422233457"/>
      <w:bookmarkStart w:id="897" w:name="_Toc452469916"/>
      <w:r w:rsidRPr="00AE6EDB">
        <w:t>Príloha ku kapitole 4</w:t>
      </w:r>
      <w:bookmarkEnd w:id="887"/>
      <w:bookmarkEnd w:id="888"/>
      <w:bookmarkEnd w:id="889"/>
      <w:bookmarkEnd w:id="890"/>
      <w:bookmarkEnd w:id="891"/>
      <w:bookmarkEnd w:id="892"/>
      <w:bookmarkEnd w:id="893"/>
      <w:bookmarkEnd w:id="894"/>
      <w:bookmarkEnd w:id="895"/>
      <w:bookmarkEnd w:id="896"/>
      <w:bookmarkEnd w:id="897"/>
    </w:p>
    <w:p w:rsidR="000A7585" w:rsidRPr="00AE6EDB" w:rsidRDefault="000A7585" w:rsidP="000A7585">
      <w:pPr>
        <w:pStyle w:val="Nadpis1"/>
        <w:numPr>
          <w:ilvl w:val="0"/>
          <w:numId w:val="0"/>
        </w:numPr>
        <w:ind w:left="432"/>
        <w:jc w:val="center"/>
        <w:sectPr w:rsidR="000A7585" w:rsidRPr="00AE6EDB" w:rsidSect="00352824">
          <w:type w:val="evenPage"/>
          <w:pgSz w:w="11906" w:h="16838"/>
          <w:pgMar w:top="1417" w:right="1417" w:bottom="1417" w:left="1417" w:header="708" w:footer="708" w:gutter="0"/>
          <w:cols w:space="708"/>
          <w:titlePg/>
          <w:docGrid w:linePitch="360"/>
        </w:sectPr>
      </w:pPr>
    </w:p>
    <w:p w:rsidR="000A7585" w:rsidRPr="00AE6EDB" w:rsidRDefault="000A7585" w:rsidP="000A7585">
      <w:pPr>
        <w:pStyle w:val="Nadpis7"/>
        <w:rPr>
          <w:rFonts w:ascii="Times New Roman Bold" w:hAnsi="Times New Roman Bold"/>
          <w:b w:val="0"/>
          <w:bCs/>
          <w:i/>
          <w:lang w:eastAsia="cs-CZ"/>
        </w:rPr>
      </w:pPr>
      <w:r w:rsidRPr="00AE6EDB">
        <w:rPr>
          <w:rFonts w:ascii="Times New Roman Bold" w:hAnsi="Times New Roman Bold"/>
          <w:bCs/>
          <w:lang w:eastAsia="cs-CZ"/>
        </w:rPr>
        <w:t>Tabuľka 1 Zoznam vybraných indikátorov sociálnej inklúzie (201</w:t>
      </w:r>
      <w:r w:rsidR="00990915" w:rsidRPr="00AE6EDB">
        <w:rPr>
          <w:rFonts w:ascii="Times New Roman Bold" w:hAnsi="Times New Roman Bold"/>
          <w:bCs/>
          <w:lang w:eastAsia="cs-CZ"/>
        </w:rPr>
        <w:t>3</w:t>
      </w:r>
      <w:r w:rsidRPr="00AE6EDB">
        <w:rPr>
          <w:rFonts w:ascii="Times New Roman Bold" w:hAnsi="Times New Roman Bold"/>
          <w:bCs/>
          <w:lang w:eastAsia="cs-CZ"/>
        </w:rPr>
        <w:t xml:space="preserve"> </w:t>
      </w:r>
      <w:r w:rsidRPr="00AE6EDB">
        <w:rPr>
          <w:color w:val="000000" w:themeColor="text1"/>
        </w:rPr>
        <w:t xml:space="preserve">– </w:t>
      </w:r>
      <w:r w:rsidRPr="00AE6EDB">
        <w:rPr>
          <w:rFonts w:ascii="Times New Roman Bold" w:hAnsi="Times New Roman Bold"/>
          <w:bCs/>
          <w:lang w:eastAsia="cs-CZ"/>
        </w:rPr>
        <w:t>201</w:t>
      </w:r>
      <w:r w:rsidR="00990915" w:rsidRPr="00AE6EDB">
        <w:rPr>
          <w:rFonts w:ascii="Times New Roman Bold" w:hAnsi="Times New Roman Bold"/>
          <w:bCs/>
          <w:lang w:eastAsia="cs-CZ"/>
        </w:rPr>
        <w:t>4</w:t>
      </w:r>
      <w:r w:rsidRPr="00AE6EDB">
        <w:rPr>
          <w:rFonts w:ascii="Times New Roman Bold" w:hAnsi="Times New Roman Bold"/>
          <w:bCs/>
          <w:lang w:eastAsia="cs-CZ"/>
        </w:rPr>
        <w:t>)</w:t>
      </w:r>
    </w:p>
    <w:tbl>
      <w:tblPr>
        <w:tblW w:w="14469" w:type="dxa"/>
        <w:jc w:val="center"/>
        <w:tblCellMar>
          <w:left w:w="70" w:type="dxa"/>
          <w:right w:w="70" w:type="dxa"/>
        </w:tblCellMar>
        <w:tblLook w:val="04A0" w:firstRow="1" w:lastRow="0" w:firstColumn="1" w:lastColumn="0" w:noHBand="0" w:noVBand="1"/>
      </w:tblPr>
      <w:tblGrid>
        <w:gridCol w:w="6729"/>
        <w:gridCol w:w="857"/>
        <w:gridCol w:w="879"/>
        <w:gridCol w:w="844"/>
        <w:gridCol w:w="866"/>
        <w:gridCol w:w="857"/>
        <w:gridCol w:w="857"/>
        <w:gridCol w:w="938"/>
        <w:gridCol w:w="832"/>
        <w:gridCol w:w="810"/>
      </w:tblGrid>
      <w:tr w:rsidR="003B4F21" w:rsidRPr="00AE6EDB" w:rsidTr="00990915">
        <w:trPr>
          <w:trHeight w:val="300"/>
          <w:tblHeader/>
          <w:jc w:val="center"/>
        </w:trPr>
        <w:tc>
          <w:tcPr>
            <w:tcW w:w="6729"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3B4F21" w:rsidRPr="00AE6EDB" w:rsidRDefault="003B4F21" w:rsidP="00990915">
            <w:pPr>
              <w:jc w:val="left"/>
              <w:rPr>
                <w:b/>
                <w:bCs/>
                <w:color w:val="000000"/>
                <w:sz w:val="20"/>
                <w:szCs w:val="20"/>
              </w:rPr>
            </w:pPr>
            <w:r w:rsidRPr="00AE6EDB">
              <w:rPr>
                <w:b/>
                <w:bCs/>
                <w:color w:val="000000"/>
                <w:sz w:val="20"/>
                <w:szCs w:val="20"/>
              </w:rPr>
              <w:t> </w:t>
            </w:r>
            <w:r w:rsidR="00990915" w:rsidRPr="00AE6EDB">
              <w:rPr>
                <w:b/>
                <w:bCs/>
                <w:color w:val="000000"/>
                <w:sz w:val="20"/>
                <w:szCs w:val="20"/>
              </w:rPr>
              <w:t>Indikátor</w:t>
            </w:r>
          </w:p>
        </w:tc>
        <w:tc>
          <w:tcPr>
            <w:tcW w:w="2580"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2013</w:t>
            </w:r>
          </w:p>
        </w:tc>
        <w:tc>
          <w:tcPr>
            <w:tcW w:w="2580"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2014</w:t>
            </w:r>
          </w:p>
        </w:tc>
        <w:tc>
          <w:tcPr>
            <w:tcW w:w="2580"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Rozdiel</w:t>
            </w:r>
          </w:p>
        </w:tc>
      </w:tr>
      <w:tr w:rsidR="003B4F21" w:rsidRPr="00AE6EDB" w:rsidTr="00B1146C">
        <w:trPr>
          <w:trHeight w:val="300"/>
          <w:tblHeader/>
          <w:jc w:val="center"/>
        </w:trPr>
        <w:tc>
          <w:tcPr>
            <w:tcW w:w="6729" w:type="dxa"/>
            <w:vMerge/>
            <w:tcBorders>
              <w:left w:val="single" w:sz="4" w:space="0" w:color="auto"/>
              <w:bottom w:val="single" w:sz="4" w:space="0" w:color="auto"/>
              <w:right w:val="single" w:sz="4" w:space="0" w:color="auto"/>
            </w:tcBorders>
            <w:shd w:val="clear" w:color="auto" w:fill="FF9999" w:themeFill="accent3" w:themeFillTint="66"/>
            <w:vAlign w:val="bottom"/>
            <w:hideMark/>
          </w:tcPr>
          <w:p w:rsidR="003B4F21" w:rsidRPr="00AE6EDB" w:rsidRDefault="003B4F21" w:rsidP="003B4F21">
            <w:pPr>
              <w:jc w:val="left"/>
              <w:rPr>
                <w:b/>
                <w:bCs/>
                <w:color w:val="000000"/>
                <w:sz w:val="20"/>
                <w:szCs w:val="20"/>
              </w:rPr>
            </w:pPr>
          </w:p>
        </w:tc>
        <w:tc>
          <w:tcPr>
            <w:tcW w:w="85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Spolu</w:t>
            </w:r>
          </w:p>
        </w:tc>
        <w:tc>
          <w:tcPr>
            <w:tcW w:w="879"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Muži</w:t>
            </w:r>
          </w:p>
        </w:tc>
        <w:tc>
          <w:tcPr>
            <w:tcW w:w="844"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Ženy</w:t>
            </w:r>
          </w:p>
        </w:tc>
        <w:tc>
          <w:tcPr>
            <w:tcW w:w="866"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Spolu</w:t>
            </w:r>
          </w:p>
        </w:tc>
        <w:tc>
          <w:tcPr>
            <w:tcW w:w="85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Muži</w:t>
            </w:r>
          </w:p>
        </w:tc>
        <w:tc>
          <w:tcPr>
            <w:tcW w:w="85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Ženy</w:t>
            </w:r>
          </w:p>
        </w:tc>
        <w:tc>
          <w:tcPr>
            <w:tcW w:w="938"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Spolu</w:t>
            </w:r>
          </w:p>
        </w:tc>
        <w:tc>
          <w:tcPr>
            <w:tcW w:w="832"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Muži</w:t>
            </w:r>
          </w:p>
        </w:tc>
        <w:tc>
          <w:tcPr>
            <w:tcW w:w="810"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AE6EDB" w:rsidRDefault="003B4F21" w:rsidP="003B4F21">
            <w:pPr>
              <w:jc w:val="center"/>
              <w:rPr>
                <w:b/>
                <w:bCs/>
                <w:color w:val="000000"/>
                <w:sz w:val="20"/>
                <w:szCs w:val="20"/>
              </w:rPr>
            </w:pPr>
            <w:r w:rsidRPr="00AE6EDB">
              <w:rPr>
                <w:b/>
                <w:bCs/>
                <w:color w:val="000000"/>
                <w:sz w:val="20"/>
                <w:szCs w:val="20"/>
              </w:rPr>
              <w:t>Ženy</w:t>
            </w:r>
          </w:p>
        </w:tc>
      </w:tr>
      <w:tr w:rsidR="003B4F21" w:rsidRPr="00AE6EDB" w:rsidTr="00B1146C">
        <w:trPr>
          <w:trHeight w:val="30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auto" w:fill="FF9999" w:themeFill="accent3" w:themeFillTint="66"/>
            <w:vAlign w:val="center"/>
            <w:hideMark/>
          </w:tcPr>
          <w:p w:rsidR="003B4F21" w:rsidRPr="00AE6EDB" w:rsidRDefault="003B4F21" w:rsidP="003B4F21">
            <w:pPr>
              <w:jc w:val="left"/>
              <w:rPr>
                <w:b/>
                <w:bCs/>
                <w:i/>
                <w:iCs/>
                <w:color w:val="000000"/>
                <w:sz w:val="20"/>
                <w:szCs w:val="20"/>
              </w:rPr>
            </w:pPr>
            <w:r w:rsidRPr="00AE6EDB">
              <w:rPr>
                <w:b/>
                <w:bCs/>
                <w:i/>
                <w:iCs/>
                <w:color w:val="000000"/>
                <w:sz w:val="20"/>
                <w:szCs w:val="20"/>
              </w:rPr>
              <w:t>Primárne indikátory</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alebo sociálneho vylúčenia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jc w:val="left"/>
              <w:rPr>
                <w:color w:val="000000"/>
                <w:sz w:val="20"/>
                <w:szCs w:val="20"/>
              </w:rPr>
            </w:pPr>
            <w:r w:rsidRPr="00AE6EDB">
              <w:rPr>
                <w:color w:val="000000"/>
                <w:sz w:val="20"/>
                <w:szCs w:val="20"/>
              </w:rPr>
              <w:t>Vplyv sociálnych transferov</w:t>
            </w:r>
            <w:r w:rsidR="002641CA">
              <w:rPr>
                <w:color w:val="000000"/>
                <w:sz w:val="20"/>
                <w:szCs w:val="20"/>
              </w:rPr>
              <w:t xml:space="preserve"> </w:t>
            </w:r>
            <w:r w:rsidRPr="00AE6EDB">
              <w:rPr>
                <w:color w:val="000000"/>
                <w:sz w:val="20"/>
                <w:szCs w:val="20"/>
              </w:rPr>
              <w:t>na zníženie rizika chudoby (s výnimkou dôchodkov)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36,3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35,8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34,2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jc w:val="left"/>
              <w:rPr>
                <w:color w:val="000000"/>
                <w:sz w:val="20"/>
                <w:szCs w:val="20"/>
              </w:rPr>
            </w:pPr>
            <w:r w:rsidRPr="00AE6EDB">
              <w:rPr>
                <w:color w:val="000000"/>
                <w:sz w:val="20"/>
                <w:szCs w:val="20"/>
              </w:rPr>
              <w:t>Vplyv sociálnych transferov</w:t>
            </w:r>
            <w:r w:rsidR="002641CA">
              <w:rPr>
                <w:color w:val="000000"/>
                <w:sz w:val="20"/>
                <w:szCs w:val="20"/>
              </w:rPr>
              <w:t xml:space="preserve"> </w:t>
            </w:r>
            <w:r w:rsidRPr="00AE6EDB">
              <w:rPr>
                <w:color w:val="000000"/>
                <w:sz w:val="20"/>
                <w:szCs w:val="20"/>
              </w:rPr>
              <w:t>na zníženie rizika chudoby (vrátane dôchodkov)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66,3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63,5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68,4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66,8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64,3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68,7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(0-5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(6-11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(12-17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(18-24)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(25-54)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(55-64)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podľa </w:t>
            </w:r>
            <w:r w:rsidR="00F45681" w:rsidRPr="00AE6EDB">
              <w:rPr>
                <w:color w:val="000000"/>
                <w:sz w:val="20"/>
                <w:szCs w:val="20"/>
              </w:rPr>
              <w:t>pohlavia</w:t>
            </w:r>
            <w:r w:rsidRPr="00AE6EDB">
              <w:rPr>
                <w:color w:val="000000"/>
                <w:sz w:val="20"/>
                <w:szCs w:val="20"/>
              </w:rPr>
              <w:t xml:space="preserve">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C0D6C">
            <w:pPr>
              <w:jc w:val="left"/>
              <w:rPr>
                <w:color w:val="000000"/>
                <w:sz w:val="20"/>
                <w:szCs w:val="20"/>
              </w:rPr>
            </w:pPr>
            <w:r w:rsidRPr="00AE6EDB">
              <w:rPr>
                <w:color w:val="000000"/>
                <w:sz w:val="20"/>
                <w:szCs w:val="20"/>
              </w:rPr>
              <w:t>Hranica rizika chudoby - domácnosť jednotlivca (</w:t>
            </w:r>
            <w:r w:rsidR="00BC0D6C">
              <w:rPr>
                <w:color w:val="000000"/>
                <w:sz w:val="20"/>
                <w:szCs w:val="20"/>
              </w:rPr>
              <w:t>€</w:t>
            </w:r>
            <w:r w:rsidRPr="00AE6EDB">
              <w:rPr>
                <w:color w:val="000000"/>
                <w:sz w:val="20"/>
                <w:szCs w:val="20"/>
              </w:rPr>
              <w:t>)</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54295F" w:rsidP="003B4F21">
            <w:pPr>
              <w:jc w:val="center"/>
              <w:rPr>
                <w:b/>
                <w:bCs/>
                <w:color w:val="000000"/>
                <w:sz w:val="20"/>
                <w:szCs w:val="20"/>
              </w:rPr>
            </w:pPr>
            <w:r>
              <w:rPr>
                <w:b/>
                <w:bCs/>
                <w:color w:val="000000"/>
                <w:sz w:val="20"/>
                <w:szCs w:val="20"/>
              </w:rPr>
              <w:t>4 0</w:t>
            </w:r>
            <w:r w:rsidR="003B4F21" w:rsidRPr="00AE6EDB">
              <w:rPr>
                <w:b/>
                <w:bCs/>
                <w:color w:val="000000"/>
                <w:sz w:val="20"/>
                <w:szCs w:val="20"/>
              </w:rPr>
              <w:t>42</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54295F" w:rsidP="003B4F21">
            <w:pPr>
              <w:jc w:val="center"/>
              <w:rPr>
                <w:b/>
                <w:bCs/>
                <w:color w:val="000000"/>
                <w:sz w:val="20"/>
                <w:szCs w:val="20"/>
              </w:rPr>
            </w:pPr>
            <w:r>
              <w:rPr>
                <w:b/>
                <w:bCs/>
                <w:color w:val="000000"/>
                <w:sz w:val="20"/>
                <w:szCs w:val="20"/>
              </w:rPr>
              <w:t>4 0</w:t>
            </w:r>
            <w:r w:rsidR="003B4F21" w:rsidRPr="00AE6EDB">
              <w:rPr>
                <w:b/>
                <w:bCs/>
                <w:color w:val="000000"/>
                <w:sz w:val="20"/>
                <w:szCs w:val="20"/>
              </w:rPr>
              <w:t>86</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44</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Hranica rizika chudoby - domácnosť jednotlivca (PPS)</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AC44CB" w:rsidP="003B4F21">
            <w:pPr>
              <w:jc w:val="center"/>
              <w:rPr>
                <w:b/>
                <w:bCs/>
                <w:color w:val="000000"/>
                <w:sz w:val="20"/>
                <w:szCs w:val="20"/>
              </w:rPr>
            </w:pPr>
            <w:r>
              <w:rPr>
                <w:b/>
                <w:bCs/>
                <w:color w:val="000000"/>
                <w:sz w:val="20"/>
                <w:szCs w:val="20"/>
              </w:rPr>
              <w:t>5 7</w:t>
            </w:r>
            <w:r w:rsidR="003B4F21" w:rsidRPr="00AE6EDB">
              <w:rPr>
                <w:b/>
                <w:bCs/>
                <w:color w:val="000000"/>
                <w:sz w:val="20"/>
                <w:szCs w:val="20"/>
              </w:rPr>
              <w:t>43</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AC44CB" w:rsidP="003B4F21">
            <w:pPr>
              <w:jc w:val="center"/>
              <w:rPr>
                <w:b/>
                <w:bCs/>
                <w:color w:val="000000"/>
                <w:sz w:val="20"/>
                <w:szCs w:val="20"/>
              </w:rPr>
            </w:pPr>
            <w:r>
              <w:rPr>
                <w:b/>
                <w:bCs/>
                <w:color w:val="000000"/>
                <w:sz w:val="20"/>
                <w:szCs w:val="20"/>
              </w:rPr>
              <w:t>5 8</w:t>
            </w:r>
            <w:r w:rsidR="003B4F21" w:rsidRPr="00AE6EDB">
              <w:rPr>
                <w:b/>
                <w:bCs/>
                <w:color w:val="000000"/>
                <w:sz w:val="20"/>
                <w:szCs w:val="20"/>
              </w:rPr>
              <w:t>83</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C0D6C">
            <w:pPr>
              <w:jc w:val="left"/>
              <w:rPr>
                <w:color w:val="000000"/>
                <w:sz w:val="20"/>
                <w:szCs w:val="20"/>
              </w:rPr>
            </w:pPr>
            <w:r w:rsidRPr="00AE6EDB">
              <w:rPr>
                <w:color w:val="000000"/>
                <w:sz w:val="20"/>
                <w:szCs w:val="20"/>
              </w:rPr>
              <w:t>Hranica rizika chudoby - domácnosť 2 dospelí a 2 deti (</w:t>
            </w:r>
            <w:r w:rsidR="00BC0D6C">
              <w:rPr>
                <w:color w:val="000000"/>
                <w:sz w:val="20"/>
                <w:szCs w:val="20"/>
              </w:rPr>
              <w:t>€</w:t>
            </w:r>
            <w:r w:rsidRPr="00AE6EDB">
              <w:rPr>
                <w:color w:val="000000"/>
                <w:sz w:val="20"/>
                <w:szCs w:val="20"/>
              </w:rPr>
              <w:t>)</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AC44CB" w:rsidP="003B4F21">
            <w:pPr>
              <w:jc w:val="center"/>
              <w:rPr>
                <w:b/>
                <w:bCs/>
                <w:color w:val="000000"/>
                <w:sz w:val="20"/>
                <w:szCs w:val="20"/>
              </w:rPr>
            </w:pPr>
            <w:r>
              <w:rPr>
                <w:b/>
                <w:bCs/>
                <w:color w:val="000000"/>
                <w:sz w:val="20"/>
                <w:szCs w:val="20"/>
              </w:rPr>
              <w:t>8 7</w:t>
            </w:r>
            <w:r w:rsidR="003B4F21" w:rsidRPr="00AE6EDB">
              <w:rPr>
                <w:b/>
                <w:bCs/>
                <w:color w:val="000000"/>
                <w:sz w:val="20"/>
                <w:szCs w:val="20"/>
              </w:rPr>
              <w:t>49</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AC44CB" w:rsidP="003B4F21">
            <w:pPr>
              <w:jc w:val="center"/>
              <w:rPr>
                <w:b/>
                <w:bCs/>
                <w:color w:val="000000"/>
                <w:sz w:val="20"/>
                <w:szCs w:val="20"/>
              </w:rPr>
            </w:pPr>
            <w:r>
              <w:rPr>
                <w:b/>
                <w:bCs/>
                <w:color w:val="000000"/>
                <w:sz w:val="20"/>
                <w:szCs w:val="20"/>
              </w:rPr>
              <w:t>8 5</w:t>
            </w:r>
            <w:r w:rsidR="003B4F21" w:rsidRPr="00AE6EDB">
              <w:rPr>
                <w:b/>
                <w:bCs/>
                <w:color w:val="000000"/>
                <w:sz w:val="20"/>
                <w:szCs w:val="20"/>
              </w:rPr>
              <w:t>80</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Hranica rizika chudoby - domácnosť 2 dospelí a 2 deti (PPS)</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w:t>
            </w:r>
            <w:r w:rsidR="0054295F">
              <w:rPr>
                <w:b/>
                <w:bCs/>
                <w:color w:val="000000"/>
                <w:sz w:val="20"/>
                <w:szCs w:val="20"/>
              </w:rPr>
              <w:t>2 0</w:t>
            </w:r>
            <w:r w:rsidRPr="00AE6EDB">
              <w:rPr>
                <w:b/>
                <w:bCs/>
                <w:color w:val="000000"/>
                <w:sz w:val="20"/>
                <w:szCs w:val="20"/>
              </w:rPr>
              <w:t>60</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w:t>
            </w:r>
            <w:r w:rsidR="0054295F">
              <w:rPr>
                <w:b/>
                <w:bCs/>
                <w:color w:val="000000"/>
                <w:sz w:val="20"/>
                <w:szCs w:val="20"/>
              </w:rPr>
              <w:t>2 3</w:t>
            </w:r>
            <w:r w:rsidRPr="00AE6EDB">
              <w:rPr>
                <w:b/>
                <w:bCs/>
                <w:color w:val="000000"/>
                <w:sz w:val="20"/>
                <w:szCs w:val="20"/>
              </w:rPr>
              <w:t>55</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Pretrvávajúca miera rizika chudoby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Pretrvávajúca miera rizika chudoby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Pretrvávajúca miera rizika chudoby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Pretrvávajúca miera rizika chudoby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30,7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29,8u</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32,1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32,4u</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(6-11)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34,8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32,9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(12-17)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31,8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31,9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32,7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29,0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Relatívny prepad mediánu príjmov v riziku chudoby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5,6(u)</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10,6(u)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Dlhodobá miera nezamestnanosti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žijúca v domácnostiach s veľmi nízkou pracovnou intenzitou (populácia 0-59)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B1146C" w:rsidRPr="00AE6EDB" w:rsidRDefault="003B4F21" w:rsidP="003B4F21">
            <w:pPr>
              <w:jc w:val="left"/>
              <w:rPr>
                <w:color w:val="000000"/>
                <w:sz w:val="20"/>
                <w:szCs w:val="20"/>
              </w:rPr>
            </w:pPr>
            <w:r w:rsidRPr="00AE6EDB">
              <w:rPr>
                <w:color w:val="000000"/>
                <w:sz w:val="20"/>
                <w:szCs w:val="20"/>
              </w:rPr>
              <w:t xml:space="preserve">Populácia žijúca v domácnostiach s veľmi nízkou pracovnou intenzitou </w:t>
            </w:r>
          </w:p>
          <w:p w:rsidR="003B4F21" w:rsidRPr="00AE6EDB" w:rsidRDefault="003B4F21" w:rsidP="003B4F21">
            <w:pPr>
              <w:jc w:val="left"/>
              <w:rPr>
                <w:color w:val="000000"/>
                <w:sz w:val="20"/>
                <w:szCs w:val="20"/>
              </w:rPr>
            </w:pPr>
            <w:r w:rsidRPr="00AE6EDB">
              <w:rPr>
                <w:color w:val="000000"/>
                <w:sz w:val="20"/>
                <w:szCs w:val="20"/>
              </w:rPr>
              <w:t>(0-5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B1146C" w:rsidRPr="00AE6EDB" w:rsidRDefault="003B4F21" w:rsidP="003B4F21">
            <w:pPr>
              <w:jc w:val="left"/>
              <w:rPr>
                <w:color w:val="000000"/>
                <w:sz w:val="20"/>
                <w:szCs w:val="20"/>
              </w:rPr>
            </w:pPr>
            <w:r w:rsidRPr="00AE6EDB">
              <w:rPr>
                <w:color w:val="000000"/>
                <w:sz w:val="20"/>
                <w:szCs w:val="20"/>
              </w:rPr>
              <w:t xml:space="preserve">Populácia žijúca v domácnostiach s veľmi nízkou pracovnou intenzitou </w:t>
            </w:r>
          </w:p>
          <w:p w:rsidR="003B4F21" w:rsidRPr="00AE6EDB" w:rsidRDefault="003B4F21" w:rsidP="003B4F21">
            <w:pPr>
              <w:jc w:val="left"/>
              <w:rPr>
                <w:color w:val="000000"/>
                <w:sz w:val="20"/>
                <w:szCs w:val="20"/>
              </w:rPr>
            </w:pPr>
            <w:r w:rsidRPr="00AE6EDB">
              <w:rPr>
                <w:color w:val="000000"/>
                <w:sz w:val="20"/>
                <w:szCs w:val="20"/>
              </w:rPr>
              <w:t>(6-11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B1146C" w:rsidRPr="00AE6EDB" w:rsidRDefault="003B4F21" w:rsidP="003B4F21">
            <w:pPr>
              <w:jc w:val="left"/>
              <w:rPr>
                <w:color w:val="000000"/>
                <w:sz w:val="20"/>
                <w:szCs w:val="20"/>
              </w:rPr>
            </w:pPr>
            <w:r w:rsidRPr="00AE6EDB">
              <w:rPr>
                <w:color w:val="000000"/>
                <w:sz w:val="20"/>
                <w:szCs w:val="20"/>
              </w:rPr>
              <w:t xml:space="preserve">Populácia žijúca v domácnostiach s veľmi nízkou pracovnou intenzitou </w:t>
            </w:r>
          </w:p>
          <w:p w:rsidR="003B4F21" w:rsidRPr="00AE6EDB" w:rsidRDefault="003B4F21" w:rsidP="003B4F21">
            <w:pPr>
              <w:jc w:val="left"/>
              <w:rPr>
                <w:color w:val="000000"/>
                <w:sz w:val="20"/>
                <w:szCs w:val="20"/>
              </w:rPr>
            </w:pPr>
            <w:r w:rsidRPr="00AE6EDB">
              <w:rPr>
                <w:color w:val="000000"/>
                <w:sz w:val="20"/>
                <w:szCs w:val="20"/>
              </w:rPr>
              <w:t>(12-17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B1146C" w:rsidRPr="00AE6EDB" w:rsidRDefault="003B4F21" w:rsidP="003B4F21">
            <w:pPr>
              <w:jc w:val="left"/>
              <w:rPr>
                <w:color w:val="000000"/>
                <w:sz w:val="20"/>
                <w:szCs w:val="20"/>
              </w:rPr>
            </w:pPr>
            <w:r w:rsidRPr="00AE6EDB">
              <w:rPr>
                <w:color w:val="000000"/>
                <w:sz w:val="20"/>
                <w:szCs w:val="20"/>
              </w:rPr>
              <w:t xml:space="preserve">Populácia žijúca v domácnostiach s veľmi nízkou pracovnou intenzitou </w:t>
            </w:r>
          </w:p>
          <w:p w:rsidR="003B4F21" w:rsidRPr="00AE6EDB" w:rsidRDefault="003B4F21" w:rsidP="003B4F21">
            <w:pPr>
              <w:jc w:val="left"/>
              <w:rPr>
                <w:color w:val="000000"/>
                <w:sz w:val="20"/>
                <w:szCs w:val="20"/>
              </w:rPr>
            </w:pPr>
            <w:r w:rsidRPr="00AE6EDB">
              <w:rPr>
                <w:color w:val="000000"/>
                <w:sz w:val="20"/>
                <w:szCs w:val="20"/>
              </w:rPr>
              <w:t>(0-17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B1146C" w:rsidRPr="00AE6EDB" w:rsidRDefault="003B4F21" w:rsidP="003B4F21">
            <w:pPr>
              <w:jc w:val="left"/>
              <w:rPr>
                <w:color w:val="000000"/>
                <w:sz w:val="20"/>
                <w:szCs w:val="20"/>
              </w:rPr>
            </w:pPr>
            <w:r w:rsidRPr="00AE6EDB">
              <w:rPr>
                <w:color w:val="000000"/>
                <w:sz w:val="20"/>
                <w:szCs w:val="20"/>
              </w:rPr>
              <w:t xml:space="preserve">Populácia žijúca v domácnostiach s veľmi nízkou pracovnou intenzitou </w:t>
            </w:r>
          </w:p>
          <w:p w:rsidR="00B1146C" w:rsidRPr="00AE6EDB" w:rsidRDefault="003B4F21" w:rsidP="003B4F21">
            <w:pPr>
              <w:jc w:val="left"/>
              <w:rPr>
                <w:color w:val="000000"/>
                <w:sz w:val="20"/>
                <w:szCs w:val="20"/>
              </w:rPr>
            </w:pPr>
            <w:r w:rsidRPr="00AE6EDB">
              <w:rPr>
                <w:color w:val="000000"/>
                <w:sz w:val="20"/>
                <w:szCs w:val="20"/>
              </w:rPr>
              <w:t>(18-59 roční)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r>
      <w:tr w:rsidR="003B4F21" w:rsidRPr="00AE6EDB" w:rsidTr="00990915">
        <w:trPr>
          <w:cantSplit/>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Deti žijúca v domácnostiach bez zamestnania (0-17</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 xml:space="preserve">: </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žijúca v domácnostiach bez zamestnania (18-59)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Osoby, ktoré predčasne ukončili vzdelávanie a nepokračujú v ďalšom vzdelávaní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6,7(b)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6,9(b)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6,6(b)</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Závažná materiálna deprivácia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21,1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(6-11)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27,2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24,6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27,7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(12-17)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28,8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28,5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27,7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materiálnej deprivácie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28,8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28,6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990915"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tcPr>
          <w:p w:rsidR="00990915" w:rsidRPr="00AE6EDB" w:rsidRDefault="00990915" w:rsidP="003B4F21">
            <w:pPr>
              <w:jc w:val="left"/>
              <w:rPr>
                <w:color w:val="000000"/>
                <w:sz w:val="20"/>
                <w:szCs w:val="20"/>
              </w:rPr>
            </w:pPr>
          </w:p>
        </w:tc>
        <w:tc>
          <w:tcPr>
            <w:tcW w:w="857"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b/>
                <w:bCs/>
                <w:color w:val="000000"/>
                <w:sz w:val="20"/>
                <w:szCs w:val="20"/>
              </w:rPr>
            </w:pPr>
          </w:p>
        </w:tc>
        <w:tc>
          <w:tcPr>
            <w:tcW w:w="879"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c>
          <w:tcPr>
            <w:tcW w:w="844"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b/>
                <w:bCs/>
                <w:color w:val="000000"/>
                <w:sz w:val="20"/>
                <w:szCs w:val="20"/>
              </w:rPr>
            </w:pPr>
          </w:p>
        </w:tc>
        <w:tc>
          <w:tcPr>
            <w:tcW w:w="857"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c>
          <w:tcPr>
            <w:tcW w:w="857"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c>
          <w:tcPr>
            <w:tcW w:w="938"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b/>
                <w:bCs/>
                <w:color w:val="000000"/>
                <w:sz w:val="20"/>
                <w:szCs w:val="20"/>
              </w:rPr>
            </w:pPr>
          </w:p>
        </w:tc>
        <w:tc>
          <w:tcPr>
            <w:tcW w:w="832"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c>
          <w:tcPr>
            <w:tcW w:w="810" w:type="dxa"/>
            <w:tcBorders>
              <w:top w:val="nil"/>
              <w:left w:val="nil"/>
              <w:bottom w:val="single" w:sz="4" w:space="0" w:color="auto"/>
              <w:right w:val="single" w:sz="4" w:space="0" w:color="auto"/>
            </w:tcBorders>
            <w:shd w:val="clear" w:color="000000" w:fill="FFFFFF"/>
            <w:noWrap/>
            <w:vAlign w:val="center"/>
          </w:tcPr>
          <w:p w:rsidR="00990915" w:rsidRPr="00AE6EDB" w:rsidRDefault="00990915" w:rsidP="003B4F21">
            <w:pPr>
              <w:jc w:val="center"/>
              <w:rPr>
                <w:color w:val="000000"/>
                <w:sz w:val="20"/>
                <w:szCs w:val="20"/>
              </w:rPr>
            </w:pP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3B4F21" w:rsidRPr="00AE6EDB" w:rsidRDefault="003B4F21" w:rsidP="003B4F21">
            <w:pPr>
              <w:jc w:val="left"/>
              <w:rPr>
                <w:b/>
                <w:bCs/>
                <w:i/>
                <w:iCs/>
                <w:color w:val="000000"/>
                <w:sz w:val="20"/>
                <w:szCs w:val="20"/>
              </w:rPr>
            </w:pPr>
            <w:r w:rsidRPr="00AE6EDB">
              <w:rPr>
                <w:b/>
                <w:bCs/>
                <w:i/>
                <w:iCs/>
                <w:color w:val="000000"/>
                <w:sz w:val="20"/>
                <w:szCs w:val="20"/>
              </w:rPr>
              <w:t>Sekundárne indikátory</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rizika chudoby podľa typu domácnosti:</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jednotlivec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21,3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jednotlivec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jednotlivec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dvaja dospelí, najmenej jeden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2641CA" w:rsidP="002641CA">
            <w:pPr>
              <w:ind w:left="447"/>
              <w:jc w:val="left"/>
              <w:rPr>
                <w:color w:val="000000"/>
                <w:sz w:val="20"/>
                <w:szCs w:val="20"/>
              </w:rPr>
            </w:pPr>
            <w:r>
              <w:rPr>
                <w:color w:val="000000"/>
                <w:sz w:val="20"/>
                <w:szCs w:val="20"/>
              </w:rPr>
              <w:t>dv</w:t>
            </w:r>
            <w:r w:rsidR="003B4F21" w:rsidRPr="00AE6EDB">
              <w:rPr>
                <w:color w:val="000000"/>
                <w:sz w:val="20"/>
                <w:szCs w:val="20"/>
              </w:rPr>
              <w:t>aja dospelí, obaja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jednotlivec s najmenej jedným dieťaťom</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30,1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dvaja dospelí s jedným závislým dieťaťom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dvaja dospelí s dvomi závislými </w:t>
            </w:r>
            <w:r w:rsidR="00F45681" w:rsidRPr="00AE6EDB">
              <w:rPr>
                <w:color w:val="000000"/>
                <w:sz w:val="20"/>
                <w:szCs w:val="20"/>
              </w:rPr>
              <w:t>deťmi</w:t>
            </w:r>
            <w:r w:rsidRPr="00AE6EDB">
              <w:rPr>
                <w:color w:val="000000"/>
                <w:sz w:val="20"/>
                <w:szCs w:val="20"/>
              </w:rPr>
              <w:t xml:space="preserve">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dvaja dospelí s tromi a viac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2641CA" w:rsidP="002641CA">
            <w:pPr>
              <w:ind w:left="447"/>
              <w:jc w:val="left"/>
              <w:rPr>
                <w:color w:val="000000"/>
                <w:sz w:val="20"/>
                <w:szCs w:val="20"/>
              </w:rPr>
            </w:pPr>
            <w:r>
              <w:rPr>
                <w:color w:val="000000"/>
                <w:sz w:val="20"/>
                <w:szCs w:val="20"/>
              </w:rPr>
              <w:t>tr</w:t>
            </w:r>
            <w:r w:rsidR="003B4F21" w:rsidRPr="00AE6EDB">
              <w:rPr>
                <w:color w:val="000000"/>
                <w:sz w:val="20"/>
                <w:szCs w:val="20"/>
              </w:rPr>
              <w:t>aja a viac dospelí so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domácnosti so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bez závislých detí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93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rizika chudoby podľa intenzity práce domácnosti</w:t>
            </w:r>
          </w:p>
        </w:tc>
        <w:tc>
          <w:tcPr>
            <w:tcW w:w="866"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938"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color w:val="000000"/>
                <w:sz w:val="20"/>
                <w:szCs w:val="20"/>
              </w:rPr>
            </w:pPr>
            <w:r w:rsidRPr="00AE6EDB">
              <w:rPr>
                <w:b/>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color w:val="000000"/>
                <w:sz w:val="20"/>
                <w:szCs w:val="20"/>
              </w:rPr>
            </w:pPr>
            <w:r w:rsidRPr="00AE6EDB">
              <w:rPr>
                <w:b/>
                <w:color w:val="000000"/>
                <w:sz w:val="20"/>
                <w:szCs w:val="20"/>
              </w:rPr>
              <w:t> </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bez detí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nízkou intenzitou práce ( 0,2 - 0,45)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33,0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bez detí </w:t>
            </w:r>
            <w:r w:rsidR="002641CA">
              <w:rPr>
                <w:color w:val="000000"/>
                <w:sz w:val="20"/>
                <w:szCs w:val="20"/>
              </w:rPr>
              <w:t>–</w:t>
            </w:r>
            <w:r w:rsidRPr="00AE6EDB">
              <w:rPr>
                <w:color w:val="000000"/>
                <w:sz w:val="20"/>
                <w:szCs w:val="20"/>
              </w:rPr>
              <w:t xml:space="preserve"> </w:t>
            </w:r>
            <w:r w:rsidR="002641CA">
              <w:rPr>
                <w:color w:val="000000"/>
                <w:sz w:val="20"/>
                <w:szCs w:val="20"/>
              </w:rPr>
              <w:t xml:space="preserve">so </w:t>
            </w:r>
            <w:r w:rsidRPr="00AE6EDB">
              <w:rPr>
                <w:color w:val="000000"/>
                <w:sz w:val="20"/>
                <w:szCs w:val="20"/>
              </w:rPr>
              <w:t>strednou intenzitou práce ( 0,45 - 0,55)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bez detí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vysokou intenzitou práce (0,55 - 0,85)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bez detí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veľmi vysokou intenzitou práce (0,85 - 1)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domácnosti s de</w:t>
            </w:r>
            <w:r w:rsidR="002641CA">
              <w:rPr>
                <w:color w:val="000000"/>
                <w:sz w:val="20"/>
                <w:szCs w:val="20"/>
              </w:rPr>
              <w:t>ťmi</w:t>
            </w:r>
            <w:r w:rsidRPr="00AE6EDB">
              <w:rPr>
                <w:color w:val="000000"/>
                <w:sz w:val="20"/>
                <w:szCs w:val="20"/>
              </w:rPr>
              <w:t xml:space="preserve">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nízkou intenzitou práce ( 0,2 - 0,45)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40,4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s </w:t>
            </w:r>
            <w:r w:rsidR="002641CA">
              <w:rPr>
                <w:color w:val="000000"/>
                <w:sz w:val="20"/>
                <w:szCs w:val="20"/>
              </w:rPr>
              <w:t>deťmi</w:t>
            </w:r>
            <w:r w:rsidRPr="00AE6EDB">
              <w:rPr>
                <w:color w:val="000000"/>
                <w:sz w:val="20"/>
                <w:szCs w:val="20"/>
              </w:rPr>
              <w:t xml:space="preserve"> </w:t>
            </w:r>
            <w:r w:rsidR="002641CA">
              <w:rPr>
                <w:color w:val="000000"/>
                <w:sz w:val="20"/>
                <w:szCs w:val="20"/>
              </w:rPr>
              <w:t>–</w:t>
            </w:r>
            <w:r w:rsidRPr="00AE6EDB">
              <w:rPr>
                <w:color w:val="000000"/>
                <w:sz w:val="20"/>
                <w:szCs w:val="20"/>
              </w:rPr>
              <w:t xml:space="preserve"> </w:t>
            </w:r>
            <w:r w:rsidR="002641CA">
              <w:rPr>
                <w:color w:val="000000"/>
                <w:sz w:val="20"/>
                <w:szCs w:val="20"/>
              </w:rPr>
              <w:t xml:space="preserve">so </w:t>
            </w:r>
            <w:r w:rsidRPr="00AE6EDB">
              <w:rPr>
                <w:color w:val="000000"/>
                <w:sz w:val="20"/>
                <w:szCs w:val="20"/>
              </w:rPr>
              <w:t>strednou intenzitou práce ( 0,45 - 0,55)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s </w:t>
            </w:r>
            <w:r w:rsidR="002641CA">
              <w:rPr>
                <w:color w:val="000000"/>
                <w:sz w:val="20"/>
                <w:szCs w:val="20"/>
              </w:rPr>
              <w:t>deťmi</w:t>
            </w:r>
            <w:r w:rsidRPr="00AE6EDB">
              <w:rPr>
                <w:color w:val="000000"/>
                <w:sz w:val="20"/>
                <w:szCs w:val="20"/>
              </w:rPr>
              <w:t xml:space="preserve">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vysokou intenzitou práce (0,55 - 0,85)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 xml:space="preserve">domácnosti s </w:t>
            </w:r>
            <w:r w:rsidR="002641CA">
              <w:rPr>
                <w:color w:val="000000"/>
                <w:sz w:val="20"/>
                <w:szCs w:val="20"/>
              </w:rPr>
              <w:t>deťmi</w:t>
            </w:r>
            <w:r w:rsidRPr="00AE6EDB">
              <w:rPr>
                <w:color w:val="000000"/>
                <w:sz w:val="20"/>
                <w:szCs w:val="20"/>
              </w:rPr>
              <w:t xml:space="preserve"> </w:t>
            </w:r>
            <w:r w:rsidR="002641CA">
              <w:rPr>
                <w:color w:val="000000"/>
                <w:sz w:val="20"/>
                <w:szCs w:val="20"/>
              </w:rPr>
              <w:t>–</w:t>
            </w:r>
            <w:r w:rsidRPr="00AE6EDB">
              <w:rPr>
                <w:color w:val="000000"/>
                <w:sz w:val="20"/>
                <w:szCs w:val="20"/>
              </w:rPr>
              <w:t xml:space="preserve"> </w:t>
            </w:r>
            <w:r w:rsidR="002641CA">
              <w:rPr>
                <w:color w:val="000000"/>
                <w:sz w:val="20"/>
                <w:szCs w:val="20"/>
              </w:rPr>
              <w:t xml:space="preserve">s </w:t>
            </w:r>
            <w:r w:rsidRPr="00AE6EDB">
              <w:rPr>
                <w:color w:val="000000"/>
                <w:sz w:val="20"/>
                <w:szCs w:val="20"/>
              </w:rPr>
              <w:t>veľmi vysokou intenzitou práce (0,85 - 1)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93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rizika chudoby podľa najčastejšej ekonomickej aktivity (18+)</w:t>
            </w:r>
          </w:p>
        </w:tc>
        <w:tc>
          <w:tcPr>
            <w:tcW w:w="866"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938"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32"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nezamestnaní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43,8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48,7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D5029C" w:rsidP="002641CA">
            <w:pPr>
              <w:ind w:left="447"/>
              <w:jc w:val="left"/>
              <w:rPr>
                <w:color w:val="000000"/>
                <w:sz w:val="20"/>
                <w:szCs w:val="20"/>
              </w:rPr>
            </w:pPr>
            <w:r>
              <w:rPr>
                <w:color w:val="000000"/>
                <w:sz w:val="20"/>
                <w:szCs w:val="20"/>
              </w:rPr>
              <w:t>pracujúci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dôchodcovia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4,4</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iná neaktívna osoba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93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rizika chudoby podľa typu vlastníctva</w:t>
            </w:r>
          </w:p>
        </w:tc>
        <w:tc>
          <w:tcPr>
            <w:tcW w:w="866"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857" w:type="dxa"/>
            <w:tcBorders>
              <w:top w:val="nil"/>
              <w:left w:val="nil"/>
              <w:bottom w:val="single" w:sz="4" w:space="0" w:color="auto"/>
              <w:right w:val="single" w:sz="4" w:space="0" w:color="auto"/>
            </w:tcBorders>
            <w:shd w:val="clear" w:color="000000" w:fill="FFFFFF"/>
            <w:noWrap/>
            <w:vAlign w:val="bottom"/>
            <w:hideMark/>
          </w:tcPr>
          <w:p w:rsidR="003B4F21" w:rsidRPr="00AE6EDB" w:rsidRDefault="003B4F21" w:rsidP="003B4F21">
            <w:pPr>
              <w:jc w:val="left"/>
              <w:rPr>
                <w:b/>
                <w:color w:val="000000"/>
                <w:sz w:val="20"/>
                <w:szCs w:val="20"/>
              </w:rPr>
            </w:pPr>
            <w:r w:rsidRPr="00AE6EDB">
              <w:rPr>
                <w:b/>
                <w:color w:val="000000"/>
                <w:sz w:val="20"/>
                <w:szCs w:val="20"/>
              </w:rPr>
              <w:t> </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color w:val="000000"/>
                <w:sz w:val="20"/>
                <w:szCs w:val="20"/>
              </w:rPr>
            </w:pPr>
            <w:r w:rsidRPr="00AE6EDB">
              <w:rPr>
                <w:b/>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color w:val="000000"/>
                <w:sz w:val="20"/>
                <w:szCs w:val="20"/>
              </w:rPr>
            </w:pPr>
            <w:r w:rsidRPr="00AE6EDB">
              <w:rPr>
                <w:b/>
                <w:color w:val="000000"/>
                <w:sz w:val="20"/>
                <w:szCs w:val="20"/>
              </w:rPr>
              <w:t>0,0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vlastník alebo bezplatné ubytovanie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447"/>
              <w:jc w:val="left"/>
              <w:rPr>
                <w:color w:val="000000"/>
                <w:sz w:val="20"/>
                <w:szCs w:val="20"/>
              </w:rPr>
            </w:pPr>
            <w:r w:rsidRPr="00AE6EDB">
              <w:rPr>
                <w:color w:val="000000"/>
                <w:sz w:val="20"/>
                <w:szCs w:val="20"/>
              </w:rPr>
              <w:t>nájomca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25,0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Rozptyl okolo hranice miery rizika chudoby </w:t>
            </w:r>
            <w:r w:rsidR="00411759">
              <w:rPr>
                <w:color w:val="000000"/>
                <w:sz w:val="20"/>
                <w:szCs w:val="20"/>
              </w:rPr>
              <w:t>–</w:t>
            </w:r>
            <w:r w:rsidRPr="00AE6EDB">
              <w:rPr>
                <w:color w:val="000000"/>
                <w:sz w:val="20"/>
                <w:szCs w:val="20"/>
              </w:rPr>
              <w:t xml:space="preserve"> 40</w:t>
            </w:r>
            <w:r w:rsidR="00411759">
              <w:rPr>
                <w:color w:val="000000"/>
                <w:sz w:val="20"/>
                <w:szCs w:val="20"/>
              </w:rPr>
              <w:t> </w:t>
            </w:r>
            <w:r w:rsidRPr="00AE6EDB">
              <w:rPr>
                <w:color w:val="000000"/>
                <w:sz w:val="20"/>
                <w:szCs w:val="20"/>
              </w:rPr>
              <w:t xml:space="preserve">% národného </w:t>
            </w:r>
            <w:r w:rsidR="00F45681" w:rsidRPr="00AE6EDB">
              <w:rPr>
                <w:color w:val="000000"/>
                <w:sz w:val="20"/>
                <w:szCs w:val="20"/>
              </w:rPr>
              <w:t>ekvivalentného</w:t>
            </w:r>
            <w:r w:rsidRPr="00AE6EDB">
              <w:rPr>
                <w:color w:val="000000"/>
                <w:sz w:val="20"/>
                <w:szCs w:val="20"/>
              </w:rPr>
              <w:t xml:space="preserve"> mediánu príjmu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Rozptyl okolo hranice miery rizika chudoby </w:t>
            </w:r>
            <w:r w:rsidR="00411759">
              <w:rPr>
                <w:color w:val="000000"/>
                <w:sz w:val="20"/>
                <w:szCs w:val="20"/>
              </w:rPr>
              <w:t>–</w:t>
            </w:r>
            <w:r w:rsidRPr="00AE6EDB">
              <w:rPr>
                <w:color w:val="000000"/>
                <w:sz w:val="20"/>
                <w:szCs w:val="20"/>
              </w:rPr>
              <w:t xml:space="preserve"> 50</w:t>
            </w:r>
            <w:r w:rsidR="00411759">
              <w:rPr>
                <w:color w:val="000000"/>
                <w:sz w:val="20"/>
                <w:szCs w:val="20"/>
              </w:rPr>
              <w:t> </w:t>
            </w:r>
            <w:r w:rsidRPr="00AE6EDB">
              <w:rPr>
                <w:color w:val="000000"/>
                <w:sz w:val="20"/>
                <w:szCs w:val="20"/>
              </w:rPr>
              <w:t xml:space="preserve">% národného </w:t>
            </w:r>
            <w:r w:rsidR="00F45681" w:rsidRPr="00AE6EDB">
              <w:rPr>
                <w:color w:val="000000"/>
                <w:sz w:val="20"/>
                <w:szCs w:val="20"/>
              </w:rPr>
              <w:t>ekvivalentného</w:t>
            </w:r>
            <w:r w:rsidRPr="00AE6EDB">
              <w:rPr>
                <w:color w:val="000000"/>
                <w:sz w:val="20"/>
                <w:szCs w:val="20"/>
              </w:rPr>
              <w:t xml:space="preserve"> mediánu príjmu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Rozptyl okolo hranice miery rizika chudoby </w:t>
            </w:r>
            <w:r w:rsidR="00411759">
              <w:rPr>
                <w:color w:val="000000"/>
                <w:sz w:val="20"/>
                <w:szCs w:val="20"/>
              </w:rPr>
              <w:t>–</w:t>
            </w:r>
            <w:r w:rsidRPr="00AE6EDB">
              <w:rPr>
                <w:color w:val="000000"/>
                <w:sz w:val="20"/>
                <w:szCs w:val="20"/>
              </w:rPr>
              <w:t xml:space="preserve"> 70</w:t>
            </w:r>
            <w:r w:rsidR="00411759">
              <w:rPr>
                <w:color w:val="000000"/>
                <w:sz w:val="20"/>
                <w:szCs w:val="20"/>
              </w:rPr>
              <w:t> </w:t>
            </w:r>
            <w:r w:rsidRPr="00AE6EDB">
              <w:rPr>
                <w:color w:val="000000"/>
                <w:sz w:val="20"/>
                <w:szCs w:val="20"/>
              </w:rPr>
              <w:t xml:space="preserve">% národného </w:t>
            </w:r>
            <w:r w:rsidR="00F45681" w:rsidRPr="00AE6EDB">
              <w:rPr>
                <w:color w:val="000000"/>
                <w:sz w:val="20"/>
                <w:szCs w:val="20"/>
              </w:rPr>
              <w:t>ekvivalentného</w:t>
            </w:r>
            <w:r w:rsidRPr="00AE6EDB">
              <w:rPr>
                <w:color w:val="000000"/>
                <w:sz w:val="20"/>
                <w:szCs w:val="20"/>
              </w:rPr>
              <w:t xml:space="preserve"> mediánu príjmu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s nízkou vzdelanostnou úrovňou (25-39)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37,1</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40,4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93,3(b)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48,4(b)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44,9(b)</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s nízkou vzdelanostnou úrovňou (40-59)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128,6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49,3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134,6(b)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54,9(b)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79,7(b)</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s nízkou vzdelanostnou úrovňou (55-64)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104,7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33,8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70,9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113,4(b)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39,4(b)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74,0(b)</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Populácia s nízkou vzdelanostnou úrovňou (25-64)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257,2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101,0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156,5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286,9(b)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121,9(b)</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165,0(b)</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Hĺbka materiálnej deprivácie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(6-11)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(12-17)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(18-24)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(25-29)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7,1</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preťaženia obyvateľstva nákladmi na bývanie - chudobní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36,2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34,9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jc w:val="left"/>
              <w:rPr>
                <w:color w:val="000000"/>
                <w:sz w:val="20"/>
                <w:szCs w:val="20"/>
              </w:rPr>
            </w:pPr>
            <w:r w:rsidRPr="00AE6EDB">
              <w:rPr>
                <w:color w:val="000000"/>
                <w:sz w:val="20"/>
                <w:szCs w:val="20"/>
              </w:rPr>
              <w:t>Miera preťaženia obyvateľstva nákladmi na bývanie</w:t>
            </w:r>
            <w:r w:rsidR="002641CA">
              <w:rPr>
                <w:color w:val="000000"/>
                <w:sz w:val="20"/>
                <w:szCs w:val="20"/>
              </w:rPr>
              <w:t xml:space="preserve"> </w:t>
            </w:r>
            <w:r w:rsidRPr="00AE6EDB">
              <w:rPr>
                <w:color w:val="000000"/>
                <w:sz w:val="20"/>
                <w:szCs w:val="20"/>
              </w:rPr>
              <w:t xml:space="preserve">- nechudobní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(I. kvintil)</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27,4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27,8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(II. kvintil)</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(III. kvintil)</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(IV. kvintil)</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preťaženia obyvateľstva nákladmi na bývanie (V. kvintil)</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2641CA">
            <w:pPr>
              <w:jc w:val="left"/>
              <w:rPr>
                <w:b/>
                <w:color w:val="000000"/>
                <w:sz w:val="20"/>
                <w:szCs w:val="20"/>
              </w:rPr>
            </w:pPr>
            <w:r w:rsidRPr="00AE6EDB">
              <w:rPr>
                <w:b/>
                <w:color w:val="000000"/>
                <w:sz w:val="20"/>
                <w:szCs w:val="20"/>
              </w:rPr>
              <w:t>Miera preťaženia obyvateľstva nákladmi na bývanie</w:t>
            </w:r>
            <w:r w:rsidR="002641CA">
              <w:rPr>
                <w:b/>
                <w:color w:val="000000"/>
                <w:sz w:val="20"/>
                <w:szCs w:val="20"/>
              </w:rPr>
              <w:t xml:space="preserve"> </w:t>
            </w:r>
            <w:r w:rsidRPr="00AE6EDB">
              <w:rPr>
                <w:b/>
                <w:color w:val="000000"/>
                <w:sz w:val="20"/>
                <w:szCs w:val="20"/>
              </w:rPr>
              <w:t>podľa typu vlastníctva</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vlastník, s</w:t>
            </w:r>
            <w:r w:rsidR="002641CA">
              <w:rPr>
                <w:color w:val="000000"/>
                <w:sz w:val="20"/>
                <w:szCs w:val="20"/>
              </w:rPr>
              <w:t> </w:t>
            </w:r>
            <w:r w:rsidRPr="00AE6EDB">
              <w:rPr>
                <w:color w:val="000000"/>
                <w:sz w:val="20"/>
                <w:szCs w:val="20"/>
              </w:rPr>
              <w:t>hypotékou</w:t>
            </w:r>
            <w:r w:rsidR="002641CA">
              <w:rPr>
                <w:color w:val="000000"/>
                <w:sz w:val="20"/>
                <w:szCs w:val="20"/>
              </w:rPr>
              <w:t xml:space="preserve"> </w:t>
            </w:r>
            <w:r w:rsidRPr="00AE6EDB">
              <w:rPr>
                <w:color w:val="000000"/>
                <w:sz w:val="20"/>
                <w:szCs w:val="20"/>
              </w:rPr>
              <w:t>alebo úverom na bývanie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vlastník, bez hypotéky alebo úveru na bývanie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nájomca, prenájom za trhovú cenu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nájomca, prenájom za zníženú cenu alebo zadarmo</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2641CA">
            <w:pPr>
              <w:jc w:val="left"/>
              <w:rPr>
                <w:b/>
                <w:color w:val="000000"/>
                <w:sz w:val="20"/>
                <w:szCs w:val="20"/>
              </w:rPr>
            </w:pPr>
            <w:r w:rsidRPr="00AE6EDB">
              <w:rPr>
                <w:b/>
                <w:color w:val="000000"/>
                <w:sz w:val="20"/>
                <w:szCs w:val="20"/>
              </w:rPr>
              <w:t>Miera preťaženia obyvateľstva nákladmi na bývanie</w:t>
            </w:r>
            <w:r w:rsidR="002641CA">
              <w:rPr>
                <w:b/>
                <w:color w:val="000000"/>
                <w:sz w:val="20"/>
                <w:szCs w:val="20"/>
              </w:rPr>
              <w:t xml:space="preserve"> </w:t>
            </w:r>
            <w:r w:rsidRPr="00AE6EDB">
              <w:rPr>
                <w:b/>
                <w:color w:val="000000"/>
                <w:sz w:val="20"/>
                <w:szCs w:val="20"/>
              </w:rPr>
              <w:t>podľa stupňa osídlenia</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husto obývania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stredne obývania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riedko obývaná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2641CA">
            <w:pPr>
              <w:jc w:val="left"/>
              <w:rPr>
                <w:b/>
                <w:color w:val="000000"/>
                <w:sz w:val="20"/>
                <w:szCs w:val="20"/>
              </w:rPr>
            </w:pPr>
            <w:r w:rsidRPr="00AE6EDB">
              <w:rPr>
                <w:b/>
                <w:color w:val="000000"/>
                <w:sz w:val="20"/>
                <w:szCs w:val="20"/>
              </w:rPr>
              <w:t>Miera preťaženia obyvateľstva nákladmi na bývanie</w:t>
            </w:r>
            <w:r w:rsidR="002641CA">
              <w:rPr>
                <w:b/>
                <w:color w:val="000000"/>
                <w:sz w:val="20"/>
                <w:szCs w:val="20"/>
              </w:rPr>
              <w:t xml:space="preserve"> </w:t>
            </w:r>
            <w:r w:rsidRPr="00AE6EDB">
              <w:rPr>
                <w:b/>
                <w:color w:val="000000"/>
                <w:sz w:val="20"/>
                <w:szCs w:val="20"/>
              </w:rPr>
              <w:t>podľa typu domácnosti</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27,9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jednotlivec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22,9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27,8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20,4</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dvaja dospelí, najmenej jeden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dvaja dospelí, obaja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s najmenej jedným dieťaťom</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dvaja dospelí s jedným závislým dieťaťom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dvaja dospelí s dvomi závislými </w:t>
            </w:r>
            <w:r w:rsidR="00F45681" w:rsidRPr="00AE6EDB">
              <w:rPr>
                <w:color w:val="000000"/>
                <w:sz w:val="20"/>
                <w:szCs w:val="20"/>
              </w:rPr>
              <w:t>deťmi</w:t>
            </w:r>
            <w:r w:rsidR="002641CA">
              <w:rPr>
                <w:color w:val="000000"/>
                <w:sz w:val="20"/>
                <w:szCs w:val="20"/>
              </w:rPr>
              <w:t xml:space="preserve">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dvaja dospelí s tromi a viac závislými deťmi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traja a viac dospelí so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domácnosti so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9,5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domácnosti</w:t>
            </w:r>
            <w:r w:rsidR="002641CA">
              <w:rPr>
                <w:color w:val="000000"/>
                <w:sz w:val="20"/>
                <w:szCs w:val="20"/>
              </w:rPr>
              <w:t xml:space="preserve"> </w:t>
            </w:r>
            <w:r w:rsidRPr="00AE6EDB">
              <w:rPr>
                <w:color w:val="000000"/>
                <w:sz w:val="20"/>
                <w:szCs w:val="20"/>
              </w:rPr>
              <w:t>bez závislých detí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39,8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40,3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(0-5)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44,0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45,0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45,0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42,1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47,6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(6-11)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46,4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53,2</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9,8</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(12-17)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60,1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58,4</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62,2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59,5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57,9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50,8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50,7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50,9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50,6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52,6</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40,0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39,7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40,3</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11,2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jc w:val="left"/>
              <w:rPr>
                <w:color w:val="000000"/>
                <w:sz w:val="20"/>
                <w:szCs w:val="20"/>
              </w:rPr>
            </w:pPr>
            <w:r w:rsidRPr="00AE6EDB">
              <w:rPr>
                <w:color w:val="000000"/>
                <w:sz w:val="20"/>
                <w:szCs w:val="20"/>
              </w:rPr>
              <w:t>Miera preľudnenia</w:t>
            </w:r>
            <w:r w:rsidR="002641CA">
              <w:rPr>
                <w:color w:val="000000"/>
                <w:sz w:val="20"/>
                <w:szCs w:val="20"/>
              </w:rPr>
              <w:t xml:space="preserve"> </w:t>
            </w:r>
            <w:r w:rsidRPr="00AE6EDB">
              <w:rPr>
                <w:color w:val="000000"/>
                <w:sz w:val="20"/>
                <w:szCs w:val="20"/>
              </w:rPr>
              <w:t>- pod hranicou chudoby</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55,7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57,2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54,4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58,2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58,0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preľudnenia - nad hranicou chudoby</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37,4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35,6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35,8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-2,2</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preľudnenia podľa typu vlastníctva</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B253E7">
            <w:pPr>
              <w:ind w:left="589"/>
              <w:jc w:val="left"/>
              <w:rPr>
                <w:color w:val="000000"/>
                <w:sz w:val="20"/>
                <w:szCs w:val="20"/>
              </w:rPr>
            </w:pPr>
            <w:r w:rsidRPr="00AE6EDB">
              <w:rPr>
                <w:color w:val="000000"/>
                <w:sz w:val="20"/>
                <w:szCs w:val="20"/>
              </w:rPr>
              <w:t>vlastník, s</w:t>
            </w:r>
            <w:r w:rsidR="00B253E7">
              <w:rPr>
                <w:color w:val="000000"/>
                <w:sz w:val="20"/>
                <w:szCs w:val="20"/>
              </w:rPr>
              <w:t> </w:t>
            </w:r>
            <w:r w:rsidRPr="00AE6EDB">
              <w:rPr>
                <w:color w:val="000000"/>
                <w:sz w:val="20"/>
                <w:szCs w:val="20"/>
              </w:rPr>
              <w:t>hypotékou</w:t>
            </w:r>
            <w:r w:rsidR="00B253E7">
              <w:rPr>
                <w:color w:val="000000"/>
                <w:sz w:val="20"/>
                <w:szCs w:val="20"/>
              </w:rPr>
              <w:t xml:space="preserve"> </w:t>
            </w:r>
            <w:r w:rsidRPr="00AE6EDB">
              <w:rPr>
                <w:color w:val="000000"/>
                <w:sz w:val="20"/>
                <w:szCs w:val="20"/>
              </w:rPr>
              <w:t>alebo úverom na bývanie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32,3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32,5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vlastník, bez hypotéky alebo úveru na bývanie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37,6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36,3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nájomca, prenájom za trhovú cenu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65,5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65,3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bottom"/>
            <w:hideMark/>
          </w:tcPr>
          <w:p w:rsidR="003B4F21" w:rsidRPr="00AE6EDB" w:rsidRDefault="003B4F21" w:rsidP="002641CA">
            <w:pPr>
              <w:ind w:left="589"/>
              <w:jc w:val="left"/>
              <w:rPr>
                <w:color w:val="000000"/>
                <w:sz w:val="20"/>
                <w:szCs w:val="20"/>
              </w:rPr>
            </w:pPr>
            <w:r w:rsidRPr="00AE6EDB">
              <w:rPr>
                <w:color w:val="000000"/>
                <w:sz w:val="20"/>
                <w:szCs w:val="20"/>
              </w:rPr>
              <w:t>nájomca, prenájom za zníženú cenu alebo zadarmo</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65,7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58,9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-6,8</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 xml:space="preserve">Miera preľudnenia podľa stupňa osídlenia </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husto obývania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47,5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39,5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stredne obývania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39,6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46,2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riedko obývaná oblasť</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35,9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31,5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Miera preľudnenia podľa typu domácnosti</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14,5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jednotlivec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18,6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18,9</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dvaja dospelí, najmenej jeden starší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dvaja dospelí, obaja mladší ako 65 rokov</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12,3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jednotlivec s najmenej jedným dieťaťom</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55,4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60,4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dvaja dospelí s jedným závislým dieťaťom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29,2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dvaja dospelí s dvomi závislými </w:t>
            </w:r>
            <w:r w:rsidR="00F45681" w:rsidRPr="00AE6EDB">
              <w:rPr>
                <w:color w:val="000000"/>
                <w:sz w:val="20"/>
                <w:szCs w:val="20"/>
              </w:rPr>
              <w:t>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42,3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42,3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dvaja dospelí s tromi a viac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68,7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68,8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 xml:space="preserve">traja a viac dospelí so závislými deťmi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60,9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61,0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2641CA">
            <w:pPr>
              <w:ind w:left="589"/>
              <w:jc w:val="left"/>
              <w:rPr>
                <w:color w:val="000000"/>
                <w:sz w:val="20"/>
                <w:szCs w:val="20"/>
              </w:rPr>
            </w:pPr>
            <w:r w:rsidRPr="00AE6EDB">
              <w:rPr>
                <w:color w:val="000000"/>
                <w:sz w:val="20"/>
                <w:szCs w:val="20"/>
              </w:rPr>
              <w:t>domácnosti so závislými deťmi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51,8</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51,1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ind w:left="589"/>
              <w:jc w:val="left"/>
              <w:rPr>
                <w:color w:val="000000"/>
                <w:sz w:val="20"/>
                <w:szCs w:val="20"/>
              </w:rPr>
            </w:pPr>
            <w:r w:rsidRPr="00AE6EDB">
              <w:rPr>
                <w:color w:val="000000"/>
                <w:sz w:val="20"/>
                <w:szCs w:val="20"/>
              </w:rPr>
              <w:t>domácnosti</w:t>
            </w:r>
            <w:r w:rsidR="00B253E7">
              <w:rPr>
                <w:color w:val="000000"/>
                <w:sz w:val="20"/>
                <w:szCs w:val="20"/>
              </w:rPr>
              <w:t xml:space="preserve"> </w:t>
            </w:r>
            <w:r w:rsidRPr="00AE6EDB">
              <w:rPr>
                <w:color w:val="000000"/>
                <w:sz w:val="20"/>
                <w:szCs w:val="20"/>
              </w:rPr>
              <w:t xml:space="preserve">bez závislých detí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21,5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23,4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auto" w:fill="FF9999" w:themeFill="accent3" w:themeFillTint="66"/>
            <w:vAlign w:val="center"/>
            <w:hideMark/>
          </w:tcPr>
          <w:p w:rsidR="003B4F21" w:rsidRPr="00AE6EDB" w:rsidRDefault="003B4F21" w:rsidP="003B4F21">
            <w:pPr>
              <w:jc w:val="left"/>
              <w:rPr>
                <w:b/>
                <w:bCs/>
                <w:i/>
                <w:iCs/>
                <w:color w:val="000000"/>
                <w:sz w:val="20"/>
                <w:szCs w:val="20"/>
              </w:rPr>
            </w:pPr>
            <w:r w:rsidRPr="00AE6EDB">
              <w:rPr>
                <w:b/>
                <w:bCs/>
                <w:i/>
                <w:iCs/>
                <w:color w:val="000000"/>
                <w:sz w:val="20"/>
                <w:szCs w:val="20"/>
              </w:rPr>
              <w:t>Kontextové indikátory</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Nerovnosť distribúcie príjmov - S80/S20 - podiel príjmov horného a dolného kvintilu</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 xml:space="preserve">Nerovnosť distribúcie príjmov - </w:t>
            </w:r>
            <w:proofErr w:type="spellStart"/>
            <w:r w:rsidRPr="00AE6EDB">
              <w:rPr>
                <w:color w:val="000000"/>
                <w:sz w:val="20"/>
                <w:szCs w:val="20"/>
              </w:rPr>
              <w:t>Gini</w:t>
            </w:r>
            <w:proofErr w:type="spellEnd"/>
            <w:r w:rsidRPr="00AE6EDB">
              <w:rPr>
                <w:color w:val="000000"/>
                <w:sz w:val="20"/>
                <w:szCs w:val="20"/>
              </w:rPr>
              <w:t xml:space="preserve"> koeficient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24,2</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Očakávaná dĺžka života pri narodení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76,6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73,3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80,5</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Očakávaná dĺžka života vo veku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18,8</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17,4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19,1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-39,6</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zakotvená v čase (2008) - 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7,4</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7,8</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zakotvená v čase (2008) vo veku 0-17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13,3</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13,1</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zakotvená v čase (2008) vo veku 18-64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7,1</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8,0</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0,8</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Miera rizika chudoby zakotvená v čase (2008) vo veku 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c>
          <w:tcPr>
            <w:tcW w:w="938"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0,4</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auto" w:fill="auto"/>
            <w:vAlign w:val="center"/>
            <w:hideMark/>
          </w:tcPr>
          <w:p w:rsidR="003B4F21" w:rsidRPr="00AE6EDB" w:rsidRDefault="003B4F21" w:rsidP="00B253E7">
            <w:pPr>
              <w:jc w:val="left"/>
              <w:rPr>
                <w:color w:val="000000"/>
                <w:sz w:val="20"/>
                <w:szCs w:val="20"/>
              </w:rPr>
            </w:pPr>
            <w:r w:rsidRPr="00AE6EDB">
              <w:rPr>
                <w:color w:val="000000"/>
                <w:sz w:val="20"/>
                <w:szCs w:val="20"/>
              </w:rPr>
              <w:t>Miera rizika chudoby pred</w:t>
            </w:r>
            <w:r w:rsidR="00B253E7">
              <w:rPr>
                <w:color w:val="000000"/>
                <w:sz w:val="20"/>
                <w:szCs w:val="20"/>
              </w:rPr>
              <w:t xml:space="preserve"> </w:t>
            </w:r>
            <w:r w:rsidRPr="00AE6EDB">
              <w:rPr>
                <w:color w:val="000000"/>
                <w:sz w:val="20"/>
                <w:szCs w:val="20"/>
              </w:rPr>
              <w:t xml:space="preserve">sociálnymi </w:t>
            </w:r>
            <w:r w:rsidR="00F45681" w:rsidRPr="00AE6EDB">
              <w:rPr>
                <w:color w:val="000000"/>
                <w:sz w:val="20"/>
                <w:szCs w:val="20"/>
              </w:rPr>
              <w:t>transfermi</w:t>
            </w:r>
            <w:r w:rsidRPr="00AE6EDB">
              <w:rPr>
                <w:color w:val="000000"/>
                <w:sz w:val="20"/>
                <w:szCs w:val="20"/>
              </w:rPr>
              <w:t xml:space="preserve"> okrem dôchodkov</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20,1</w:t>
            </w:r>
          </w:p>
        </w:tc>
        <w:tc>
          <w:tcPr>
            <w:tcW w:w="879"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20,0</w:t>
            </w:r>
          </w:p>
        </w:tc>
        <w:tc>
          <w:tcPr>
            <w:tcW w:w="844"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20,1</w:t>
            </w:r>
          </w:p>
        </w:tc>
        <w:tc>
          <w:tcPr>
            <w:tcW w:w="866"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19,6</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19,3</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19,9</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auto" w:fill="auto"/>
            <w:vAlign w:val="center"/>
            <w:hideMark/>
          </w:tcPr>
          <w:p w:rsidR="003B4F21" w:rsidRPr="00AE6EDB" w:rsidRDefault="003B4F21" w:rsidP="003B4F21">
            <w:pPr>
              <w:jc w:val="left"/>
              <w:rPr>
                <w:color w:val="000000"/>
                <w:sz w:val="20"/>
                <w:szCs w:val="20"/>
              </w:rPr>
            </w:pPr>
            <w:r w:rsidRPr="00AE6EDB">
              <w:rPr>
                <w:color w:val="000000"/>
                <w:sz w:val="20"/>
                <w:szCs w:val="20"/>
              </w:rPr>
              <w:t xml:space="preserve">Miera rizika chudoby pre sociálnymi </w:t>
            </w:r>
            <w:r w:rsidR="00F45681" w:rsidRPr="00AE6EDB">
              <w:rPr>
                <w:color w:val="000000"/>
                <w:sz w:val="20"/>
                <w:szCs w:val="20"/>
              </w:rPr>
              <w:t>transfermi</w:t>
            </w:r>
            <w:r w:rsidRPr="00AE6EDB">
              <w:rPr>
                <w:color w:val="000000"/>
                <w:sz w:val="20"/>
                <w:szCs w:val="20"/>
              </w:rPr>
              <w:t xml:space="preserve"> vrátane dôchodkov</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38,0</w:t>
            </w:r>
          </w:p>
        </w:tc>
        <w:tc>
          <w:tcPr>
            <w:tcW w:w="879"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35,1</w:t>
            </w:r>
          </w:p>
        </w:tc>
        <w:tc>
          <w:tcPr>
            <w:tcW w:w="844"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40,8</w:t>
            </w:r>
          </w:p>
        </w:tc>
        <w:tc>
          <w:tcPr>
            <w:tcW w:w="866"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38,0</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35,6</w:t>
            </w:r>
          </w:p>
        </w:tc>
        <w:tc>
          <w:tcPr>
            <w:tcW w:w="857"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40,2</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Chudoba pracujúcich (18+)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5,5</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3B4F21">
            <w:pPr>
              <w:jc w:val="left"/>
              <w:rPr>
                <w:color w:val="000000"/>
                <w:sz w:val="20"/>
                <w:szCs w:val="20"/>
              </w:rPr>
            </w:pPr>
            <w:r w:rsidRPr="00AE6EDB">
              <w:rPr>
                <w:color w:val="000000"/>
                <w:sz w:val="20"/>
                <w:szCs w:val="20"/>
              </w:rPr>
              <w:t>Pasca nezamestnanosti</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44,26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44,51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w:t>
            </w:r>
          </w:p>
        </w:tc>
      </w:tr>
      <w:tr w:rsidR="003B4F21" w:rsidRPr="00AE6EDB"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AE6EDB" w:rsidRDefault="003B4F21" w:rsidP="003B4F21">
            <w:pPr>
              <w:jc w:val="left"/>
              <w:rPr>
                <w:b/>
                <w:color w:val="000000"/>
                <w:sz w:val="20"/>
                <w:szCs w:val="20"/>
              </w:rPr>
            </w:pPr>
            <w:r w:rsidRPr="00AE6EDB">
              <w:rPr>
                <w:b/>
                <w:color w:val="000000"/>
                <w:sz w:val="20"/>
                <w:szCs w:val="20"/>
              </w:rPr>
              <w:t>Deprivácia bývaním podľa položiek</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ind w:left="305"/>
              <w:jc w:val="left"/>
              <w:rPr>
                <w:color w:val="000000"/>
                <w:sz w:val="20"/>
                <w:szCs w:val="20"/>
              </w:rPr>
            </w:pPr>
            <w:r w:rsidRPr="00AE6EDB">
              <w:rPr>
                <w:color w:val="000000"/>
                <w:sz w:val="20"/>
                <w:szCs w:val="20"/>
              </w:rPr>
              <w:t xml:space="preserve">zatekajúca strecha, </w:t>
            </w:r>
            <w:r w:rsidR="00F45681" w:rsidRPr="00AE6EDB">
              <w:rPr>
                <w:color w:val="000000"/>
                <w:sz w:val="20"/>
                <w:szCs w:val="20"/>
              </w:rPr>
              <w:t>vlhké</w:t>
            </w:r>
            <w:r w:rsidRPr="00AE6EDB">
              <w:rPr>
                <w:color w:val="000000"/>
                <w:sz w:val="20"/>
                <w:szCs w:val="20"/>
              </w:rPr>
              <w:t xml:space="preserve"> steny (podlaha) základy alebo zahnívajúce </w:t>
            </w:r>
            <w:r w:rsidRPr="00AE6EDB">
              <w:rPr>
                <w:color w:val="000000"/>
                <w:sz w:val="20"/>
                <w:szCs w:val="20"/>
              </w:rPr>
              <w:br/>
              <w:t>okenné rámy</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7,9</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6,9</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-0,5</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-1,0</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ind w:left="305"/>
              <w:jc w:val="left"/>
              <w:rPr>
                <w:color w:val="000000"/>
                <w:sz w:val="20"/>
                <w:szCs w:val="20"/>
              </w:rPr>
            </w:pPr>
            <w:r w:rsidRPr="00AE6EDB">
              <w:rPr>
                <w:color w:val="000000"/>
                <w:sz w:val="20"/>
                <w:szCs w:val="20"/>
              </w:rPr>
              <w:t>nedostatok vane alebo sprchy v obydlí</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0,4</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ind w:left="305"/>
              <w:jc w:val="left"/>
              <w:rPr>
                <w:color w:val="000000"/>
                <w:sz w:val="20"/>
                <w:szCs w:val="20"/>
              </w:rPr>
            </w:pPr>
            <w:r w:rsidRPr="00AE6EDB">
              <w:rPr>
                <w:color w:val="000000"/>
                <w:sz w:val="20"/>
                <w:szCs w:val="20"/>
              </w:rPr>
              <w:t xml:space="preserve">nedostatok </w:t>
            </w:r>
            <w:r w:rsidR="00F45681" w:rsidRPr="00AE6EDB">
              <w:rPr>
                <w:color w:val="000000"/>
                <w:sz w:val="20"/>
                <w:szCs w:val="20"/>
              </w:rPr>
              <w:t>vnútornej</w:t>
            </w:r>
            <w:r w:rsidRPr="00AE6EDB">
              <w:rPr>
                <w:color w:val="000000"/>
                <w:sz w:val="20"/>
                <w:szCs w:val="20"/>
              </w:rPr>
              <w:t xml:space="preserve"> sprchovacej toalety </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1,2</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0,5</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ind w:left="305"/>
              <w:jc w:val="left"/>
              <w:rPr>
                <w:color w:val="000000"/>
                <w:sz w:val="20"/>
                <w:szCs w:val="20"/>
              </w:rPr>
            </w:pPr>
            <w:r w:rsidRPr="00AE6EDB">
              <w:rPr>
                <w:color w:val="000000"/>
                <w:sz w:val="20"/>
                <w:szCs w:val="20"/>
              </w:rPr>
              <w:t>príliš tmavé obydlie</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3,2</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3,4</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3,0</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(celá populácia)</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4,5</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-0,2</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(0-5</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7,0</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6,0</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8,3</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5,7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6,1</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-1,3</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-2,2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(6-11</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10,8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8,9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9,1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8,8</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2,2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(12-17</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8,9</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6,4</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5,6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6,6</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-3,3</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0,2</w:t>
            </w:r>
          </w:p>
        </w:tc>
      </w:tr>
      <w:tr w:rsidR="003B4F21" w:rsidRPr="00AE6EDB" w:rsidTr="00990915">
        <w:trPr>
          <w:trHeight w:val="2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(0-17</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7,9</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8,6</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7,0</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6,7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7,1</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-1,0</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r>
      <w:tr w:rsidR="003B4F21" w:rsidRPr="00AE6EDB" w:rsidTr="00990915">
        <w:trPr>
          <w:trHeight w:val="17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(18-64</w:t>
            </w:r>
            <w:r w:rsidR="00B1146C" w:rsidRPr="00AE6EDB">
              <w:rPr>
                <w:color w:val="000000"/>
                <w:sz w:val="20"/>
                <w:szCs w:val="20"/>
              </w:rPr>
              <w:t xml:space="preserve"> rokov</w:t>
            </w:r>
            <w:r w:rsidRPr="00AE6EDB">
              <w:rPr>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4,2</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4,1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4,3</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3,8</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0,0</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0,1</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-0,3</w:t>
            </w:r>
          </w:p>
        </w:tc>
      </w:tr>
      <w:tr w:rsidR="003B4F21" w:rsidRPr="00AE6EDB" w:rsidTr="00990915">
        <w:trPr>
          <w:trHeight w:val="17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(65+)</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1,6</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0,3</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0,9</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0,0</w:t>
            </w:r>
          </w:p>
        </w:tc>
      </w:tr>
      <w:tr w:rsidR="003B4F21" w:rsidRPr="00AE6EDB" w:rsidTr="00990915">
        <w:trPr>
          <w:trHeight w:val="17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 pod hranicou chudoby</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16,3</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17,5</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15,2</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19,7</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20,8</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18,6</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3,4</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3,3</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3,4</w:t>
            </w:r>
          </w:p>
        </w:tc>
      </w:tr>
      <w:tr w:rsidR="003B4F21" w:rsidRPr="00AE6EDB" w:rsidTr="00990915">
        <w:trPr>
          <w:trHeight w:val="170"/>
          <w:jc w:val="center"/>
        </w:trPr>
        <w:tc>
          <w:tcPr>
            <w:tcW w:w="6729" w:type="dxa"/>
            <w:tcBorders>
              <w:top w:val="nil"/>
              <w:left w:val="single" w:sz="4" w:space="0" w:color="auto"/>
              <w:bottom w:val="single" w:sz="4" w:space="0" w:color="auto"/>
              <w:right w:val="single" w:sz="4" w:space="0" w:color="auto"/>
            </w:tcBorders>
            <w:shd w:val="clear" w:color="000000" w:fill="FFFFFF"/>
            <w:vAlign w:val="center"/>
            <w:hideMark/>
          </w:tcPr>
          <w:p w:rsidR="003B4F21" w:rsidRPr="00AE6EDB" w:rsidRDefault="003B4F21" w:rsidP="00B253E7">
            <w:pPr>
              <w:jc w:val="left"/>
              <w:rPr>
                <w:color w:val="000000"/>
                <w:sz w:val="20"/>
                <w:szCs w:val="20"/>
              </w:rPr>
            </w:pPr>
            <w:r w:rsidRPr="00AE6EDB">
              <w:rPr>
                <w:color w:val="000000"/>
                <w:sz w:val="20"/>
                <w:szCs w:val="20"/>
              </w:rPr>
              <w:t>Závažná deprivácia bývaním</w:t>
            </w:r>
            <w:r w:rsidR="00B253E7">
              <w:rPr>
                <w:color w:val="000000"/>
                <w:sz w:val="20"/>
                <w:szCs w:val="20"/>
              </w:rPr>
              <w:t xml:space="preserve"> </w:t>
            </w:r>
            <w:r w:rsidRPr="00AE6EDB">
              <w:rPr>
                <w:color w:val="000000"/>
                <w:sz w:val="20"/>
                <w:szCs w:val="20"/>
              </w:rPr>
              <w:t>- nad hranicou chudoby</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2,7</w:t>
            </w:r>
          </w:p>
        </w:tc>
        <w:tc>
          <w:tcPr>
            <w:tcW w:w="879"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2,8</w:t>
            </w:r>
          </w:p>
        </w:tc>
        <w:tc>
          <w:tcPr>
            <w:tcW w:w="844"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2,6</w:t>
            </w:r>
          </w:p>
        </w:tc>
        <w:tc>
          <w:tcPr>
            <w:tcW w:w="866"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2,0</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2,1</w:t>
            </w:r>
          </w:p>
        </w:tc>
        <w:tc>
          <w:tcPr>
            <w:tcW w:w="857" w:type="dxa"/>
            <w:tcBorders>
              <w:top w:val="nil"/>
              <w:left w:val="nil"/>
              <w:bottom w:val="single" w:sz="4" w:space="0" w:color="auto"/>
              <w:right w:val="single" w:sz="4" w:space="0" w:color="auto"/>
            </w:tcBorders>
            <w:shd w:val="clear" w:color="000000" w:fill="FFFFFF"/>
            <w:noWrap/>
            <w:vAlign w:val="center"/>
            <w:hideMark/>
          </w:tcPr>
          <w:p w:rsidR="003B4F21" w:rsidRPr="00AE6EDB" w:rsidRDefault="003B4F21" w:rsidP="003B4F21">
            <w:pPr>
              <w:jc w:val="center"/>
              <w:rPr>
                <w:color w:val="000000"/>
                <w:sz w:val="20"/>
                <w:szCs w:val="20"/>
              </w:rPr>
            </w:pPr>
            <w:r w:rsidRPr="00AE6EDB">
              <w:rPr>
                <w:color w:val="000000"/>
                <w:sz w:val="20"/>
                <w:szCs w:val="20"/>
              </w:rPr>
              <w:t>2,0</w:t>
            </w:r>
          </w:p>
        </w:tc>
        <w:tc>
          <w:tcPr>
            <w:tcW w:w="938"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b/>
                <w:bCs/>
                <w:color w:val="000000"/>
                <w:sz w:val="20"/>
                <w:szCs w:val="20"/>
              </w:rPr>
            </w:pPr>
            <w:r w:rsidRPr="00AE6EDB">
              <w:rPr>
                <w:b/>
                <w:bCs/>
                <w:color w:val="000000"/>
                <w:sz w:val="20"/>
                <w:szCs w:val="20"/>
              </w:rPr>
              <w:t>-0,7</w:t>
            </w:r>
          </w:p>
        </w:tc>
        <w:tc>
          <w:tcPr>
            <w:tcW w:w="832"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hideMark/>
          </w:tcPr>
          <w:p w:rsidR="003B4F21" w:rsidRPr="00AE6EDB" w:rsidRDefault="003B4F21" w:rsidP="003B4F21">
            <w:pPr>
              <w:jc w:val="center"/>
              <w:rPr>
                <w:color w:val="000000"/>
                <w:sz w:val="20"/>
                <w:szCs w:val="20"/>
              </w:rPr>
            </w:pPr>
            <w:r w:rsidRPr="00AE6EDB">
              <w:rPr>
                <w:color w:val="000000"/>
                <w:sz w:val="20"/>
                <w:szCs w:val="20"/>
              </w:rPr>
              <w:t>-0,6</w:t>
            </w:r>
          </w:p>
        </w:tc>
      </w:tr>
    </w:tbl>
    <w:p w:rsidR="003B4F21" w:rsidRPr="00AE6EDB" w:rsidRDefault="003B4F21" w:rsidP="000A7585">
      <w:pPr>
        <w:ind w:left="567" w:firstLine="567"/>
        <w:rPr>
          <w:i/>
          <w:sz w:val="20"/>
          <w:szCs w:val="20"/>
        </w:rPr>
      </w:pPr>
    </w:p>
    <w:p w:rsidR="000A7585" w:rsidRPr="00AE6EDB" w:rsidRDefault="000A7585" w:rsidP="000A7585">
      <w:pPr>
        <w:ind w:left="567" w:firstLine="567"/>
        <w:rPr>
          <w:i/>
          <w:sz w:val="20"/>
          <w:szCs w:val="20"/>
        </w:rPr>
      </w:pPr>
      <w:r w:rsidRPr="00AE6EDB">
        <w:rPr>
          <w:i/>
          <w:sz w:val="20"/>
          <w:szCs w:val="20"/>
        </w:rPr>
        <w:t xml:space="preserve">Zdroj: </w:t>
      </w:r>
      <w:proofErr w:type="spellStart"/>
      <w:r w:rsidRPr="00AE6EDB">
        <w:rPr>
          <w:i/>
          <w:sz w:val="20"/>
          <w:szCs w:val="20"/>
        </w:rPr>
        <w:t>Eurostat</w:t>
      </w:r>
      <w:proofErr w:type="spellEnd"/>
    </w:p>
    <w:p w:rsidR="000A7585" w:rsidRPr="00AE6EDB" w:rsidRDefault="000A7585" w:rsidP="000A7585">
      <w:pPr>
        <w:ind w:left="567" w:firstLine="567"/>
        <w:rPr>
          <w:rFonts w:ascii="Times New Roman Bold" w:hAnsi="Times New Roman Bold"/>
          <w:b/>
          <w:bCs/>
          <w:iCs/>
          <w:lang w:eastAsia="cs-CZ"/>
        </w:rPr>
      </w:pPr>
      <w:r w:rsidRPr="00AE6EDB">
        <w:rPr>
          <w:i/>
          <w:sz w:val="20"/>
          <w:szCs w:val="20"/>
        </w:rPr>
        <w:t>Vysvetlivky: u –malá spoľahlivosť, b – prerušenie v časovom rade, n – nie sú významné</w:t>
      </w:r>
    </w:p>
    <w:p w:rsidR="000A7585" w:rsidRPr="00AE6EDB" w:rsidRDefault="000A7585" w:rsidP="000A7585">
      <w:pPr>
        <w:spacing w:before="45"/>
        <w:ind w:left="720" w:firstLine="720"/>
        <w:rPr>
          <w:color w:val="000000" w:themeColor="text1"/>
          <w:sz w:val="20"/>
          <w:szCs w:val="20"/>
          <w:highlight w:val="cyan"/>
        </w:rPr>
      </w:pPr>
    </w:p>
    <w:p w:rsidR="00352824" w:rsidRDefault="00352824" w:rsidP="000A7585">
      <w:pPr>
        <w:pStyle w:val="Nadpis7"/>
        <w:rPr>
          <w:color w:val="000000" w:themeColor="text1"/>
          <w:highlight w:val="cyan"/>
        </w:rPr>
        <w:sectPr w:rsidR="00352824" w:rsidSect="004F3C97">
          <w:headerReference w:type="default" r:id="rId120"/>
          <w:headerReference w:type="first" r:id="rId121"/>
          <w:pgSz w:w="16838" w:h="11906" w:orient="landscape"/>
          <w:pgMar w:top="1417" w:right="1417" w:bottom="1417" w:left="1417" w:header="708" w:footer="708" w:gutter="0"/>
          <w:cols w:space="708"/>
          <w:titlePg/>
          <w:docGrid w:linePitch="360"/>
        </w:sectPr>
      </w:pPr>
    </w:p>
    <w:p w:rsidR="000A7585" w:rsidRPr="00AE6EDB" w:rsidRDefault="000A7585" w:rsidP="000A7585">
      <w:pP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7156DC" w:rsidRDefault="000A7585" w:rsidP="000A7585">
      <w:pPr>
        <w:pStyle w:val="Nadpis1"/>
        <w:numPr>
          <w:ilvl w:val="0"/>
          <w:numId w:val="0"/>
        </w:numPr>
        <w:ind w:left="432"/>
        <w:jc w:val="center"/>
        <w:rPr>
          <w:sz w:val="21"/>
        </w:rPr>
      </w:pPr>
      <w:bookmarkStart w:id="898" w:name="_Toc387413127"/>
      <w:bookmarkStart w:id="899" w:name="_Toc387659193"/>
      <w:bookmarkStart w:id="900" w:name="_Toc388534248"/>
      <w:bookmarkStart w:id="901" w:name="_Toc389646870"/>
      <w:bookmarkStart w:id="902" w:name="_Toc394062248"/>
      <w:bookmarkStart w:id="903" w:name="_Toc418672290"/>
      <w:bookmarkStart w:id="904" w:name="_Toc419355275"/>
      <w:bookmarkStart w:id="905" w:name="_Toc419795398"/>
      <w:bookmarkStart w:id="906" w:name="_Toc422151018"/>
      <w:bookmarkStart w:id="907" w:name="_Toc422233458"/>
      <w:bookmarkStart w:id="908" w:name="_Toc452469917"/>
      <w:r w:rsidRPr="007156DC">
        <w:t>Príloha ku kapitole 5</w:t>
      </w:r>
      <w:bookmarkEnd w:id="898"/>
      <w:bookmarkEnd w:id="899"/>
      <w:bookmarkEnd w:id="900"/>
      <w:bookmarkEnd w:id="901"/>
      <w:bookmarkEnd w:id="902"/>
      <w:bookmarkEnd w:id="903"/>
      <w:bookmarkEnd w:id="904"/>
      <w:bookmarkEnd w:id="905"/>
      <w:bookmarkEnd w:id="906"/>
      <w:bookmarkEnd w:id="907"/>
      <w:bookmarkEnd w:id="908"/>
    </w:p>
    <w:p w:rsidR="00352824" w:rsidRPr="007156DC" w:rsidRDefault="00352824" w:rsidP="000A7585">
      <w:pPr>
        <w:spacing w:after="120"/>
        <w:rPr>
          <w:b/>
          <w:sz w:val="21"/>
        </w:rPr>
        <w:sectPr w:rsidR="00352824" w:rsidRPr="007156DC" w:rsidSect="004F3C97">
          <w:headerReference w:type="even" r:id="rId122"/>
          <w:headerReference w:type="default" r:id="rId123"/>
          <w:headerReference w:type="first" r:id="rId124"/>
          <w:type w:val="oddPage"/>
          <w:pgSz w:w="11906" w:h="16838"/>
          <w:pgMar w:top="1417" w:right="1417" w:bottom="1417" w:left="1417" w:header="708" w:footer="708" w:gutter="0"/>
          <w:cols w:space="708"/>
          <w:titlePg/>
          <w:docGrid w:linePitch="360"/>
        </w:sectPr>
      </w:pPr>
    </w:p>
    <w:p w:rsidR="000A7585" w:rsidRPr="007156DC" w:rsidRDefault="000A7585" w:rsidP="000A7585">
      <w:pPr>
        <w:spacing w:after="120"/>
        <w:rPr>
          <w:b/>
          <w:sz w:val="21"/>
        </w:rPr>
        <w:sectPr w:rsidR="000A7585" w:rsidRPr="007156DC" w:rsidSect="00352824">
          <w:type w:val="evenPage"/>
          <w:pgSz w:w="11906" w:h="16838"/>
          <w:pgMar w:top="1417" w:right="1417" w:bottom="1417" w:left="1417" w:header="708" w:footer="708" w:gutter="0"/>
          <w:cols w:space="708"/>
          <w:titlePg/>
          <w:docGrid w:linePitch="360"/>
        </w:sectPr>
      </w:pPr>
    </w:p>
    <w:p w:rsidR="000A7585" w:rsidRPr="007156DC" w:rsidRDefault="000A7585" w:rsidP="00326DA1">
      <w:pPr>
        <w:pStyle w:val="Nadpis7"/>
        <w:spacing w:before="0" w:after="90"/>
      </w:pPr>
      <w:r w:rsidRPr="007156DC">
        <w:t xml:space="preserve">Tabuľka 1 Porovnanie vybraných indikátorov v kontexte stratégie Európa 2020 medzi krajinami EU28 v  roku </w:t>
      </w:r>
      <w:r w:rsidR="007156DC" w:rsidRPr="007156DC">
        <w:t xml:space="preserve">2015 </w:t>
      </w:r>
      <w:r w:rsidRPr="007156DC">
        <w:t>- makroekonomické prostredie</w:t>
      </w:r>
    </w:p>
    <w:tbl>
      <w:tblPr>
        <w:tblW w:w="14824" w:type="dxa"/>
        <w:jc w:val="center"/>
        <w:tblCellMar>
          <w:left w:w="28" w:type="dxa"/>
          <w:right w:w="28" w:type="dxa"/>
        </w:tblCellMar>
        <w:tblLook w:val="04A0" w:firstRow="1" w:lastRow="0" w:firstColumn="1" w:lastColumn="0" w:noHBand="0" w:noVBand="1"/>
      </w:tblPr>
      <w:tblGrid>
        <w:gridCol w:w="2974"/>
        <w:gridCol w:w="429"/>
        <w:gridCol w:w="461"/>
        <w:gridCol w:w="425"/>
        <w:gridCol w:w="425"/>
        <w:gridCol w:w="563"/>
        <w:gridCol w:w="423"/>
        <w:gridCol w:w="423"/>
        <w:gridCol w:w="461"/>
        <w:gridCol w:w="461"/>
        <w:gridCol w:w="371"/>
        <w:gridCol w:w="381"/>
        <w:gridCol w:w="371"/>
        <w:gridCol w:w="461"/>
        <w:gridCol w:w="461"/>
        <w:gridCol w:w="424"/>
        <w:gridCol w:w="371"/>
        <w:gridCol w:w="372"/>
        <w:gridCol w:w="371"/>
        <w:gridCol w:w="371"/>
        <w:gridCol w:w="371"/>
        <w:gridCol w:w="371"/>
        <w:gridCol w:w="371"/>
        <w:gridCol w:w="461"/>
        <w:gridCol w:w="371"/>
        <w:gridCol w:w="396"/>
        <w:gridCol w:w="371"/>
        <w:gridCol w:w="371"/>
        <w:gridCol w:w="371"/>
        <w:gridCol w:w="371"/>
      </w:tblGrid>
      <w:tr w:rsidR="000A7585" w:rsidRPr="007156DC" w:rsidTr="00C92293">
        <w:trPr>
          <w:trHeight w:val="285"/>
          <w:jc w:val="center"/>
        </w:trPr>
        <w:tc>
          <w:tcPr>
            <w:tcW w:w="2974" w:type="dxa"/>
            <w:tcBorders>
              <w:top w:val="single" w:sz="4" w:space="0" w:color="auto"/>
              <w:left w:val="single" w:sz="4" w:space="0" w:color="auto"/>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 </w:t>
            </w:r>
          </w:p>
        </w:tc>
        <w:tc>
          <w:tcPr>
            <w:tcW w:w="42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eu28</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be</w:t>
            </w:r>
            <w:proofErr w:type="spellEnd"/>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bg</w:t>
            </w:r>
            <w:proofErr w:type="spellEnd"/>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cz</w:t>
            </w:r>
            <w:proofErr w:type="spellEnd"/>
          </w:p>
        </w:tc>
        <w:tc>
          <w:tcPr>
            <w:tcW w:w="56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dk</w:t>
            </w:r>
            <w:proofErr w:type="spellEnd"/>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de</w:t>
            </w:r>
            <w:proofErr w:type="spellEnd"/>
            <w:r w:rsidRPr="007156DC">
              <w:rPr>
                <w:b/>
                <w:bCs/>
                <w:sz w:val="16"/>
                <w:szCs w:val="20"/>
              </w:rPr>
              <w:t xml:space="preserve"> </w:t>
            </w:r>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ee</w:t>
            </w:r>
            <w:proofErr w:type="spellEnd"/>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ie</w:t>
            </w:r>
            <w:proofErr w:type="spellEnd"/>
            <w:r w:rsidRPr="007156DC">
              <w:rPr>
                <w:b/>
                <w:bCs/>
                <w:sz w:val="16"/>
                <w:szCs w:val="20"/>
              </w:rPr>
              <w:t xml:space="preserve"> </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7156DC" w:rsidP="00DE0EEC">
            <w:pPr>
              <w:jc w:val="center"/>
              <w:rPr>
                <w:b/>
                <w:bCs/>
                <w:sz w:val="16"/>
                <w:szCs w:val="20"/>
              </w:rPr>
            </w:pPr>
            <w:proofErr w:type="spellStart"/>
            <w:r w:rsidRPr="007156DC">
              <w:rPr>
                <w:b/>
                <w:bCs/>
                <w:sz w:val="16"/>
                <w:szCs w:val="20"/>
              </w:rPr>
              <w:t>gr</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es</w:t>
            </w:r>
          </w:p>
        </w:tc>
        <w:tc>
          <w:tcPr>
            <w:tcW w:w="38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fr</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hr</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it</w:t>
            </w:r>
            <w:proofErr w:type="spellEnd"/>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cy</w:t>
            </w:r>
            <w:proofErr w:type="spellEnd"/>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lv</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lt</w:t>
            </w:r>
            <w:proofErr w:type="spellEnd"/>
            <w:r w:rsidRPr="007156DC">
              <w:rPr>
                <w:b/>
                <w:bCs/>
                <w:sz w:val="16"/>
                <w:szCs w:val="20"/>
              </w:rPr>
              <w:t xml:space="preserve"> </w:t>
            </w:r>
          </w:p>
        </w:tc>
        <w:tc>
          <w:tcPr>
            <w:tcW w:w="37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lu</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hu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mt</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nl</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at</w:t>
            </w:r>
            <w:proofErr w:type="spellEnd"/>
            <w:r w:rsidRPr="007156DC">
              <w:rPr>
                <w:b/>
                <w:bCs/>
                <w:sz w:val="16"/>
                <w:szCs w:val="20"/>
              </w:rPr>
              <w:t xml:space="preserve"> </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pl</w:t>
            </w:r>
            <w:proofErr w:type="spellEnd"/>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pt</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ro</w:t>
            </w:r>
            <w:proofErr w:type="spellEnd"/>
          </w:p>
        </w:tc>
        <w:tc>
          <w:tcPr>
            <w:tcW w:w="39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si</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2"/>
              </w:rPr>
            </w:pPr>
            <w:proofErr w:type="spellStart"/>
            <w:r w:rsidRPr="007156DC">
              <w:rPr>
                <w:b/>
                <w:bCs/>
                <w:sz w:val="16"/>
                <w:szCs w:val="22"/>
              </w:rPr>
              <w:t>sk</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fi</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se</w:t>
            </w:r>
            <w:proofErr w:type="spellEnd"/>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uk</w:t>
            </w:r>
            <w:proofErr w:type="spellEnd"/>
            <w:r w:rsidRPr="007156DC">
              <w:rPr>
                <w:b/>
                <w:bCs/>
                <w:sz w:val="16"/>
                <w:szCs w:val="20"/>
              </w:rPr>
              <w:t xml:space="preserve"> </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DE0EEC">
            <w:pPr>
              <w:jc w:val="left"/>
              <w:rPr>
                <w:b/>
                <w:bCs/>
                <w:sz w:val="16"/>
                <w:szCs w:val="18"/>
              </w:rPr>
            </w:pPr>
            <w:r w:rsidRPr="007156DC">
              <w:rPr>
                <w:b/>
                <w:bCs/>
                <w:sz w:val="16"/>
                <w:szCs w:val="18"/>
              </w:rPr>
              <w:t>HDP na hlavu v PPS</w:t>
            </w:r>
          </w:p>
        </w:tc>
        <w:tc>
          <w:tcPr>
            <w:tcW w:w="429"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100</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119</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47</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85</w:t>
            </w:r>
          </w:p>
        </w:tc>
        <w:tc>
          <w:tcPr>
            <w:tcW w:w="56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125</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124</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134</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91</w:t>
            </w:r>
          </w:p>
        </w:tc>
        <w:tc>
          <w:tcPr>
            <w:tcW w:w="38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107</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59</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82</w:t>
            </w:r>
          </w:p>
        </w:tc>
        <w:tc>
          <w:tcPr>
            <w:tcW w:w="424"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75</w:t>
            </w:r>
          </w:p>
        </w:tc>
        <w:tc>
          <w:tcPr>
            <w:tcW w:w="372"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266</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131</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130</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55</w:t>
            </w:r>
          </w:p>
        </w:tc>
        <w:tc>
          <w:tcPr>
            <w:tcW w:w="396"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83</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77</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110</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109</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DE0EEC">
            <w:pPr>
              <w:jc w:val="left"/>
              <w:rPr>
                <w:b/>
                <w:bCs/>
                <w:sz w:val="16"/>
                <w:szCs w:val="18"/>
              </w:rPr>
            </w:pPr>
            <w:r w:rsidRPr="007156DC">
              <w:rPr>
                <w:b/>
                <w:bCs/>
                <w:sz w:val="16"/>
                <w:szCs w:val="18"/>
              </w:rPr>
              <w:t>Rast reálneho HDP (%)</w:t>
            </w:r>
          </w:p>
        </w:tc>
        <w:tc>
          <w:tcPr>
            <w:tcW w:w="429"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1,9</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1,4</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3,0</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4,2</w:t>
            </w:r>
          </w:p>
        </w:tc>
        <w:tc>
          <w:tcPr>
            <w:tcW w:w="56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1,1</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-0,2</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3,2</w:t>
            </w:r>
          </w:p>
        </w:tc>
        <w:tc>
          <w:tcPr>
            <w:tcW w:w="38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1,6</w:t>
            </w:r>
          </w:p>
        </w:tc>
        <w:tc>
          <w:tcPr>
            <w:tcW w:w="424"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2,7</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1,6</w:t>
            </w:r>
          </w:p>
        </w:tc>
        <w:tc>
          <w:tcPr>
            <w:tcW w:w="372"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2,0</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3,8</w:t>
            </w:r>
          </w:p>
        </w:tc>
        <w:tc>
          <w:tcPr>
            <w:tcW w:w="396"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2,9</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3,6</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4,1</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2,3</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B15463">
            <w:pPr>
              <w:jc w:val="left"/>
              <w:rPr>
                <w:b/>
                <w:bCs/>
                <w:sz w:val="16"/>
                <w:szCs w:val="18"/>
              </w:rPr>
            </w:pPr>
            <w:r w:rsidRPr="007156DC">
              <w:rPr>
                <w:b/>
                <w:bCs/>
                <w:sz w:val="16"/>
                <w:szCs w:val="18"/>
              </w:rPr>
              <w:t xml:space="preserve">Rast reálneho HDP </w:t>
            </w:r>
            <w:r w:rsidRPr="007156DC">
              <w:rPr>
                <w:bCs/>
                <w:sz w:val="20"/>
                <w:szCs w:val="16"/>
              </w:rPr>
              <w:t>–</w:t>
            </w:r>
            <w:r w:rsidRPr="007156DC">
              <w:rPr>
                <w:b/>
                <w:bCs/>
                <w:sz w:val="16"/>
                <w:szCs w:val="18"/>
              </w:rPr>
              <w:t xml:space="preserve"> predpoveď na 2016</w:t>
            </w:r>
          </w:p>
        </w:tc>
        <w:tc>
          <w:tcPr>
            <w:tcW w:w="429"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2,0</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2,1</w:t>
            </w:r>
          </w:p>
        </w:tc>
        <w:tc>
          <w:tcPr>
            <w:tcW w:w="56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1,6</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1,9</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4,9</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2,6</w:t>
            </w:r>
          </w:p>
        </w:tc>
        <w:tc>
          <w:tcPr>
            <w:tcW w:w="38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1,1</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w:t>
            </w:r>
          </w:p>
        </w:tc>
        <w:tc>
          <w:tcPr>
            <w:tcW w:w="424"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2,8</w:t>
            </w:r>
          </w:p>
        </w:tc>
        <w:tc>
          <w:tcPr>
            <w:tcW w:w="372"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4,1</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3,7</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4,2</w:t>
            </w:r>
          </w:p>
        </w:tc>
        <w:tc>
          <w:tcPr>
            <w:tcW w:w="396"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3,2</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0,7</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1,8</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326DA1">
            <w:pPr>
              <w:jc w:val="left"/>
              <w:rPr>
                <w:b/>
                <w:bCs/>
                <w:sz w:val="16"/>
                <w:szCs w:val="18"/>
              </w:rPr>
            </w:pPr>
            <w:r w:rsidRPr="007156DC">
              <w:rPr>
                <w:b/>
                <w:bCs/>
                <w:sz w:val="16"/>
                <w:szCs w:val="18"/>
              </w:rPr>
              <w:t xml:space="preserve">Rast zamestnanosti (%) </w:t>
            </w:r>
          </w:p>
        </w:tc>
        <w:tc>
          <w:tcPr>
            <w:tcW w:w="429"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0,9</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0,4</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w:t>
            </w:r>
          </w:p>
        </w:tc>
        <w:tc>
          <w:tcPr>
            <w:tcW w:w="56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1,1</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0,8</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2,9</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2,9</w:t>
            </w:r>
          </w:p>
        </w:tc>
        <w:tc>
          <w:tcPr>
            <w:tcW w:w="38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0,6</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0,9</w:t>
            </w:r>
          </w:p>
        </w:tc>
        <w:tc>
          <w:tcPr>
            <w:tcW w:w="424"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w:t>
            </w:r>
          </w:p>
        </w:tc>
        <w:tc>
          <w:tcPr>
            <w:tcW w:w="372"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0,6</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1,4</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-0,9</w:t>
            </w:r>
          </w:p>
        </w:tc>
        <w:tc>
          <w:tcPr>
            <w:tcW w:w="396"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1,4</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2,0</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-0,3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1,5</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1,5</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DE0EEC">
            <w:pPr>
              <w:jc w:val="left"/>
              <w:rPr>
                <w:b/>
                <w:bCs/>
                <w:sz w:val="16"/>
                <w:szCs w:val="18"/>
              </w:rPr>
            </w:pPr>
            <w:r w:rsidRPr="007156DC">
              <w:rPr>
                <w:b/>
                <w:bCs/>
                <w:sz w:val="16"/>
                <w:szCs w:val="18"/>
              </w:rPr>
              <w:t>Harmonizovaná miera inflácie</w:t>
            </w:r>
          </w:p>
        </w:tc>
        <w:tc>
          <w:tcPr>
            <w:tcW w:w="429"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0,0</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0,6</w:t>
            </w:r>
          </w:p>
        </w:tc>
        <w:tc>
          <w:tcPr>
            <w:tcW w:w="425"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-1,1</w:t>
            </w:r>
          </w:p>
        </w:tc>
        <w:tc>
          <w:tcPr>
            <w:tcW w:w="425"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0,3</w:t>
            </w:r>
          </w:p>
        </w:tc>
        <w:tc>
          <w:tcPr>
            <w:tcW w:w="56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0,2</w:t>
            </w:r>
          </w:p>
        </w:tc>
        <w:tc>
          <w:tcPr>
            <w:tcW w:w="42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42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0,0</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-1,1</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-0,6</w:t>
            </w:r>
          </w:p>
        </w:tc>
        <w:tc>
          <w:tcPr>
            <w:tcW w:w="38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-0,3</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-1,5</w:t>
            </w:r>
          </w:p>
        </w:tc>
        <w:tc>
          <w:tcPr>
            <w:tcW w:w="424"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-0,7</w:t>
            </w:r>
          </w:p>
        </w:tc>
        <w:tc>
          <w:tcPr>
            <w:tcW w:w="372"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0,1</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0,8</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-0,7</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0,5</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-0,4</w:t>
            </w:r>
          </w:p>
        </w:tc>
        <w:tc>
          <w:tcPr>
            <w:tcW w:w="396"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-0,8</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-0,3</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0,7</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0,0</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DE0EEC">
            <w:pPr>
              <w:jc w:val="left"/>
              <w:rPr>
                <w:b/>
                <w:bCs/>
                <w:sz w:val="16"/>
                <w:szCs w:val="18"/>
              </w:rPr>
            </w:pPr>
            <w:r w:rsidRPr="007156DC">
              <w:rPr>
                <w:b/>
                <w:bCs/>
                <w:sz w:val="16"/>
                <w:szCs w:val="18"/>
              </w:rPr>
              <w:t>Saldo verejných financií (%HDP)</w:t>
            </w:r>
          </w:p>
        </w:tc>
        <w:tc>
          <w:tcPr>
            <w:tcW w:w="429"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-2,4</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-2,6</w:t>
            </w:r>
          </w:p>
        </w:tc>
        <w:tc>
          <w:tcPr>
            <w:tcW w:w="425"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-2,1</w:t>
            </w:r>
          </w:p>
        </w:tc>
        <w:tc>
          <w:tcPr>
            <w:tcW w:w="425"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-0,4</w:t>
            </w:r>
          </w:p>
        </w:tc>
        <w:tc>
          <w:tcPr>
            <w:tcW w:w="56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-2,1</w:t>
            </w:r>
          </w:p>
        </w:tc>
        <w:tc>
          <w:tcPr>
            <w:tcW w:w="42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0,7</w:t>
            </w:r>
          </w:p>
        </w:tc>
        <w:tc>
          <w:tcPr>
            <w:tcW w:w="423"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0,4</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-2,3</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-7,2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-5,1</w:t>
            </w:r>
          </w:p>
        </w:tc>
        <w:tc>
          <w:tcPr>
            <w:tcW w:w="38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-3,5</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-2,6</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-1,0</w:t>
            </w:r>
          </w:p>
        </w:tc>
        <w:tc>
          <w:tcPr>
            <w:tcW w:w="424"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-1,3</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-0,2</w:t>
            </w:r>
          </w:p>
        </w:tc>
        <w:tc>
          <w:tcPr>
            <w:tcW w:w="372"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-2,0</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-1,5</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-1,8</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-1,2</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-2,6</w:t>
            </w:r>
          </w:p>
        </w:tc>
        <w:tc>
          <w:tcPr>
            <w:tcW w:w="46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-4,4</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-0,7</w:t>
            </w:r>
          </w:p>
        </w:tc>
        <w:tc>
          <w:tcPr>
            <w:tcW w:w="396"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-2,9</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-3,0</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-2,7</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0,0</w:t>
            </w:r>
          </w:p>
        </w:tc>
        <w:tc>
          <w:tcPr>
            <w:tcW w:w="371" w:type="dxa"/>
            <w:tcBorders>
              <w:top w:val="nil"/>
              <w:left w:val="nil"/>
              <w:bottom w:val="single" w:sz="4" w:space="0" w:color="auto"/>
              <w:right w:val="single" w:sz="4" w:space="0" w:color="auto"/>
            </w:tcBorders>
            <w:shd w:val="clear" w:color="auto" w:fill="auto"/>
          </w:tcPr>
          <w:p w:rsidR="00C92293" w:rsidRDefault="00C92293">
            <w:pPr>
              <w:jc w:val="center"/>
              <w:rPr>
                <w:sz w:val="18"/>
                <w:szCs w:val="18"/>
              </w:rPr>
            </w:pPr>
            <w:r>
              <w:rPr>
                <w:sz w:val="18"/>
                <w:szCs w:val="18"/>
              </w:rPr>
              <w:t>-4,4</w:t>
            </w:r>
          </w:p>
        </w:tc>
      </w:tr>
      <w:tr w:rsidR="00C92293" w:rsidRPr="007156DC" w:rsidTr="00C9229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293" w:rsidRPr="007156DC" w:rsidRDefault="00C92293" w:rsidP="00DE0EEC">
            <w:pPr>
              <w:jc w:val="left"/>
              <w:rPr>
                <w:b/>
                <w:bCs/>
                <w:sz w:val="16"/>
                <w:szCs w:val="18"/>
              </w:rPr>
            </w:pPr>
            <w:r w:rsidRPr="007156DC">
              <w:rPr>
                <w:b/>
                <w:bCs/>
                <w:sz w:val="16"/>
                <w:szCs w:val="18"/>
              </w:rPr>
              <w:t>Verejný dlh (%HDP)</w:t>
            </w:r>
          </w:p>
        </w:tc>
        <w:tc>
          <w:tcPr>
            <w:tcW w:w="429"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85,2</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106</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26,7</w:t>
            </w:r>
          </w:p>
        </w:tc>
        <w:tc>
          <w:tcPr>
            <w:tcW w:w="425"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41,1</w:t>
            </w:r>
          </w:p>
        </w:tc>
        <w:tc>
          <w:tcPr>
            <w:tcW w:w="56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40,2</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71,2</w:t>
            </w:r>
          </w:p>
        </w:tc>
        <w:tc>
          <w:tcPr>
            <w:tcW w:w="423"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9,7</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93,8</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176,9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99,2</w:t>
            </w:r>
          </w:p>
        </w:tc>
        <w:tc>
          <w:tcPr>
            <w:tcW w:w="38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95,8</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86,7</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132,7</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109</w:t>
            </w:r>
          </w:p>
        </w:tc>
        <w:tc>
          <w:tcPr>
            <w:tcW w:w="424"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36,4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42,7</w:t>
            </w:r>
          </w:p>
        </w:tc>
        <w:tc>
          <w:tcPr>
            <w:tcW w:w="372"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21,4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75,3</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65,1</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86,2</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51,3</w:t>
            </w:r>
          </w:p>
        </w:tc>
        <w:tc>
          <w:tcPr>
            <w:tcW w:w="46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129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38,4</w:t>
            </w:r>
          </w:p>
        </w:tc>
        <w:tc>
          <w:tcPr>
            <w:tcW w:w="396"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83,2</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tcPr>
          <w:p w:rsidR="00C92293" w:rsidRDefault="00C92293">
            <w:pPr>
              <w:jc w:val="center"/>
              <w:rPr>
                <w:b/>
                <w:bCs/>
                <w:sz w:val="18"/>
                <w:szCs w:val="18"/>
              </w:rPr>
            </w:pPr>
            <w:r>
              <w:rPr>
                <w:b/>
                <w:bCs/>
                <w:sz w:val="18"/>
                <w:szCs w:val="18"/>
              </w:rPr>
              <w:t>52,9</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63,1</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43,4</w:t>
            </w:r>
          </w:p>
        </w:tc>
        <w:tc>
          <w:tcPr>
            <w:tcW w:w="371" w:type="dxa"/>
            <w:tcBorders>
              <w:top w:val="nil"/>
              <w:left w:val="nil"/>
              <w:bottom w:val="single" w:sz="4" w:space="0" w:color="auto"/>
              <w:right w:val="single" w:sz="4" w:space="0" w:color="auto"/>
            </w:tcBorders>
            <w:shd w:val="clear" w:color="auto" w:fill="auto"/>
            <w:noWrap/>
          </w:tcPr>
          <w:p w:rsidR="00C92293" w:rsidRDefault="00C92293">
            <w:pPr>
              <w:jc w:val="center"/>
              <w:rPr>
                <w:sz w:val="18"/>
                <w:szCs w:val="18"/>
              </w:rPr>
            </w:pPr>
            <w:r>
              <w:rPr>
                <w:sz w:val="18"/>
                <w:szCs w:val="18"/>
              </w:rPr>
              <w:t>89,2</w:t>
            </w:r>
          </w:p>
        </w:tc>
      </w:tr>
    </w:tbl>
    <w:p w:rsidR="000A7585" w:rsidRPr="007156DC" w:rsidRDefault="000A7585" w:rsidP="00326DA1">
      <w:pPr>
        <w:pStyle w:val="zdroj"/>
        <w:spacing w:before="0" w:after="180"/>
      </w:pPr>
      <w:r w:rsidRPr="007156DC">
        <w:t xml:space="preserve">Zdroj: </w:t>
      </w:r>
      <w:proofErr w:type="spellStart"/>
      <w:r w:rsidRPr="007156DC">
        <w:t>Eurostat</w:t>
      </w:r>
      <w:proofErr w:type="spellEnd"/>
    </w:p>
    <w:p w:rsidR="000A7585" w:rsidRPr="007156DC" w:rsidRDefault="000A7585" w:rsidP="00326DA1">
      <w:pPr>
        <w:pStyle w:val="Nadpis7"/>
        <w:spacing w:before="180" w:after="60"/>
      </w:pPr>
      <w:r w:rsidRPr="007156DC">
        <w:t xml:space="preserve">Tabuľka 2 Porovnanie vybraných indikátorov v kontexte stratégie Európa 2020 medzi krajinami EU28 v poslednom dostupnom roku - </w:t>
      </w:r>
      <w:r w:rsidRPr="007156DC">
        <w:br/>
        <w:t>inteligentný a inkluzívny rast</w:t>
      </w:r>
    </w:p>
    <w:tbl>
      <w:tblPr>
        <w:tblW w:w="5199" w:type="pct"/>
        <w:jc w:val="center"/>
        <w:tblInd w:w="-666" w:type="dxa"/>
        <w:tblCellMar>
          <w:left w:w="0" w:type="dxa"/>
          <w:right w:w="0" w:type="dxa"/>
        </w:tblCellMar>
        <w:tblLook w:val="04A0" w:firstRow="1" w:lastRow="0" w:firstColumn="1" w:lastColumn="0" w:noHBand="0" w:noVBand="1"/>
      </w:tblPr>
      <w:tblGrid>
        <w:gridCol w:w="2155"/>
        <w:gridCol w:w="432"/>
        <w:gridCol w:w="418"/>
        <w:gridCol w:w="415"/>
        <w:gridCol w:w="415"/>
        <w:gridCol w:w="415"/>
        <w:gridCol w:w="415"/>
        <w:gridCol w:w="411"/>
        <w:gridCol w:w="408"/>
        <w:gridCol w:w="408"/>
        <w:gridCol w:w="408"/>
        <w:gridCol w:w="408"/>
        <w:gridCol w:w="408"/>
        <w:gridCol w:w="408"/>
        <w:gridCol w:w="408"/>
        <w:gridCol w:w="408"/>
        <w:gridCol w:w="370"/>
        <w:gridCol w:w="408"/>
        <w:gridCol w:w="450"/>
        <w:gridCol w:w="469"/>
        <w:gridCol w:w="408"/>
        <w:gridCol w:w="411"/>
        <w:gridCol w:w="411"/>
        <w:gridCol w:w="411"/>
        <w:gridCol w:w="411"/>
        <w:gridCol w:w="411"/>
        <w:gridCol w:w="411"/>
        <w:gridCol w:w="411"/>
        <w:gridCol w:w="411"/>
        <w:gridCol w:w="411"/>
        <w:gridCol w:w="428"/>
      </w:tblGrid>
      <w:tr w:rsidR="00C92293" w:rsidRPr="007156DC" w:rsidTr="00C92293">
        <w:trPr>
          <w:trHeight w:val="255"/>
          <w:tblHeader/>
          <w:jc w:val="center"/>
        </w:trPr>
        <w:tc>
          <w:tcPr>
            <w:tcW w:w="738" w:type="pct"/>
            <w:tcBorders>
              <w:top w:val="single" w:sz="4" w:space="0" w:color="auto"/>
              <w:left w:val="single" w:sz="4" w:space="0" w:color="auto"/>
              <w:bottom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 </w:t>
            </w:r>
          </w:p>
        </w:tc>
        <w:tc>
          <w:tcPr>
            <w:tcW w:w="148"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 </w:t>
            </w:r>
          </w:p>
        </w:tc>
        <w:tc>
          <w:tcPr>
            <w:tcW w:w="143"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eu28</w:t>
            </w:r>
          </w:p>
        </w:tc>
        <w:tc>
          <w:tcPr>
            <w:tcW w:w="142"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be</w:t>
            </w:r>
            <w:proofErr w:type="spellEnd"/>
          </w:p>
        </w:tc>
        <w:tc>
          <w:tcPr>
            <w:tcW w:w="142"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bg</w:t>
            </w:r>
            <w:proofErr w:type="spellEnd"/>
          </w:p>
        </w:tc>
        <w:tc>
          <w:tcPr>
            <w:tcW w:w="142"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cz</w:t>
            </w:r>
            <w:proofErr w:type="spellEnd"/>
          </w:p>
        </w:tc>
        <w:tc>
          <w:tcPr>
            <w:tcW w:w="142"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dk</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de</w:t>
            </w:r>
            <w:proofErr w:type="spellEnd"/>
            <w:r w:rsidRPr="007156DC">
              <w:rPr>
                <w:b/>
                <w:bCs/>
                <w:sz w:val="16"/>
                <w:szCs w:val="20"/>
              </w:rPr>
              <w:t xml:space="preserve"> </w:t>
            </w:r>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ee</w:t>
            </w:r>
            <w:proofErr w:type="spellEnd"/>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ie</w:t>
            </w:r>
            <w:proofErr w:type="spellEnd"/>
            <w:r w:rsidRPr="007156DC">
              <w:rPr>
                <w:b/>
                <w:bCs/>
                <w:sz w:val="16"/>
                <w:szCs w:val="20"/>
              </w:rPr>
              <w:t xml:space="preserve"> </w:t>
            </w:r>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6F10E1" w:rsidP="006F10E1">
            <w:pPr>
              <w:jc w:val="center"/>
              <w:rPr>
                <w:b/>
                <w:bCs/>
                <w:sz w:val="16"/>
                <w:szCs w:val="20"/>
              </w:rPr>
            </w:pPr>
            <w:proofErr w:type="spellStart"/>
            <w:r>
              <w:rPr>
                <w:b/>
                <w:bCs/>
                <w:sz w:val="16"/>
                <w:szCs w:val="20"/>
              </w:rPr>
              <w:t>gr</w:t>
            </w:r>
            <w:proofErr w:type="spellEnd"/>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es</w:t>
            </w:r>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fr</w:t>
            </w:r>
            <w:proofErr w:type="spellEnd"/>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hr</w:t>
            </w:r>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it</w:t>
            </w:r>
            <w:proofErr w:type="spellEnd"/>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cy</w:t>
            </w:r>
            <w:proofErr w:type="spellEnd"/>
          </w:p>
        </w:tc>
        <w:tc>
          <w:tcPr>
            <w:tcW w:w="127"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lv</w:t>
            </w:r>
            <w:proofErr w:type="spellEnd"/>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lt</w:t>
            </w:r>
            <w:proofErr w:type="spellEnd"/>
            <w:r w:rsidRPr="007156DC">
              <w:rPr>
                <w:b/>
                <w:bCs/>
                <w:sz w:val="16"/>
                <w:szCs w:val="20"/>
              </w:rPr>
              <w:t xml:space="preserve"> </w:t>
            </w:r>
          </w:p>
        </w:tc>
        <w:tc>
          <w:tcPr>
            <w:tcW w:w="154"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lu</w:t>
            </w:r>
            <w:proofErr w:type="spellEnd"/>
          </w:p>
        </w:tc>
        <w:tc>
          <w:tcPr>
            <w:tcW w:w="16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hu</w:t>
            </w:r>
          </w:p>
        </w:tc>
        <w:tc>
          <w:tcPr>
            <w:tcW w:w="140"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mt</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nl</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at</w:t>
            </w:r>
            <w:proofErr w:type="spellEnd"/>
            <w:r w:rsidRPr="007156DC">
              <w:rPr>
                <w:b/>
                <w:bCs/>
                <w:sz w:val="16"/>
                <w:szCs w:val="20"/>
              </w:rPr>
              <w:t xml:space="preserve"> </w:t>
            </w:r>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pl</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pt</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ro</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r w:rsidRPr="007156DC">
              <w:rPr>
                <w:b/>
                <w:bCs/>
                <w:sz w:val="16"/>
                <w:szCs w:val="20"/>
              </w:rPr>
              <w:t>si</w:t>
            </w:r>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sk</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fi</w:t>
            </w:r>
            <w:proofErr w:type="spellEnd"/>
          </w:p>
        </w:tc>
        <w:tc>
          <w:tcPr>
            <w:tcW w:w="141"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se</w:t>
            </w:r>
            <w:proofErr w:type="spellEnd"/>
          </w:p>
        </w:tc>
        <w:tc>
          <w:tcPr>
            <w:tcW w:w="147" w:type="pct"/>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7156DC" w:rsidRDefault="000A7585" w:rsidP="00DE0EEC">
            <w:pPr>
              <w:jc w:val="center"/>
              <w:rPr>
                <w:b/>
                <w:bCs/>
                <w:sz w:val="16"/>
                <w:szCs w:val="20"/>
              </w:rPr>
            </w:pPr>
            <w:proofErr w:type="spellStart"/>
            <w:r w:rsidRPr="007156DC">
              <w:rPr>
                <w:b/>
                <w:bCs/>
                <w:sz w:val="16"/>
                <w:szCs w:val="20"/>
              </w:rPr>
              <w:t>uk</w:t>
            </w:r>
            <w:proofErr w:type="spellEnd"/>
            <w:r w:rsidRPr="007156DC">
              <w:rPr>
                <w:b/>
                <w:bCs/>
                <w:sz w:val="16"/>
                <w:szCs w:val="20"/>
              </w:rPr>
              <w:t xml:space="preserve"> </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zamestnanosti 20 </w:t>
            </w:r>
            <w:r w:rsidRPr="007156DC">
              <w:rPr>
                <w:bCs/>
                <w:sz w:val="20"/>
                <w:szCs w:val="16"/>
              </w:rPr>
              <w:t>–</w:t>
            </w:r>
            <w:r w:rsidRPr="007156DC">
              <w:rPr>
                <w:b/>
                <w:bCs/>
                <w:sz w:val="16"/>
                <w:szCs w:val="18"/>
              </w:rPr>
              <w:t xml:space="preserve"> 64 roč. (1)</w:t>
            </w:r>
          </w:p>
        </w:tc>
        <w:tc>
          <w:tcPr>
            <w:tcW w:w="148" w:type="pct"/>
            <w:tcBorders>
              <w:top w:val="nil"/>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862368">
            <w:pPr>
              <w:jc w:val="right"/>
              <w:rPr>
                <w:sz w:val="16"/>
                <w:szCs w:val="18"/>
              </w:rPr>
            </w:pPr>
            <w:r w:rsidRPr="008B2893">
              <w:rPr>
                <w:sz w:val="16"/>
                <w:szCs w:val="18"/>
              </w:rPr>
              <w:t>70</w:t>
            </w:r>
            <w:r w:rsidR="00200FFB">
              <w:rPr>
                <w:sz w:val="16"/>
                <w:szCs w:val="18"/>
              </w:rPr>
              <w:t>,0</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67,2</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67,1</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74,8</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78</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67,9</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73,3</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70,9</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66</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69,1</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67,7</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80,5</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76,9</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64,2</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63</w:t>
            </w:r>
            <w:r w:rsidR="00200FFB">
              <w:rPr>
                <w:sz w:val="16"/>
                <w:szCs w:val="18"/>
              </w:rPr>
              <w:t>,0</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63,8</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66,4</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72,6</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56,4</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66,0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50,6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64,1</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72,2</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65,0</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53,6</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64,7</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60,3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78,3</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71,3</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70,4</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83</w:t>
            </w:r>
            <w:r w:rsidR="00200FFB">
              <w:rPr>
                <w:sz w:val="16"/>
                <w:szCs w:val="18"/>
              </w:rPr>
              <w:t>,0</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80,2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82,3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80,5</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72,2</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74,6</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76,7</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81,4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81,9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78,4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73,3</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75</w:t>
            </w:r>
            <w:r w:rsid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82,5</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82,5</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zamestnanosti 55 </w:t>
            </w:r>
            <w:r w:rsidRPr="007156DC">
              <w:rPr>
                <w:bCs/>
                <w:sz w:val="20"/>
                <w:szCs w:val="16"/>
              </w:rPr>
              <w:t>–</w:t>
            </w:r>
            <w:r w:rsidRPr="007156DC">
              <w:rPr>
                <w:b/>
                <w:bCs/>
                <w:sz w:val="16"/>
                <w:szCs w:val="18"/>
              </w:rPr>
              <w:t xml:space="preserve"> 64 roč. (2)</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53,3</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w:t>
            </w:r>
            <w:r w:rsidR="00200FFB">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w:t>
            </w:r>
            <w:r w:rsidR="00200FFB">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55,5</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66,2</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64,5</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55,6</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48,6</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39</w:t>
            </w:r>
            <w:r w:rsidR="00200F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48,2</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48,2</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59,4</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60,4</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38,4</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45,3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40,3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49,9</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41,1</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36,6</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47</w:t>
            </w:r>
            <w:r w:rsidR="00200FFB">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w:t>
            </w:r>
            <w:r w:rsidR="00200FFB">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74,5</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62,2</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46,8</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39,3</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49,5</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45,9</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59,6</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46,4</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24,7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40,2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39,2</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58,8</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33,7</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52,4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35,5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30,5</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41</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72,1</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56</w:t>
            </w:r>
            <w:r w:rsidR="00200FFB">
              <w:rPr>
                <w:sz w:val="16"/>
                <w:szCs w:val="18"/>
              </w:rPr>
              <w:t>,0</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60,1</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48,9</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56,8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65,5</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69,8</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63,1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50,6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59,3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57,5</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62,4</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43</w:t>
            </w:r>
            <w:r w:rsidR="00200FFB">
              <w:rPr>
                <w:sz w:val="16"/>
                <w:szCs w:val="18"/>
              </w:rPr>
              <w:t>,0</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58,8</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56</w:t>
            </w:r>
            <w:r w:rsid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42,6</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53,6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76,8</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68,7</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celoživotného vzdelávania (25 </w:t>
            </w:r>
            <w:r w:rsidRPr="007156DC">
              <w:rPr>
                <w:bCs/>
                <w:sz w:val="20"/>
                <w:szCs w:val="16"/>
              </w:rPr>
              <w:t>–</w:t>
            </w:r>
            <w:r w:rsidRPr="007156DC">
              <w:rPr>
                <w:b/>
                <w:bCs/>
                <w:sz w:val="16"/>
                <w:szCs w:val="18"/>
              </w:rPr>
              <w:t xml:space="preserve"> 64) (3)</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10,7</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w:t>
            </w:r>
            <w:r w:rsidR="00200FFB">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8,5</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12,4</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18,6</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w:t>
            </w:r>
            <w:r w:rsidR="00200FFB">
              <w:rPr>
                <w:sz w:val="16"/>
                <w:szCs w:val="18"/>
              </w:rPr>
              <w:t>,0</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18,9</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11,9</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3,1</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25,4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29,4</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15,7</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11,7</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8,6</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w:t>
            </w:r>
            <w:r w:rsidR="00200FFB">
              <w:rPr>
                <w:sz w:val="16"/>
                <w:szCs w:val="18"/>
              </w:rPr>
              <w:t>,0</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17,8</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19,4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13,3</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3,4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29,1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36,7</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17,5</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9,7</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1,9</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8,3</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25,3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7,0</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18,2</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10,7</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2,7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21,8</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22,3</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13,9</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Miera nezamestnanosti (4)</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9,4</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8,5</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9,2</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4,6</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9,4</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24,9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22,1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10,4</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15,1</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9,1</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12,6</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w:t>
            </w:r>
            <w:r w:rsidR="00200FFB">
              <w:rPr>
                <w:sz w:val="16"/>
                <w:szCs w:val="18"/>
              </w:rPr>
              <w:t>,0</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11,5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7,4</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9,5</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7,8</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8,4</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28,9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23,6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14,9</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8,2</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7,7</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10,1</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12,9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9,3</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9,1</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4,2</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21,7</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15,7</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15,2</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10,1</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8,1</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10,3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7,5</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nezamestnanosti mladých ľudí (15 </w:t>
            </w:r>
            <w:r w:rsidRPr="007156DC">
              <w:rPr>
                <w:bCs/>
                <w:sz w:val="20"/>
                <w:szCs w:val="16"/>
              </w:rPr>
              <w:t>–</w:t>
            </w:r>
            <w:r w:rsidRPr="007156DC">
              <w:rPr>
                <w:b/>
                <w:bCs/>
                <w:sz w:val="16"/>
                <w:szCs w:val="18"/>
              </w:rPr>
              <w:t xml:space="preserve"> 24) (5)</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20,3</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22,1</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21,6</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12,6</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10,8</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7,2</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49,7</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24,7</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43</w:t>
            </w:r>
            <w:r w:rsidR="00200F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40,3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32,8</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16,3</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16,3</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11,8</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10,6</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20,8</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w:t>
            </w:r>
            <w:r w:rsidR="00200FFB">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16,3</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26,4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22,4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20,4</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14,6</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19,5</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w:t>
            </w:r>
            <w:r w:rsidR="00200FFB">
              <w:rPr>
                <w:sz w:val="16"/>
                <w:szCs w:val="18"/>
              </w:rPr>
              <w:t>,0</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22,3</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14,4</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23,4</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42,5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31,1</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16,6</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14,4</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9,4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10</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23,4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14,6</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27,5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19,7</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19,5</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12,9</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21,1</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23,8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21,2</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11,3</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7,9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23,6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45,1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25,8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34,8</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w:t>
            </w:r>
            <w:r w:rsidR="00200FFB">
              <w:rPr>
                <w:sz w:val="16"/>
                <w:szCs w:val="18"/>
              </w:rPr>
              <w:t>,0</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w:t>
            </w:r>
            <w:r w:rsidR="00200FFB">
              <w:rPr>
                <w:sz w:val="16"/>
                <w:szCs w:val="18"/>
              </w:rPr>
              <w:t>,0</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18,3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13,9</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11,1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29,7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20,6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17,7</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25,8</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25,4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21,3</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16,2</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ekonomickej aktivity mladých (15 </w:t>
            </w:r>
            <w:r w:rsidRPr="007156DC">
              <w:rPr>
                <w:bCs/>
                <w:sz w:val="20"/>
                <w:szCs w:val="16"/>
              </w:rPr>
              <w:t>–</w:t>
            </w:r>
            <w:r w:rsidRPr="007156DC">
              <w:rPr>
                <w:b/>
                <w:bCs/>
                <w:sz w:val="16"/>
                <w:szCs w:val="18"/>
              </w:rPr>
              <w:t xml:space="preserve"> 24) (6)</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41,5</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w:t>
            </w:r>
            <w:r w:rsidR="00200FFB">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26</w:t>
            </w:r>
            <w:r w:rsidR="00200FFB">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32,5</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62,1</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48,8</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41,8</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26</w:t>
            </w:r>
            <w:r w:rsidR="00200F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34,7</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26,2</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37,6</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41,3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33,8</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35,2</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w:t>
            </w:r>
            <w:r w:rsidR="00200F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51,6</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68,5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32,9</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35,3</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31,7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52,2</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55,1</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58,6</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38,7</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27,1</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21,2</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27,4</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62,5</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47,1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24,3</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33,8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28,2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21,7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38,7</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30,8</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34,1</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49,8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69,4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54,1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25,2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31,7</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24,9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56,5</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57,1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44,1</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32,8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30,5</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37,4</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61,7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50,5</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45,7</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27,7</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40,1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30,4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36,5</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45,2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36,7</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36,2</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67,5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34,2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37</w:t>
            </w:r>
            <w:r w:rsid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38,9</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8B2893">
              <w:rPr>
                <w:sz w:val="16"/>
                <w:szCs w:val="18"/>
              </w:rPr>
              <w:t>38,3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51,1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53,8</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8B2893">
              <w:rPr>
                <w:sz w:val="16"/>
                <w:szCs w:val="18"/>
              </w:rPr>
              <w:t>60,1</w:t>
            </w:r>
          </w:p>
        </w:tc>
      </w:tr>
      <w:tr w:rsidR="00C92293" w:rsidRPr="007156DC" w:rsidTr="00C92293">
        <w:trPr>
          <w:trHeight w:val="397"/>
          <w:jc w:val="center"/>
        </w:trPr>
        <w:tc>
          <w:tcPr>
            <w:tcW w:w="738" w:type="pct"/>
            <w:tcBorders>
              <w:top w:val="nil"/>
              <w:left w:val="single" w:sz="4" w:space="0" w:color="auto"/>
              <w:bottom w:val="single" w:sz="4" w:space="0" w:color="auto"/>
              <w:right w:val="nil"/>
            </w:tcBorders>
            <w:shd w:val="clear" w:color="000000" w:fill="FFFFFF"/>
            <w:hideMark/>
          </w:tcPr>
          <w:p w:rsidR="008B2893" w:rsidRPr="007156DC" w:rsidRDefault="008B2893" w:rsidP="00DE0EEC">
            <w:pPr>
              <w:jc w:val="left"/>
              <w:rPr>
                <w:b/>
                <w:bCs/>
                <w:sz w:val="16"/>
                <w:szCs w:val="18"/>
              </w:rPr>
            </w:pPr>
            <w:r w:rsidRPr="007156DC">
              <w:rPr>
                <w:b/>
                <w:bCs/>
                <w:sz w:val="16"/>
                <w:szCs w:val="18"/>
              </w:rPr>
              <w:t>Ekonomicky neaktívni mladí vo vzdelávaní alebo školení (7)</w:t>
            </w:r>
          </w:p>
        </w:tc>
        <w:tc>
          <w:tcPr>
            <w:tcW w:w="148" w:type="pct"/>
            <w:tcBorders>
              <w:top w:val="single" w:sz="4" w:space="0" w:color="auto"/>
              <w:left w:val="nil"/>
              <w:bottom w:val="single" w:sz="4" w:space="0" w:color="auto"/>
              <w:right w:val="single" w:sz="4" w:space="0" w:color="auto"/>
            </w:tcBorders>
            <w:shd w:val="clear" w:color="000000" w:fill="FFFFFF"/>
            <w:hideMark/>
          </w:tcPr>
          <w:p w:rsidR="008B2893" w:rsidRPr="007156DC" w:rsidRDefault="008B2893" w:rsidP="00DE0EEC">
            <w:pPr>
              <w:jc w:val="left"/>
              <w:rPr>
                <w:b/>
                <w:bCs/>
                <w:sz w:val="16"/>
                <w:szCs w:val="18"/>
              </w:rPr>
            </w:pPr>
            <w:r w:rsidRPr="007156DC">
              <w:rPr>
                <w:b/>
                <w:bCs/>
                <w:sz w:val="16"/>
                <w:szCs w:val="18"/>
              </w:rPr>
              <w:t> </w:t>
            </w:r>
          </w:p>
        </w:tc>
        <w:tc>
          <w:tcPr>
            <w:tcW w:w="143"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88,8</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w:t>
            </w:r>
            <w:r w:rsidR="00200FFB">
              <w:rPr>
                <w:sz w:val="16"/>
                <w:szCs w:val="18"/>
              </w:rPr>
              <w:t>,0</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80,8</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93,4</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86</w:t>
            </w:r>
            <w:r w:rsidR="00200FFB">
              <w:rPr>
                <w:sz w:val="16"/>
                <w:szCs w:val="18"/>
              </w:rPr>
              <w:t>,0</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91,6</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89,2</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92,6</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91,9</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92,3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w:t>
            </w:r>
            <w:r w:rsidR="00200FFB">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9E721A">
            <w:pPr>
              <w:jc w:val="right"/>
              <w:rPr>
                <w:sz w:val="16"/>
                <w:szCs w:val="18"/>
              </w:rPr>
            </w:pPr>
            <w:r w:rsidRPr="00200FFB">
              <w:rPr>
                <w:sz w:val="16"/>
                <w:szCs w:val="18"/>
              </w:rPr>
              <w:t>92</w:t>
            </w:r>
            <w:r w:rsidR="00200FFB">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85,9</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92,3</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89,8</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91,8</w:t>
            </w:r>
          </w:p>
        </w:tc>
        <w:tc>
          <w:tcPr>
            <w:tcW w:w="154"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91,3</w:t>
            </w:r>
          </w:p>
        </w:tc>
        <w:tc>
          <w:tcPr>
            <w:tcW w:w="16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89,5</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90,5</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82,5</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90,2</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90,5</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91,6</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81,3</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93</w:t>
            </w:r>
            <w:r w:rsidR="00200FFB">
              <w:rPr>
                <w:sz w:val="16"/>
                <w:szCs w:val="18"/>
              </w:rPr>
              <w:t>,0</w:t>
            </w:r>
          </w:p>
        </w:tc>
        <w:tc>
          <w:tcPr>
            <w:tcW w:w="141" w:type="pct"/>
            <w:tcBorders>
              <w:top w:val="single" w:sz="4" w:space="0" w:color="auto"/>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92,1</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78,7</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79,8</w:t>
            </w:r>
          </w:p>
        </w:tc>
        <w:tc>
          <w:tcPr>
            <w:tcW w:w="147" w:type="pct"/>
            <w:tcBorders>
              <w:top w:val="single" w:sz="4" w:space="0" w:color="auto"/>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84,6</w:t>
            </w:r>
          </w:p>
        </w:tc>
      </w:tr>
      <w:tr w:rsidR="00C92293" w:rsidRPr="007156DC" w:rsidTr="00C92293">
        <w:trPr>
          <w:trHeight w:val="227"/>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Mladí (15 </w:t>
            </w:r>
            <w:r w:rsidRPr="007156DC">
              <w:rPr>
                <w:bCs/>
                <w:sz w:val="20"/>
                <w:szCs w:val="16"/>
              </w:rPr>
              <w:t>–</w:t>
            </w:r>
            <w:r w:rsidRPr="007156DC">
              <w:rPr>
                <w:b/>
                <w:bCs/>
                <w:sz w:val="16"/>
                <w:szCs w:val="18"/>
              </w:rPr>
              <w:t xml:space="preserve"> 24), ktorí nie sú zamestnaní ani zapojení do procesu vzdelávania alebo odbornej prípravy (NEET) (8)</w:t>
            </w:r>
          </w:p>
        </w:tc>
        <w:tc>
          <w:tcPr>
            <w:tcW w:w="148" w:type="pct"/>
            <w:tcBorders>
              <w:top w:val="nil"/>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12</w:t>
            </w:r>
            <w:r w:rsidR="00200FFB">
              <w:rPr>
                <w:sz w:val="16"/>
                <w:szCs w:val="18"/>
              </w:rPr>
              <w:t>,0</w:t>
            </w:r>
          </w:p>
        </w:tc>
        <w:tc>
          <w:tcPr>
            <w:tcW w:w="142"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12,2</w:t>
            </w:r>
          </w:p>
        </w:tc>
        <w:tc>
          <w:tcPr>
            <w:tcW w:w="142"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19,3</w:t>
            </w:r>
          </w:p>
        </w:tc>
        <w:tc>
          <w:tcPr>
            <w:tcW w:w="142"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7,5</w:t>
            </w:r>
          </w:p>
        </w:tc>
        <w:tc>
          <w:tcPr>
            <w:tcW w:w="142"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6,2</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6,2</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10,8</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14,3</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17,2</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15,6</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11,9</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18,5</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21,4</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15,2</w:t>
            </w:r>
          </w:p>
        </w:tc>
        <w:tc>
          <w:tcPr>
            <w:tcW w:w="127"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10,5</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9,2</w:t>
            </w:r>
          </w:p>
        </w:tc>
        <w:tc>
          <w:tcPr>
            <w:tcW w:w="154"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6,2</w:t>
            </w:r>
          </w:p>
        </w:tc>
        <w:tc>
          <w:tcPr>
            <w:tcW w:w="16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11,6</w:t>
            </w:r>
          </w:p>
        </w:tc>
        <w:tc>
          <w:tcPr>
            <w:tcW w:w="140"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10,4</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4,7</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7,5</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11,0</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11,3</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18,1</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9,5</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13,7</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10,6</w:t>
            </w:r>
          </w:p>
        </w:tc>
        <w:tc>
          <w:tcPr>
            <w:tcW w:w="141"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6,7</w:t>
            </w:r>
          </w:p>
        </w:tc>
        <w:tc>
          <w:tcPr>
            <w:tcW w:w="147" w:type="pct"/>
            <w:tcBorders>
              <w:top w:val="nil"/>
              <w:left w:val="nil"/>
              <w:bottom w:val="nil"/>
              <w:right w:val="single" w:sz="4" w:space="0" w:color="auto"/>
            </w:tcBorders>
            <w:shd w:val="clear" w:color="000000" w:fill="FFFFFF"/>
            <w:noWrap/>
            <w:vAlign w:val="center"/>
          </w:tcPr>
          <w:p w:rsidR="008B2893" w:rsidRPr="007156DC" w:rsidRDefault="008B2893" w:rsidP="00F342A7">
            <w:pPr>
              <w:jc w:val="right"/>
              <w:rPr>
                <w:sz w:val="16"/>
                <w:szCs w:val="18"/>
              </w:rPr>
            </w:pPr>
            <w:r w:rsidRPr="00200FFB">
              <w:rPr>
                <w:sz w:val="16"/>
                <w:szCs w:val="18"/>
              </w:rPr>
              <w:t>11,1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12,3</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11,8</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20</w:t>
            </w:r>
            <w:r w:rsidR="00200FFB">
              <w:rPr>
                <w:sz w:val="16"/>
                <w:szCs w:val="18"/>
              </w:rPr>
              <w:t>,0</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9,5</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7,0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13,7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17,2</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14,9</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15,8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20,8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14,7</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9,3</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5,7</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4,7</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7,3</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10,8</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21,4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14,2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9,6</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6,5</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12,4</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8B2893" w:rsidRPr="007156DC" w:rsidRDefault="008B2893"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11,7</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12,5</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18,6</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5,5</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14,9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17,1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16,4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12,4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21</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21,9</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15,8</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9,1</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6,6</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10,4</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7,7</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10,4</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15</w:t>
            </w:r>
            <w:r w:rsid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9,9</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13,3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11,5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6,9</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9,7</w:t>
            </w:r>
          </w:p>
        </w:tc>
      </w:tr>
      <w:tr w:rsidR="00C92293" w:rsidRPr="007156DC" w:rsidTr="00C92293">
        <w:trPr>
          <w:cantSplit/>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8B2893" w:rsidRPr="007156DC" w:rsidRDefault="008B2893" w:rsidP="00DE0EEC">
            <w:pPr>
              <w:jc w:val="left"/>
              <w:rPr>
                <w:b/>
                <w:bCs/>
                <w:sz w:val="16"/>
                <w:szCs w:val="18"/>
              </w:rPr>
            </w:pPr>
            <w:r w:rsidRPr="007156DC">
              <w:rPr>
                <w:b/>
                <w:bCs/>
                <w:sz w:val="16"/>
                <w:szCs w:val="18"/>
              </w:rPr>
              <w:t xml:space="preserve">Miera vysokoškolsky vzdelanej populácie vo veku 30 </w:t>
            </w:r>
            <w:r w:rsidRPr="007156DC">
              <w:rPr>
                <w:bCs/>
                <w:sz w:val="20"/>
                <w:szCs w:val="16"/>
              </w:rPr>
              <w:t>–</w:t>
            </w:r>
            <w:r w:rsidRPr="007156DC">
              <w:rPr>
                <w:b/>
                <w:bCs/>
                <w:sz w:val="16"/>
                <w:szCs w:val="18"/>
              </w:rPr>
              <w:t xml:space="preserve"> 34 rokov (9)</w:t>
            </w:r>
          </w:p>
        </w:tc>
        <w:tc>
          <w:tcPr>
            <w:tcW w:w="148" w:type="pct"/>
            <w:tcBorders>
              <w:top w:val="single" w:sz="4" w:space="0" w:color="auto"/>
              <w:left w:val="nil"/>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38,7</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42,7</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32,1</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30,1</w:t>
            </w:r>
          </w:p>
        </w:tc>
        <w:tc>
          <w:tcPr>
            <w:tcW w:w="142"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47,6</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45,3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52,3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40,4</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40,9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45,1</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30,9</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25,3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54,6</w:t>
            </w:r>
          </w:p>
        </w:tc>
        <w:tc>
          <w:tcPr>
            <w:tcW w:w="12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41,3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57,6</w:t>
            </w:r>
          </w:p>
        </w:tc>
        <w:tc>
          <w:tcPr>
            <w:tcW w:w="154"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52,3</w:t>
            </w:r>
          </w:p>
        </w:tc>
        <w:tc>
          <w:tcPr>
            <w:tcW w:w="16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34,3</w:t>
            </w:r>
          </w:p>
        </w:tc>
        <w:tc>
          <w:tcPr>
            <w:tcW w:w="140"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27,8</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46,3</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38,7</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43,4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31,9</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25,6</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43,4</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28,4</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45,5</w:t>
            </w:r>
          </w:p>
        </w:tc>
        <w:tc>
          <w:tcPr>
            <w:tcW w:w="141"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50,2</w:t>
            </w:r>
          </w:p>
        </w:tc>
        <w:tc>
          <w:tcPr>
            <w:tcW w:w="147" w:type="pct"/>
            <w:tcBorders>
              <w:top w:val="single" w:sz="4" w:space="0" w:color="auto"/>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47,8</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8B2893" w:rsidRPr="007156DC" w:rsidRDefault="008B2893"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43,4</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48,7</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39,9</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35,9</w:t>
            </w:r>
          </w:p>
        </w:tc>
        <w:tc>
          <w:tcPr>
            <w:tcW w:w="142"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55,9</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32,4</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56,7</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58,6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45,5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47,1</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49,6</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38,3</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30,8</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61,6</w:t>
            </w:r>
          </w:p>
        </w:tc>
        <w:tc>
          <w:tcPr>
            <w:tcW w:w="12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56,5</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68,4</w:t>
            </w:r>
          </w:p>
        </w:tc>
        <w:tc>
          <w:tcPr>
            <w:tcW w:w="154"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57,7</w:t>
            </w:r>
          </w:p>
        </w:tc>
        <w:tc>
          <w:tcPr>
            <w:tcW w:w="16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41</w:t>
            </w:r>
            <w:r w:rsidR="00200FFB">
              <w:rPr>
                <w:sz w:val="16"/>
                <w:szCs w:val="18"/>
              </w:rPr>
              <w:t>,0</w:t>
            </w:r>
          </w:p>
        </w:tc>
        <w:tc>
          <w:tcPr>
            <w:tcW w:w="140"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49,6</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40</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52</w:t>
            </w:r>
            <w:r w:rsidR="00200FFB">
              <w:rPr>
                <w:sz w:val="16"/>
                <w:szCs w:val="18"/>
              </w:rPr>
              <w:t>,0</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40,1</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27,2</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56,4</w:t>
            </w:r>
          </w:p>
        </w:tc>
        <w:tc>
          <w:tcPr>
            <w:tcW w:w="141" w:type="pct"/>
            <w:tcBorders>
              <w:top w:val="nil"/>
              <w:left w:val="nil"/>
              <w:bottom w:val="nil"/>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34,4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53,4</w:t>
            </w:r>
          </w:p>
        </w:tc>
        <w:tc>
          <w:tcPr>
            <w:tcW w:w="141"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57,7</w:t>
            </w:r>
          </w:p>
        </w:tc>
        <w:tc>
          <w:tcPr>
            <w:tcW w:w="147" w:type="pct"/>
            <w:tcBorders>
              <w:top w:val="nil"/>
              <w:left w:val="nil"/>
              <w:bottom w:val="nil"/>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51,1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8B2893" w:rsidRPr="007156DC" w:rsidRDefault="008B2893"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8B2893" w:rsidRPr="007156DC" w:rsidRDefault="008B2893" w:rsidP="00326DA1">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34</w:t>
            </w:r>
            <w:r w:rsidR="00200FFB">
              <w:rPr>
                <w:sz w:val="16"/>
                <w:szCs w:val="18"/>
              </w:rPr>
              <w:t>,0</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36,7</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24,8</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24,7</w:t>
            </w:r>
          </w:p>
        </w:tc>
        <w:tc>
          <w:tcPr>
            <w:tcW w:w="142"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39,6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32,2</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34,5</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45,1</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35,3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34,8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40,3</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23,8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20</w:t>
            </w:r>
            <w:r w:rsidR="00200F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46,7</w:t>
            </w:r>
          </w:p>
        </w:tc>
        <w:tc>
          <w:tcPr>
            <w:tcW w:w="12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26,8</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47,2</w:t>
            </w:r>
          </w:p>
        </w:tc>
        <w:tc>
          <w:tcPr>
            <w:tcW w:w="154"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46,8</w:t>
            </w:r>
          </w:p>
        </w:tc>
        <w:tc>
          <w:tcPr>
            <w:tcW w:w="16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27,6</w:t>
            </w:r>
          </w:p>
        </w:tc>
        <w:tc>
          <w:tcPr>
            <w:tcW w:w="140"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23,6</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43</w:t>
            </w:r>
            <w:r w:rsid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37,5</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35,1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23,3</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24,2</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32</w:t>
            </w:r>
            <w:r w:rsidR="00200FFB">
              <w:rPr>
                <w:sz w:val="16"/>
                <w:szCs w:val="18"/>
              </w:rPr>
              <w:t>,0</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8B2893" w:rsidRPr="007156DC" w:rsidRDefault="008B2893" w:rsidP="00F342A7">
            <w:pPr>
              <w:jc w:val="right"/>
              <w:rPr>
                <w:sz w:val="16"/>
                <w:szCs w:val="18"/>
              </w:rPr>
            </w:pPr>
            <w:r w:rsidRPr="00200FFB">
              <w:rPr>
                <w:sz w:val="16"/>
                <w:szCs w:val="18"/>
              </w:rPr>
              <w:t>22,8</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38,1</w:t>
            </w:r>
          </w:p>
        </w:tc>
        <w:tc>
          <w:tcPr>
            <w:tcW w:w="141"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43,2</w:t>
            </w:r>
          </w:p>
        </w:tc>
        <w:tc>
          <w:tcPr>
            <w:tcW w:w="147" w:type="pct"/>
            <w:tcBorders>
              <w:top w:val="nil"/>
              <w:left w:val="nil"/>
              <w:bottom w:val="single" w:sz="4" w:space="0" w:color="auto"/>
              <w:right w:val="single" w:sz="4" w:space="0" w:color="auto"/>
            </w:tcBorders>
            <w:shd w:val="clear" w:color="auto" w:fill="auto"/>
            <w:noWrap/>
            <w:vAlign w:val="center"/>
          </w:tcPr>
          <w:p w:rsidR="008B2893" w:rsidRPr="007156DC" w:rsidRDefault="008B2893" w:rsidP="00F342A7">
            <w:pPr>
              <w:jc w:val="right"/>
              <w:rPr>
                <w:sz w:val="16"/>
                <w:szCs w:val="18"/>
              </w:rPr>
            </w:pPr>
            <w:r w:rsidRPr="00200FFB">
              <w:rPr>
                <w:sz w:val="16"/>
                <w:szCs w:val="18"/>
              </w:rPr>
              <w:t>44,4</w:t>
            </w:r>
          </w:p>
        </w:tc>
      </w:tr>
      <w:tr w:rsidR="00C92293" w:rsidRPr="007156DC" w:rsidTr="00C92293">
        <w:trPr>
          <w:trHeight w:val="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 xml:space="preserve">Miera zamestnanosti </w:t>
            </w:r>
            <w:proofErr w:type="spellStart"/>
            <w:r w:rsidRPr="007156DC">
              <w:rPr>
                <w:b/>
                <w:bCs/>
                <w:sz w:val="16"/>
                <w:szCs w:val="18"/>
              </w:rPr>
              <w:t>nízkokvalifikovaných</w:t>
            </w:r>
            <w:proofErr w:type="spellEnd"/>
            <w:r w:rsidRPr="007156DC">
              <w:rPr>
                <w:b/>
                <w:bCs/>
                <w:sz w:val="16"/>
                <w:szCs w:val="18"/>
              </w:rPr>
              <w:t xml:space="preserve"> (ISCED 0-2) (10)</w:t>
            </w:r>
          </w:p>
        </w:tc>
        <w:tc>
          <w:tcPr>
            <w:tcW w:w="148" w:type="pct"/>
            <w:tcBorders>
              <w:top w:val="single" w:sz="4" w:space="0" w:color="auto"/>
              <w:left w:val="nil"/>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53,2</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46,6</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40,3</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41,9</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60,5</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58,7</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58,1</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48,8</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48,5</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51,6</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52,2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40,2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55,5</w:t>
            </w:r>
          </w:p>
        </w:tc>
        <w:tc>
          <w:tcPr>
            <w:tcW w:w="12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w:t>
            </w:r>
            <w:r w:rsidR="00C92293">
              <w:rPr>
                <w:sz w:val="16"/>
                <w:szCs w:val="18"/>
              </w:rPr>
              <w:t>,0</w:t>
            </w:r>
          </w:p>
        </w:tc>
        <w:tc>
          <w:tcPr>
            <w:tcW w:w="154"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60,8</w:t>
            </w:r>
          </w:p>
        </w:tc>
        <w:tc>
          <w:tcPr>
            <w:tcW w:w="16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48,1</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54,2</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60,0</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52,9</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40,8</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53,7</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w:t>
            </w:r>
            <w:r w:rsidR="00C92293">
              <w:rPr>
                <w:sz w:val="16"/>
                <w:szCs w:val="18"/>
              </w:rPr>
              <w:t>,0</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34,4</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53,1</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63,3</w:t>
            </w:r>
          </w:p>
        </w:tc>
        <w:tc>
          <w:tcPr>
            <w:tcW w:w="14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60,2</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43,2</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38,1</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33,5</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35,6</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50,9</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51,3</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35,6</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41,7</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46,2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33,7</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49,6</w:t>
            </w:r>
          </w:p>
        </w:tc>
        <w:tc>
          <w:tcPr>
            <w:tcW w:w="12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39,9</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38,8</w:t>
            </w:r>
          </w:p>
        </w:tc>
        <w:tc>
          <w:tcPr>
            <w:tcW w:w="154"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51,9</w:t>
            </w:r>
          </w:p>
        </w:tc>
        <w:tc>
          <w:tcPr>
            <w:tcW w:w="16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39,9</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30,5</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w:t>
            </w:r>
            <w:r w:rsid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49,1</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57,5</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41,1</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42</w:t>
            </w:r>
            <w:r w:rsidR="00C92293">
              <w:rPr>
                <w:sz w:val="16"/>
                <w:szCs w:val="18"/>
              </w:rPr>
              <w:t>,0</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30,5</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44,8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w:t>
            </w:r>
            <w:r w:rsidR="00C92293">
              <w:rPr>
                <w:sz w:val="16"/>
                <w:szCs w:val="18"/>
              </w:rPr>
              <w:t>,0</w:t>
            </w:r>
          </w:p>
        </w:tc>
        <w:tc>
          <w:tcPr>
            <w:tcW w:w="14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50,9</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63,5</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54,4</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46,6</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52,6</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68,9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68</w:t>
            </w:r>
            <w:r w:rsidR="00C92293">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62,5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60,2</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61,8</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49,1</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69,6</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76,8</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71,8</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59,3</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51,5</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70,7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56,9</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39,8</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58,4</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71,1</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70,3</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 xml:space="preserve">Miera nezamestnanosti </w:t>
            </w:r>
            <w:proofErr w:type="spellStart"/>
            <w:r w:rsidRPr="007156DC">
              <w:rPr>
                <w:b/>
                <w:bCs/>
                <w:sz w:val="16"/>
                <w:szCs w:val="18"/>
              </w:rPr>
              <w:t>nízkokvalifikovaných</w:t>
            </w:r>
            <w:proofErr w:type="spellEnd"/>
            <w:r w:rsidRPr="007156DC">
              <w:rPr>
                <w:b/>
                <w:bCs/>
                <w:sz w:val="16"/>
                <w:szCs w:val="18"/>
              </w:rPr>
              <w:t xml:space="preserve"> (ISCED 0-2) (11)</w:t>
            </w:r>
          </w:p>
        </w:tc>
        <w:tc>
          <w:tcPr>
            <w:tcW w:w="148" w:type="pct"/>
            <w:tcBorders>
              <w:top w:val="single" w:sz="4" w:space="0" w:color="auto"/>
              <w:left w:val="nil"/>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16,3</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14,8</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24,7</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20,7</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8,5</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11,4</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12,5</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28,9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15,6</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21,6</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17,9</w:t>
            </w:r>
          </w:p>
        </w:tc>
        <w:tc>
          <w:tcPr>
            <w:tcW w:w="12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22,4</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26,2</w:t>
            </w:r>
          </w:p>
        </w:tc>
        <w:tc>
          <w:tcPr>
            <w:tcW w:w="154"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8,2</w:t>
            </w:r>
          </w:p>
        </w:tc>
        <w:tc>
          <w:tcPr>
            <w:tcW w:w="16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15,5</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10,6</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15,5</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w:t>
            </w:r>
            <w:r w:rsidR="00C92293">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7,7</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13,6</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34,4</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14,1</w:t>
            </w:r>
          </w:p>
        </w:tc>
        <w:tc>
          <w:tcPr>
            <w:tcW w:w="14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16,6</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13,7</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25,5</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21,1</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9,3</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9,3</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12,1</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w:t>
            </w:r>
            <w:r w:rsidR="00C92293">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32,2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13,9</w:t>
            </w:r>
          </w:p>
        </w:tc>
        <w:tc>
          <w:tcPr>
            <w:tcW w:w="12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28,9</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27,6</w:t>
            </w:r>
          </w:p>
        </w:tc>
        <w:tc>
          <w:tcPr>
            <w:tcW w:w="154"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9,1</w:t>
            </w:r>
          </w:p>
        </w:tc>
        <w:tc>
          <w:tcPr>
            <w:tcW w:w="16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16,6</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8,7</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9,9</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w:t>
            </w:r>
            <w:r w:rsid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16,3</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5,7</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14,1</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32,4</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14,4</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16,7</w:t>
            </w:r>
          </w:p>
        </w:tc>
        <w:tc>
          <w:tcPr>
            <w:tcW w:w="14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16,1</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15,4</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24,1</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20,3</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w:t>
            </w:r>
            <w:r w:rsidR="00C92293">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21,1</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25,4</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7,5</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6,8</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13,2</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13,2</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36,5</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12,4</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7,4</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Miera dlhodobej nezamestnanosti (12)</w:t>
            </w:r>
          </w:p>
        </w:tc>
        <w:tc>
          <w:tcPr>
            <w:tcW w:w="148" w:type="pct"/>
            <w:tcBorders>
              <w:top w:val="single" w:sz="4" w:space="0" w:color="auto"/>
              <w:left w:val="nil"/>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4,4</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5,6</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w:t>
            </w:r>
            <w:r w:rsidR="00C92293">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18,2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11,4</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4,3</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10,3</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6,8</w:t>
            </w:r>
          </w:p>
        </w:tc>
        <w:tc>
          <w:tcPr>
            <w:tcW w:w="12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w:t>
            </w:r>
          </w:p>
        </w:tc>
        <w:tc>
          <w:tcPr>
            <w:tcW w:w="154"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w:t>
            </w:r>
          </w:p>
        </w:tc>
        <w:tc>
          <w:tcPr>
            <w:tcW w:w="16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7,2</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w:t>
            </w:r>
            <w:r w:rsidR="00C92293">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4,7</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7,6</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w:t>
            </w:r>
          </w:p>
        </w:tc>
        <w:tc>
          <w:tcPr>
            <w:tcW w:w="14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w:t>
            </w:r>
            <w:r w:rsidR="00C92293">
              <w:rPr>
                <w:sz w:val="16"/>
                <w:szCs w:val="18"/>
              </w:rPr>
              <w:t>,0</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3,6</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12,4</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7,4</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6,2</w:t>
            </w:r>
          </w:p>
        </w:tc>
        <w:tc>
          <w:tcPr>
            <w:tcW w:w="12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3,6</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w:t>
            </w:r>
          </w:p>
        </w:tc>
        <w:tc>
          <w:tcPr>
            <w:tcW w:w="154"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w:t>
            </w:r>
          </w:p>
        </w:tc>
        <w:tc>
          <w:tcPr>
            <w:tcW w:w="16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w:t>
            </w:r>
            <w:r w:rsid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7,2</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8,3</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w:t>
            </w:r>
          </w:p>
        </w:tc>
        <w:tc>
          <w:tcPr>
            <w:tcW w:w="14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w:t>
            </w:r>
            <w:r w:rsidR="00C92293">
              <w:rPr>
                <w:sz w:val="16"/>
                <w:szCs w:val="18"/>
              </w:rPr>
              <w:t>,0</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6,7</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7,5</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4,4</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4,1</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6,9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Podiel osôb predčasne opúšťajúcich vzdelávací systém (13)</w:t>
            </w:r>
          </w:p>
        </w:tc>
        <w:tc>
          <w:tcPr>
            <w:tcW w:w="148" w:type="pct"/>
            <w:tcBorders>
              <w:top w:val="single" w:sz="4" w:space="0" w:color="auto"/>
              <w:left w:val="nil"/>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w:t>
            </w:r>
            <w:r w:rsidR="00C92293">
              <w:rPr>
                <w:sz w:val="16"/>
                <w:szCs w:val="18"/>
              </w:rPr>
              <w:t>,0</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10,1</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13,4</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6,2</w:t>
            </w:r>
          </w:p>
        </w:tc>
        <w:tc>
          <w:tcPr>
            <w:tcW w:w="142"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7,8</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10,1</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11,2</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w:t>
            </w:r>
            <w:r w:rsidR="00C92293">
              <w:rPr>
                <w:sz w:val="16"/>
                <w:szCs w:val="18"/>
              </w:rPr>
              <w:t>0,</w:t>
            </w:r>
            <w:r w:rsidRPr="00200F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9,3</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2,8</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14,7</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w:t>
            </w:r>
          </w:p>
        </w:tc>
        <w:tc>
          <w:tcPr>
            <w:tcW w:w="12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9,9</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5,5</w:t>
            </w:r>
          </w:p>
        </w:tc>
        <w:tc>
          <w:tcPr>
            <w:tcW w:w="154"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9,3</w:t>
            </w:r>
          </w:p>
        </w:tc>
        <w:tc>
          <w:tcPr>
            <w:tcW w:w="16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11,6</w:t>
            </w:r>
          </w:p>
        </w:tc>
        <w:tc>
          <w:tcPr>
            <w:tcW w:w="140"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19,8</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8,2</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5,3</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13,7</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19,1</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w:t>
            </w:r>
            <w:r w:rsidR="00C92293">
              <w:rPr>
                <w:sz w:val="16"/>
                <w:szCs w:val="18"/>
              </w:rPr>
              <w:t>,0</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6,9</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9,2</w:t>
            </w:r>
          </w:p>
        </w:tc>
        <w:tc>
          <w:tcPr>
            <w:tcW w:w="141"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w:t>
            </w:r>
            <w:r w:rsidR="00C92293">
              <w:rPr>
                <w:sz w:val="16"/>
                <w:szCs w:val="18"/>
              </w:rPr>
              <w:t>,0</w:t>
            </w:r>
          </w:p>
        </w:tc>
        <w:tc>
          <w:tcPr>
            <w:tcW w:w="147" w:type="pct"/>
            <w:tcBorders>
              <w:top w:val="single" w:sz="4" w:space="0" w:color="auto"/>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10,8</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9,5</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8,6</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13,4</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w:t>
            </w:r>
            <w:r w:rsidR="00C92293">
              <w:rPr>
                <w:sz w:val="16"/>
                <w:szCs w:val="18"/>
              </w:rPr>
              <w:t>,0</w:t>
            </w:r>
          </w:p>
        </w:tc>
        <w:tc>
          <w:tcPr>
            <w:tcW w:w="142"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5,7</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9,8</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w:t>
            </w:r>
            <w:r w:rsidR="00C92293">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5,4</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15,8</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8,5</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11,8</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3,2</w:t>
            </w:r>
          </w:p>
        </w:tc>
        <w:tc>
          <w:tcPr>
            <w:tcW w:w="12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w:t>
            </w:r>
            <w:r w:rsidR="00C92293">
              <w:rPr>
                <w:sz w:val="16"/>
                <w:szCs w:val="18"/>
              </w:rPr>
              <w:t>,0</w:t>
            </w:r>
          </w:p>
        </w:tc>
        <w:tc>
          <w:tcPr>
            <w:tcW w:w="154"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8,1</w:t>
            </w:r>
          </w:p>
        </w:tc>
        <w:tc>
          <w:tcPr>
            <w:tcW w:w="16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11,2</w:t>
            </w:r>
          </w:p>
        </w:tc>
        <w:tc>
          <w:tcPr>
            <w:tcW w:w="140"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16,6</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3,2</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w:t>
            </w:r>
            <w:r w:rsid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18,5</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6,8</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7,9</w:t>
            </w:r>
          </w:p>
        </w:tc>
        <w:tc>
          <w:tcPr>
            <w:tcW w:w="141"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w:t>
            </w:r>
          </w:p>
        </w:tc>
        <w:tc>
          <w:tcPr>
            <w:tcW w:w="147" w:type="pct"/>
            <w:tcBorders>
              <w:top w:val="nil"/>
              <w:left w:val="nil"/>
              <w:bottom w:val="nil"/>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9,8</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12,4</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11,6</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13,3</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13,2</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w:t>
            </w:r>
            <w:r w:rsidR="00C92293">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17,5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7,7</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13,4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10,5</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12,0</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7,8</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7,2</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16,4</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19,5</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6,4</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6,9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10,6</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7,6</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11,7</w:t>
            </w:r>
          </w:p>
        </w:tc>
      </w:tr>
      <w:tr w:rsidR="00C92293" w:rsidRPr="007156DC" w:rsidTr="00C92293">
        <w:trPr>
          <w:trHeight w:val="20"/>
          <w:jc w:val="center"/>
        </w:trPr>
        <w:tc>
          <w:tcPr>
            <w:tcW w:w="886" w:type="pct"/>
            <w:gridSpan w:val="2"/>
            <w:tcBorders>
              <w:top w:val="nil"/>
              <w:left w:val="single" w:sz="4" w:space="0" w:color="auto"/>
              <w:bottom w:val="single" w:sz="4" w:space="0" w:color="auto"/>
              <w:right w:val="single" w:sz="4" w:space="0" w:color="auto"/>
            </w:tcBorders>
            <w:shd w:val="clear" w:color="000000" w:fill="FFFFFF"/>
            <w:hideMark/>
          </w:tcPr>
          <w:p w:rsidR="00200FFB" w:rsidRPr="007156DC" w:rsidRDefault="00200FFB" w:rsidP="00DE0EEC">
            <w:pPr>
              <w:jc w:val="left"/>
              <w:rPr>
                <w:b/>
                <w:bCs/>
                <w:sz w:val="16"/>
                <w:szCs w:val="18"/>
              </w:rPr>
            </w:pPr>
            <w:r w:rsidRPr="007156DC">
              <w:rPr>
                <w:b/>
                <w:bCs/>
                <w:sz w:val="16"/>
                <w:szCs w:val="18"/>
              </w:rPr>
              <w:t>Daňový klin (14)</w:t>
            </w:r>
          </w:p>
        </w:tc>
        <w:tc>
          <w:tcPr>
            <w:tcW w:w="143"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34,9</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49,9</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33,6</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39,6</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34,1</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45,1</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w:t>
            </w:r>
            <w:r w:rsidR="00C92293">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w:t>
            </w:r>
            <w:r w:rsidR="00C92293">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35,8</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37,3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45,1</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36,1</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42,3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42,3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38,9</w:t>
            </w:r>
          </w:p>
        </w:tc>
        <w:tc>
          <w:tcPr>
            <w:tcW w:w="154"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30,5</w:t>
            </w:r>
          </w:p>
        </w:tc>
        <w:tc>
          <w:tcPr>
            <w:tcW w:w="16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49</w:t>
            </w:r>
            <w:r w:rsidR="00C92293">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18,8</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31,4</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44,9</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33,6</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34,9</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41</w:t>
            </w:r>
            <w:r w:rsidR="00C92293">
              <w:rPr>
                <w:sz w:val="16"/>
                <w:szCs w:val="18"/>
              </w:rPr>
              <w:t>,0</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38,6</w:t>
            </w:r>
          </w:p>
        </w:tc>
        <w:tc>
          <w:tcPr>
            <w:tcW w:w="141" w:type="pct"/>
            <w:tcBorders>
              <w:top w:val="single" w:sz="4" w:space="0" w:color="auto"/>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38,7</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38,2</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40,5</w:t>
            </w:r>
          </w:p>
        </w:tc>
        <w:tc>
          <w:tcPr>
            <w:tcW w:w="147" w:type="pct"/>
            <w:tcBorders>
              <w:top w:val="single" w:sz="4" w:space="0" w:color="auto"/>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26,2</w:t>
            </w:r>
          </w:p>
        </w:tc>
      </w:tr>
      <w:tr w:rsidR="00C92293" w:rsidRPr="007156DC" w:rsidTr="00C92293">
        <w:trPr>
          <w:trHeight w:val="170"/>
          <w:jc w:val="center"/>
        </w:trPr>
        <w:tc>
          <w:tcPr>
            <w:tcW w:w="886" w:type="pct"/>
            <w:gridSpan w:val="2"/>
            <w:tcBorders>
              <w:top w:val="nil"/>
              <w:left w:val="single" w:sz="4" w:space="0" w:color="auto"/>
              <w:bottom w:val="single" w:sz="4" w:space="0" w:color="auto"/>
              <w:right w:val="single" w:sz="4" w:space="0" w:color="auto"/>
            </w:tcBorders>
            <w:shd w:val="clear" w:color="000000" w:fill="FFFFFF"/>
            <w:hideMark/>
          </w:tcPr>
          <w:p w:rsidR="00200FFB" w:rsidRPr="007156DC" w:rsidRDefault="00200FFB" w:rsidP="00DE0EEC">
            <w:pPr>
              <w:jc w:val="left"/>
              <w:rPr>
                <w:b/>
                <w:bCs/>
                <w:sz w:val="16"/>
                <w:szCs w:val="18"/>
              </w:rPr>
            </w:pPr>
            <w:r w:rsidRPr="007156DC">
              <w:rPr>
                <w:b/>
                <w:bCs/>
                <w:sz w:val="16"/>
                <w:szCs w:val="18"/>
              </w:rPr>
              <w:t xml:space="preserve">Pasca nezamestnanosti </w:t>
            </w:r>
            <w:r w:rsidRPr="007156DC">
              <w:rPr>
                <w:bCs/>
                <w:sz w:val="20"/>
                <w:szCs w:val="16"/>
              </w:rPr>
              <w:t>–</w:t>
            </w:r>
            <w:r w:rsidRPr="007156DC">
              <w:rPr>
                <w:b/>
                <w:bCs/>
                <w:sz w:val="16"/>
                <w:szCs w:val="18"/>
              </w:rPr>
              <w:t xml:space="preserve"> jednotlivec (15) </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73,79</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92,95</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81,61</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80,18</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90,01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73,03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63,66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73,19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50,29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81,73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77,41</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81,04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79,64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88,7</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61,49</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86,69</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78,54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57,65</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82,22</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67,91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77,59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79,87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50,6</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89,71</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44,51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81,51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69,49</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62,43</w:t>
            </w:r>
          </w:p>
        </w:tc>
      </w:tr>
      <w:tr w:rsidR="00C92293" w:rsidRPr="007156DC" w:rsidTr="00C92293">
        <w:trPr>
          <w:trHeight w:val="170"/>
          <w:jc w:val="center"/>
        </w:trPr>
        <w:tc>
          <w:tcPr>
            <w:tcW w:w="886" w:type="pct"/>
            <w:gridSpan w:val="2"/>
            <w:tcBorders>
              <w:top w:val="nil"/>
              <w:left w:val="single" w:sz="4" w:space="0" w:color="auto"/>
              <w:bottom w:val="single" w:sz="4" w:space="0" w:color="auto"/>
              <w:right w:val="single" w:sz="4" w:space="0" w:color="auto"/>
            </w:tcBorders>
            <w:shd w:val="clear" w:color="000000" w:fill="FFFFFF"/>
            <w:hideMark/>
          </w:tcPr>
          <w:p w:rsidR="00200FFB" w:rsidRPr="007156DC" w:rsidRDefault="00200FFB" w:rsidP="00DE0EEC">
            <w:pPr>
              <w:jc w:val="left"/>
              <w:rPr>
                <w:b/>
                <w:bCs/>
                <w:sz w:val="16"/>
                <w:szCs w:val="18"/>
              </w:rPr>
            </w:pPr>
            <w:r w:rsidRPr="007156DC">
              <w:rPr>
                <w:b/>
                <w:bCs/>
                <w:sz w:val="16"/>
                <w:szCs w:val="18"/>
              </w:rPr>
              <w:t xml:space="preserve">Pasca nízkej mzdy </w:t>
            </w:r>
            <w:r w:rsidRPr="007156DC">
              <w:rPr>
                <w:bCs/>
                <w:sz w:val="20"/>
                <w:szCs w:val="16"/>
              </w:rPr>
              <w:t>–</w:t>
            </w:r>
            <w:r w:rsidRPr="007156DC">
              <w:rPr>
                <w:b/>
                <w:bCs/>
                <w:sz w:val="16"/>
                <w:szCs w:val="18"/>
              </w:rPr>
              <w:t xml:space="preserve"> jednotlivec (15) </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47,3</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60,67</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30,06</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48,86</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77,27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56,2</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24,16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46,47</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21,93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30,34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51,82</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29,94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37,78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31,98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26,77</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57,88</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37,39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22,05</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71,87</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42,82</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61,01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27,69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31,09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48,45</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26,21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55,81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38,69</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48,11</w:t>
            </w:r>
          </w:p>
        </w:tc>
      </w:tr>
      <w:tr w:rsidR="00C92293" w:rsidRPr="007156DC" w:rsidTr="00C92293">
        <w:trPr>
          <w:trHeight w:val="283"/>
          <w:jc w:val="center"/>
        </w:trPr>
        <w:tc>
          <w:tcPr>
            <w:tcW w:w="886" w:type="pct"/>
            <w:gridSpan w:val="2"/>
            <w:tcBorders>
              <w:top w:val="nil"/>
              <w:left w:val="single" w:sz="4" w:space="0" w:color="auto"/>
              <w:bottom w:val="single" w:sz="4" w:space="0" w:color="auto"/>
              <w:right w:val="single" w:sz="4" w:space="0" w:color="auto"/>
            </w:tcBorders>
            <w:shd w:val="clear" w:color="000000" w:fill="FFFFFF"/>
            <w:hideMark/>
          </w:tcPr>
          <w:p w:rsidR="00200FFB" w:rsidRPr="007156DC" w:rsidRDefault="00200FFB" w:rsidP="00DE0EEC">
            <w:pPr>
              <w:jc w:val="left"/>
              <w:rPr>
                <w:b/>
                <w:bCs/>
                <w:sz w:val="16"/>
                <w:szCs w:val="18"/>
              </w:rPr>
            </w:pPr>
            <w:r w:rsidRPr="007156DC">
              <w:rPr>
                <w:b/>
                <w:bCs/>
                <w:sz w:val="16"/>
                <w:szCs w:val="18"/>
              </w:rPr>
              <w:t xml:space="preserve">Pasca nízkej mzdy </w:t>
            </w:r>
            <w:r w:rsidRPr="007156DC">
              <w:rPr>
                <w:bCs/>
                <w:sz w:val="20"/>
                <w:szCs w:val="16"/>
              </w:rPr>
              <w:t>–</w:t>
            </w:r>
            <w:r w:rsidRPr="007156DC">
              <w:rPr>
                <w:b/>
                <w:bCs/>
                <w:sz w:val="16"/>
                <w:szCs w:val="18"/>
              </w:rPr>
              <w:t xml:space="preserve"> dvojica s 2 deťmi (jeden zárobok) (15) </w:t>
            </w:r>
          </w:p>
        </w:tc>
        <w:tc>
          <w:tcPr>
            <w:tcW w:w="143"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61,78</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48,82</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40,75</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91,41</w:t>
            </w:r>
          </w:p>
        </w:tc>
        <w:tc>
          <w:tcPr>
            <w:tcW w:w="142"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89,5</w:t>
            </w:r>
            <w:r w:rsidR="00C92293">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89,5</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33,74</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72,63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18,96</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14,83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83,78</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23,77</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0,33</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w:t>
            </w:r>
          </w:p>
        </w:tc>
        <w:tc>
          <w:tcPr>
            <w:tcW w:w="12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50,67</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84,6</w:t>
            </w:r>
            <w:r w:rsidR="00C92293">
              <w:rPr>
                <w:sz w:val="16"/>
                <w:szCs w:val="18"/>
              </w:rPr>
              <w:t>0</w:t>
            </w:r>
          </w:p>
        </w:tc>
        <w:tc>
          <w:tcPr>
            <w:tcW w:w="154"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107,68</w:t>
            </w:r>
          </w:p>
        </w:tc>
        <w:tc>
          <w:tcPr>
            <w:tcW w:w="16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39,39</w:t>
            </w:r>
          </w:p>
        </w:tc>
        <w:tc>
          <w:tcPr>
            <w:tcW w:w="140"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22,29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63,81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97,09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44,92</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24,34</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34,71</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58,24</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200FFB" w:rsidRDefault="00200FFB" w:rsidP="00200FFB">
            <w:pPr>
              <w:jc w:val="right"/>
              <w:rPr>
                <w:sz w:val="16"/>
                <w:szCs w:val="18"/>
              </w:rPr>
            </w:pPr>
            <w:r w:rsidRPr="00200FFB">
              <w:rPr>
                <w:sz w:val="16"/>
                <w:szCs w:val="18"/>
              </w:rPr>
              <w:t>51,39</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10</w:t>
            </w:r>
            <w:r w:rsidR="00C92293">
              <w:rPr>
                <w:sz w:val="16"/>
                <w:szCs w:val="18"/>
              </w:rPr>
              <w:t>0,</w:t>
            </w:r>
            <w:r w:rsidRPr="00200F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69,3</w:t>
            </w:r>
          </w:p>
        </w:tc>
        <w:tc>
          <w:tcPr>
            <w:tcW w:w="147" w:type="pct"/>
            <w:tcBorders>
              <w:top w:val="nil"/>
              <w:left w:val="nil"/>
              <w:bottom w:val="single" w:sz="4" w:space="0" w:color="auto"/>
              <w:right w:val="single" w:sz="4" w:space="0" w:color="auto"/>
            </w:tcBorders>
            <w:shd w:val="clear" w:color="auto" w:fill="auto"/>
            <w:noWrap/>
            <w:vAlign w:val="center"/>
          </w:tcPr>
          <w:p w:rsidR="00200FFB" w:rsidRPr="00200FFB" w:rsidRDefault="00200FFB" w:rsidP="00200FFB">
            <w:pPr>
              <w:jc w:val="right"/>
              <w:rPr>
                <w:sz w:val="16"/>
                <w:szCs w:val="18"/>
              </w:rPr>
            </w:pPr>
            <w:r w:rsidRPr="00200FFB">
              <w:rPr>
                <w:sz w:val="16"/>
                <w:szCs w:val="18"/>
              </w:rPr>
              <w:t>80,45</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Populácia ohrozená chudobou a sociálnym vylúčením v % (16)</w:t>
            </w:r>
          </w:p>
        </w:tc>
        <w:tc>
          <w:tcPr>
            <w:tcW w:w="148" w:type="pct"/>
            <w:tcBorders>
              <w:top w:val="nil"/>
              <w:left w:val="nil"/>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24,4</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21,2</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40,1</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14,8</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20,6</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w:t>
            </w:r>
            <w:r w:rsidR="00C92293">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27,6</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w:t>
            </w:r>
            <w:r w:rsidR="00C92293">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29,2</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27,4</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27,3</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w:t>
            </w:r>
            <w:r w:rsidR="00C92293">
              <w:rPr>
                <w:sz w:val="16"/>
                <w:szCs w:val="18"/>
              </w:rPr>
              <w:t>,0</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23,8</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39,5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20,4</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18,4</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17,3</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16,9</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24,1</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25,2</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21,5</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41,3</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16,3</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w:t>
            </w:r>
            <w:r w:rsidR="00C92293">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28,9</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29,9</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28,8</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34,4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28,8</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39,9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21,5</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18,7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17,6</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18,2</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25,2</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23,6</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20,9</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38,8</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13,3</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35,3</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28,6</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w:t>
            </w:r>
            <w:r w:rsidR="00C92293">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26,0</w:t>
            </w:r>
          </w:p>
        </w:tc>
        <w:tc>
          <w:tcPr>
            <w:tcW w:w="12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30,6</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25,5</w:t>
            </w:r>
          </w:p>
        </w:tc>
        <w:tc>
          <w:tcPr>
            <w:tcW w:w="154"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18,5</w:t>
            </w:r>
          </w:p>
        </w:tc>
        <w:tc>
          <w:tcPr>
            <w:tcW w:w="16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22,9</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15,8</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39,1</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19,3</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18,1</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16,9</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15,6</w:t>
            </w:r>
          </w:p>
        </w:tc>
        <w:tc>
          <w:tcPr>
            <w:tcW w:w="14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w:t>
            </w:r>
            <w:r w:rsidR="00C92293">
              <w:rPr>
                <w:sz w:val="16"/>
                <w:szCs w:val="18"/>
              </w:rPr>
              <w:t>,0</w:t>
            </w:r>
          </w:p>
        </w:tc>
      </w:tr>
      <w:tr w:rsidR="00C92293" w:rsidRPr="007156DC" w:rsidTr="00C92293">
        <w:trPr>
          <w:trHeight w:val="170"/>
          <w:jc w:val="center"/>
        </w:trPr>
        <w:tc>
          <w:tcPr>
            <w:tcW w:w="886" w:type="pct"/>
            <w:gridSpan w:val="2"/>
            <w:tcBorders>
              <w:top w:val="nil"/>
              <w:left w:val="single" w:sz="4" w:space="0" w:color="auto"/>
              <w:bottom w:val="single" w:sz="4" w:space="0" w:color="auto"/>
              <w:right w:val="single" w:sz="4" w:space="0" w:color="auto"/>
            </w:tcBorders>
            <w:shd w:val="clear" w:color="000000" w:fill="FFFFFF"/>
            <w:hideMark/>
          </w:tcPr>
          <w:p w:rsidR="00200FFB" w:rsidRPr="007156DC" w:rsidRDefault="00200FFB" w:rsidP="00DE0EEC">
            <w:pPr>
              <w:jc w:val="left"/>
              <w:rPr>
                <w:b/>
                <w:bCs/>
                <w:sz w:val="16"/>
                <w:szCs w:val="18"/>
              </w:rPr>
            </w:pPr>
            <w:r w:rsidRPr="007156DC">
              <w:rPr>
                <w:b/>
                <w:bCs/>
                <w:sz w:val="16"/>
                <w:szCs w:val="18"/>
              </w:rPr>
              <w:t>Populácia ohrozená chudobou a soci</w:t>
            </w:r>
            <w:r w:rsidRPr="007156DC">
              <w:rPr>
                <w:b/>
                <w:bCs/>
                <w:sz w:val="16"/>
                <w:szCs w:val="18"/>
              </w:rPr>
              <w:softHyphen/>
              <w:t>álnym vylúčením do 18 rokov v % (17) </w:t>
            </w:r>
          </w:p>
        </w:tc>
        <w:tc>
          <w:tcPr>
            <w:tcW w:w="143"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27,8</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23,2</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45,2</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2"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14,5</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19,6</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23,8</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30,3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36,7</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35,8</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21,6</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w:t>
            </w:r>
            <w:r w:rsidR="00C92293">
              <w:rPr>
                <w:sz w:val="16"/>
                <w:szCs w:val="18"/>
              </w:rPr>
              <w:t>,0</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32,1</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27"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35,3</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28,9</w:t>
            </w:r>
          </w:p>
        </w:tc>
        <w:tc>
          <w:tcPr>
            <w:tcW w:w="154"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26,4</w:t>
            </w:r>
          </w:p>
        </w:tc>
        <w:tc>
          <w:tcPr>
            <w:tcW w:w="16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41,8</w:t>
            </w:r>
          </w:p>
        </w:tc>
        <w:tc>
          <w:tcPr>
            <w:tcW w:w="140"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31,3</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17,1</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23,3</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28,2</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31,4</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50,5</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1" w:type="pct"/>
            <w:tcBorders>
              <w:top w:val="single" w:sz="4" w:space="0" w:color="auto"/>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23,6</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15,6</w:t>
            </w:r>
          </w:p>
        </w:tc>
        <w:tc>
          <w:tcPr>
            <w:tcW w:w="141"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16,7</w:t>
            </w:r>
          </w:p>
        </w:tc>
        <w:tc>
          <w:tcPr>
            <w:tcW w:w="147" w:type="pct"/>
            <w:tcBorders>
              <w:top w:val="single" w:sz="4" w:space="0" w:color="auto"/>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31,3</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Populácia ohrozená chudobou a sociálnym vylúčením od 18 rokov v % (18)</w:t>
            </w:r>
          </w:p>
        </w:tc>
        <w:tc>
          <w:tcPr>
            <w:tcW w:w="148" w:type="pct"/>
            <w:tcBorders>
              <w:top w:val="nil"/>
              <w:left w:val="nil"/>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23,7</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20,7</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39,1</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13,8</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26,6</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35,9</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28,1</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w:t>
            </w:r>
            <w:r w:rsidR="00222EFB">
              <w:rPr>
                <w:sz w:val="16"/>
                <w:szCs w:val="18"/>
              </w:rPr>
              <w:t>,0</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w:t>
            </w:r>
            <w:r w:rsidR="00222EFB">
              <w:rPr>
                <w:sz w:val="16"/>
                <w:szCs w:val="18"/>
              </w:rPr>
              <w:t>,0</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16,3</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26,6</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37,1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w:t>
            </w:r>
            <w:r w:rsidR="00222EFB">
              <w:rPr>
                <w:sz w:val="16"/>
                <w:szCs w:val="18"/>
              </w:rPr>
              <w:t>,0</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17,2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w:t>
            </w:r>
            <w:r w:rsidR="00222EFB">
              <w:rPr>
                <w:sz w:val="16"/>
                <w:szCs w:val="18"/>
              </w:rPr>
              <w:t>,0</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24,7</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21,3</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40,2</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15,8</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w:t>
            </w:r>
            <w:r w:rsid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36,9</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27,6</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w:t>
            </w:r>
            <w:r w:rsidR="00222EFB">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29,4</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34,4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28,6</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17,9</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30,3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23,8</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27,4</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37,8</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22,5</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17,5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18,1</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23,8</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22,5</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w:t>
            </w:r>
            <w:r w:rsidR="00C92293">
              <w:rPr>
                <w:sz w:val="16"/>
                <w:szCs w:val="18"/>
              </w:rPr>
              <w:t>0,</w:t>
            </w:r>
            <w:r w:rsidRPr="00C92293">
              <w:rPr>
                <w:sz w:val="16"/>
                <w:szCs w:val="18"/>
              </w:rPr>
              <w:t>0</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37,8</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11,7</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25,8</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34,8</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27,7</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28,9</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25,9</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26,7</w:t>
            </w:r>
          </w:p>
        </w:tc>
        <w:tc>
          <w:tcPr>
            <w:tcW w:w="12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w:t>
            </w:r>
            <w:r w:rsidR="00222EFB">
              <w:rPr>
                <w:sz w:val="16"/>
                <w:szCs w:val="18"/>
              </w:rPr>
              <w:t>,0</w:t>
            </w:r>
          </w:p>
        </w:tc>
        <w:tc>
          <w:tcPr>
            <w:tcW w:w="154"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16,2</w:t>
            </w:r>
          </w:p>
        </w:tc>
        <w:tc>
          <w:tcPr>
            <w:tcW w:w="16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29,1</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20,4</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15,4</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16,5</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36,3</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17</w:t>
            </w:r>
            <w:r w:rsidR="00222E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17,3</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15,9</w:t>
            </w:r>
          </w:p>
        </w:tc>
        <w:tc>
          <w:tcPr>
            <w:tcW w:w="14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20,7</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Miera rizika chudoby (19)</w:t>
            </w:r>
          </w:p>
        </w:tc>
        <w:tc>
          <w:tcPr>
            <w:tcW w:w="148" w:type="pct"/>
            <w:tcBorders>
              <w:top w:val="single" w:sz="4" w:space="0" w:color="auto"/>
              <w:left w:val="nil"/>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15,5</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21,8</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9,7</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16,7</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21,8</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15,6</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22,1</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22,2</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13,3</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19,4</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19,4</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14,4</w:t>
            </w:r>
          </w:p>
        </w:tc>
        <w:tc>
          <w:tcPr>
            <w:tcW w:w="12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21,2</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19,1</w:t>
            </w:r>
          </w:p>
        </w:tc>
        <w:tc>
          <w:tcPr>
            <w:tcW w:w="154"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16,4</w:t>
            </w:r>
          </w:p>
        </w:tc>
        <w:tc>
          <w:tcPr>
            <w:tcW w:w="16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w:t>
            </w:r>
            <w:r w:rsidR="00222E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15,9</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11,6</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14,1</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17,0</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25,4</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14,5</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12,6</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12,8</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15,1</w:t>
            </w:r>
          </w:p>
        </w:tc>
        <w:tc>
          <w:tcPr>
            <w:tcW w:w="14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16,8</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17,7</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15,9</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22,6</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10,5</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11,8</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w:t>
            </w:r>
            <w:r w:rsidR="00222EFB">
              <w:rPr>
                <w:sz w:val="16"/>
                <w:szCs w:val="18"/>
              </w:rPr>
              <w:t>,0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15,6</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20,3</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16,6</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w:t>
            </w:r>
            <w:r w:rsidR="00222EFB">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16,8</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w:t>
            </w:r>
            <w:r w:rsidR="00222EFB">
              <w:rPr>
                <w:sz w:val="16"/>
                <w:szCs w:val="18"/>
              </w:rPr>
              <w:t>0,</w:t>
            </w:r>
            <w:r w:rsidRP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15,2</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12,6</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13,3</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16,3</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17,6</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16,7</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w:t>
            </w:r>
            <w:r w:rsidR="00C92293">
              <w:rPr>
                <w:sz w:val="16"/>
                <w:szCs w:val="18"/>
              </w:rPr>
              <w:t>,0</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20,9</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8,9</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12,4</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15,9</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20,1</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22,4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12,6</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18,7</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13,1</w:t>
            </w:r>
          </w:p>
        </w:tc>
        <w:tc>
          <w:tcPr>
            <w:tcW w:w="12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17,8</w:t>
            </w:r>
          </w:p>
        </w:tc>
        <w:tc>
          <w:tcPr>
            <w:tcW w:w="154"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16,3</w:t>
            </w:r>
          </w:p>
        </w:tc>
        <w:tc>
          <w:tcPr>
            <w:tcW w:w="16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11,3</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13,3</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18,9</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25,5</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13,7</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12,7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12,3</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13,9</w:t>
            </w:r>
          </w:p>
        </w:tc>
        <w:tc>
          <w:tcPr>
            <w:tcW w:w="14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16,1</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Osoby v domácnostiach s veľmi nízkou intenzitou práce v % (20)</w:t>
            </w:r>
          </w:p>
        </w:tc>
        <w:tc>
          <w:tcPr>
            <w:tcW w:w="148" w:type="pct"/>
            <w:tcBorders>
              <w:top w:val="single" w:sz="4" w:space="0" w:color="auto"/>
              <w:left w:val="nil"/>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11,2</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14,6</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7,6</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w:t>
            </w:r>
            <w:r w:rsidR="00C92293">
              <w:rPr>
                <w:sz w:val="16"/>
                <w:szCs w:val="18"/>
              </w:rPr>
              <w:t>0,</w:t>
            </w:r>
            <w:r w:rsidRPr="00C92293">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7,6</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21,1</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17,1</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9,6</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14,7</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9,7</w:t>
            </w:r>
          </w:p>
        </w:tc>
        <w:tc>
          <w:tcPr>
            <w:tcW w:w="12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9,6</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8,8</w:t>
            </w:r>
          </w:p>
        </w:tc>
        <w:tc>
          <w:tcPr>
            <w:tcW w:w="154"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6,1</w:t>
            </w:r>
          </w:p>
        </w:tc>
        <w:tc>
          <w:tcPr>
            <w:tcW w:w="16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12,8</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9,8</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10,2</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9,1</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7,3</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12,2</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6,4</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8,7</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7,1</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w:t>
            </w:r>
            <w:r w:rsidR="00222EFB">
              <w:rPr>
                <w:sz w:val="16"/>
                <w:szCs w:val="18"/>
              </w:rPr>
              <w:t>0,</w:t>
            </w:r>
            <w:r w:rsidRPr="00C92293">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6,4</w:t>
            </w:r>
          </w:p>
        </w:tc>
        <w:tc>
          <w:tcPr>
            <w:tcW w:w="14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12,2</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11,6</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14,9</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8,4</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12,6</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10,2</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20,7</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17,2</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15,0</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10,5</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8,4</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6,6</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10,7</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12,4</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9,8</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7</w:t>
            </w:r>
            <w:r w:rsidR="00222EFB">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w:t>
            </w:r>
            <w:r w:rsidR="00222EFB">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6,5</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12,6</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10,7</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14,2</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12,1</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6,8</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9,8</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8,6</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16</w:t>
            </w:r>
            <w:r w:rsidR="00222E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17</w:t>
            </w:r>
            <w:r w:rsidR="00222E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8,9</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11,4</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8,9</w:t>
            </w:r>
          </w:p>
        </w:tc>
        <w:tc>
          <w:tcPr>
            <w:tcW w:w="12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9,2</w:t>
            </w:r>
          </w:p>
        </w:tc>
        <w:tc>
          <w:tcPr>
            <w:tcW w:w="154"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5,6</w:t>
            </w:r>
          </w:p>
        </w:tc>
        <w:tc>
          <w:tcPr>
            <w:tcW w:w="16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12,3</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8,8</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9,6</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7,8</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7,1</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11,9</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5,6</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7,7</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7,2</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w:t>
            </w:r>
            <w:r w:rsidR="00222EFB">
              <w:rPr>
                <w:sz w:val="16"/>
                <w:szCs w:val="18"/>
              </w:rPr>
              <w:t>,0</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11,8</w:t>
            </w:r>
          </w:p>
        </w:tc>
      </w:tr>
      <w:tr w:rsidR="00C92293" w:rsidRPr="007156DC" w:rsidTr="00C92293">
        <w:trPr>
          <w:trHeight w:val="170"/>
          <w:jc w:val="center"/>
        </w:trPr>
        <w:tc>
          <w:tcPr>
            <w:tcW w:w="738" w:type="pct"/>
            <w:vMerge w:val="restart"/>
            <w:tcBorders>
              <w:top w:val="nil"/>
              <w:left w:val="single" w:sz="4" w:space="0" w:color="auto"/>
              <w:bottom w:val="single" w:sz="4" w:space="0" w:color="auto"/>
              <w:right w:val="single" w:sz="4" w:space="0" w:color="auto"/>
            </w:tcBorders>
            <w:shd w:val="clear" w:color="auto" w:fill="auto"/>
            <w:hideMark/>
          </w:tcPr>
          <w:p w:rsidR="00200FFB" w:rsidRPr="007156DC" w:rsidRDefault="00200FFB" w:rsidP="00DE0EEC">
            <w:pPr>
              <w:jc w:val="left"/>
              <w:rPr>
                <w:b/>
                <w:bCs/>
                <w:sz w:val="16"/>
                <w:szCs w:val="18"/>
              </w:rPr>
            </w:pPr>
            <w:r w:rsidRPr="007156DC">
              <w:rPr>
                <w:b/>
                <w:bCs/>
                <w:sz w:val="16"/>
                <w:szCs w:val="18"/>
              </w:rPr>
              <w:t xml:space="preserve">Ťažko materiálne </w:t>
            </w:r>
            <w:proofErr w:type="spellStart"/>
            <w:r w:rsidRPr="007156DC">
              <w:rPr>
                <w:b/>
                <w:bCs/>
                <w:sz w:val="16"/>
                <w:szCs w:val="18"/>
              </w:rPr>
              <w:t>deprivovaní</w:t>
            </w:r>
            <w:proofErr w:type="spellEnd"/>
            <w:r w:rsidRPr="007156DC">
              <w:rPr>
                <w:b/>
                <w:bCs/>
                <w:sz w:val="16"/>
                <w:szCs w:val="18"/>
              </w:rPr>
              <w:t xml:space="preserve"> v % (21)</w:t>
            </w:r>
          </w:p>
        </w:tc>
        <w:tc>
          <w:tcPr>
            <w:tcW w:w="148" w:type="pct"/>
            <w:tcBorders>
              <w:top w:val="single" w:sz="4" w:space="0" w:color="auto"/>
              <w:left w:val="nil"/>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spolu</w:t>
            </w:r>
          </w:p>
        </w:tc>
        <w:tc>
          <w:tcPr>
            <w:tcW w:w="143"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8,9</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5,9</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33,1</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6,7</w:t>
            </w:r>
          </w:p>
        </w:tc>
        <w:tc>
          <w:tcPr>
            <w:tcW w:w="142"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w:t>
            </w:r>
            <w:r w:rsidR="00C92293">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8,4</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21,5</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7,1</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4,8</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13,9</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11,6</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15,3</w:t>
            </w:r>
          </w:p>
        </w:tc>
        <w:tc>
          <w:tcPr>
            <w:tcW w:w="12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19,2</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13,6</w:t>
            </w:r>
          </w:p>
        </w:tc>
        <w:tc>
          <w:tcPr>
            <w:tcW w:w="154"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w:t>
            </w:r>
          </w:p>
        </w:tc>
        <w:tc>
          <w:tcPr>
            <w:tcW w:w="16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w:t>
            </w:r>
            <w:r w:rsidR="00222EFB">
              <w:rPr>
                <w:sz w:val="16"/>
                <w:szCs w:val="18"/>
              </w:rPr>
              <w:t>,0</w:t>
            </w:r>
          </w:p>
        </w:tc>
        <w:tc>
          <w:tcPr>
            <w:tcW w:w="140"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10,2</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w:t>
            </w:r>
            <w:r w:rsidR="00222EFB">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10,4</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10,6</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w:t>
            </w:r>
            <w:r w:rsidR="00222EFB">
              <w:rPr>
                <w:sz w:val="16"/>
                <w:szCs w:val="18"/>
              </w:rPr>
              <w:t>,0</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6,6</w:t>
            </w:r>
          </w:p>
        </w:tc>
        <w:tc>
          <w:tcPr>
            <w:tcW w:w="141" w:type="pct"/>
            <w:tcBorders>
              <w:top w:val="single" w:sz="4" w:space="0" w:color="auto"/>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9,9</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2,8</w:t>
            </w:r>
          </w:p>
        </w:tc>
        <w:tc>
          <w:tcPr>
            <w:tcW w:w="141"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0,7</w:t>
            </w:r>
          </w:p>
        </w:tc>
        <w:tc>
          <w:tcPr>
            <w:tcW w:w="147" w:type="pct"/>
            <w:tcBorders>
              <w:top w:val="single" w:sz="4" w:space="0" w:color="auto"/>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7,3</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nil"/>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ženy</w:t>
            </w:r>
          </w:p>
        </w:tc>
        <w:tc>
          <w:tcPr>
            <w:tcW w:w="143"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w:t>
            </w:r>
            <w:r w:rsidR="00C92293">
              <w:rPr>
                <w:sz w:val="16"/>
                <w:szCs w:val="18"/>
              </w:rPr>
              <w:t>,0</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5,6</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34,3</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7,2</w:t>
            </w:r>
          </w:p>
        </w:tc>
        <w:tc>
          <w:tcPr>
            <w:tcW w:w="142"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8,6</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21,8</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5,1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14,3</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11,5</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15,1</w:t>
            </w:r>
          </w:p>
        </w:tc>
        <w:tc>
          <w:tcPr>
            <w:tcW w:w="12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20,1</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14,3</w:t>
            </w:r>
          </w:p>
        </w:tc>
        <w:tc>
          <w:tcPr>
            <w:tcW w:w="154"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w:t>
            </w:r>
          </w:p>
        </w:tc>
        <w:tc>
          <w:tcPr>
            <w:tcW w:w="16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24,4</w:t>
            </w:r>
          </w:p>
        </w:tc>
        <w:tc>
          <w:tcPr>
            <w:tcW w:w="140"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3,6</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10,2</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11,1</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24,5</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6,6</w:t>
            </w:r>
          </w:p>
        </w:tc>
        <w:tc>
          <w:tcPr>
            <w:tcW w:w="141" w:type="pct"/>
            <w:tcBorders>
              <w:top w:val="nil"/>
              <w:left w:val="nil"/>
              <w:bottom w:val="nil"/>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1</w:t>
            </w:r>
            <w:r w:rsidR="00222EFB">
              <w:rPr>
                <w:sz w:val="16"/>
                <w:szCs w:val="18"/>
              </w:rPr>
              <w:t>0,</w:t>
            </w:r>
            <w:r w:rsidRPr="00C92293">
              <w:rPr>
                <w:sz w:val="16"/>
                <w:szCs w:val="18"/>
              </w:rPr>
              <w:t>0</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2,9</w:t>
            </w:r>
          </w:p>
        </w:tc>
        <w:tc>
          <w:tcPr>
            <w:tcW w:w="141"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0,7</w:t>
            </w:r>
          </w:p>
        </w:tc>
        <w:tc>
          <w:tcPr>
            <w:tcW w:w="147" w:type="pct"/>
            <w:tcBorders>
              <w:top w:val="nil"/>
              <w:left w:val="nil"/>
              <w:bottom w:val="nil"/>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7,4</w:t>
            </w:r>
          </w:p>
        </w:tc>
      </w:tr>
      <w:tr w:rsidR="00C92293" w:rsidRPr="007156DC" w:rsidTr="00C92293">
        <w:trPr>
          <w:trHeight w:val="170"/>
          <w:jc w:val="center"/>
        </w:trPr>
        <w:tc>
          <w:tcPr>
            <w:tcW w:w="738" w:type="pct"/>
            <w:vMerge/>
            <w:tcBorders>
              <w:top w:val="nil"/>
              <w:left w:val="single" w:sz="4" w:space="0" w:color="auto"/>
              <w:bottom w:val="single" w:sz="4" w:space="0" w:color="auto"/>
              <w:right w:val="single" w:sz="4" w:space="0" w:color="auto"/>
            </w:tcBorders>
            <w:vAlign w:val="center"/>
            <w:hideMark/>
          </w:tcPr>
          <w:p w:rsidR="00200FFB" w:rsidRPr="007156DC" w:rsidRDefault="00200FFB" w:rsidP="00DE0EEC">
            <w:pPr>
              <w:jc w:val="left"/>
              <w:rPr>
                <w:b/>
                <w:bCs/>
                <w:sz w:val="16"/>
                <w:szCs w:val="18"/>
              </w:rPr>
            </w:pP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200FFB" w:rsidRPr="007156DC" w:rsidRDefault="00200FFB" w:rsidP="00DE0EEC">
            <w:pPr>
              <w:jc w:val="left"/>
              <w:rPr>
                <w:b/>
                <w:bCs/>
                <w:sz w:val="16"/>
                <w:szCs w:val="18"/>
              </w:rPr>
            </w:pPr>
            <w:r w:rsidRPr="007156DC">
              <w:rPr>
                <w:b/>
                <w:bCs/>
                <w:sz w:val="16"/>
                <w:szCs w:val="18"/>
              </w:rPr>
              <w:t>muži</w:t>
            </w:r>
          </w:p>
        </w:tc>
        <w:tc>
          <w:tcPr>
            <w:tcW w:w="143"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8,8</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31,7</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2"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3,2</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4,8</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8,1</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21,2</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w:t>
            </w:r>
            <w:r w:rsidR="00222EFB">
              <w:rPr>
                <w:sz w:val="16"/>
                <w:szCs w:val="18"/>
              </w:rPr>
              <w:t>,0</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4,5</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13,6</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11,7</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15,6</w:t>
            </w:r>
          </w:p>
        </w:tc>
        <w:tc>
          <w:tcPr>
            <w:tcW w:w="12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18,1</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12,8</w:t>
            </w:r>
          </w:p>
        </w:tc>
        <w:tc>
          <w:tcPr>
            <w:tcW w:w="154"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1,4</w:t>
            </w:r>
          </w:p>
        </w:tc>
        <w:tc>
          <w:tcPr>
            <w:tcW w:w="16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23,7</w:t>
            </w:r>
          </w:p>
        </w:tc>
        <w:tc>
          <w:tcPr>
            <w:tcW w:w="140"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9,9</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3,8</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10,6</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10,1</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25,5</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6,7</w:t>
            </w:r>
          </w:p>
        </w:tc>
        <w:tc>
          <w:tcPr>
            <w:tcW w:w="141" w:type="pct"/>
            <w:tcBorders>
              <w:top w:val="nil"/>
              <w:left w:val="nil"/>
              <w:bottom w:val="single" w:sz="4" w:space="0" w:color="auto"/>
              <w:right w:val="single" w:sz="4" w:space="0" w:color="auto"/>
            </w:tcBorders>
            <w:shd w:val="clear" w:color="000000" w:fill="FFCCCC" w:themeFill="accent3" w:themeFillTint="33"/>
            <w:noWrap/>
            <w:vAlign w:val="center"/>
          </w:tcPr>
          <w:p w:rsidR="00200FFB" w:rsidRPr="00C92293" w:rsidRDefault="00200FFB" w:rsidP="00C92293">
            <w:pPr>
              <w:jc w:val="right"/>
              <w:rPr>
                <w:sz w:val="16"/>
                <w:szCs w:val="18"/>
              </w:rPr>
            </w:pPr>
            <w:r w:rsidRPr="00C92293">
              <w:rPr>
                <w:sz w:val="16"/>
                <w:szCs w:val="18"/>
              </w:rPr>
              <w:t>9,7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2,7</w:t>
            </w:r>
          </w:p>
        </w:tc>
        <w:tc>
          <w:tcPr>
            <w:tcW w:w="141"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0,8</w:t>
            </w:r>
          </w:p>
        </w:tc>
        <w:tc>
          <w:tcPr>
            <w:tcW w:w="147" w:type="pct"/>
            <w:tcBorders>
              <w:top w:val="nil"/>
              <w:left w:val="nil"/>
              <w:bottom w:val="single" w:sz="4" w:space="0" w:color="auto"/>
              <w:right w:val="single" w:sz="4" w:space="0" w:color="auto"/>
            </w:tcBorders>
            <w:shd w:val="clear" w:color="auto" w:fill="auto"/>
            <w:noWrap/>
            <w:vAlign w:val="center"/>
          </w:tcPr>
          <w:p w:rsidR="00200FFB" w:rsidRPr="00C92293" w:rsidRDefault="00200FFB" w:rsidP="00C92293">
            <w:pPr>
              <w:jc w:val="right"/>
              <w:rPr>
                <w:sz w:val="16"/>
                <w:szCs w:val="18"/>
              </w:rPr>
            </w:pPr>
            <w:r w:rsidRPr="00C92293">
              <w:rPr>
                <w:sz w:val="16"/>
                <w:szCs w:val="18"/>
              </w:rPr>
              <w:t>7,2</w:t>
            </w:r>
          </w:p>
        </w:tc>
      </w:tr>
    </w:tbl>
    <w:p w:rsidR="000A7585" w:rsidRPr="007156DC" w:rsidRDefault="007156DC" w:rsidP="000A7585">
      <w:pPr>
        <w:rPr>
          <w:i/>
          <w:sz w:val="20"/>
          <w:szCs w:val="20"/>
        </w:rPr>
      </w:pPr>
      <w:r w:rsidRPr="007156DC">
        <w:rPr>
          <w:i/>
          <w:sz w:val="20"/>
          <w:szCs w:val="20"/>
        </w:rPr>
        <w:t xml:space="preserve">Zdroj: </w:t>
      </w:r>
      <w:proofErr w:type="spellStart"/>
      <w:r w:rsidRPr="007156DC">
        <w:rPr>
          <w:i/>
          <w:sz w:val="20"/>
          <w:szCs w:val="20"/>
        </w:rPr>
        <w:t>Eurostat</w:t>
      </w:r>
      <w:proofErr w:type="spellEnd"/>
      <w:r w:rsidRPr="007156DC">
        <w:rPr>
          <w:i/>
          <w:sz w:val="20"/>
          <w:szCs w:val="20"/>
        </w:rPr>
        <w:t>; (1) – (13) – údaje sú za rok 2015, (14) – (21) – údaje sú za rok 2014;</w:t>
      </w:r>
      <w:r w:rsidR="00200FFB">
        <w:rPr>
          <w:i/>
          <w:sz w:val="20"/>
          <w:szCs w:val="20"/>
        </w:rPr>
        <w:t xml:space="preserve"> </w:t>
      </w:r>
      <w:r w:rsidR="000A7585" w:rsidRPr="007156DC">
        <w:rPr>
          <w:i/>
          <w:sz w:val="20"/>
          <w:szCs w:val="20"/>
        </w:rPr>
        <w:t>: - nedostupné údaje</w:t>
      </w:r>
    </w:p>
    <w:p w:rsidR="00B942B1" w:rsidRPr="00AE6EDB" w:rsidRDefault="000A7585" w:rsidP="000A7585">
      <w:pPr>
        <w:rPr>
          <w:b/>
          <w:szCs w:val="22"/>
          <w:lang w:eastAsia="cs-CZ"/>
        </w:rPr>
      </w:pPr>
      <w:r w:rsidRPr="007156DC">
        <w:rPr>
          <w:i/>
          <w:sz w:val="20"/>
          <w:szCs w:val="20"/>
        </w:rPr>
        <w:t xml:space="preserve">eu28 –Európska únia (28 krajín), </w:t>
      </w:r>
      <w:proofErr w:type="spellStart"/>
      <w:r w:rsidRPr="007156DC">
        <w:rPr>
          <w:i/>
          <w:sz w:val="20"/>
          <w:szCs w:val="20"/>
        </w:rPr>
        <w:t>be</w:t>
      </w:r>
      <w:proofErr w:type="spellEnd"/>
      <w:r w:rsidRPr="007156DC">
        <w:rPr>
          <w:i/>
          <w:sz w:val="20"/>
          <w:szCs w:val="20"/>
        </w:rPr>
        <w:t xml:space="preserve"> – Belgicko, </w:t>
      </w:r>
      <w:proofErr w:type="spellStart"/>
      <w:r w:rsidRPr="007156DC">
        <w:rPr>
          <w:i/>
          <w:sz w:val="20"/>
          <w:szCs w:val="20"/>
        </w:rPr>
        <w:t>bg</w:t>
      </w:r>
      <w:proofErr w:type="spellEnd"/>
      <w:r w:rsidRPr="007156DC">
        <w:rPr>
          <w:i/>
          <w:sz w:val="20"/>
          <w:szCs w:val="20"/>
        </w:rPr>
        <w:t xml:space="preserve"> – Bulharsko, </w:t>
      </w:r>
      <w:proofErr w:type="spellStart"/>
      <w:r w:rsidRPr="007156DC">
        <w:rPr>
          <w:i/>
          <w:sz w:val="20"/>
          <w:szCs w:val="20"/>
        </w:rPr>
        <w:t>cz</w:t>
      </w:r>
      <w:proofErr w:type="spellEnd"/>
      <w:r w:rsidRPr="007156DC">
        <w:rPr>
          <w:i/>
          <w:sz w:val="20"/>
          <w:szCs w:val="20"/>
        </w:rPr>
        <w:t xml:space="preserve"> – Česká republika, </w:t>
      </w:r>
      <w:proofErr w:type="spellStart"/>
      <w:r w:rsidRPr="007156DC">
        <w:rPr>
          <w:i/>
          <w:sz w:val="20"/>
          <w:szCs w:val="20"/>
        </w:rPr>
        <w:t>dk</w:t>
      </w:r>
      <w:proofErr w:type="spellEnd"/>
      <w:r w:rsidRPr="007156DC">
        <w:rPr>
          <w:i/>
          <w:sz w:val="20"/>
          <w:szCs w:val="20"/>
        </w:rPr>
        <w:t xml:space="preserve"> – Dánsko, </w:t>
      </w:r>
      <w:proofErr w:type="spellStart"/>
      <w:r w:rsidRPr="007156DC">
        <w:rPr>
          <w:i/>
          <w:sz w:val="20"/>
          <w:szCs w:val="20"/>
        </w:rPr>
        <w:t>de</w:t>
      </w:r>
      <w:proofErr w:type="spellEnd"/>
      <w:r w:rsidRPr="007156DC">
        <w:rPr>
          <w:i/>
          <w:sz w:val="20"/>
          <w:szCs w:val="20"/>
        </w:rPr>
        <w:t xml:space="preserve"> – Nemecko, </w:t>
      </w:r>
      <w:proofErr w:type="spellStart"/>
      <w:r w:rsidRPr="007156DC">
        <w:rPr>
          <w:i/>
          <w:sz w:val="20"/>
          <w:szCs w:val="20"/>
        </w:rPr>
        <w:t>ee</w:t>
      </w:r>
      <w:proofErr w:type="spellEnd"/>
      <w:r w:rsidRPr="007156DC">
        <w:rPr>
          <w:i/>
          <w:sz w:val="20"/>
          <w:szCs w:val="20"/>
        </w:rPr>
        <w:t xml:space="preserve"> – Estónsko, </w:t>
      </w:r>
      <w:proofErr w:type="spellStart"/>
      <w:r w:rsidRPr="007156DC">
        <w:rPr>
          <w:i/>
          <w:sz w:val="20"/>
          <w:szCs w:val="20"/>
        </w:rPr>
        <w:t>ie</w:t>
      </w:r>
      <w:proofErr w:type="spellEnd"/>
      <w:r w:rsidRPr="007156DC">
        <w:rPr>
          <w:i/>
          <w:sz w:val="20"/>
          <w:szCs w:val="20"/>
        </w:rPr>
        <w:t xml:space="preserve"> – Írsko, </w:t>
      </w:r>
      <w:proofErr w:type="spellStart"/>
      <w:r w:rsidRPr="007156DC">
        <w:rPr>
          <w:i/>
          <w:sz w:val="20"/>
          <w:szCs w:val="20"/>
        </w:rPr>
        <w:t>el</w:t>
      </w:r>
      <w:proofErr w:type="spellEnd"/>
      <w:r w:rsidRPr="007156DC">
        <w:rPr>
          <w:i/>
          <w:sz w:val="20"/>
          <w:szCs w:val="20"/>
        </w:rPr>
        <w:t xml:space="preserve"> – Grécko, es– Španielsko, </w:t>
      </w:r>
      <w:r w:rsidRPr="007156DC">
        <w:rPr>
          <w:i/>
          <w:sz w:val="20"/>
          <w:szCs w:val="20"/>
        </w:rPr>
        <w:br/>
      </w:r>
      <w:proofErr w:type="spellStart"/>
      <w:r w:rsidRPr="007156DC">
        <w:rPr>
          <w:i/>
          <w:sz w:val="20"/>
          <w:szCs w:val="20"/>
        </w:rPr>
        <w:t>fr</w:t>
      </w:r>
      <w:proofErr w:type="spellEnd"/>
      <w:r w:rsidRPr="007156DC">
        <w:rPr>
          <w:i/>
          <w:sz w:val="20"/>
          <w:szCs w:val="20"/>
        </w:rPr>
        <w:t xml:space="preserve"> – Francúzsko, hr </w:t>
      </w:r>
      <w:r w:rsidRPr="007156DC">
        <w:rPr>
          <w:bCs/>
          <w:sz w:val="20"/>
          <w:szCs w:val="16"/>
        </w:rPr>
        <w:t>–</w:t>
      </w:r>
      <w:r w:rsidRPr="007156DC">
        <w:rPr>
          <w:i/>
          <w:sz w:val="20"/>
          <w:szCs w:val="20"/>
        </w:rPr>
        <w:t xml:space="preserve"> Chorvátsko, </w:t>
      </w:r>
      <w:proofErr w:type="spellStart"/>
      <w:r w:rsidRPr="007156DC">
        <w:rPr>
          <w:i/>
          <w:sz w:val="20"/>
          <w:szCs w:val="20"/>
        </w:rPr>
        <w:t>it</w:t>
      </w:r>
      <w:proofErr w:type="spellEnd"/>
      <w:r w:rsidRPr="007156DC">
        <w:rPr>
          <w:i/>
          <w:sz w:val="20"/>
          <w:szCs w:val="20"/>
        </w:rPr>
        <w:t xml:space="preserve"> – Taliansko, </w:t>
      </w:r>
      <w:proofErr w:type="spellStart"/>
      <w:r w:rsidRPr="007156DC">
        <w:rPr>
          <w:i/>
          <w:sz w:val="20"/>
          <w:szCs w:val="20"/>
        </w:rPr>
        <w:t>cy</w:t>
      </w:r>
      <w:proofErr w:type="spellEnd"/>
      <w:r w:rsidRPr="007156DC">
        <w:rPr>
          <w:i/>
          <w:sz w:val="20"/>
          <w:szCs w:val="20"/>
        </w:rPr>
        <w:t xml:space="preserve"> – Cyprus, </w:t>
      </w:r>
      <w:proofErr w:type="spellStart"/>
      <w:r w:rsidRPr="007156DC">
        <w:rPr>
          <w:i/>
          <w:sz w:val="20"/>
          <w:szCs w:val="20"/>
        </w:rPr>
        <w:t>lv</w:t>
      </w:r>
      <w:proofErr w:type="spellEnd"/>
      <w:r w:rsidRPr="007156DC">
        <w:rPr>
          <w:i/>
          <w:sz w:val="20"/>
          <w:szCs w:val="20"/>
        </w:rPr>
        <w:t xml:space="preserve"> – Lotyšsko, </w:t>
      </w:r>
      <w:proofErr w:type="spellStart"/>
      <w:r w:rsidRPr="007156DC">
        <w:rPr>
          <w:i/>
          <w:sz w:val="20"/>
          <w:szCs w:val="20"/>
        </w:rPr>
        <w:t>lt</w:t>
      </w:r>
      <w:proofErr w:type="spellEnd"/>
      <w:r w:rsidRPr="007156DC">
        <w:rPr>
          <w:i/>
          <w:sz w:val="20"/>
          <w:szCs w:val="20"/>
        </w:rPr>
        <w:t xml:space="preserve"> – Litva, </w:t>
      </w:r>
      <w:proofErr w:type="spellStart"/>
      <w:r w:rsidRPr="007156DC">
        <w:rPr>
          <w:i/>
          <w:sz w:val="20"/>
          <w:szCs w:val="20"/>
        </w:rPr>
        <w:t>lu</w:t>
      </w:r>
      <w:proofErr w:type="spellEnd"/>
      <w:r w:rsidRPr="007156DC">
        <w:rPr>
          <w:i/>
          <w:sz w:val="20"/>
          <w:szCs w:val="20"/>
        </w:rPr>
        <w:t xml:space="preserve"> </w:t>
      </w:r>
      <w:r w:rsidRPr="007156DC">
        <w:rPr>
          <w:bCs/>
          <w:sz w:val="20"/>
          <w:szCs w:val="16"/>
        </w:rPr>
        <w:t>–</w:t>
      </w:r>
      <w:r w:rsidRPr="007156DC">
        <w:rPr>
          <w:i/>
          <w:sz w:val="20"/>
          <w:szCs w:val="20"/>
        </w:rPr>
        <w:t xml:space="preserve"> Luxembursko, hu – Maďarsko, </w:t>
      </w:r>
      <w:proofErr w:type="spellStart"/>
      <w:r w:rsidRPr="007156DC">
        <w:rPr>
          <w:i/>
          <w:sz w:val="20"/>
          <w:szCs w:val="20"/>
        </w:rPr>
        <w:t>mt</w:t>
      </w:r>
      <w:proofErr w:type="spellEnd"/>
      <w:r w:rsidRPr="007156DC">
        <w:rPr>
          <w:i/>
          <w:sz w:val="20"/>
          <w:szCs w:val="20"/>
        </w:rPr>
        <w:t xml:space="preserve"> – Malta, </w:t>
      </w:r>
      <w:proofErr w:type="spellStart"/>
      <w:r w:rsidRPr="007156DC">
        <w:rPr>
          <w:i/>
          <w:sz w:val="20"/>
          <w:szCs w:val="20"/>
        </w:rPr>
        <w:t>nl</w:t>
      </w:r>
      <w:proofErr w:type="spellEnd"/>
      <w:r w:rsidRPr="007156DC">
        <w:rPr>
          <w:i/>
          <w:sz w:val="20"/>
          <w:szCs w:val="20"/>
        </w:rPr>
        <w:t xml:space="preserve"> – Holandsko, </w:t>
      </w:r>
      <w:proofErr w:type="spellStart"/>
      <w:r w:rsidRPr="007156DC">
        <w:rPr>
          <w:i/>
          <w:sz w:val="20"/>
          <w:szCs w:val="20"/>
        </w:rPr>
        <w:t>at</w:t>
      </w:r>
      <w:proofErr w:type="spellEnd"/>
      <w:r w:rsidRPr="007156DC">
        <w:rPr>
          <w:i/>
          <w:sz w:val="20"/>
          <w:szCs w:val="20"/>
        </w:rPr>
        <w:t xml:space="preserve"> – Rakúsko, </w:t>
      </w:r>
      <w:proofErr w:type="spellStart"/>
      <w:r w:rsidRPr="007156DC">
        <w:rPr>
          <w:i/>
          <w:sz w:val="20"/>
          <w:szCs w:val="20"/>
        </w:rPr>
        <w:t>pl</w:t>
      </w:r>
      <w:proofErr w:type="spellEnd"/>
      <w:r w:rsidRPr="007156DC">
        <w:rPr>
          <w:i/>
          <w:sz w:val="20"/>
          <w:szCs w:val="20"/>
        </w:rPr>
        <w:t xml:space="preserve"> – Poľsko, </w:t>
      </w:r>
      <w:proofErr w:type="spellStart"/>
      <w:r w:rsidRPr="007156DC">
        <w:rPr>
          <w:i/>
          <w:sz w:val="20"/>
          <w:szCs w:val="20"/>
        </w:rPr>
        <w:t>pt</w:t>
      </w:r>
      <w:proofErr w:type="spellEnd"/>
      <w:r w:rsidRPr="007156DC">
        <w:rPr>
          <w:i/>
          <w:sz w:val="20"/>
          <w:szCs w:val="20"/>
        </w:rPr>
        <w:t xml:space="preserve"> – Portugalsko, </w:t>
      </w:r>
      <w:proofErr w:type="spellStart"/>
      <w:r w:rsidRPr="007156DC">
        <w:rPr>
          <w:i/>
          <w:sz w:val="20"/>
          <w:szCs w:val="20"/>
        </w:rPr>
        <w:t>ro</w:t>
      </w:r>
      <w:proofErr w:type="spellEnd"/>
      <w:r w:rsidRPr="007156DC">
        <w:rPr>
          <w:i/>
          <w:sz w:val="20"/>
          <w:szCs w:val="20"/>
        </w:rPr>
        <w:t xml:space="preserve"> – Rumunsko, si – Slovinsko, </w:t>
      </w:r>
      <w:proofErr w:type="spellStart"/>
      <w:r w:rsidRPr="007156DC">
        <w:rPr>
          <w:i/>
          <w:sz w:val="20"/>
          <w:szCs w:val="20"/>
        </w:rPr>
        <w:t>sk</w:t>
      </w:r>
      <w:proofErr w:type="spellEnd"/>
      <w:r w:rsidRPr="007156DC">
        <w:rPr>
          <w:i/>
          <w:sz w:val="20"/>
          <w:szCs w:val="20"/>
        </w:rPr>
        <w:t xml:space="preserve"> – Slovensko, </w:t>
      </w:r>
      <w:proofErr w:type="spellStart"/>
      <w:r w:rsidRPr="007156DC">
        <w:rPr>
          <w:i/>
          <w:sz w:val="20"/>
          <w:szCs w:val="20"/>
        </w:rPr>
        <w:t>fi</w:t>
      </w:r>
      <w:proofErr w:type="spellEnd"/>
      <w:r w:rsidRPr="007156DC">
        <w:rPr>
          <w:i/>
          <w:sz w:val="20"/>
          <w:szCs w:val="20"/>
        </w:rPr>
        <w:t xml:space="preserve"> – Fínsko, </w:t>
      </w:r>
      <w:proofErr w:type="spellStart"/>
      <w:r w:rsidRPr="007156DC">
        <w:rPr>
          <w:i/>
          <w:sz w:val="20"/>
          <w:szCs w:val="20"/>
        </w:rPr>
        <w:t>se</w:t>
      </w:r>
      <w:proofErr w:type="spellEnd"/>
      <w:r w:rsidRPr="007156DC">
        <w:rPr>
          <w:i/>
          <w:sz w:val="20"/>
          <w:szCs w:val="20"/>
        </w:rPr>
        <w:t xml:space="preserve"> – Švédsko, </w:t>
      </w:r>
      <w:proofErr w:type="spellStart"/>
      <w:r w:rsidRPr="007156DC">
        <w:rPr>
          <w:i/>
          <w:sz w:val="20"/>
          <w:szCs w:val="20"/>
        </w:rPr>
        <w:t>uk</w:t>
      </w:r>
      <w:proofErr w:type="spellEnd"/>
      <w:r w:rsidRPr="007156DC">
        <w:rPr>
          <w:i/>
          <w:sz w:val="20"/>
          <w:szCs w:val="20"/>
        </w:rPr>
        <w:t xml:space="preserve"> – Veľká Británia</w:t>
      </w:r>
    </w:p>
    <w:sectPr w:rsidR="00B942B1" w:rsidRPr="00AE6EDB" w:rsidSect="000A7585">
      <w:headerReference w:type="default" r:id="rId125"/>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2079DD" w15:done="0"/>
  <w15:commentEx w15:paraId="172DA661" w15:done="0"/>
  <w15:commentEx w15:paraId="4D548E89" w15:done="0"/>
  <w15:commentEx w15:paraId="3FECF98F" w15:done="0"/>
  <w15:commentEx w15:paraId="012EA9FC" w15:done="0"/>
  <w15:commentEx w15:paraId="763BE383" w15:done="0"/>
  <w15:commentEx w15:paraId="729416EB" w15:done="0"/>
  <w15:commentEx w15:paraId="36402431" w15:done="0"/>
  <w15:commentEx w15:paraId="55B93827" w15:done="0"/>
  <w15:commentEx w15:paraId="3DAC0D87" w15:done="0"/>
  <w15:commentEx w15:paraId="0C8FDA53" w15:done="0"/>
  <w15:commentEx w15:paraId="05B7534F" w15:done="0"/>
  <w15:commentEx w15:paraId="6503B72B" w15:done="0"/>
  <w15:commentEx w15:paraId="5A96D2AC" w15:done="0"/>
  <w15:commentEx w15:paraId="671CF975" w15:done="0"/>
  <w15:commentEx w15:paraId="5D9AE9B3" w15:done="0"/>
  <w15:commentEx w15:paraId="1B045CF5" w15:done="0"/>
  <w15:commentEx w15:paraId="116EF02F" w15:done="0"/>
  <w15:commentEx w15:paraId="6800F1FF" w15:done="0"/>
  <w15:commentEx w15:paraId="0750A2F3" w15:done="0"/>
  <w15:commentEx w15:paraId="3B87F98D" w15:done="0"/>
  <w15:commentEx w15:paraId="6A7D75AE" w15:done="0"/>
  <w15:commentEx w15:paraId="489E5F3C" w15:done="0"/>
  <w15:commentEx w15:paraId="7EB86B1E" w15:done="0"/>
  <w15:commentEx w15:paraId="03F25470" w15:done="0"/>
  <w15:commentEx w15:paraId="4CDBC8B9" w15:done="0"/>
  <w15:commentEx w15:paraId="26B03F2B" w15:done="0"/>
  <w15:commentEx w15:paraId="527425EB" w15:done="0"/>
  <w15:commentEx w15:paraId="51B3D4E9" w15:done="0"/>
  <w15:commentEx w15:paraId="7AFBE028" w15:done="0"/>
  <w15:commentEx w15:paraId="2BD365DA" w15:done="0"/>
  <w15:commentEx w15:paraId="67F737D5" w15:done="0"/>
  <w15:commentEx w15:paraId="1225C5D7" w15:done="0"/>
  <w15:commentEx w15:paraId="4E238C51" w15:done="0"/>
  <w15:commentEx w15:paraId="44CAD6A4" w15:done="0"/>
  <w15:commentEx w15:paraId="34993BE7" w15:done="0"/>
  <w15:commentEx w15:paraId="759BDD17" w15:done="0"/>
  <w15:commentEx w15:paraId="777DA2D4" w15:done="0"/>
  <w15:commentEx w15:paraId="29DC9960" w15:done="0"/>
  <w15:commentEx w15:paraId="0EF4C32E" w15:done="0"/>
  <w15:commentEx w15:paraId="5EF0843D" w15:done="0"/>
  <w15:commentEx w15:paraId="4C0E11C5" w15:done="0"/>
  <w15:commentEx w15:paraId="52CC84D6" w15:done="0"/>
  <w15:commentEx w15:paraId="0B10F085" w15:done="0"/>
  <w15:commentEx w15:paraId="23E7CB93" w15:done="0"/>
  <w15:commentEx w15:paraId="0E799528" w15:done="0"/>
  <w15:commentEx w15:paraId="695BCF55" w15:done="0"/>
  <w15:commentEx w15:paraId="022DEBBD" w15:done="0"/>
  <w15:commentEx w15:paraId="36B96ECD" w15:done="0"/>
  <w15:commentEx w15:paraId="02DC90B6" w15:done="0"/>
  <w15:commentEx w15:paraId="62A83F40" w15:done="0"/>
  <w15:commentEx w15:paraId="6B8F6FBD" w15:done="0"/>
  <w15:commentEx w15:paraId="0303F49B" w15:done="0"/>
  <w15:commentEx w15:paraId="418CA809" w15:done="0"/>
  <w15:commentEx w15:paraId="050D3986" w15:done="0"/>
  <w15:commentEx w15:paraId="56FB873E" w15:done="0"/>
  <w15:commentEx w15:paraId="5903DCA6" w15:done="0"/>
  <w15:commentEx w15:paraId="0A5D5641" w15:done="0"/>
  <w15:commentEx w15:paraId="2DD6D2F6" w15:done="0"/>
  <w15:commentEx w15:paraId="2567E735" w15:done="0"/>
  <w15:commentEx w15:paraId="1E1DACCE" w15:done="0"/>
  <w15:commentEx w15:paraId="737B186D" w15:done="0"/>
  <w15:commentEx w15:paraId="5464F346" w15:done="0"/>
  <w15:commentEx w15:paraId="3FD5B100" w15:done="0"/>
  <w15:commentEx w15:paraId="03F42E69" w15:done="0"/>
  <w15:commentEx w15:paraId="38794191" w15:done="0"/>
  <w15:commentEx w15:paraId="0C9A9A48" w15:done="0"/>
  <w15:commentEx w15:paraId="221D7D7F" w15:done="0"/>
  <w15:commentEx w15:paraId="7F1C52D7" w15:done="0"/>
  <w15:commentEx w15:paraId="52F14C89" w15:done="0"/>
  <w15:commentEx w15:paraId="0E120F4C" w15:done="0"/>
  <w15:commentEx w15:paraId="65E17CD2" w15:done="0"/>
  <w15:commentEx w15:paraId="167E768F" w15:done="0"/>
  <w15:commentEx w15:paraId="0C96FF81" w15:done="0"/>
  <w15:commentEx w15:paraId="17D4AA25" w15:done="0"/>
  <w15:commentEx w15:paraId="548FFC58" w15:done="0"/>
  <w15:commentEx w15:paraId="32D0B0EF" w15:done="0"/>
  <w15:commentEx w15:paraId="0B20890F" w15:done="0"/>
  <w15:commentEx w15:paraId="7A36BBD1" w15:done="0"/>
  <w15:commentEx w15:paraId="20D04A0C" w15:done="0"/>
  <w15:commentEx w15:paraId="58CD0583" w15:done="0"/>
  <w15:commentEx w15:paraId="64C218F0" w15:done="0"/>
  <w15:commentEx w15:paraId="10534503" w15:done="0"/>
  <w15:commentEx w15:paraId="658B43C7" w15:done="0"/>
  <w15:commentEx w15:paraId="592DA6E6" w15:done="0"/>
  <w15:commentEx w15:paraId="4768AA7C" w15:done="0"/>
  <w15:commentEx w15:paraId="1561243A" w15:done="0"/>
  <w15:commentEx w15:paraId="4AB77BFE" w15:done="0"/>
  <w15:commentEx w15:paraId="7C1C9E94" w15:done="0"/>
  <w15:commentEx w15:paraId="70FC95C3" w15:done="0"/>
  <w15:commentEx w15:paraId="250A5FBD" w15:done="0"/>
  <w15:commentEx w15:paraId="1A079FEB" w15:done="0"/>
  <w15:commentEx w15:paraId="318EAE13" w15:done="0"/>
  <w15:commentEx w15:paraId="49B8CF1E" w15:done="0"/>
  <w15:commentEx w15:paraId="51EE7EED" w15:done="0"/>
  <w15:commentEx w15:paraId="1EFD92E7" w15:done="0"/>
  <w15:commentEx w15:paraId="00F96DFB" w15:done="0"/>
  <w15:commentEx w15:paraId="6C9FAA78" w15:done="0"/>
  <w15:commentEx w15:paraId="445BBE9F" w15:done="0"/>
  <w15:commentEx w15:paraId="0EACAB83" w15:done="0"/>
  <w15:commentEx w15:paraId="113C7A96" w15:done="0"/>
  <w15:commentEx w15:paraId="58379698" w15:done="0"/>
  <w15:commentEx w15:paraId="679937B5" w15:done="0"/>
  <w15:commentEx w15:paraId="7BFB0992" w15:done="0"/>
  <w15:commentEx w15:paraId="0C1789E5" w15:done="0"/>
  <w15:commentEx w15:paraId="7E11D3EE" w15:done="0"/>
  <w15:commentEx w15:paraId="31DE8F97" w15:done="0"/>
  <w15:commentEx w15:paraId="42376BBF" w15:done="0"/>
  <w15:commentEx w15:paraId="632D5AB2" w15:done="0"/>
  <w15:commentEx w15:paraId="5DFD5679" w15:done="0"/>
  <w15:commentEx w15:paraId="0FA19B6D" w15:done="0"/>
  <w15:commentEx w15:paraId="45D46F3A" w15:done="0"/>
  <w15:commentEx w15:paraId="1EBE8B02" w15:done="0"/>
  <w15:commentEx w15:paraId="0EE79AA2" w15:done="0"/>
  <w15:commentEx w15:paraId="6623E73B" w15:done="0"/>
  <w15:commentEx w15:paraId="3E792B74" w15:done="0"/>
  <w15:commentEx w15:paraId="4984D62F" w15:done="0"/>
  <w15:commentEx w15:paraId="286BF5FB" w15:done="0"/>
  <w15:commentEx w15:paraId="7CF8861D" w15:done="0"/>
  <w15:commentEx w15:paraId="4A2729CE" w15:done="0"/>
  <w15:commentEx w15:paraId="4EF230BE" w15:done="0"/>
  <w15:commentEx w15:paraId="3C44C7F5" w15:done="0"/>
  <w15:commentEx w15:paraId="35B7E12A" w15:done="0"/>
  <w15:commentEx w15:paraId="6A45D5F5" w15:done="0"/>
  <w15:commentEx w15:paraId="142DFFB5" w15:done="0"/>
  <w15:commentEx w15:paraId="43B78537" w15:done="0"/>
  <w15:commentEx w15:paraId="47604B61" w15:done="0"/>
  <w15:commentEx w15:paraId="5438B39C" w15:done="0"/>
  <w15:commentEx w15:paraId="1E4F4CAD" w15:done="0"/>
  <w15:commentEx w15:paraId="633D5CFE" w15:done="0"/>
  <w15:commentEx w15:paraId="44255570" w15:done="0"/>
  <w15:commentEx w15:paraId="674B895E" w15:done="0"/>
  <w15:commentEx w15:paraId="1D0A6A42" w15:done="0"/>
  <w15:commentEx w15:paraId="2EC63FB0" w15:done="0"/>
  <w15:commentEx w15:paraId="41ECEAA8" w15:done="0"/>
  <w15:commentEx w15:paraId="41D4BE10" w15:done="0"/>
  <w15:commentEx w15:paraId="615D8736" w15:done="0"/>
  <w15:commentEx w15:paraId="1E92482C" w15:done="0"/>
  <w15:commentEx w15:paraId="2C4DCE7E" w15:done="0"/>
  <w15:commentEx w15:paraId="785E7250" w15:done="0"/>
  <w15:commentEx w15:paraId="5A5455CE" w15:done="0"/>
  <w15:commentEx w15:paraId="1402347C" w15:done="0"/>
  <w15:commentEx w15:paraId="33A4349E" w15:done="0"/>
  <w15:commentEx w15:paraId="1143CF08" w15:done="0"/>
  <w15:commentEx w15:paraId="716A31E1" w15:done="0"/>
  <w15:commentEx w15:paraId="12088BFD" w15:done="0"/>
  <w15:commentEx w15:paraId="67C13357" w15:done="0"/>
  <w15:commentEx w15:paraId="1986C5FD" w15:done="0"/>
  <w15:commentEx w15:paraId="6DB1E236" w15:done="0"/>
  <w15:commentEx w15:paraId="6EB494A0" w15:done="0"/>
  <w15:commentEx w15:paraId="20B6AE98" w15:done="0"/>
  <w15:commentEx w15:paraId="1EC003A9" w15:done="0"/>
  <w15:commentEx w15:paraId="2EA9E0DA" w15:done="0"/>
  <w15:commentEx w15:paraId="178C301E" w15:done="0"/>
  <w15:commentEx w15:paraId="53BF7D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77B" w:rsidRDefault="00DC777B" w:rsidP="00146580">
      <w:r>
        <w:separator/>
      </w:r>
    </w:p>
  </w:endnote>
  <w:endnote w:type="continuationSeparator" w:id="0">
    <w:p w:rsidR="00DC777B" w:rsidRDefault="00DC777B"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Switzerland">
    <w:altName w:val="Times New Roman"/>
    <w:panose1 w:val="00000000000000000000"/>
    <w:charset w:val="00"/>
    <w:family w:val="roman"/>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864788"/>
      <w:docPartObj>
        <w:docPartGallery w:val="Page Numbers (Bottom of Page)"/>
        <w:docPartUnique/>
      </w:docPartObj>
    </w:sdtPr>
    <w:sdtEndPr/>
    <w:sdtContent>
      <w:p w:rsidR="000A4927" w:rsidRDefault="000A4927">
        <w:pPr>
          <w:pStyle w:val="Pta"/>
          <w:jc w:val="center"/>
        </w:pPr>
        <w:r>
          <w:fldChar w:fldCharType="begin"/>
        </w:r>
        <w:r>
          <w:instrText>PAGE   \* MERGEFORMAT</w:instrText>
        </w:r>
        <w:r>
          <w:fldChar w:fldCharType="separate"/>
        </w:r>
        <w:r w:rsidR="00C92B52">
          <w:rPr>
            <w:noProof/>
          </w:rPr>
          <w:t>28</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4617B">
    <w:pPr>
      <w:pStyle w:val="Pta"/>
      <w:jc w:val="center"/>
      <w:rPr>
        <w:rStyle w:val="slostrany"/>
      </w:rPr>
    </w:pPr>
  </w:p>
  <w:p w:rsidR="000A4927" w:rsidRDefault="000A4927" w:rsidP="0084617B">
    <w:pPr>
      <w:pStyle w:val="Pt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pPr>
      <w:pStyle w:val="Pta"/>
      <w:jc w:val="right"/>
    </w:pPr>
  </w:p>
  <w:p w:rsidR="000A4927" w:rsidRDefault="000A4927">
    <w:pPr>
      <w:pStyle w:val="Pt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4617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703164"/>
      <w:docPartObj>
        <w:docPartGallery w:val="Page Numbers (Bottom of Page)"/>
        <w:docPartUnique/>
      </w:docPartObj>
    </w:sdtPr>
    <w:sdtEndPr/>
    <w:sdtContent>
      <w:p w:rsidR="000A4927" w:rsidRDefault="000A4927">
        <w:pPr>
          <w:pStyle w:val="Pta"/>
          <w:jc w:val="center"/>
        </w:pPr>
        <w:r>
          <w:fldChar w:fldCharType="begin"/>
        </w:r>
        <w:r>
          <w:instrText>PAGE   \* MERGEFORMAT</w:instrText>
        </w:r>
        <w:r>
          <w:fldChar w:fldCharType="separate"/>
        </w:r>
        <w:r w:rsidR="00C92B52">
          <w:rPr>
            <w:noProof/>
          </w:rPr>
          <w:t>87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37575"/>
      <w:docPartObj>
        <w:docPartGallery w:val="Page Numbers (Bottom of Page)"/>
        <w:docPartUnique/>
      </w:docPartObj>
    </w:sdtPr>
    <w:sdtEndPr/>
    <w:sdtContent>
      <w:p w:rsidR="000A4927" w:rsidRDefault="000A4927">
        <w:pPr>
          <w:pStyle w:val="Pta"/>
          <w:jc w:val="center"/>
        </w:pPr>
        <w:r>
          <w:fldChar w:fldCharType="begin"/>
        </w:r>
        <w:r>
          <w:instrText>PAGE   \* MERGEFORMAT</w:instrText>
        </w:r>
        <w:r>
          <w:fldChar w:fldCharType="separate"/>
        </w:r>
        <w:r w:rsidR="00C92B52">
          <w:rPr>
            <w:noProof/>
          </w:rPr>
          <w:t>52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B18CB">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C92B52">
      <w:rPr>
        <w:rStyle w:val="slostrany"/>
        <w:noProof/>
      </w:rPr>
      <w:t>86</w:t>
    </w:r>
    <w:r>
      <w:rPr>
        <w:rStyle w:val="slostran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295029"/>
      <w:docPartObj>
        <w:docPartGallery w:val="Page Numbers (Bottom of Page)"/>
        <w:docPartUnique/>
      </w:docPartObj>
    </w:sdtPr>
    <w:sdtEndPr/>
    <w:sdtContent>
      <w:p w:rsidR="000A4927" w:rsidRDefault="000A4927">
        <w:pPr>
          <w:pStyle w:val="Pta"/>
          <w:jc w:val="center"/>
          <w:rPr>
            <w:noProof/>
          </w:rPr>
        </w:pPr>
        <w:r>
          <w:fldChar w:fldCharType="begin"/>
        </w:r>
        <w:r>
          <w:instrText>PAGE   \* MERGEFORMAT</w:instrText>
        </w:r>
        <w:r>
          <w:fldChar w:fldCharType="separate"/>
        </w:r>
        <w:r w:rsidR="007D6A0E">
          <w:rPr>
            <w:noProof/>
          </w:rPr>
          <w:t>142</w:t>
        </w:r>
        <w:r>
          <w:rPr>
            <w:noProof/>
          </w:rPr>
          <w:fldChar w:fldCharType="end"/>
        </w:r>
      </w:p>
      <w:p w:rsidR="000A4927" w:rsidRDefault="00DC777B">
        <w:pPr>
          <w:pStyle w:val="Pta"/>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170099"/>
      <w:docPartObj>
        <w:docPartGallery w:val="Page Numbers (Bottom of Page)"/>
        <w:docPartUnique/>
      </w:docPartObj>
    </w:sdtPr>
    <w:sdtEndPr/>
    <w:sdtContent>
      <w:p w:rsidR="000A4927" w:rsidRPr="008B18CB" w:rsidRDefault="000A4927" w:rsidP="008B18CB">
        <w:pPr>
          <w:pStyle w:val="Pta"/>
          <w:jc w:val="center"/>
        </w:pPr>
        <w:r>
          <w:fldChar w:fldCharType="begin"/>
        </w:r>
        <w:r>
          <w:instrText>PAGE   \* MERGEFORMAT</w:instrText>
        </w:r>
        <w:r>
          <w:fldChar w:fldCharType="separate"/>
        </w:r>
        <w:r>
          <w:rPr>
            <w:noProof/>
          </w:rPr>
          <w:t>142</w:t>
        </w:r>
        <w:r>
          <w:rPr>
            <w:noProof/>
          </w:rPr>
          <w:fldChar w:fldCharType="end"/>
        </w:r>
      </w:p>
    </w:sdtContent>
  </w:sdt>
  <w:p w:rsidR="000A4927" w:rsidRDefault="000A4927" w:rsidP="000E7856">
    <w:pPr>
      <w:pStyle w:val="Pt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B18CB">
    <w:pPr>
      <w:pStyle w:val="Pt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77B" w:rsidRDefault="00DC777B" w:rsidP="00146580">
      <w:r>
        <w:separator/>
      </w:r>
    </w:p>
  </w:footnote>
  <w:footnote w:type="continuationSeparator" w:id="0">
    <w:p w:rsidR="00DC777B" w:rsidRDefault="00DC777B" w:rsidP="00146580">
      <w:r>
        <w:continuationSeparator/>
      </w:r>
    </w:p>
  </w:footnote>
  <w:footnote w:id="1">
    <w:p w:rsidR="000A4927" w:rsidRPr="009A664A" w:rsidRDefault="000A4927" w:rsidP="002625B2">
      <w:pPr>
        <w:pStyle w:val="Textpoznmkypodiarou"/>
      </w:pPr>
      <w:r w:rsidRPr="00233C65">
        <w:rPr>
          <w:rStyle w:val="Odkaznapoznmkupodiarou"/>
          <w:szCs w:val="18"/>
        </w:rPr>
        <w:footnoteRef/>
      </w:r>
      <w:r w:rsidRPr="00233C65">
        <w:t xml:space="preserve"> </w:t>
      </w:r>
      <w:r>
        <w:t xml:space="preserve">zdroj údajov: Štatistická správa o základných vývojových tendenciách v hospodárstve SR v 4. štvrťroku 2015, Štatistický úrad SR 2016 a databáza ŠÚ SR </w:t>
      </w:r>
      <w:proofErr w:type="spellStart"/>
      <w:r>
        <w:t>Slovstat</w:t>
      </w:r>
      <w:proofErr w:type="spellEnd"/>
      <w:r>
        <w:t xml:space="preserve"> a Ústredie práce, sociálnych vecí a rodiny</w:t>
      </w:r>
    </w:p>
  </w:footnote>
  <w:footnote w:id="2">
    <w:p w:rsidR="000A4927" w:rsidRDefault="000A4927" w:rsidP="002625B2">
      <w:pPr>
        <w:pStyle w:val="Textpoznmkypodiarou"/>
      </w:pPr>
      <w:r>
        <w:rPr>
          <w:rStyle w:val="Odkaznapoznmkupodiarou"/>
        </w:rPr>
        <w:footnoteRef/>
      </w:r>
      <w:r>
        <w:t xml:space="preserve"> </w:t>
      </w:r>
      <w:r w:rsidRPr="0014579D">
        <w:t xml:space="preserve">Zamestnanosť podľa </w:t>
      </w:r>
      <w:r w:rsidRPr="002D1DB3">
        <w:t>výberového zisťovania pracovných síl</w:t>
      </w:r>
      <w:r w:rsidRPr="0014579D">
        <w:t xml:space="preserve"> je zamestnanosť bývajúceho obyvateľstva </w:t>
      </w:r>
      <w:r>
        <w:br/>
      </w:r>
      <w:r w:rsidRPr="0014579D">
        <w:t>(zvykne sa označovať ako „národná“ alebo „rezidenčná“ zamestnanosť</w:t>
      </w:r>
      <w:r>
        <w:t>,</w:t>
      </w:r>
      <w:r w:rsidRPr="0014579D">
        <w:t xml:space="preserve"> tzv. </w:t>
      </w:r>
      <w:r w:rsidRPr="0014579D">
        <w:rPr>
          <w:i/>
        </w:rPr>
        <w:t>národný koncept zamestnanosti</w:t>
      </w:r>
      <w:r w:rsidRPr="0014579D">
        <w:t>).</w:t>
      </w:r>
      <w:r>
        <w:t xml:space="preserve"> </w:t>
      </w:r>
      <w:r>
        <w:br/>
        <w:t>V</w:t>
      </w:r>
      <w:r w:rsidRPr="00E943DA">
        <w:t xml:space="preserve">zťahuje </w:t>
      </w:r>
      <w:r>
        <w:t xml:space="preserve">sa </w:t>
      </w:r>
      <w:r w:rsidRPr="00E943DA">
        <w:t>k</w:t>
      </w:r>
      <w:r>
        <w:t> </w:t>
      </w:r>
      <w:r w:rsidRPr="00E943DA">
        <w:t>obyvateľstvu, ktoré vykazuje obvyklý pobyt v</w:t>
      </w:r>
      <w:r>
        <w:t> </w:t>
      </w:r>
      <w:r w:rsidRPr="00E943DA">
        <w:t>krajine</w:t>
      </w:r>
      <w:r>
        <w:t>, a zahŕňa</w:t>
      </w:r>
      <w:r w:rsidRPr="00E943DA">
        <w:t xml:space="preserve"> </w:t>
      </w:r>
      <w:r>
        <w:t xml:space="preserve">aj </w:t>
      </w:r>
      <w:r w:rsidRPr="00E943DA">
        <w:t>krátkodobú migrá</w:t>
      </w:r>
      <w:r>
        <w:t xml:space="preserve">ciu za prácou do zahraničia t.j. </w:t>
      </w:r>
      <w:r w:rsidRPr="00E943DA">
        <w:t>ľudí, ktorí dochádzajú za prácou cez hranice alebo vycestovali za prácou do zahraničia a plánujú sa v</w:t>
      </w:r>
      <w:r>
        <w:t> </w:t>
      </w:r>
      <w:r w:rsidRPr="00E943DA">
        <w:t xml:space="preserve">zahraničí zdržať maximálne 1 rok. </w:t>
      </w:r>
    </w:p>
  </w:footnote>
  <w:footnote w:id="3">
    <w:p w:rsidR="000A4927" w:rsidRDefault="000A4927" w:rsidP="002625B2">
      <w:pPr>
        <w:pStyle w:val="Textpoznmkypodiarou"/>
      </w:pPr>
      <w:r>
        <w:rPr>
          <w:rStyle w:val="Odkaznapoznmkupodiarou"/>
        </w:rPr>
        <w:footnoteRef/>
      </w:r>
      <w:r>
        <w:t xml:space="preserve"> </w:t>
      </w:r>
      <w:r w:rsidRPr="0014579D">
        <w:t>Domáci koncept zamestnanosti sa používa v systéme národných účtov, t.j. uvažuje sa s pracovnými vstupmi resp. zamestnanými osobami, ktoré sú prepojené na jednotky, ktoré produkujú domácu produkciu.</w:t>
      </w:r>
    </w:p>
  </w:footnote>
  <w:footnote w:id="4">
    <w:p w:rsidR="000A4927" w:rsidRDefault="000A4927" w:rsidP="002625B2">
      <w:pPr>
        <w:pStyle w:val="Textpoznmkypodiarou"/>
      </w:pPr>
      <w:r>
        <w:rPr>
          <w:rStyle w:val="Odkaznapoznmkupodiarou"/>
          <w:szCs w:val="18"/>
        </w:rPr>
        <w:footnoteRef/>
      </w:r>
      <w:r>
        <w:t xml:space="preserve"> podľa výberového zisťovania pracovných síl, vo vekovej skupine 20 – 64 ročných</w:t>
      </w:r>
    </w:p>
  </w:footnote>
  <w:footnote w:id="5">
    <w:p w:rsidR="000A4927" w:rsidRDefault="000A4927" w:rsidP="002625B2">
      <w:pPr>
        <w:pStyle w:val="Textpoznmkypodiarou"/>
      </w:pPr>
      <w:r>
        <w:rPr>
          <w:rStyle w:val="Odkaznapoznmkupodiarou"/>
          <w:szCs w:val="18"/>
        </w:rPr>
        <w:footnoteRef/>
      </w:r>
      <w:r>
        <w:t xml:space="preserve"> podľa výberového zisťovania pracovných síl</w:t>
      </w:r>
    </w:p>
  </w:footnote>
  <w:footnote w:id="6">
    <w:p w:rsidR="000A4927" w:rsidRDefault="000A4927" w:rsidP="002625B2">
      <w:pPr>
        <w:pStyle w:val="Textpoznmkypodiarou"/>
      </w:pPr>
      <w:r>
        <w:rPr>
          <w:rStyle w:val="Odkaznapoznmkupodiarou"/>
        </w:rPr>
        <w:footnoteRef/>
      </w:r>
      <w:r>
        <w:t xml:space="preserve"> podľa Ústredia práce, sociálnych vecí a rodiny </w:t>
      </w:r>
    </w:p>
  </w:footnote>
  <w:footnote w:id="7">
    <w:p w:rsidR="000A4927" w:rsidRDefault="000A4927" w:rsidP="002625B2">
      <w:pPr>
        <w:pStyle w:val="Textpoznmkypodiarou"/>
      </w:pPr>
      <w:r>
        <w:rPr>
          <w:rStyle w:val="Odkaznapoznmkupodiarou"/>
        </w:rPr>
        <w:footnoteRef/>
      </w:r>
      <w:r>
        <w:t xml:space="preserve"> podľa Ústredia práce, sociálnych vecí a rodiny</w:t>
      </w:r>
    </w:p>
  </w:footnote>
  <w:footnote w:id="8">
    <w:p w:rsidR="000A4927" w:rsidRDefault="000A4927" w:rsidP="002625B2">
      <w:pPr>
        <w:pStyle w:val="Textpoznmkypodiarou"/>
      </w:pPr>
      <w:r>
        <w:rPr>
          <w:rStyle w:val="Odkaznapoznmkupodiarou"/>
        </w:rPr>
        <w:footnoteRef/>
      </w:r>
      <w:r>
        <w:t xml:space="preserve"> podľa Ústredia práce, sociálnych vecí a rodiny </w:t>
      </w:r>
    </w:p>
  </w:footnote>
  <w:footnote w:id="9">
    <w:p w:rsidR="000A4927" w:rsidRDefault="000A4927" w:rsidP="002625B2">
      <w:pPr>
        <w:pStyle w:val="Textpoznmkypodiarou"/>
      </w:pPr>
      <w:r>
        <w:rPr>
          <w:rStyle w:val="Odkaznapoznmkupodiarou"/>
          <w:szCs w:val="18"/>
        </w:rPr>
        <w:footnoteRef/>
      </w:r>
      <w:r>
        <w:t xml:space="preserve"> podľa štvrťročného štatistického výkazníctva</w:t>
      </w:r>
    </w:p>
  </w:footnote>
  <w:footnote w:id="10">
    <w:p w:rsidR="000A4927" w:rsidRDefault="000A4927" w:rsidP="002625B2">
      <w:pPr>
        <w:pStyle w:val="Textpoznmkypodiarou"/>
      </w:pPr>
      <w:r>
        <w:rPr>
          <w:rStyle w:val="Odkaznapoznmkupodiarou"/>
          <w:szCs w:val="18"/>
        </w:rPr>
        <w:footnoteRef/>
      </w:r>
      <w:r>
        <w:t xml:space="preserve"> podľa metodiky ESA 2010, podľa štvrťročných účtov</w:t>
      </w:r>
    </w:p>
  </w:footnote>
  <w:footnote w:id="11">
    <w:p w:rsidR="000A4927" w:rsidRDefault="000A4927" w:rsidP="002625B2">
      <w:pPr>
        <w:pStyle w:val="Textpoznmkypodiarou"/>
      </w:pPr>
      <w:r>
        <w:rPr>
          <w:rStyle w:val="Odkaznapoznmkupodiarou"/>
          <w:szCs w:val="18"/>
        </w:rPr>
        <w:footnoteRef/>
      </w:r>
      <w:r>
        <w:t xml:space="preserve"> okrem naturálnych sociálnych transferov</w:t>
      </w:r>
    </w:p>
  </w:footnote>
  <w:footnote w:id="12">
    <w:p w:rsidR="000A4927" w:rsidRDefault="000A4927" w:rsidP="002625B2">
      <w:pPr>
        <w:pStyle w:val="Textpoznmkypodiarou"/>
      </w:pPr>
      <w:r>
        <w:rPr>
          <w:rStyle w:val="Odkaznapoznmkupodiarou"/>
          <w:szCs w:val="18"/>
        </w:rPr>
        <w:footnoteRef/>
      </w:r>
      <w:r>
        <w:t xml:space="preserve"> podľa metodiky ESA 2010, podľa štvrťročných účtov</w:t>
      </w:r>
    </w:p>
  </w:footnote>
  <w:footnote w:id="13">
    <w:p w:rsidR="000A4927" w:rsidRDefault="000A4927" w:rsidP="002625B2">
      <w:pPr>
        <w:pStyle w:val="Textpoznmkypodiarou"/>
      </w:pPr>
      <w:r>
        <w:rPr>
          <w:rStyle w:val="Odkaznapoznmkupodiarou"/>
        </w:rPr>
        <w:footnoteRef/>
      </w:r>
      <w:r>
        <w:t xml:space="preserve"> </w:t>
      </w:r>
      <w:r w:rsidRPr="00274F35">
        <w:rPr>
          <w:szCs w:val="16"/>
        </w:rPr>
        <w:t>Metodika VZPS je v súlade s medzinárodnými definíciami a</w:t>
      </w:r>
      <w:r>
        <w:rPr>
          <w:szCs w:val="16"/>
        </w:rPr>
        <w:t> </w:t>
      </w:r>
      <w:r w:rsidRPr="00274F35">
        <w:rPr>
          <w:szCs w:val="16"/>
        </w:rPr>
        <w:t>odporúčani</w:t>
      </w:r>
      <w:r>
        <w:rPr>
          <w:szCs w:val="16"/>
        </w:rPr>
        <w:t xml:space="preserve">ami </w:t>
      </w:r>
      <w:proofErr w:type="spellStart"/>
      <w:r>
        <w:rPr>
          <w:szCs w:val="16"/>
        </w:rPr>
        <w:t>Medinárodnej</w:t>
      </w:r>
      <w:proofErr w:type="spellEnd"/>
      <w:r>
        <w:rPr>
          <w:szCs w:val="16"/>
        </w:rPr>
        <w:t xml:space="preserve"> organizácie práce (</w:t>
      </w:r>
      <w:r w:rsidRPr="00274F35">
        <w:rPr>
          <w:szCs w:val="16"/>
        </w:rPr>
        <w:t>ILO</w:t>
      </w:r>
      <w:r>
        <w:rPr>
          <w:szCs w:val="16"/>
        </w:rPr>
        <w:t>)</w:t>
      </w:r>
      <w:r w:rsidRPr="00274F35">
        <w:rPr>
          <w:szCs w:val="16"/>
        </w:rPr>
        <w:t xml:space="preserve"> a</w:t>
      </w:r>
      <w:r>
        <w:rPr>
          <w:szCs w:val="16"/>
        </w:rPr>
        <w:t> </w:t>
      </w:r>
      <w:proofErr w:type="spellStart"/>
      <w:r w:rsidRPr="00274F35">
        <w:rPr>
          <w:szCs w:val="16"/>
        </w:rPr>
        <w:t>Eurostatu</w:t>
      </w:r>
      <w:proofErr w:type="spellEnd"/>
      <w:r w:rsidRPr="00274F35">
        <w:rPr>
          <w:szCs w:val="16"/>
        </w:rPr>
        <w:t xml:space="preserve"> vrátane osôb na riadnej materskej dovolenke a pracujúcich v zahraničí do 1 roka</w:t>
      </w:r>
    </w:p>
  </w:footnote>
  <w:footnote w:id="14">
    <w:p w:rsidR="000A4927" w:rsidRDefault="000A4927" w:rsidP="002625B2">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5">
    <w:p w:rsidR="000A4927" w:rsidRDefault="000A4927" w:rsidP="002625B2">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6">
    <w:p w:rsidR="000A4927" w:rsidRPr="008D09C3" w:rsidRDefault="000A4927" w:rsidP="00FF013C">
      <w:pPr>
        <w:pStyle w:val="Textpoznmkypodiarou"/>
        <w:rPr>
          <w:color w:val="252525"/>
        </w:rPr>
      </w:pPr>
      <w:r>
        <w:rPr>
          <w:rStyle w:val="Odkaznapoznmkupodiarou"/>
        </w:rPr>
        <w:footnoteRef/>
      </w:r>
      <w:r>
        <w:t xml:space="preserve"> Disponibilný </w:t>
      </w:r>
      <w:proofErr w:type="spellStart"/>
      <w:r>
        <w:t>UoZ</w:t>
      </w:r>
      <w:proofErr w:type="spellEnd"/>
      <w:r>
        <w:t xml:space="preserve"> </w:t>
      </w:r>
      <w:r>
        <w:rPr>
          <w:color w:val="252525"/>
        </w:rPr>
        <w:t xml:space="preserve">je </w:t>
      </w:r>
      <w:proofErr w:type="spellStart"/>
      <w:r>
        <w:rPr>
          <w:color w:val="252525"/>
        </w:rPr>
        <w:t>UoZ</w:t>
      </w:r>
      <w:proofErr w:type="spellEnd"/>
      <w:r>
        <w:rPr>
          <w:color w:val="252525"/>
        </w:rPr>
        <w:t>, ktorý bezprostredne po ponuke voľného pracovného miesta môže nastúpiť do pracovného pomeru. Ide o evidovaného nezamestnaného</w:t>
      </w:r>
      <w:r w:rsidRPr="009A0E17">
        <w:rPr>
          <w:color w:val="252525"/>
        </w:rPr>
        <w:t>, na strane ktorého nie je žiadna objektívna prekážka pre prijatie do zamestnania.</w:t>
      </w:r>
    </w:p>
    <w:p w:rsidR="000A4927" w:rsidRDefault="000A4927" w:rsidP="00FF013C">
      <w:pPr>
        <w:pStyle w:val="Textpoznmkypodiarou"/>
      </w:pPr>
    </w:p>
  </w:footnote>
  <w:footnote w:id="17">
    <w:p w:rsidR="000A4927" w:rsidRPr="00657A1B" w:rsidRDefault="000A4927" w:rsidP="002625B2">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0A4927" w:rsidRPr="00657A1B" w:rsidTr="00376973">
        <w:trPr>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Neukončené základné vzdelanie</w:t>
            </w:r>
          </w:p>
        </w:tc>
        <w:tc>
          <w:tcPr>
            <w:tcW w:w="425" w:type="dxa"/>
            <w:vAlign w:val="center"/>
          </w:tcPr>
          <w:p w:rsidR="000A4927" w:rsidRPr="00657A1B" w:rsidRDefault="000A4927" w:rsidP="00376973">
            <w:pPr>
              <w:jc w:val="left"/>
              <w:rPr>
                <w:b/>
                <w:bCs/>
                <w:sz w:val="18"/>
                <w:szCs w:val="18"/>
              </w:rPr>
            </w:pPr>
            <w:r w:rsidRPr="00657A1B">
              <w:rPr>
                <w:b/>
                <w:bCs/>
                <w:sz w:val="18"/>
                <w:szCs w:val="18"/>
              </w:rPr>
              <w:t>15</w:t>
            </w:r>
          </w:p>
        </w:tc>
        <w:tc>
          <w:tcPr>
            <w:tcW w:w="3260" w:type="dxa"/>
            <w:vAlign w:val="center"/>
          </w:tcPr>
          <w:p w:rsidR="000A4927" w:rsidRPr="00657A1B" w:rsidRDefault="000A4927" w:rsidP="00376973">
            <w:pPr>
              <w:jc w:val="left"/>
              <w:rPr>
                <w:sz w:val="18"/>
                <w:szCs w:val="18"/>
              </w:rPr>
            </w:pPr>
            <w:r w:rsidRPr="00657A1B">
              <w:rPr>
                <w:sz w:val="18"/>
                <w:szCs w:val="18"/>
              </w:rPr>
              <w:t>Úplné stredné všeobecné vzdelanie</w:t>
            </w:r>
          </w:p>
        </w:tc>
      </w:tr>
      <w:tr w:rsidR="000A4927" w:rsidRPr="00657A1B" w:rsidTr="00376973">
        <w:trPr>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Základné vzdelanie</w:t>
            </w:r>
          </w:p>
        </w:tc>
        <w:tc>
          <w:tcPr>
            <w:tcW w:w="425" w:type="dxa"/>
            <w:vAlign w:val="center"/>
          </w:tcPr>
          <w:p w:rsidR="000A4927" w:rsidRPr="00657A1B" w:rsidRDefault="000A4927" w:rsidP="00376973">
            <w:pPr>
              <w:jc w:val="left"/>
              <w:rPr>
                <w:b/>
                <w:bCs/>
                <w:sz w:val="18"/>
                <w:szCs w:val="18"/>
              </w:rPr>
            </w:pPr>
            <w:r w:rsidRPr="00657A1B">
              <w:rPr>
                <w:b/>
                <w:bCs/>
                <w:sz w:val="18"/>
                <w:szCs w:val="18"/>
              </w:rPr>
              <w:t>16</w:t>
            </w:r>
          </w:p>
        </w:tc>
        <w:tc>
          <w:tcPr>
            <w:tcW w:w="3260" w:type="dxa"/>
            <w:vAlign w:val="center"/>
          </w:tcPr>
          <w:p w:rsidR="000A4927" w:rsidRPr="00657A1B" w:rsidRDefault="000A4927" w:rsidP="00376973">
            <w:pPr>
              <w:jc w:val="left"/>
              <w:rPr>
                <w:sz w:val="18"/>
                <w:szCs w:val="18"/>
              </w:rPr>
            </w:pPr>
            <w:r w:rsidRPr="00657A1B">
              <w:rPr>
                <w:sz w:val="18"/>
                <w:szCs w:val="18"/>
              </w:rPr>
              <w:t>Vyššie odborné vzdelanie</w:t>
            </w:r>
          </w:p>
        </w:tc>
      </w:tr>
      <w:tr w:rsidR="000A4927" w:rsidRPr="00657A1B" w:rsidTr="00376973">
        <w:trPr>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Nižšie stredné odborné vzdelanie</w:t>
            </w:r>
          </w:p>
        </w:tc>
        <w:tc>
          <w:tcPr>
            <w:tcW w:w="425" w:type="dxa"/>
            <w:vAlign w:val="center"/>
          </w:tcPr>
          <w:p w:rsidR="000A4927" w:rsidRPr="00657A1B" w:rsidRDefault="000A4927" w:rsidP="00376973">
            <w:pPr>
              <w:jc w:val="left"/>
              <w:rPr>
                <w:b/>
                <w:bCs/>
                <w:sz w:val="18"/>
                <w:szCs w:val="18"/>
              </w:rPr>
            </w:pPr>
            <w:r w:rsidRPr="00657A1B">
              <w:rPr>
                <w:b/>
                <w:bCs/>
                <w:sz w:val="18"/>
                <w:szCs w:val="18"/>
              </w:rPr>
              <w:t>17</w:t>
            </w:r>
          </w:p>
        </w:tc>
        <w:tc>
          <w:tcPr>
            <w:tcW w:w="3260" w:type="dxa"/>
            <w:vAlign w:val="center"/>
          </w:tcPr>
          <w:p w:rsidR="000A4927" w:rsidRPr="00657A1B" w:rsidRDefault="000A4927" w:rsidP="00376973">
            <w:pPr>
              <w:jc w:val="left"/>
              <w:rPr>
                <w:sz w:val="18"/>
                <w:szCs w:val="18"/>
              </w:rPr>
            </w:pPr>
            <w:r w:rsidRPr="00657A1B">
              <w:rPr>
                <w:sz w:val="18"/>
                <w:szCs w:val="18"/>
              </w:rPr>
              <w:t>Vysokoškolské vzdelanie prvého stupňa</w:t>
            </w:r>
          </w:p>
        </w:tc>
      </w:tr>
      <w:tr w:rsidR="000A4927" w:rsidRPr="00657A1B" w:rsidTr="00376973">
        <w:trPr>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Stredné odborné vzdelanie</w:t>
            </w:r>
          </w:p>
        </w:tc>
        <w:tc>
          <w:tcPr>
            <w:tcW w:w="425" w:type="dxa"/>
            <w:vAlign w:val="center"/>
          </w:tcPr>
          <w:p w:rsidR="000A4927" w:rsidRPr="00657A1B" w:rsidRDefault="000A4927" w:rsidP="00376973">
            <w:pPr>
              <w:jc w:val="left"/>
              <w:rPr>
                <w:b/>
                <w:bCs/>
                <w:sz w:val="18"/>
                <w:szCs w:val="18"/>
              </w:rPr>
            </w:pPr>
            <w:r w:rsidRPr="00657A1B">
              <w:rPr>
                <w:b/>
                <w:bCs/>
                <w:sz w:val="18"/>
                <w:szCs w:val="18"/>
              </w:rPr>
              <w:t>18</w:t>
            </w:r>
          </w:p>
        </w:tc>
        <w:tc>
          <w:tcPr>
            <w:tcW w:w="3260" w:type="dxa"/>
            <w:vAlign w:val="center"/>
          </w:tcPr>
          <w:p w:rsidR="000A4927" w:rsidRPr="00657A1B" w:rsidRDefault="000A4927" w:rsidP="00376973">
            <w:pPr>
              <w:jc w:val="left"/>
              <w:rPr>
                <w:sz w:val="18"/>
                <w:szCs w:val="18"/>
              </w:rPr>
            </w:pPr>
            <w:r w:rsidRPr="00657A1B">
              <w:rPr>
                <w:sz w:val="18"/>
                <w:szCs w:val="18"/>
              </w:rPr>
              <w:t>Vysokoškolské vzdelanie druhého stupňa</w:t>
            </w:r>
          </w:p>
        </w:tc>
      </w:tr>
      <w:tr w:rsidR="000A4927" w:rsidRPr="00657A1B" w:rsidTr="00376973">
        <w:trPr>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Úplné stredné odborné vzdelanie</w:t>
            </w:r>
          </w:p>
        </w:tc>
        <w:tc>
          <w:tcPr>
            <w:tcW w:w="425" w:type="dxa"/>
            <w:vAlign w:val="center"/>
          </w:tcPr>
          <w:p w:rsidR="000A4927" w:rsidRPr="00657A1B" w:rsidRDefault="000A4927" w:rsidP="00376973">
            <w:pPr>
              <w:jc w:val="left"/>
              <w:rPr>
                <w:b/>
                <w:bCs/>
                <w:sz w:val="18"/>
                <w:szCs w:val="18"/>
              </w:rPr>
            </w:pPr>
            <w:r w:rsidRPr="00657A1B">
              <w:rPr>
                <w:b/>
                <w:bCs/>
                <w:sz w:val="18"/>
                <w:szCs w:val="18"/>
              </w:rPr>
              <w:t>19</w:t>
            </w:r>
          </w:p>
        </w:tc>
        <w:tc>
          <w:tcPr>
            <w:tcW w:w="3260" w:type="dxa"/>
            <w:vAlign w:val="center"/>
          </w:tcPr>
          <w:p w:rsidR="000A4927" w:rsidRPr="00657A1B" w:rsidRDefault="000A4927" w:rsidP="00376973">
            <w:pPr>
              <w:jc w:val="left"/>
              <w:rPr>
                <w:sz w:val="18"/>
                <w:szCs w:val="18"/>
              </w:rPr>
            </w:pPr>
            <w:r w:rsidRPr="00657A1B">
              <w:rPr>
                <w:sz w:val="18"/>
                <w:szCs w:val="18"/>
              </w:rPr>
              <w:t>Vysokoškolské vzdelanie tretieho stupňa</w:t>
            </w:r>
          </w:p>
        </w:tc>
      </w:tr>
      <w:tr w:rsidR="000A4927" w:rsidRPr="00657A1B" w:rsidTr="00376973">
        <w:trPr>
          <w:gridAfter w:val="2"/>
          <w:wAfter w:w="3685" w:type="dxa"/>
          <w:trHeight w:hRule="exact" w:val="227"/>
        </w:trPr>
        <w:tc>
          <w:tcPr>
            <w:tcW w:w="450" w:type="dxa"/>
            <w:tcBorders>
              <w:top w:val="nil"/>
              <w:left w:val="nil"/>
              <w:bottom w:val="nil"/>
              <w:right w:val="nil"/>
            </w:tcBorders>
            <w:shd w:val="clear" w:color="auto" w:fill="auto"/>
            <w:noWrap/>
            <w:vAlign w:val="center"/>
            <w:hideMark/>
          </w:tcPr>
          <w:p w:rsidR="000A4927" w:rsidRPr="00657A1B" w:rsidRDefault="000A4927" w:rsidP="00376973">
            <w:pPr>
              <w:jc w:val="left"/>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rsidR="000A4927" w:rsidRPr="00657A1B" w:rsidRDefault="000A4927" w:rsidP="00376973">
            <w:pPr>
              <w:jc w:val="left"/>
              <w:rPr>
                <w:sz w:val="18"/>
                <w:szCs w:val="18"/>
              </w:rPr>
            </w:pPr>
            <w:r w:rsidRPr="00657A1B">
              <w:rPr>
                <w:sz w:val="18"/>
                <w:szCs w:val="18"/>
              </w:rPr>
              <w:t>neurčené</w:t>
            </w:r>
          </w:p>
        </w:tc>
      </w:tr>
      <w:tr w:rsidR="000A4927" w:rsidRPr="00657A1B" w:rsidTr="00376973">
        <w:trPr>
          <w:gridAfter w:val="2"/>
          <w:wAfter w:w="3685" w:type="dxa"/>
          <w:trHeight w:hRule="exact" w:val="227"/>
        </w:trPr>
        <w:tc>
          <w:tcPr>
            <w:tcW w:w="450" w:type="dxa"/>
            <w:tcBorders>
              <w:top w:val="nil"/>
              <w:left w:val="nil"/>
              <w:bottom w:val="nil"/>
              <w:right w:val="nil"/>
            </w:tcBorders>
            <w:shd w:val="clear" w:color="auto" w:fill="auto"/>
            <w:noWrap/>
            <w:vAlign w:val="center"/>
          </w:tcPr>
          <w:p w:rsidR="000A4927" w:rsidRPr="00657A1B" w:rsidRDefault="000A4927" w:rsidP="00376973">
            <w:pPr>
              <w:jc w:val="left"/>
              <w:rPr>
                <w:b/>
                <w:bCs/>
                <w:sz w:val="18"/>
                <w:szCs w:val="18"/>
              </w:rPr>
            </w:pPr>
          </w:p>
        </w:tc>
        <w:tc>
          <w:tcPr>
            <w:tcW w:w="2684" w:type="dxa"/>
            <w:tcBorders>
              <w:top w:val="nil"/>
              <w:left w:val="nil"/>
              <w:bottom w:val="nil"/>
              <w:right w:val="nil"/>
            </w:tcBorders>
            <w:shd w:val="clear" w:color="auto" w:fill="auto"/>
            <w:vAlign w:val="center"/>
          </w:tcPr>
          <w:p w:rsidR="000A4927" w:rsidRPr="00657A1B" w:rsidRDefault="000A4927" w:rsidP="00376973">
            <w:pPr>
              <w:jc w:val="left"/>
              <w:rPr>
                <w:sz w:val="18"/>
                <w:szCs w:val="18"/>
              </w:rPr>
            </w:pPr>
          </w:p>
        </w:tc>
      </w:tr>
    </w:tbl>
    <w:p w:rsidR="000A4927" w:rsidRDefault="000A4927" w:rsidP="002625B2">
      <w:pPr>
        <w:pStyle w:val="Textpoznmkypodiarou"/>
        <w:ind w:firstLine="142"/>
      </w:pPr>
    </w:p>
  </w:footnote>
  <w:footnote w:id="18">
    <w:p w:rsidR="000A4927" w:rsidRDefault="000A4927" w:rsidP="002625B2">
      <w:pPr>
        <w:pStyle w:val="Textpoznmkypodiarou"/>
        <w:tabs>
          <w:tab w:val="left" w:pos="1418"/>
        </w:tabs>
        <w:rPr>
          <w:szCs w:val="18"/>
        </w:rPr>
      </w:pPr>
      <w:r>
        <w:rPr>
          <w:rStyle w:val="Odkaznapoznmkupodiarou"/>
        </w:rPr>
        <w:footnoteRef/>
      </w:r>
      <w:r>
        <w:t xml:space="preserve"> </w:t>
      </w:r>
      <w:r w:rsidRPr="002C739A">
        <w:rPr>
          <w:b/>
        </w:rPr>
        <w:t>SK ISCO-08</w:t>
      </w:r>
    </w:p>
    <w:tbl>
      <w:tblPr>
        <w:tblW w:w="5920" w:type="dxa"/>
        <w:tblInd w:w="55" w:type="dxa"/>
        <w:tblCellMar>
          <w:left w:w="70" w:type="dxa"/>
          <w:right w:w="70" w:type="dxa"/>
        </w:tblCellMar>
        <w:tblLook w:val="04A0" w:firstRow="1" w:lastRow="0" w:firstColumn="1" w:lastColumn="0" w:noHBand="0" w:noVBand="1"/>
      </w:tblPr>
      <w:tblGrid>
        <w:gridCol w:w="230"/>
        <w:gridCol w:w="4760"/>
        <w:gridCol w:w="1000"/>
      </w:tblGrid>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1</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Zákonodarcovia, riadiaci pracovníci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2</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Špecialisti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3</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Technici a odborní pracovníci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4</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Administratívni pracovníci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5</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Pracovníci v službách a obchode</w:t>
            </w:r>
          </w:p>
        </w:tc>
      </w:tr>
      <w:tr w:rsidR="000A4927" w:rsidRPr="00CF3D53" w:rsidTr="00376973">
        <w:trPr>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6</w:t>
            </w:r>
          </w:p>
        </w:tc>
        <w:tc>
          <w:tcPr>
            <w:tcW w:w="5760" w:type="dxa"/>
            <w:gridSpan w:val="2"/>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Kvalifikovaní pracovníci v poľnohospodárstve, lesníctve a rybárstve</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7</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Kvalifikovaní pracovníci a remeselníci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8</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Operátori a montéri strojov a zariadení</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9</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ind w:left="-433" w:firstLine="433"/>
              <w:jc w:val="left"/>
              <w:rPr>
                <w:sz w:val="18"/>
                <w:szCs w:val="18"/>
              </w:rPr>
            </w:pPr>
            <w:r w:rsidRPr="00CF3D53">
              <w:rPr>
                <w:sz w:val="18"/>
                <w:szCs w:val="18"/>
              </w:rPr>
              <w:t>Pomocní a nekvalifikovaní pracovníci</w:t>
            </w:r>
          </w:p>
        </w:tc>
      </w:tr>
      <w:tr w:rsidR="000A4927" w:rsidRPr="00CF3D53" w:rsidTr="00376973">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0A4927" w:rsidRPr="00CF3D53" w:rsidRDefault="000A4927" w:rsidP="00376973">
            <w:pPr>
              <w:jc w:val="left"/>
              <w:rPr>
                <w:b/>
                <w:bCs/>
                <w:sz w:val="18"/>
                <w:szCs w:val="18"/>
              </w:rPr>
            </w:pPr>
            <w:r w:rsidRPr="00CF3D53">
              <w:rPr>
                <w:b/>
                <w:bCs/>
                <w:sz w:val="18"/>
                <w:szCs w:val="18"/>
              </w:rPr>
              <w:t>0</w:t>
            </w:r>
          </w:p>
        </w:tc>
        <w:tc>
          <w:tcPr>
            <w:tcW w:w="4760" w:type="dxa"/>
            <w:tcBorders>
              <w:top w:val="nil"/>
              <w:left w:val="nil"/>
              <w:bottom w:val="nil"/>
              <w:right w:val="nil"/>
            </w:tcBorders>
            <w:shd w:val="clear" w:color="auto" w:fill="auto"/>
            <w:noWrap/>
            <w:vAlign w:val="center"/>
            <w:hideMark/>
          </w:tcPr>
          <w:p w:rsidR="000A4927" w:rsidRPr="00CF3D53" w:rsidRDefault="000A4927" w:rsidP="00376973">
            <w:pPr>
              <w:jc w:val="left"/>
              <w:rPr>
                <w:sz w:val="18"/>
                <w:szCs w:val="18"/>
              </w:rPr>
            </w:pPr>
            <w:r w:rsidRPr="00CF3D53">
              <w:rPr>
                <w:sz w:val="18"/>
                <w:szCs w:val="18"/>
              </w:rPr>
              <w:t>Príslušníci ozbrojených síl</w:t>
            </w:r>
          </w:p>
        </w:tc>
      </w:tr>
    </w:tbl>
    <w:p w:rsidR="000A4927" w:rsidRDefault="000A4927" w:rsidP="002625B2">
      <w:pPr>
        <w:pStyle w:val="Textpoznmkypodiarou"/>
        <w:tabs>
          <w:tab w:val="left" w:pos="1418"/>
        </w:tabs>
      </w:pPr>
    </w:p>
  </w:footnote>
  <w:footnote w:id="19">
    <w:p w:rsidR="000A4927" w:rsidRDefault="000A4927" w:rsidP="002625B2">
      <w:pPr>
        <w:pStyle w:val="Textpoznmkypodiarou"/>
      </w:pPr>
      <w:r>
        <w:rPr>
          <w:rStyle w:val="Odkaznapoznmkupodiarou"/>
        </w:rPr>
        <w:footnoteRef/>
      </w:r>
      <w:r>
        <w:t xml:space="preserve"> Dňa 7. októbra 2015 vláda Slovenskej republiky schválila nariadenie vlády SR č. 279/2015 Z. z., ktorým ustanovila sumu minimálnej mzdy na rok 2016 na 405,00 eur za mesiac pre zamestnanca odmeňovaného mesačnou mzdou a 2,328 eura za každú hodinu odpracovanú zamestnancom, čím sa suma minimálnej mzdy </w:t>
      </w:r>
      <w:r w:rsidRPr="00FC01AF">
        <w:t xml:space="preserve">medziročne </w:t>
      </w:r>
      <w:r>
        <w:t>zvýšila o 6,58 %.</w:t>
      </w:r>
    </w:p>
  </w:footnote>
  <w:footnote w:id="20">
    <w:p w:rsidR="000A4927" w:rsidRPr="003763A5" w:rsidRDefault="000A4927" w:rsidP="002625B2">
      <w:pPr>
        <w:pStyle w:val="Textpoznmkypodiarou"/>
        <w:ind w:left="142" w:hanging="142"/>
      </w:pPr>
      <w:r>
        <w:rPr>
          <w:rStyle w:val="Odkaznapoznmkupodiarou"/>
        </w:rPr>
        <w:footnoteRef/>
      </w:r>
      <w:r>
        <w:t xml:space="preserve"> P</w:t>
      </w:r>
      <w:r w:rsidRPr="003763A5">
        <w:t>odľa štvrťročného štatistického výkazníctva; bez podnikateľských príjmov; údaje upravené o štatistický odhad neevidovaných miezd; indexy sú počítané z porovnateľných údajov</w:t>
      </w:r>
      <w:r>
        <w:t>.</w:t>
      </w:r>
    </w:p>
  </w:footnote>
  <w:footnote w:id="21">
    <w:p w:rsidR="000A4927" w:rsidRPr="004408A9" w:rsidRDefault="000A4927" w:rsidP="002625B2">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22">
    <w:p w:rsidR="000A4927" w:rsidRDefault="000A4927">
      <w:pPr>
        <w:pStyle w:val="Textpoznmkypodiarou"/>
      </w:pPr>
      <w:r>
        <w:rPr>
          <w:rStyle w:val="Odkaznapoznmkupodiarou"/>
        </w:rPr>
        <w:footnoteRef/>
      </w:r>
      <w:r>
        <w:t xml:space="preserve"> T</w:t>
      </w:r>
      <w:r w:rsidRPr="00376C47">
        <w:t xml:space="preserve">áto odvodová úľava sa vzťahuje aj na platenie poistného na verejné zdravotné poistenie, ktoré vecne spadá do pôsobnosti Ministerstva zdravotníctva Slovenskej republiky. </w:t>
      </w:r>
    </w:p>
  </w:footnote>
  <w:footnote w:id="23">
    <w:p w:rsidR="000A4927" w:rsidRDefault="000A4927" w:rsidP="002625B2">
      <w:pPr>
        <w:pStyle w:val="Textpoznmkypodiarou"/>
      </w:pPr>
      <w:r>
        <w:rPr>
          <w:rStyle w:val="Odkaznapoznmkupodiarou"/>
        </w:rPr>
        <w:footnoteRef/>
      </w:r>
      <w:r>
        <w:t xml:space="preserve"> </w:t>
      </w:r>
      <w:r w:rsidRPr="00AF04AD">
        <w:rPr>
          <w:szCs w:val="18"/>
        </w:rPr>
        <w:t>suma životného minima</w:t>
      </w:r>
      <w:r>
        <w:rPr>
          <w:szCs w:val="18"/>
        </w:rPr>
        <w:t xml:space="preserve"> pre jednu plnoletú fyzickú osobu</w:t>
      </w:r>
    </w:p>
  </w:footnote>
  <w:footnote w:id="24">
    <w:p w:rsidR="000A4927" w:rsidRDefault="000A4927" w:rsidP="002625B2">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2015</w:t>
      </w:r>
      <w:r w:rsidRPr="00AE57DC">
        <w:t xml:space="preserve"> je uvedený </w:t>
      </w:r>
      <w:r w:rsidRPr="00BE4E77">
        <w:t>v Príloh</w:t>
      </w:r>
      <w:r>
        <w:t>e</w:t>
      </w:r>
      <w:r w:rsidRPr="00BE4E77">
        <w:t xml:space="preserve"> ku kapitole 3 tab.1).</w:t>
      </w:r>
    </w:p>
  </w:footnote>
  <w:footnote w:id="25">
    <w:p w:rsidR="000A4927" w:rsidRDefault="000A4927" w:rsidP="002625B2">
      <w:pPr>
        <w:pStyle w:val="Textpoznmkypodiarou"/>
      </w:pPr>
      <w:r w:rsidRPr="00BE4E77">
        <w:rPr>
          <w:rStyle w:val="Odkaznapoznmkupodiarou"/>
          <w:szCs w:val="18"/>
        </w:rPr>
        <w:footnoteRef/>
      </w:r>
      <w:r w:rsidRPr="00BE4E77">
        <w:t xml:space="preserve"> Podrobnejšie štatistické údaje o počte poberateľov a výške jednotlivých dôchodkových dávok sú uvedené v Prílohe ku kapitole 3 </w:t>
      </w:r>
      <w:r w:rsidRPr="00BE4E77">
        <w:rPr>
          <w:szCs w:val="18"/>
        </w:rPr>
        <w:t>(tab.2 až 5).</w:t>
      </w:r>
      <w:r>
        <w:t xml:space="preserve"> </w:t>
      </w:r>
    </w:p>
  </w:footnote>
  <w:footnote w:id="26">
    <w:p w:rsidR="000A4927" w:rsidRPr="00E842E9" w:rsidRDefault="000A4927" w:rsidP="002625B2">
      <w:pPr>
        <w:pStyle w:val="Textpoznmkypodiarou"/>
        <w:rPr>
          <w:szCs w:val="18"/>
          <w:highlight w:val="magenta"/>
        </w:rPr>
      </w:pPr>
      <w:r w:rsidRPr="005F30C9">
        <w:rPr>
          <w:rStyle w:val="Odkaznapoznmkupodiarou"/>
          <w:szCs w:val="18"/>
        </w:rPr>
        <w:footnoteRef/>
      </w:r>
      <w:r w:rsidRPr="005F30C9">
        <w:rPr>
          <w:szCs w:val="18"/>
        </w:rPr>
        <w:t xml:space="preserve"> Prehľad výdavkov na dôchodkové dávky k 31. 12. 201</w:t>
      </w:r>
      <w:r>
        <w:rPr>
          <w:szCs w:val="18"/>
        </w:rPr>
        <w:t>5</w:t>
      </w:r>
      <w:r w:rsidRPr="005F30C9">
        <w:rPr>
          <w:szCs w:val="18"/>
        </w:rPr>
        <w:t xml:space="preserve"> je </w:t>
      </w:r>
      <w:r w:rsidRPr="003D733C">
        <w:rPr>
          <w:szCs w:val="18"/>
        </w:rPr>
        <w:t xml:space="preserve">uvedený v </w:t>
      </w:r>
      <w:r w:rsidRPr="00BE4E77">
        <w:rPr>
          <w:szCs w:val="18"/>
        </w:rPr>
        <w:t>Prílohe ku kapitole 3 (tab. 5).</w:t>
      </w:r>
    </w:p>
  </w:footnote>
  <w:footnote w:id="27">
    <w:p w:rsidR="000A4927" w:rsidRDefault="000A4927" w:rsidP="002625B2">
      <w:pPr>
        <w:pStyle w:val="Textpoznmkypodiarou"/>
      </w:pPr>
      <w:r>
        <w:rPr>
          <w:rStyle w:val="Odkaznapoznmkupodiarou"/>
        </w:rPr>
        <w:footnoteRef/>
      </w:r>
      <w:r>
        <w:t xml:space="preserve"> Ide o štátnu sociálnu dávku.</w:t>
      </w:r>
    </w:p>
  </w:footnote>
  <w:footnote w:id="28">
    <w:p w:rsidR="000A4927" w:rsidRDefault="000A4927" w:rsidP="002625B2">
      <w:pPr>
        <w:pStyle w:val="Textpoznmkypodiarou"/>
      </w:pPr>
      <w:r>
        <w:rPr>
          <w:rStyle w:val="Odkaznapoznmkupodiarou"/>
        </w:rPr>
        <w:footnoteRef/>
      </w:r>
      <w:r>
        <w:t xml:space="preserve"> Hradené zo štátneho rozpočtu.</w:t>
      </w:r>
    </w:p>
  </w:footnote>
  <w:footnote w:id="29">
    <w:p w:rsidR="000A4927" w:rsidRPr="00BE4E77" w:rsidRDefault="000A4927" w:rsidP="002625B2">
      <w:pPr>
        <w:pStyle w:val="Textpoznmkypodiarou"/>
        <w:rPr>
          <w:rStyle w:val="Odkaznapoznmkupodiarou"/>
          <w:szCs w:val="18"/>
        </w:rPr>
      </w:pPr>
      <w:r w:rsidRPr="00BE4E77">
        <w:rPr>
          <w:rStyle w:val="Odkaznapoznmkupodiarou"/>
          <w:szCs w:val="18"/>
        </w:rPr>
        <w:footnoteRef/>
      </w:r>
      <w:r w:rsidRPr="00BE4E77">
        <w:rPr>
          <w:rStyle w:val="Odkaznapoznmkupodiarou"/>
          <w:szCs w:val="18"/>
        </w:rPr>
        <w:t xml:space="preserve"> </w:t>
      </w:r>
      <w:r w:rsidRPr="00BE4E77">
        <w:rPr>
          <w:szCs w:val="18"/>
        </w:rPr>
        <w:t>Prehľad výdavkov základného fondu úrazového poistenia je uvedený v Prílohe ku kapitole 3 (tab. 6)</w:t>
      </w:r>
    </w:p>
  </w:footnote>
  <w:footnote w:id="30">
    <w:p w:rsidR="000A4927" w:rsidRPr="00BE4E77" w:rsidRDefault="000A4927" w:rsidP="002625B2">
      <w:pPr>
        <w:pStyle w:val="Textpoznmkypodiarou"/>
      </w:pPr>
      <w:r w:rsidRPr="00BE4E77">
        <w:rPr>
          <w:rStyle w:val="Odkaznapoznmkupodiarou"/>
          <w:szCs w:val="18"/>
        </w:rPr>
        <w:footnoteRef/>
      </w:r>
      <w:r w:rsidRPr="00BE4E77">
        <w:rPr>
          <w:rStyle w:val="Odkaznapoznmkupodiarou"/>
          <w:szCs w:val="18"/>
        </w:rPr>
        <w:t xml:space="preserve"> </w:t>
      </w:r>
      <w:r w:rsidRPr="00BE4E77">
        <w:rPr>
          <w:szCs w:val="18"/>
        </w:rPr>
        <w:t>Priemerná výška a počet vyplatených dávok úrazového poistenia a štátne dávky úrazového poistenia sú uvedené v Prílohe ku kapitole 3 (tab. 7 a 8)</w:t>
      </w:r>
    </w:p>
  </w:footnote>
  <w:footnote w:id="31">
    <w:p w:rsidR="000A4927" w:rsidRPr="00775814" w:rsidRDefault="000A4927" w:rsidP="006C624A">
      <w:pPr>
        <w:pStyle w:val="Textpoznmkypodiarou"/>
      </w:pPr>
      <w:r>
        <w:rPr>
          <w:rStyle w:val="Odkaznapoznmkupodiarou"/>
        </w:rPr>
        <w:footnoteRef/>
      </w:r>
      <w:r>
        <w:t xml:space="preserve"> Tieto d</w:t>
      </w:r>
      <w:r w:rsidRPr="00250D95">
        <w:t xml:space="preserve">ávky </w:t>
      </w:r>
      <w:r>
        <w:t>s</w:t>
      </w:r>
      <w:r w:rsidRPr="00250D95">
        <w:t>ú vyplácané podľa právnych predpisov účinných do 31. 12. 2003</w:t>
      </w:r>
      <w:r>
        <w:t xml:space="preserve">, </w:t>
      </w:r>
      <w:r w:rsidRPr="00DB2B48">
        <w:t>podľa prechodného ustanovenia.</w:t>
      </w:r>
    </w:p>
  </w:footnote>
  <w:footnote w:id="32">
    <w:p w:rsidR="000A4927" w:rsidRDefault="000A4927" w:rsidP="002625B2">
      <w:pPr>
        <w:pStyle w:val="Textpoznmkypodiarou"/>
      </w:pPr>
      <w:r w:rsidRPr="00BE4E77">
        <w:rPr>
          <w:rStyle w:val="Odkaznapoznmkupodiarou"/>
        </w:rPr>
        <w:footnoteRef/>
      </w:r>
      <w:r w:rsidRPr="00BE4E77">
        <w:t xml:space="preserve"> Výdavky základného fondu garančného poistenia sú </w:t>
      </w:r>
      <w:r w:rsidRPr="00BE4E77">
        <w:rPr>
          <w:szCs w:val="18"/>
        </w:rPr>
        <w:t>uvedené v Prílohe ku kapitole 3 (tab. 9)</w:t>
      </w:r>
      <w:r w:rsidRPr="00BE4E77">
        <w:rPr>
          <w:rStyle w:val="Odkaznapoznmkupodiarou"/>
          <w:szCs w:val="18"/>
        </w:rPr>
        <w:t>.</w:t>
      </w:r>
    </w:p>
  </w:footnote>
  <w:footnote w:id="33">
    <w:p w:rsidR="000A4927" w:rsidRPr="001237BA" w:rsidRDefault="000A4927" w:rsidP="002625B2">
      <w:pPr>
        <w:pStyle w:val="Textpoznmkypodiarou"/>
      </w:pPr>
      <w:r w:rsidRPr="008C6DEF">
        <w:rPr>
          <w:rStyle w:val="Odkaznapoznmkupodiarou"/>
          <w:szCs w:val="18"/>
        </w:rPr>
        <w:footnoteRef/>
      </w:r>
      <w:r w:rsidRPr="008C6DEF">
        <w:t xml:space="preserve"> </w:t>
      </w:r>
      <w:r w:rsidRPr="001237BA">
        <w:t>Podrobnejšie štatistiky o vyplatených dávkach v nezamestna</w:t>
      </w:r>
      <w:r>
        <w:t xml:space="preserve">nosti a poberateľoch </w:t>
      </w:r>
      <w:r w:rsidRPr="001237BA">
        <w:t xml:space="preserve">sú uvedené v </w:t>
      </w:r>
      <w:r w:rsidRPr="00BE4E77">
        <w:t>Príloh</w:t>
      </w:r>
      <w:r>
        <w:t>e</w:t>
      </w:r>
      <w:r w:rsidRPr="00BE4E77">
        <w:t xml:space="preserve"> ku kapitole 3 (tab.10 a 11).</w:t>
      </w:r>
    </w:p>
  </w:footnote>
  <w:footnote w:id="34">
    <w:p w:rsidR="000A4927" w:rsidRDefault="000A4927" w:rsidP="000A7585">
      <w:pPr>
        <w:pStyle w:val="Textpoznmkypodiarou"/>
      </w:pPr>
      <w:r>
        <w:rPr>
          <w:rStyle w:val="Odkaznapoznmkupodiarou"/>
        </w:rPr>
        <w:footnoteRef/>
      </w:r>
      <w:r>
        <w:t xml:space="preserve"> Celkové zhodnotenie dôchodkových fondov je </w:t>
      </w:r>
      <w:r w:rsidRPr="0016473E">
        <w:t xml:space="preserve">priemer </w:t>
      </w:r>
      <w:r>
        <w:t xml:space="preserve">zhodnotenia jednotlivých </w:t>
      </w:r>
      <w:r w:rsidRPr="0016473E">
        <w:t>dôchodkových fondo</w:t>
      </w:r>
      <w:r>
        <w:t>v</w:t>
      </w:r>
      <w:r w:rsidRPr="0016473E">
        <w:t xml:space="preserve"> </w:t>
      </w:r>
      <w:r>
        <w:t xml:space="preserve">od ich vzniku, </w:t>
      </w:r>
      <w:r w:rsidRPr="0016473E">
        <w:t xml:space="preserve">vážený </w:t>
      </w:r>
      <w:r>
        <w:t>podielom</w:t>
      </w:r>
      <w:r w:rsidRPr="0016473E">
        <w:t xml:space="preserve"> </w:t>
      </w:r>
      <w:r>
        <w:t xml:space="preserve">čistej hodnoty </w:t>
      </w:r>
      <w:r w:rsidRPr="0016473E">
        <w:t xml:space="preserve">majetku </w:t>
      </w:r>
      <w:r>
        <w:t>príslušného fondu na čistej hodnote majetku fondov rovnakého druhu. Obdobne v prvom a druhom stĺpci sú uvedené priemerné ročné zhodnotenia vážené podielom čistej hodnoty majetku príslušného fondu na čistej hodnote majetku fondov rovnakého druhu.</w:t>
      </w:r>
    </w:p>
  </w:footnote>
  <w:footnote w:id="35">
    <w:p w:rsidR="000A4927" w:rsidRPr="00C645F6" w:rsidRDefault="000A4927" w:rsidP="000A7585">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36">
    <w:p w:rsidR="000A4927" w:rsidRPr="00063F9A" w:rsidRDefault="000A4927" w:rsidP="000A7585">
      <w:pPr>
        <w:pStyle w:val="Textpoznmkypodiarou"/>
      </w:pPr>
      <w:r>
        <w:rPr>
          <w:rStyle w:val="Odkaznapoznmkupodiarou"/>
        </w:rPr>
        <w:footnoteRef/>
      </w:r>
      <w:r>
        <w:t xml:space="preserve"> Ročné</w:t>
      </w:r>
      <w:r w:rsidRPr="00063F9A">
        <w:t xml:space="preserve"> zhodnotenie </w:t>
      </w:r>
      <w:r>
        <w:t xml:space="preserve">doplnkových </w:t>
      </w:r>
      <w:r w:rsidRPr="00063F9A">
        <w:t>dôchodkových fondov je priemer</w:t>
      </w:r>
      <w:r>
        <w:t xml:space="preserve">om ročného </w:t>
      </w:r>
      <w:r w:rsidRPr="00063F9A">
        <w:t>zhodnoten</w:t>
      </w:r>
      <w:r>
        <w:t>ia</w:t>
      </w:r>
      <w:r w:rsidRPr="00063F9A">
        <w:t xml:space="preserve"> </w:t>
      </w:r>
      <w:r>
        <w:t xml:space="preserve">fondov príslušnej doplnkovej dôchodkovej spoločnosti </w:t>
      </w:r>
      <w:r w:rsidRPr="00063F9A">
        <w:t>vážen</w:t>
      </w:r>
      <w:r>
        <w:t>ým</w:t>
      </w:r>
      <w:r w:rsidRPr="00063F9A">
        <w:t xml:space="preserve"> podiel</w:t>
      </w:r>
      <w:r>
        <w:t>o</w:t>
      </w:r>
      <w:r w:rsidRPr="00063F9A">
        <w:t xml:space="preserve">m čistej hodnoty majetku príslušného fondu na čistej hodnote majetku </w:t>
      </w:r>
      <w:r>
        <w:t xml:space="preserve">vo všetkých </w:t>
      </w:r>
      <w:r w:rsidRPr="00063F9A">
        <w:t>fondo</w:t>
      </w:r>
      <w:r>
        <w:t>ch</w:t>
      </w:r>
      <w:r w:rsidRPr="00063F9A">
        <w:t xml:space="preserve"> </w:t>
      </w:r>
      <w:r>
        <w:t>danej doplnkovej dôchodkovej spoločnosti.</w:t>
      </w:r>
    </w:p>
  </w:footnote>
  <w:footnote w:id="37">
    <w:p w:rsidR="000A4927" w:rsidRDefault="000A4927" w:rsidP="000A7585">
      <w:pPr>
        <w:pStyle w:val="Textpoznmkypodiarou"/>
      </w:pPr>
      <w:r>
        <w:rPr>
          <w:rStyle w:val="Odkaznapoznmkupodiarou"/>
        </w:rPr>
        <w:footnoteRef/>
      </w:r>
      <w:r>
        <w:t xml:space="preserve"> Okrem systému štátnych sociálnych dávok podporuje štát rodiny aj inou formou, napr.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38">
    <w:p w:rsidR="000A4927" w:rsidRDefault="000A4927">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39">
    <w:p w:rsidR="000A4927" w:rsidRDefault="000A4927">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0">
    <w:p w:rsidR="000A4927" w:rsidRDefault="000A4927">
      <w:pPr>
        <w:pStyle w:val="Textpoznmkypodiarou"/>
      </w:pPr>
      <w:r>
        <w:rPr>
          <w:rStyle w:val="Odkaznapoznmkupodiarou"/>
        </w:rPr>
        <w:footnoteRef/>
      </w:r>
      <w:r>
        <w:t xml:space="preserve"> vo vyplatených finančných prostriedkoch sú započítané aj finančné prostriedky vynaložené na doplatky zrušenej dávky príplatok k príspevku pri narodení dieťaťa (oneskorený nárok za predchádzajúce obdobie), údaje o finančných prostriedkoch sú zo záverečného účtu kapitoly 22 - Ministerstva</w:t>
      </w:r>
      <w:r w:rsidRPr="009E05D9">
        <w:t xml:space="preserve"> práce, sociálnych vecí a rodiny SR</w:t>
      </w:r>
    </w:p>
  </w:footnote>
  <w:footnote w:id="41">
    <w:p w:rsidR="000A4927" w:rsidRDefault="000A4927">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2">
    <w:p w:rsidR="000A4927" w:rsidRDefault="000A4927">
      <w:pPr>
        <w:pStyle w:val="Textpoznmkypodiarou"/>
      </w:pPr>
      <w:r>
        <w:rPr>
          <w:rStyle w:val="Odkaznapoznmkupodiarou"/>
        </w:rPr>
        <w:footnoteRef/>
      </w:r>
      <w:r>
        <w:t xml:space="preserve"> údaj zo záverečného účtu kapitoly MPSVR SR</w:t>
      </w:r>
    </w:p>
  </w:footnote>
  <w:footnote w:id="43">
    <w:p w:rsidR="000A4927" w:rsidRDefault="000A4927">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4">
    <w:p w:rsidR="000A4927" w:rsidRDefault="000A4927">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5">
    <w:p w:rsidR="000A4927" w:rsidRDefault="000A4927">
      <w:pPr>
        <w:pStyle w:val="Textpoznmkypodiarou"/>
      </w:pPr>
      <w:r>
        <w:rPr>
          <w:rStyle w:val="Odkaznapoznmkupodiarou"/>
        </w:rPr>
        <w:footnoteRef/>
      </w:r>
      <w:r>
        <w:t xml:space="preserve"> Pri PP na osobnú asistenciu, PP na prepravu a PP na opatrovanie do výpočtu výšky PP vstupujú aj ďalšie parametre, najmä výška príjmu FO s ŤZP</w:t>
      </w:r>
    </w:p>
  </w:footnote>
  <w:footnote w:id="46">
    <w:p w:rsidR="000A4927" w:rsidRDefault="000A4927">
      <w:pPr>
        <w:pStyle w:val="Textpoznmkypodiarou"/>
      </w:pPr>
      <w:r>
        <w:rPr>
          <w:rStyle w:val="Odkaznapoznmkupodiarou"/>
        </w:rPr>
        <w:footnoteRef/>
      </w:r>
      <w:r>
        <w:t xml:space="preserve"> Pokiaľ opatrovaná FO s ŤZP poberá zvýšenie dôchodku pre bezvládnosť, výška PP na opatrovanie sa znižuje o túto sumu, bez ohľadu na to, či opatrovateľ poberá alebo nepoberá nejakú zo zákonom ustanovených dôchodkových dávok.</w:t>
      </w:r>
    </w:p>
  </w:footnote>
  <w:footnote w:id="47">
    <w:p w:rsidR="000A4927" w:rsidRPr="00BE4E77" w:rsidRDefault="000A4927" w:rsidP="000A7585">
      <w:pPr>
        <w:pStyle w:val="Textpoznmkypodiarou"/>
        <w:rPr>
          <w:color w:val="000000" w:themeColor="text1"/>
        </w:rPr>
      </w:pPr>
      <w:r w:rsidRPr="00BE4E77">
        <w:rPr>
          <w:rStyle w:val="Odkaznapoznmkupodiarou"/>
          <w:color w:val="000000" w:themeColor="text1"/>
        </w:rPr>
        <w:footnoteRef/>
      </w:r>
      <w:r w:rsidRPr="00BE4E77">
        <w:rPr>
          <w:color w:val="000000" w:themeColor="text1"/>
        </w:rPr>
        <w:t xml:space="preserve"> Zdroj: Implementačná agentúra Ministerstva práce, sociálnych vecí a rodiny SR </w:t>
      </w:r>
    </w:p>
  </w:footnote>
  <w:footnote w:id="48">
    <w:p w:rsidR="000A4927" w:rsidRDefault="000A4927" w:rsidP="000A7585">
      <w:pPr>
        <w:pStyle w:val="Textpoznmkypodiarou"/>
      </w:pPr>
      <w:r w:rsidRPr="00BE4E77">
        <w:rPr>
          <w:rStyle w:val="Odkaznapoznmkupodiarou"/>
          <w:color w:val="000000" w:themeColor="text1"/>
        </w:rPr>
        <w:footnoteRef/>
      </w:r>
      <w:r w:rsidRPr="00BE4E77">
        <w:rPr>
          <w:color w:val="000000" w:themeColor="text1"/>
        </w:rPr>
        <w:t xml:space="preserve"> Zdroj: Implementačná agentúra Ministerstva práce, sociálnych vecí a rodiny SR</w:t>
      </w:r>
    </w:p>
  </w:footnote>
  <w:footnote w:id="49">
    <w:p w:rsidR="000A4927" w:rsidRDefault="000A4927" w:rsidP="000A7585">
      <w:pPr>
        <w:pStyle w:val="Textpoznmkypodiarou"/>
      </w:pPr>
      <w:r>
        <w:rPr>
          <w:rStyle w:val="Odkaznapoznmkupodiarou"/>
        </w:rPr>
        <w:footnoteRef/>
      </w:r>
      <w:r>
        <w:t xml:space="preserve"> V čase vydania Správy sú údaje za zariadenia sociálnych služieb sledované ŠÚ SR k dispozícii len za rok 2014</w:t>
      </w:r>
    </w:p>
  </w:footnote>
  <w:footnote w:id="50">
    <w:p w:rsidR="000A4927" w:rsidRDefault="000A4927" w:rsidP="000A7585">
      <w:pPr>
        <w:pStyle w:val="Textpoznmkypodiarou"/>
      </w:pPr>
      <w:r>
        <w:rPr>
          <w:rStyle w:val="Odkaznapoznmkupodiarou"/>
        </w:rPr>
        <w:footnoteRef/>
      </w:r>
      <w:r>
        <w:t xml:space="preserve"> </w:t>
      </w:r>
      <w:r w:rsidRPr="00AC6626">
        <w:rPr>
          <w:szCs w:val="18"/>
        </w:rPr>
        <w:t>V zátvork</w:t>
      </w:r>
      <w:r>
        <w:rPr>
          <w:szCs w:val="18"/>
        </w:rPr>
        <w:t>ách je uvedený počet za rok 2013</w:t>
      </w:r>
    </w:p>
  </w:footnote>
  <w:footnote w:id="51">
    <w:p w:rsidR="000A4927" w:rsidRDefault="000A4927" w:rsidP="000A7585">
      <w:r>
        <w:rPr>
          <w:rStyle w:val="Odkaznapoznmkupodiarou"/>
        </w:rPr>
        <w:footnoteRef/>
      </w:r>
      <w:r>
        <w:t xml:space="preserve"> </w:t>
      </w:r>
      <w:r w:rsidRPr="001C72FC">
        <w:rPr>
          <w:iCs/>
          <w:sz w:val="18"/>
          <w:szCs w:val="18"/>
        </w:rPr>
        <w:t>Zdroj: Vybra</w:t>
      </w:r>
      <w:r>
        <w:rPr>
          <w:iCs/>
          <w:sz w:val="18"/>
          <w:szCs w:val="18"/>
        </w:rPr>
        <w:t>né údaje Štatistického úradu SR; p</w:t>
      </w:r>
      <w:r w:rsidRPr="001C72FC">
        <w:rPr>
          <w:iCs/>
          <w:sz w:val="18"/>
          <w:szCs w:val="18"/>
        </w:rPr>
        <w:t xml:space="preserve">ozn.: Vo vybraných údajoch ŠÚ SR nie sú započítané údaje o detských domovoch, krízových strediskách, resocializačných strediskách a ostatných zariadeniach, ktoré sa nepovažujú za zariadenia sociálnych služieb. </w:t>
      </w:r>
    </w:p>
  </w:footnote>
  <w:footnote w:id="52">
    <w:p w:rsidR="000A4927" w:rsidRDefault="000A4927" w:rsidP="000A7585">
      <w:pPr>
        <w:pStyle w:val="Textpoznmkypodiarou"/>
      </w:pPr>
      <w:r>
        <w:rPr>
          <w:rStyle w:val="Odkaznapoznmkupodiarou"/>
        </w:rPr>
        <w:footnoteRef/>
      </w:r>
      <w:r>
        <w:t xml:space="preserve"> </w:t>
      </w:r>
      <w:r w:rsidRPr="00AC6626">
        <w:rPr>
          <w:szCs w:val="18"/>
        </w:rPr>
        <w:t>V zátvork</w:t>
      </w:r>
      <w:r>
        <w:rPr>
          <w:szCs w:val="18"/>
        </w:rPr>
        <w:t>ách je uvedený počet za rok 2014</w:t>
      </w:r>
    </w:p>
  </w:footnote>
  <w:footnote w:id="53">
    <w:p w:rsidR="000A4927" w:rsidRDefault="000A4927">
      <w:pPr>
        <w:pStyle w:val="Textpoznmkypodiarou"/>
      </w:pPr>
      <w:r>
        <w:rPr>
          <w:rStyle w:val="Odkaznapoznmkupodiarou"/>
        </w:rPr>
        <w:footnoteRef/>
      </w:r>
      <w:r>
        <w:t xml:space="preserve"> Jedná sa o predbežné údaje, vzhľadom k tomu, že v zmysle Pokynu MF SR č. MF/010255/2016-441 na zúčtovanie finančných vzťahov so štátnym rozpočtom za rok 2015 pre ústredné orgány štátnej správy, príspevkové a rozpočtové organizácie, podnikateľské subjekty, neziskové organizácie a ďalšie subjekty, ktorým boli poskytnuté prostriedky zo štátneho rozpočtu je termín zúčtovania do 30. 6. 2016, teda až po spracovaní Správy.</w:t>
      </w:r>
    </w:p>
  </w:footnote>
  <w:footnote w:id="54">
    <w:p w:rsidR="000A4927" w:rsidRPr="003632D0" w:rsidRDefault="000A4927" w:rsidP="000A7585">
      <w:pPr>
        <w:widowControl w:val="0"/>
        <w:suppressAutoHyphens/>
        <w:rPr>
          <w:i/>
          <w:sz w:val="18"/>
          <w:szCs w:val="18"/>
        </w:rPr>
      </w:pPr>
      <w:r>
        <w:rPr>
          <w:rStyle w:val="Odkaznapoznmkupodiarou"/>
        </w:rPr>
        <w:footnoteRef/>
      </w:r>
      <w:r>
        <w:t xml:space="preserve"> </w:t>
      </w:r>
      <w:r w:rsidRPr="003632D0">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sidRPr="003632D0">
        <w:rPr>
          <w:i/>
          <w:sz w:val="18"/>
          <w:szCs w:val="18"/>
        </w:rPr>
        <w:t xml:space="preserve"> </w:t>
      </w:r>
    </w:p>
    <w:p w:rsidR="000A4927" w:rsidRPr="003632D0" w:rsidRDefault="000A4927" w:rsidP="000A7585">
      <w:pPr>
        <w:pStyle w:val="Textpoznmkypodiarou"/>
        <w:rPr>
          <w:szCs w:val="18"/>
        </w:rPr>
      </w:pPr>
    </w:p>
  </w:footnote>
  <w:footnote w:id="55">
    <w:p w:rsidR="000A4927" w:rsidRPr="00BE4E77" w:rsidRDefault="000A4927" w:rsidP="000A7585">
      <w:pPr>
        <w:ind w:left="142" w:hanging="142"/>
        <w:rPr>
          <w:color w:val="000000" w:themeColor="text1"/>
          <w:sz w:val="18"/>
          <w:szCs w:val="18"/>
        </w:rPr>
      </w:pPr>
      <w:r w:rsidRPr="00B83D04">
        <w:rPr>
          <w:rStyle w:val="Odkaznapoznmkupodiarou"/>
          <w:sz w:val="18"/>
          <w:szCs w:val="18"/>
        </w:rPr>
        <w:footnoteRef/>
      </w:r>
      <w:hyperlink r:id="rId1" w:history="1">
        <w:r w:rsidRPr="00BE4E77">
          <w:rPr>
            <w:rStyle w:val="Hypertextovprepojenie"/>
            <w:color w:val="000000" w:themeColor="text1"/>
            <w:sz w:val="18"/>
            <w:szCs w:val="18"/>
          </w:rPr>
          <w:t>http://ec.europa.eu/eurostat/documents/3859598/5917481/KS-RA-11-014-EN.PDF/ee86d517-3348-4c20-94ee-a37c330755b1</w:t>
        </w:r>
      </w:hyperlink>
    </w:p>
    <w:p w:rsidR="000A4927" w:rsidRPr="00BE4E77" w:rsidRDefault="000A4927" w:rsidP="000A7585">
      <w:pPr>
        <w:rPr>
          <w:color w:val="000000" w:themeColor="text1"/>
          <w:sz w:val="4"/>
          <w:szCs w:val="4"/>
        </w:rPr>
      </w:pPr>
    </w:p>
  </w:footnote>
  <w:footnote w:id="56">
    <w:p w:rsidR="000A4927" w:rsidRPr="00BE4E77" w:rsidRDefault="000A4927" w:rsidP="000A7585">
      <w:pPr>
        <w:pStyle w:val="Textpoznmkypodiarou"/>
        <w:rPr>
          <w:color w:val="000000" w:themeColor="text1"/>
          <w:szCs w:val="18"/>
        </w:rPr>
      </w:pPr>
      <w:r w:rsidRPr="00BE4E77">
        <w:rPr>
          <w:rStyle w:val="Odkaznapoznmkupodiarou"/>
          <w:color w:val="000000" w:themeColor="text1"/>
          <w:szCs w:val="18"/>
        </w:rPr>
        <w:footnoteRef/>
      </w:r>
      <w:r w:rsidRPr="00BE4E77">
        <w:rPr>
          <w:color w:val="000000" w:themeColor="text1"/>
          <w:szCs w:val="18"/>
        </w:rPr>
        <w:t xml:space="preserve"> </w:t>
      </w:r>
      <w:hyperlink r:id="rId2" w:history="1">
        <w:r w:rsidRPr="00BE4E77">
          <w:rPr>
            <w:rStyle w:val="Hypertextovprepojenie"/>
            <w:color w:val="000000" w:themeColor="text1"/>
            <w:szCs w:val="18"/>
          </w:rPr>
          <w:t>http://eur-lex.europa.eu/LexUriServ/LexUriServ.do?uri=OJ:L:2007:113:0003:0008:SK:PDF</w:t>
        </w:r>
      </w:hyperlink>
    </w:p>
  </w:footnote>
  <w:footnote w:id="57">
    <w:p w:rsidR="000A4927" w:rsidRPr="00BE4E77" w:rsidRDefault="000A4927" w:rsidP="000A7585">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3" w:history="1">
        <w:r w:rsidRPr="00BE4E77">
          <w:rPr>
            <w:rStyle w:val="Hypertextovprepojenie"/>
            <w:color w:val="000000" w:themeColor="text1"/>
            <w:sz w:val="18"/>
            <w:szCs w:val="18"/>
          </w:rPr>
          <w:t>http://eur-lex.europa.eu/legal-content/SK/TXT/PDF/?uri=CELEX:32007R1322&amp;from=EN</w:t>
        </w:r>
      </w:hyperlink>
    </w:p>
  </w:footnote>
  <w:footnote w:id="58">
    <w:p w:rsidR="000A4927" w:rsidRPr="00BE4E77" w:rsidRDefault="000A4927" w:rsidP="000A7585">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4" w:history="1">
        <w:r w:rsidRPr="00BE4E77">
          <w:rPr>
            <w:rStyle w:val="Hypertextovprepojenie"/>
            <w:color w:val="000000" w:themeColor="text1"/>
            <w:sz w:val="18"/>
            <w:szCs w:val="18"/>
          </w:rPr>
          <w:t>http://eur-lex.europa.eu/legal-content/SK/TXT/PDF/?uri=CELEX:32008R0010&amp;from=EN</w:t>
        </w:r>
      </w:hyperlink>
    </w:p>
  </w:footnote>
  <w:footnote w:id="59">
    <w:p w:rsidR="000A4927" w:rsidRPr="00B83D04" w:rsidRDefault="000A4927" w:rsidP="000A7585">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5" w:history="1">
        <w:r w:rsidRPr="00BE4E77">
          <w:rPr>
            <w:rStyle w:val="Hypertextovprepojenie"/>
            <w:color w:val="000000" w:themeColor="text1"/>
            <w:szCs w:val="18"/>
          </w:rPr>
          <w:t>http://eur-lex.europa.eu/LexUriServ/LexUriServ.do?uri=OJ:L:2011:034:0029:0032:SK:PDF</w:t>
        </w:r>
      </w:hyperlink>
    </w:p>
  </w:footnote>
  <w:footnote w:id="60">
    <w:p w:rsidR="000A4927" w:rsidRPr="00BE4E77" w:rsidRDefault="000A4927" w:rsidP="000A7585">
      <w:pPr>
        <w:pStyle w:val="Textpoznmkypodiarou"/>
        <w:rPr>
          <w:color w:val="000000" w:themeColor="text1"/>
          <w:szCs w:val="18"/>
        </w:rPr>
      </w:pPr>
      <w:r w:rsidRPr="00B83D04">
        <w:rPr>
          <w:rStyle w:val="Odkaznapoznmkupodiarou"/>
          <w:szCs w:val="18"/>
        </w:rPr>
        <w:footnoteRef/>
      </w:r>
      <w:r w:rsidRPr="00B83D04">
        <w:rPr>
          <w:szCs w:val="18"/>
        </w:rPr>
        <w:t xml:space="preserve"> </w:t>
      </w:r>
      <w:hyperlink r:id="rId6" w:history="1">
        <w:r w:rsidRPr="00BE4E77">
          <w:rPr>
            <w:rStyle w:val="Hypertextovprepojenie"/>
            <w:color w:val="000000" w:themeColor="text1"/>
            <w:szCs w:val="18"/>
          </w:rPr>
          <w:t>http://eur-lex.europa.eu/LexUriServ/LexUriServ.do?uri=OJ:L:2011:071:0004:0008:SK:PDF</w:t>
        </w:r>
      </w:hyperlink>
    </w:p>
  </w:footnote>
  <w:footnote w:id="61">
    <w:p w:rsidR="000A4927" w:rsidRPr="00951300" w:rsidRDefault="000A4927">
      <w:pPr>
        <w:pStyle w:val="Textpoznmkypodiarou"/>
        <w:rPr>
          <w:szCs w:val="18"/>
        </w:rPr>
      </w:pPr>
      <w:r w:rsidRPr="00951300">
        <w:rPr>
          <w:rStyle w:val="Odkaznapoznmkupodiarou"/>
          <w:szCs w:val="18"/>
        </w:rPr>
        <w:footnoteRef/>
      </w:r>
      <w:r w:rsidRPr="00951300">
        <w:rPr>
          <w:szCs w:val="18"/>
        </w:rPr>
        <w:t xml:space="preserve"> </w:t>
      </w:r>
      <w:hyperlink r:id="rId7" w:history="1">
        <w:r w:rsidRPr="00951300">
          <w:rPr>
            <w:rStyle w:val="Hypertextovprepojenie"/>
            <w:color w:val="auto"/>
            <w:szCs w:val="18"/>
          </w:rPr>
          <w:t>https://slovak.statistics.sk/wps/portal/ext/themes/demography/social/publications/!ut/p/b1/jZDLDoIwEEW_xS_opZTXsq CUGoI8rCIbw8IYjIAL4_cLBDcmVGc3mXMyd4ZUpCRVV7-aa_1s-q6-j31lnzNHur5vcLiWA8ikUMChAGI6AKcBwEJxf PlJvoHc81TkW2aAWbOvAUY_LFLKPSaCdb4Lh3FA3SK2KWDMfiB4xJwYcGNhQfJI5V5mmuDmf_k1C374R1JNiC7B BOhepF_yAZZCCvsHMFyRRH17IY9WKVWikTe2egOmflqs/dl4/d5/L2dJQSEvUUt3QS80SmtFL1o2X1E3SThCQjFBMDg1NzAwSU5TVTAwVlMwME4w/</w:t>
        </w:r>
      </w:hyperlink>
    </w:p>
  </w:footnote>
  <w:footnote w:id="62">
    <w:p w:rsidR="000A4927" w:rsidRPr="002C58DB" w:rsidRDefault="000A4927" w:rsidP="000A7585">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8" w:history="1">
        <w:r w:rsidRPr="00BE4E77">
          <w:rPr>
            <w:rStyle w:val="Hypertextovprepojenie"/>
            <w:color w:val="000000" w:themeColor="text1"/>
            <w:szCs w:val="18"/>
          </w:rPr>
          <w:t>http://epp.eurostat.ec.europa.eu/cache/ITY_OFFPUB/KS-SF-09-102/EN/KS-SF-09-102-EN.PDF</w:t>
        </w:r>
      </w:hyperlink>
    </w:p>
  </w:footnote>
  <w:footnote w:id="63">
    <w:p w:rsidR="000A4927" w:rsidRPr="007E3B15" w:rsidRDefault="000A4927" w:rsidP="000A7585">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Vymaniť najmenej 20 miliónov ľudí z rizika chudoby a</w:t>
      </w:r>
      <w:r>
        <w:t>lebo</w:t>
      </w:r>
      <w:r w:rsidRPr="007E3B15">
        <w:rPr>
          <w:rStyle w:val="Odkaznapoznmkupodiarou"/>
          <w:vertAlign w:val="baseline"/>
        </w:rPr>
        <w:t> vylúčenia do roku 2020</w:t>
      </w:r>
    </w:p>
  </w:footnote>
  <w:footnote w:id="64">
    <w:p w:rsidR="000A4927" w:rsidRPr="007E3B15" w:rsidRDefault="000A4927" w:rsidP="000A7585">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Prvé štatistické zisťovanie sa na Slovensku zrealizovalo v roku 2005 a v súčasnosti sú prístupné výsledky už z</w:t>
      </w:r>
      <w:r>
        <w:t xml:space="preserve"> desiateho </w:t>
      </w:r>
      <w:r w:rsidRPr="007E3B15">
        <w:rPr>
          <w:rStyle w:val="Odkaznapoznmkupodiarou"/>
          <w:vertAlign w:val="baseline"/>
        </w:rPr>
        <w:t>zisťovania z roku 20</w:t>
      </w:r>
      <w:r>
        <w:t>14</w:t>
      </w:r>
    </w:p>
  </w:footnote>
  <w:footnote w:id="65">
    <w:p w:rsidR="000A4927" w:rsidRPr="007E3B15" w:rsidRDefault="000A4927" w:rsidP="000A7585">
      <w:pPr>
        <w:pStyle w:val="Textpoznmkypodiarou"/>
      </w:pPr>
      <w:r w:rsidRPr="003C749F">
        <w:rPr>
          <w:rStyle w:val="Odkaznapoznmkupodiarou"/>
        </w:rPr>
        <w:footnoteRef/>
      </w:r>
      <w:r w:rsidRPr="007E3B15">
        <w:rPr>
          <w:rStyle w:val="Odkaznapoznmkupodiarou"/>
          <w:vertAlign w:val="baseline"/>
        </w:rPr>
        <w:t xml:space="preserve"> Vyjadruje podiel ľudí žijúcich pod hranicou chudoby, t.</w:t>
      </w:r>
      <w:r>
        <w:t> </w:t>
      </w:r>
      <w:r w:rsidRPr="007E3B15">
        <w:rPr>
          <w:rStyle w:val="Odkaznapoznmkupodiarou"/>
          <w:vertAlign w:val="baseline"/>
        </w:rPr>
        <w:t>j. pod 60</w:t>
      </w:r>
      <w:r>
        <w:t> </w:t>
      </w:r>
      <w:r w:rsidRPr="007E3B15">
        <w:rPr>
          <w:rStyle w:val="Odkaznapoznmkupodiarou"/>
          <w:vertAlign w:val="baseline"/>
        </w:rPr>
        <w:t>% mediánu ekvivalentného dispo</w:t>
      </w:r>
      <w:r>
        <w:rPr>
          <w:rStyle w:val="Odkaznapoznmkupodiarou"/>
          <w:vertAlign w:val="baseline"/>
        </w:rPr>
        <w:t>nibilného (po sociálnych transfe</w:t>
      </w:r>
      <w:r w:rsidRPr="007E3B15">
        <w:rPr>
          <w:rStyle w:val="Odkaznapoznmkupodiarou"/>
          <w:vertAlign w:val="baseline"/>
        </w:rPr>
        <w:t xml:space="preserve">roch) príjmu všetkých obyvateľov </w:t>
      </w:r>
    </w:p>
  </w:footnote>
  <w:footnote w:id="66">
    <w:p w:rsidR="000A4927" w:rsidRPr="007E3B15" w:rsidRDefault="000A4927" w:rsidP="000A7585">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Vyjadruje podiel ľudí, ktorí si nemôžu </w:t>
      </w:r>
      <w:proofErr w:type="spellStart"/>
      <w:r w:rsidRPr="007E3B15">
        <w:rPr>
          <w:rStyle w:val="Odkaznapoznmkupodiarou"/>
          <w:vertAlign w:val="baseline"/>
        </w:rPr>
        <w:t>dovololiť</w:t>
      </w:r>
      <w:proofErr w:type="spellEnd"/>
      <w:r w:rsidRPr="007E3B15">
        <w:rPr>
          <w:rStyle w:val="Odkaznapoznmkupodiarou"/>
          <w:vertAlign w:val="baseline"/>
        </w:rPr>
        <w:t xml:space="preserve"> 4 z 9-tich položiek charakterizujúc</w:t>
      </w:r>
      <w:r>
        <w:t>ich</w:t>
      </w:r>
      <w:r w:rsidRPr="007E3B15">
        <w:rPr>
          <w:rStyle w:val="Odkaznapoznmkupodiarou"/>
          <w:vertAlign w:val="baseline"/>
        </w:rPr>
        <w:t xml:space="preserve"> ekonomickú záťaž a predmety dlhodobej spotreby, a to: nedoplatky v súvislosti s</w:t>
      </w:r>
      <w:r>
        <w:rPr>
          <w:rStyle w:val="Odkaznapoznmkupodiarou"/>
          <w:vertAlign w:val="baseline"/>
        </w:rPr>
        <w:t> </w:t>
      </w:r>
      <w:r w:rsidRPr="007E3B15">
        <w:rPr>
          <w:rStyle w:val="Odkaznapoznmkupodiarou"/>
          <w:vertAlign w:val="baseline"/>
        </w:rPr>
        <w:t>položkami</w:t>
      </w:r>
      <w:r>
        <w:t>:</w:t>
      </w:r>
      <w:r w:rsidRPr="007E3B15">
        <w:rPr>
          <w:rStyle w:val="Odkaznapoznmkupodiarou"/>
          <w:vertAlign w:val="baseline"/>
        </w:rPr>
        <w:t xml:space="preserve"> nájomné a hypotéka, energie, kúpa na splátky a iné </w:t>
      </w:r>
      <w:proofErr w:type="spellStart"/>
      <w:r w:rsidRPr="007E3B15">
        <w:rPr>
          <w:rStyle w:val="Odkaznapoznmkupodiarou"/>
          <w:vertAlign w:val="baseline"/>
        </w:rPr>
        <w:t>pôžicky</w:t>
      </w:r>
      <w:proofErr w:type="spellEnd"/>
      <w:r w:rsidRPr="007E3B15">
        <w:rPr>
          <w:rStyle w:val="Odkaznapoznmkupodiarou"/>
          <w:vertAlign w:val="baseline"/>
        </w:rPr>
        <w:t xml:space="preserve">, schopnosť udržiavať doma adekvátne teplo, schopnosť domácnosti čeliť neočakávaným výdavkom, schopnosť dovoliť si zaplatenie raz ročne jedného </w:t>
      </w:r>
      <w:proofErr w:type="spellStart"/>
      <w:r w:rsidRPr="007E3B15">
        <w:rPr>
          <w:rStyle w:val="Odkaznapoznmkupodiarou"/>
          <w:vertAlign w:val="baseline"/>
        </w:rPr>
        <w:t>týždna</w:t>
      </w:r>
      <w:proofErr w:type="spellEnd"/>
      <w:r w:rsidRPr="007E3B15">
        <w:rPr>
          <w:rStyle w:val="Odkaznapoznmkupodiarou"/>
          <w:vertAlign w:val="baseline"/>
        </w:rPr>
        <w:t xml:space="preserve"> dovolenky mimo domu, schopnosť dovoliť si jedlo s mäsom, kuraťom, rybou alebo vegetariánskym ekvivalentom každý druhý deň alebo vybavenie domácnosti farebným televízorom, práčkou, autom alebo telefónom</w:t>
      </w:r>
    </w:p>
  </w:footnote>
  <w:footnote w:id="67">
    <w:p w:rsidR="000A4927" w:rsidRPr="007E3B15" w:rsidRDefault="000A4927" w:rsidP="000A7585">
      <w:pPr>
        <w:pStyle w:val="Textpoznmkypodiarou"/>
      </w:pPr>
      <w:r w:rsidRPr="003C749F">
        <w:rPr>
          <w:rStyle w:val="Odkaznapoznmkupodiarou"/>
        </w:rPr>
        <w:footnoteRef/>
      </w:r>
      <w:r w:rsidRPr="007E3B15">
        <w:rPr>
          <w:rStyle w:val="Odkaznapoznmkupodiarou"/>
          <w:vertAlign w:val="baseline"/>
        </w:rPr>
        <w:t xml:space="preserve"> Vyjadruje podiel ľudí vo veku 0-59 rokov žijúcich v domácnostiach, kde dospelí pracujú menej ako 20</w:t>
      </w:r>
      <w:r>
        <w:t> </w:t>
      </w:r>
      <w:r w:rsidRPr="007E3B15">
        <w:rPr>
          <w:rStyle w:val="Odkaznapoznmkupodiarou"/>
          <w:vertAlign w:val="baseline"/>
        </w:rPr>
        <w:t xml:space="preserve">% z celkového času počas predchádzajúceho roka </w:t>
      </w:r>
    </w:p>
  </w:footnote>
  <w:footnote w:id="68">
    <w:p w:rsidR="000A4927" w:rsidRPr="007E3B15" w:rsidRDefault="000A4927" w:rsidP="000A7585">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Hranica </w:t>
      </w:r>
      <w:r>
        <w:t xml:space="preserve">rizika </w:t>
      </w:r>
      <w:r w:rsidRPr="007E3B15">
        <w:rPr>
          <w:rStyle w:val="Odkaznapoznmkupodiarou"/>
          <w:vertAlign w:val="baseline"/>
        </w:rPr>
        <w:t>chudob</w:t>
      </w:r>
      <w:r>
        <w:rPr>
          <w:rStyle w:val="Odkaznapoznmkupodiarou"/>
          <w:vertAlign w:val="baseline"/>
        </w:rPr>
        <w:t>y je vyjadrená ako 60</w:t>
      </w:r>
      <w:r>
        <w:t> </w:t>
      </w:r>
      <w:r>
        <w:rPr>
          <w:rStyle w:val="Odkaznapoznmkupodiarou"/>
          <w:vertAlign w:val="baseline"/>
        </w:rPr>
        <w:t xml:space="preserve">% mediánu </w:t>
      </w:r>
      <w:r w:rsidRPr="007E3B15">
        <w:rPr>
          <w:rStyle w:val="Odkaznapoznmkupodiarou"/>
          <w:vertAlign w:val="baseline"/>
        </w:rPr>
        <w:t>ekvivalentného disponibilného príjmu (po sociálnych transf</w:t>
      </w:r>
      <w:r>
        <w:t>e</w:t>
      </w:r>
      <w:r w:rsidRPr="007E3B15">
        <w:rPr>
          <w:rStyle w:val="Odkaznapoznmkupodiarou"/>
          <w:vertAlign w:val="baseline"/>
        </w:rPr>
        <w:t>roch)</w:t>
      </w:r>
    </w:p>
  </w:footnote>
  <w:footnote w:id="69">
    <w:p w:rsidR="000A4927" w:rsidRDefault="000A4927" w:rsidP="000A7585">
      <w:pPr>
        <w:pStyle w:val="Textpoznmkypodiarou"/>
      </w:pPr>
      <w:r>
        <w:rPr>
          <w:rStyle w:val="Odkaznapoznmkupodiarou"/>
        </w:rPr>
        <w:footnoteRef/>
      </w:r>
      <w:r>
        <w:t xml:space="preserve"> Miera rizika chudoby zakotvená v čase je definovaná ako percento ľudí žijúcich pod hranicou chudoby vypočítanou v roku 2008, ktorá sa upravuje o infláciu. </w:t>
      </w:r>
    </w:p>
  </w:footnote>
  <w:footnote w:id="70">
    <w:p w:rsidR="000A4927" w:rsidRDefault="000A4927">
      <w:pPr>
        <w:pStyle w:val="Textpoznmkypodiarou"/>
      </w:pPr>
      <w:r>
        <w:rPr>
          <w:rStyle w:val="Odkaznapoznmkupodiarou"/>
        </w:rPr>
        <w:footnoteRef/>
      </w:r>
      <w:r>
        <w:t xml:space="preserve"> </w:t>
      </w:r>
      <w:r w:rsidRPr="00A410F2">
        <w:rPr>
          <w:szCs w:val="22"/>
        </w:rPr>
        <w:t>Na rozdiel od predchádzajúcich správ sa v tejto využíva miera rizika chudoby zakotvená v čase (2008) a nie (2005).</w:t>
      </w:r>
    </w:p>
  </w:footnote>
  <w:footnote w:id="71">
    <w:p w:rsidR="000A4927" w:rsidRPr="00C34E43" w:rsidRDefault="000A4927" w:rsidP="000A7585">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.j. súčet mesiacov, počas ktorých členovia domácnosti v ekonomicky aktívnom veku pracovali a vyjadruje sa ako podiel k celkovému súčtu všetkých mesiacov, počas ktorých mohli členovia domácnosti v ekonomicky aktívnom veku pracovať teoreticky</w:t>
      </w:r>
    </w:p>
  </w:footnote>
  <w:footnote w:id="72">
    <w:p w:rsidR="000A4927" w:rsidRDefault="000A4927" w:rsidP="000A7585">
      <w:pPr>
        <w:pStyle w:val="Textpoznmkypodiarou"/>
      </w:pPr>
      <w:r>
        <w:rPr>
          <w:rStyle w:val="Odkaznapoznmkupodiarou"/>
        </w:rPr>
        <w:footnoteRef/>
      </w:r>
      <w:r>
        <w:t xml:space="preserve"> Miera preplnených obydlí vyjadruje podiel osôb v populácií, ktoré žijú v domácnostiach s nedostatkom priestoru podľa niektorých z nasledujúcich kritérií: a) jedna izba pre domácnosť, b) izba pre pár v domácnosti, c) izba pre každú osobu vo veku 18 a viac rokov, d) izba pre pár osôb rovnakého pohlavia vo veku 12-17 rokov, e) izba pre osobu vo veku </w:t>
      </w:r>
      <w:r>
        <w:br/>
        <w:t>12-17 rokov nezahrnutú v predošlej kategórii, f) izba pre pár detí vo veku do 12 rokov.</w:t>
      </w:r>
    </w:p>
  </w:footnote>
  <w:footnote w:id="73">
    <w:p w:rsidR="000A4927" w:rsidRPr="007F643E" w:rsidRDefault="000A4927" w:rsidP="0047502D">
      <w:pPr>
        <w:pStyle w:val="Textpoznmkypodiarou"/>
      </w:pPr>
      <w:r w:rsidRPr="007F643E">
        <w:rPr>
          <w:rStyle w:val="Odkaznapoznmkupodiarou"/>
        </w:rPr>
        <w:footnoteRef/>
      </w:r>
      <w:r w:rsidRPr="007F643E">
        <w:t xml:space="preserve"> </w:t>
      </w:r>
      <w:hyperlink r:id="rId9" w:history="1">
        <w:r w:rsidRPr="007F643E">
          <w:rPr>
            <w:rStyle w:val="Hypertextovprepojenie"/>
            <w:color w:val="auto"/>
            <w:u w:val="none"/>
          </w:rPr>
          <w:t>http://ec.europa.eu/economy_finance/publications/eeip/pdf/ip025_en.pdf</w:t>
        </w:r>
      </w:hyperlink>
    </w:p>
  </w:footnote>
  <w:footnote w:id="74">
    <w:p w:rsidR="000A4927" w:rsidRDefault="000A4927">
      <w:pPr>
        <w:pStyle w:val="Textpoznmkypodiarou"/>
      </w:pPr>
      <w:r>
        <w:rPr>
          <w:rStyle w:val="Odkaznapoznmkupodiarou"/>
        </w:rPr>
        <w:footnoteRef/>
      </w:r>
      <w:r>
        <w:t xml:space="preserve"> PPS (</w:t>
      </w:r>
      <w:proofErr w:type="spellStart"/>
      <w:r>
        <w:t>Purchasing</w:t>
      </w:r>
      <w:proofErr w:type="spellEnd"/>
      <w:r>
        <w:t xml:space="preserve"> </w:t>
      </w:r>
      <w:proofErr w:type="spellStart"/>
      <w:r>
        <w:t>Power</w:t>
      </w:r>
      <w:proofErr w:type="spellEnd"/>
      <w:r>
        <w:t xml:space="preserve"> </w:t>
      </w:r>
      <w:proofErr w:type="spellStart"/>
      <w:r>
        <w:t>Standards</w:t>
      </w:r>
      <w:proofErr w:type="spellEnd"/>
      <w:r>
        <w:t>, parita (štandard) kúpnej sily) je umelý výmenný kurz peňažných mien jednotlivých krajín, zohľadňujúci cenové hladiny nakupovaných tovarov a služieb v týchto krajinách. Je možné ho chápať aj ako cenový index porovnávajúci ceny tovarov a služieb v daných krajinách. Slúži na reálnejšie vyjadrenie rôznych ekonomických súvislostí, než aké poskytujú oficiálne výmenné kurzy peňažných mien daných krajín.</w:t>
      </w:r>
    </w:p>
  </w:footnote>
  <w:footnote w:id="75">
    <w:p w:rsidR="000A4927" w:rsidRDefault="000A4927" w:rsidP="000A15D1">
      <w:pPr>
        <w:pStyle w:val="Textpoznmkypodiarou"/>
      </w:pPr>
      <w:r>
        <w:rPr>
          <w:rStyle w:val="Odkaznapoznmkupodiarou"/>
        </w:rPr>
        <w:footnoteRef/>
      </w:r>
      <w:r>
        <w:t xml:space="preserve"> Indikátor sa vzťahuje k jednotlivcovi bez detí so mzdou na úrovni 67 % priemernej mzdy</w:t>
      </w:r>
    </w:p>
  </w:footnote>
  <w:footnote w:id="76">
    <w:p w:rsidR="000A4927" w:rsidRDefault="000A4927" w:rsidP="000A15D1">
      <w:pPr>
        <w:pStyle w:val="Textpoznmkypodiarou"/>
      </w:pPr>
      <w:r>
        <w:rPr>
          <w:rStyle w:val="Odkaznapoznmkupodiarou"/>
        </w:rPr>
        <w:footnoteRef/>
      </w:r>
      <w:r>
        <w:t xml:space="preserve"> Pasca nezamestnanosti sa v</w:t>
      </w:r>
      <w:r w:rsidRPr="00256B25">
        <w:t>zťahuje k situácii, keď čisté pracovné zárobky sú relatívne nízke vo vzťahu k dávkam poskytovaným v nezamestnanosti</w:t>
      </w:r>
      <w:r>
        <w:t>. Obrátene ide o % zvýšenia disponibilného príjmu, keď sa zamestnanec vráti do zamest</w:t>
      </w:r>
      <w:r>
        <w:softHyphen/>
        <w:t>nania po období nezamestnanosti a dostane mzdu na úrovni 67 % priemernej mzdy. Indikátor sa vzťahuje k jednotlivcovi bez detí.</w:t>
      </w:r>
    </w:p>
  </w:footnote>
  <w:footnote w:id="77">
    <w:p w:rsidR="000A4927" w:rsidRDefault="000A4927" w:rsidP="000E2603">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w:t>
      </w:r>
      <w:r>
        <w:t>3 %</w:t>
      </w:r>
      <w:r w:rsidRPr="000D0A0D">
        <w:t xml:space="preserve"> na 6</w:t>
      </w:r>
      <w:r>
        <w:t>7 %</w:t>
      </w:r>
      <w:r w:rsidRPr="000D0A0D">
        <w:t xml:space="preserve"> priemernej mzdy</w:t>
      </w:r>
      <w:r>
        <w:t>. Obrátene hovorí o % zvýšenia čistého príjmu, ak vzrastie hrubý príjem.</w:t>
      </w:r>
    </w:p>
  </w:footnote>
  <w:footnote w:id="78">
    <w:p w:rsidR="000A4927" w:rsidRDefault="000A4927" w:rsidP="000E2603">
      <w:pPr>
        <w:pStyle w:val="Textpoznmkypodiarou"/>
        <w:rPr>
          <w:szCs w:val="18"/>
        </w:rPr>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79">
    <w:p w:rsidR="000A4927" w:rsidRDefault="000A4927" w:rsidP="000E2603">
      <w:pPr>
        <w:pStyle w:val="Textpoznmkypodiarou"/>
        <w:rPr>
          <w:szCs w:val="18"/>
        </w:rPr>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80">
    <w:p w:rsidR="000A4927" w:rsidRDefault="000A4927" w:rsidP="000E2603">
      <w:pPr>
        <w:pStyle w:val="Textpoznmkypodiarou"/>
        <w:rPr>
          <w:szCs w:val="18"/>
        </w:rPr>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w:t>
      </w:r>
      <w:proofErr w:type="spellStart"/>
      <w:r>
        <w:rPr>
          <w:szCs w:val="18"/>
        </w:rPr>
        <w:t>deprivovaní</w:t>
      </w:r>
      <w:proofErr w:type="spellEnd"/>
      <w:r>
        <w:rPr>
          <w:szCs w:val="18"/>
        </w:rPr>
        <w:t xml:space="preserve">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 w:id="81">
    <w:p w:rsidR="000A4927" w:rsidRPr="00EA5E70" w:rsidRDefault="000A4927" w:rsidP="00156DD4">
      <w:pPr>
        <w:pStyle w:val="Textpoznmkypodiarou"/>
      </w:pPr>
      <w:r>
        <w:rPr>
          <w:rStyle w:val="Odkaznapoznmkupodiarou"/>
        </w:rPr>
        <w:footnoteRef/>
      </w:r>
      <w:r>
        <w:t xml:space="preserve"> </w:t>
      </w:r>
      <w:r w:rsidRPr="00EA5E70">
        <w:t>Cudzie platby v roku 2015 predst</w:t>
      </w:r>
      <w:r>
        <w:t>a</w:t>
      </w:r>
      <w:r w:rsidRPr="00EA5E70">
        <w:t>vujú vrátené nemocenské dávky, ktoré boli vyplatené nesprávnym poistencom pobočkou</w:t>
      </w:r>
      <w:r>
        <w:t xml:space="preserve"> Sociálnej poisťovne</w:t>
      </w:r>
      <w:r w:rsidRPr="00EA5E70">
        <w:t xml:space="preserve"> v Spišskej Novej Vsi</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F05BBF">
    <w:pPr>
      <w:pStyle w:val="Hlavika"/>
      <w:jc w:val="left"/>
      <w:rPr>
        <w:i/>
      </w:rPr>
    </w:pPr>
    <w:r w:rsidRPr="004C34A9">
      <w:rPr>
        <w:i/>
      </w:rPr>
      <w:t>Správa o sociálnej situácii obyvateľstva SR za rok 201</w:t>
    </w:r>
    <w:r>
      <w:rPr>
        <w:i/>
      </w:rPr>
      <w:t>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p w:rsidR="000A4927" w:rsidRPr="00DF1615" w:rsidRDefault="000A4927" w:rsidP="00671272">
    <w:pPr>
      <w:pStyle w:val="Hlavika"/>
      <w:jc w:val="right"/>
      <w:rPr>
        <w:i/>
      </w:rPr>
    </w:pPr>
    <w:r>
      <w:rPr>
        <w:i/>
      </w:rPr>
      <w:t>Kapitola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5B3458" w:rsidRDefault="000A4927" w:rsidP="005B3458">
    <w:pPr>
      <w:pStyle w:val="Hlavik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p w:rsidR="000A4927" w:rsidRPr="00DF1615" w:rsidRDefault="000A4927" w:rsidP="00671272">
    <w:pPr>
      <w:pStyle w:val="Hlavika"/>
      <w:jc w:val="right"/>
      <w:rPr>
        <w:i/>
      </w:rPr>
    </w:pPr>
    <w:r>
      <w:rPr>
        <w:i/>
      </w:rPr>
      <w:t>Kapitola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D3D43">
    <w:pPr>
      <w:pStyle w:val="Hlavika"/>
      <w:jc w:val="left"/>
      <w:rPr>
        <w:i/>
      </w:rPr>
    </w:pPr>
    <w:r w:rsidRPr="004C34A9">
      <w:rPr>
        <w:i/>
      </w:rPr>
      <w:t>Správa o sociálnej situácii obyvateľstva SR za rok 201</w:t>
    </w:r>
    <w:r>
      <w:rPr>
        <w:i/>
      </w:rPr>
      <w:t>5</w:t>
    </w:r>
  </w:p>
  <w:p w:rsidR="000A4927" w:rsidRPr="005B3458" w:rsidRDefault="000A4927" w:rsidP="00175240">
    <w:pPr>
      <w:pStyle w:val="Hlavika"/>
      <w:jc w:val="left"/>
    </w:pPr>
    <w:r>
      <w:rPr>
        <w:i/>
      </w:rPr>
      <w:t>Kapitola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4C34A9" w:rsidRDefault="000A4927" w:rsidP="004C34A9">
    <w:pPr>
      <w:pStyle w:val="Hlavika"/>
      <w:jc w:val="left"/>
      <w:rPr>
        <w:i/>
      </w:rPr>
    </w:pPr>
    <w:r w:rsidRPr="004C34A9">
      <w:rPr>
        <w:i/>
      </w:rPr>
      <w:t>Správa o sociálnej situ</w:t>
    </w:r>
    <w:r>
      <w:rPr>
        <w:i/>
      </w:rPr>
      <w:t>ácii obyvateľstva SR za rok 2015</w:t>
    </w:r>
  </w:p>
  <w:p w:rsidR="000A4927" w:rsidRPr="004C34A9" w:rsidRDefault="000A4927" w:rsidP="004C34A9">
    <w:pPr>
      <w:pStyle w:val="Hlavika"/>
      <w:jc w:val="left"/>
      <w:rPr>
        <w:i/>
      </w:rPr>
    </w:pPr>
    <w:r>
      <w:rPr>
        <w:i/>
      </w:rPr>
      <w:t>Kapitola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p w:rsidR="000A4927" w:rsidRPr="00DF1615" w:rsidRDefault="000A4927" w:rsidP="00671272">
    <w:pPr>
      <w:pStyle w:val="Hlavika"/>
      <w:jc w:val="right"/>
      <w:rPr>
        <w:i/>
      </w:rPr>
    </w:pPr>
    <w:r>
      <w:rPr>
        <w:i/>
      </w:rPr>
      <w:t>Kapitola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4C34A9" w:rsidRDefault="000A4927" w:rsidP="004C34A9">
    <w:pPr>
      <w:pStyle w:val="Hlavika"/>
      <w:jc w:val="left"/>
      <w:rPr>
        <w:i/>
      </w:rPr>
    </w:pPr>
    <w:r w:rsidRPr="004C34A9">
      <w:rPr>
        <w:i/>
      </w:rPr>
      <w:t>Správa o sociálnej situ</w:t>
    </w:r>
    <w:r>
      <w:rPr>
        <w:i/>
      </w:rPr>
      <w:t>ácii obyvateľstva SR za rok 2015</w:t>
    </w:r>
  </w:p>
  <w:p w:rsidR="000A4927" w:rsidRPr="004C34A9" w:rsidRDefault="000A4927" w:rsidP="004C34A9">
    <w:pPr>
      <w:pStyle w:val="Hlavika"/>
      <w:jc w:val="left"/>
      <w:rPr>
        <w:i/>
      </w:rPr>
    </w:pPr>
    <w:r>
      <w:rPr>
        <w:i/>
      </w:rPr>
      <w:t>Kapitola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p w:rsidR="000A4927" w:rsidRPr="00DF1615" w:rsidRDefault="000A4927" w:rsidP="00671272">
    <w:pPr>
      <w:pStyle w:val="Hlavika"/>
      <w:jc w:val="right"/>
      <w:rPr>
        <w:i/>
      </w:rPr>
    </w:pPr>
    <w:r>
      <w:rPr>
        <w:i/>
      </w:rPr>
      <w:t>Kapitola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E0328F" w:rsidRDefault="000A4927" w:rsidP="00E0328F">
    <w:pPr>
      <w:pStyle w:val="Hlavik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EF12BE">
    <w:pPr>
      <w:pStyle w:val="Hlavika"/>
      <w:jc w:val="right"/>
      <w:rPr>
        <w:i/>
      </w:rPr>
    </w:pPr>
    <w:r w:rsidRPr="00AD0A11">
      <w:rPr>
        <w:i/>
      </w:rPr>
      <w:t>Správa o sociálnej situácii obyvateľstva SR za rok 201</w:t>
    </w:r>
    <w:r>
      <w:rPr>
        <w:i/>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pPr>
    <w:r w:rsidRPr="004C34A9">
      <w:rPr>
        <w:i/>
      </w:rPr>
      <w:t>Správa o sociálnej situácii obyvateľstva SR za rok 201</w:t>
    </w:r>
    <w:r>
      <w:rPr>
        <w:i/>
      </w:rPr>
      <w:t>5</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175240">
    <w:pPr>
      <w:pStyle w:val="Hlavika"/>
      <w:jc w:val="left"/>
      <w:rPr>
        <w:i/>
      </w:rPr>
    </w:pPr>
    <w:r w:rsidRPr="004C34A9">
      <w:rPr>
        <w:i/>
      </w:rPr>
      <w:t>Správa o sociálnej situ</w:t>
    </w:r>
    <w:r>
      <w:rPr>
        <w:i/>
      </w:rPr>
      <w:t>ácii obyvateľstva SR za rok 2015</w:t>
    </w:r>
  </w:p>
  <w:p w:rsidR="000A4927" w:rsidRPr="007E71DD" w:rsidRDefault="000A4927" w:rsidP="00F05BBF">
    <w:pPr>
      <w:pStyle w:val="Hlavika"/>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F05BBF" w:rsidRDefault="000A4927" w:rsidP="00F05BBF">
    <w:pPr>
      <w:pStyle w:val="Hlavik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jc w:val="left"/>
      <w:rPr>
        <w:i/>
      </w:rPr>
    </w:pPr>
    <w:r w:rsidRPr="00AD0A11">
      <w:rPr>
        <w:i/>
      </w:rPr>
      <w:t>Správa o sociálnej situácii obyvateľstva SR za rok 201</w:t>
    </w:r>
    <w:r>
      <w:rPr>
        <w:i/>
      </w:rPr>
      <w:t>2</w:t>
    </w:r>
  </w:p>
  <w:p w:rsidR="000A4927" w:rsidRDefault="000A4927" w:rsidP="0084617B">
    <w:pPr>
      <w:pStyle w:val="Hlavika"/>
      <w:jc w:val="left"/>
    </w:pPr>
    <w:r w:rsidRPr="00AD0A11">
      <w:rPr>
        <w:i/>
      </w:rPr>
      <w:t>Príloha ku kapitole 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0E7856">
    <w:pPr>
      <w:pStyle w:val="Hlavika"/>
      <w:jc w:val="right"/>
      <w:rPr>
        <w:i/>
      </w:rPr>
    </w:pPr>
    <w:r w:rsidRPr="00AD0A11">
      <w:rPr>
        <w:i/>
      </w:rPr>
      <w:t>Správa o sociálnej situácii obyvateľstva SR za rok 201</w:t>
    </w:r>
    <w:r>
      <w:rPr>
        <w:i/>
      </w:rPr>
      <w:t>5</w:t>
    </w:r>
  </w:p>
  <w:p w:rsidR="000A4927" w:rsidRPr="00AD0A11" w:rsidRDefault="000A4927" w:rsidP="000E7856">
    <w:pPr>
      <w:pStyle w:val="Hlavika"/>
      <w:jc w:val="right"/>
      <w:rPr>
        <w:i/>
      </w:rPr>
    </w:pPr>
    <w:r w:rsidRPr="00AD0A11">
      <w:rPr>
        <w:i/>
      </w:rPr>
      <w:t xml:space="preserve">Príloha ku kapitole </w:t>
    </w:r>
    <w:r>
      <w:rPr>
        <w:i/>
      </w:rPr>
      <w:t>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6214B9">
    <w:pPr>
      <w:pStyle w:val="Hlavika"/>
      <w:jc w:val="left"/>
      <w:rPr>
        <w:i/>
      </w:rPr>
    </w:pPr>
    <w:r w:rsidRPr="00AD0A11">
      <w:rPr>
        <w:i/>
      </w:rPr>
      <w:t>Správa o sociálnej situácii obyvateľstva SR za rok 201</w:t>
    </w:r>
    <w:r>
      <w:rPr>
        <w:i/>
      </w:rPr>
      <w:t>5</w:t>
    </w:r>
  </w:p>
  <w:p w:rsidR="000A4927" w:rsidRPr="007E71DD" w:rsidRDefault="000A4927" w:rsidP="006214B9">
    <w:pPr>
      <w:pStyle w:val="Hlavika"/>
      <w:jc w:val="left"/>
    </w:pPr>
    <w:r w:rsidRPr="00AD0A11">
      <w:rPr>
        <w:i/>
      </w:rPr>
      <w:t xml:space="preserve">Príloha ku kapitole </w:t>
    </w:r>
    <w:r>
      <w:rPr>
        <w:i/>
      </w:rPr>
      <w:t>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E0328F" w:rsidRDefault="000A4927" w:rsidP="00E0328F">
    <w:pPr>
      <w:pStyle w:val="Hlavik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6214B9" w:rsidRDefault="000A4927" w:rsidP="006214B9">
    <w:pPr>
      <w:pStyle w:val="Hlavika"/>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4617B">
    <w:pPr>
      <w:pStyle w:val="Hlavika"/>
      <w:rPr>
        <w:i/>
      </w:rPr>
    </w:pPr>
    <w:r>
      <w:rPr>
        <w:i/>
      </w:rPr>
      <w:t>Správa o sociálnej situácii obyvateľstva SR za rok 2015</w:t>
    </w:r>
  </w:p>
  <w:p w:rsidR="000A4927" w:rsidRPr="00386EB5" w:rsidRDefault="000A4927" w:rsidP="0084617B">
    <w:pPr>
      <w:pStyle w:val="Hlavika"/>
      <w:rPr>
        <w:i/>
      </w:rPr>
    </w:pPr>
    <w:r w:rsidRPr="00386EB5">
      <w:rPr>
        <w:i/>
      </w:rPr>
      <w:t>Príloh</w:t>
    </w:r>
    <w:r>
      <w:rPr>
        <w:i/>
      </w:rPr>
      <w:t>a</w:t>
    </w:r>
    <w:r w:rsidRPr="00386EB5">
      <w:rPr>
        <w:i/>
      </w:rPr>
      <w:t xml:space="preserve"> ku kapitole 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4617B">
    <w:pPr>
      <w:pStyle w:val="Hlavika"/>
      <w:jc w:val="right"/>
      <w:rPr>
        <w:i/>
      </w:rPr>
    </w:pPr>
    <w:r>
      <w:rPr>
        <w:i/>
      </w:rPr>
      <w:t>Správa o sociálnej situácii obyvateľstva SR za rok 2015</w:t>
    </w:r>
  </w:p>
  <w:p w:rsidR="000A4927" w:rsidRPr="00386EB5" w:rsidRDefault="000A4927" w:rsidP="0084617B">
    <w:pPr>
      <w:pStyle w:val="Hlavika"/>
      <w:jc w:val="right"/>
      <w:rPr>
        <w:i/>
      </w:rPr>
    </w:pPr>
    <w:r w:rsidRPr="00386EB5">
      <w:rPr>
        <w:i/>
      </w:rPr>
      <w:t>Príloh</w:t>
    </w:r>
    <w:r>
      <w:rPr>
        <w:i/>
      </w:rPr>
      <w:t>a</w:t>
    </w:r>
    <w:r w:rsidRPr="00386EB5">
      <w:rPr>
        <w:i/>
      </w:rPr>
      <w:t xml:space="preserve"> ku kapitole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4</w:t>
    </w:r>
  </w:p>
  <w:p w:rsidR="000A4927" w:rsidRDefault="000A4927" w:rsidP="00671272">
    <w:pPr>
      <w:pStyle w:val="Hlavika"/>
      <w:jc w:val="right"/>
      <w:rPr>
        <w:i/>
      </w:rPr>
    </w:pPr>
    <w:r>
      <w:rPr>
        <w:i/>
      </w:rPr>
      <w:t>Kapitola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E0328F" w:rsidRDefault="000A4927" w:rsidP="00E0328F">
    <w:pPr>
      <w:pStyle w:val="Hlavik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rPr>
        <w:i/>
      </w:rPr>
    </w:pPr>
    <w:r w:rsidRPr="00AD0A11">
      <w:rPr>
        <w:i/>
      </w:rPr>
      <w:t>Správa o sociálnej situácii obyvateľstva SR za rok 201</w:t>
    </w:r>
    <w:r>
      <w:rPr>
        <w:i/>
      </w:rPr>
      <w:t>2</w:t>
    </w:r>
  </w:p>
  <w:p w:rsidR="000A4927" w:rsidRDefault="000A4927" w:rsidP="0084617B">
    <w:pPr>
      <w:pStyle w:val="Hlavika"/>
    </w:pPr>
    <w:r w:rsidRPr="00AD0A11">
      <w:rPr>
        <w:i/>
      </w:rPr>
      <w:t>Príloha ku kapitole 1</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C51170" w:rsidRDefault="000A4927" w:rsidP="00C51170">
    <w:pPr>
      <w:pStyle w:val="Hlavika"/>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rPr>
        <w:i/>
      </w:rPr>
    </w:pPr>
    <w:r w:rsidRPr="00AD0A11">
      <w:rPr>
        <w:i/>
      </w:rPr>
      <w:t>Správa o sociálnej situácii obyvateľstva SR za rok 201</w:t>
    </w:r>
    <w:r>
      <w:rPr>
        <w:i/>
      </w:rPr>
      <w:t>5</w:t>
    </w:r>
  </w:p>
  <w:p w:rsidR="000A4927" w:rsidRDefault="000A4927" w:rsidP="0084617B">
    <w:pPr>
      <w:pStyle w:val="Hlavika"/>
    </w:pPr>
    <w:r w:rsidRPr="00AD0A11">
      <w:rPr>
        <w:i/>
      </w:rPr>
      <w:t xml:space="preserve">Príloha ku kapitole </w:t>
    </w:r>
    <w:r>
      <w:rPr>
        <w:i/>
      </w:rPr>
      <w:t>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643E42" w:rsidRDefault="000A4927" w:rsidP="0084617B">
    <w:pPr>
      <w:pStyle w:val="Hlavika"/>
      <w:jc w:val="right"/>
      <w:rPr>
        <w:i/>
      </w:rPr>
    </w:pPr>
    <w:r w:rsidRPr="00643E42">
      <w:rPr>
        <w:i/>
      </w:rPr>
      <w:t>Správa o sociálnej situ</w:t>
    </w:r>
    <w:r>
      <w:rPr>
        <w:i/>
      </w:rPr>
      <w:t>ácii obyvateľstva SR za rok 2015</w:t>
    </w:r>
  </w:p>
  <w:p w:rsidR="000A4927" w:rsidRPr="00643E42" w:rsidRDefault="000A4927" w:rsidP="0084617B">
    <w:pPr>
      <w:pStyle w:val="Hlavika"/>
      <w:jc w:val="right"/>
    </w:pPr>
    <w:r w:rsidRPr="00643E42">
      <w:rPr>
        <w:i/>
      </w:rPr>
      <w:t>Príloha ku kapitole 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643E42" w:rsidRDefault="000A4927" w:rsidP="00EF12BE">
    <w:pPr>
      <w:pStyle w:val="Hlavika"/>
      <w:jc w:val="left"/>
      <w:rPr>
        <w:i/>
      </w:rPr>
    </w:pPr>
    <w:r w:rsidRPr="00643E42">
      <w:rPr>
        <w:i/>
      </w:rPr>
      <w:t>Správa o sociálnej situácii obyvateľstva SR za rok 201</w:t>
    </w:r>
    <w:r>
      <w:rPr>
        <w:i/>
      </w:rPr>
      <w:t>5</w:t>
    </w:r>
  </w:p>
  <w:p w:rsidR="000A4927" w:rsidRPr="00EF12BE" w:rsidRDefault="000A4927" w:rsidP="00EF12BE">
    <w:pPr>
      <w:pStyle w:val="Hlavika"/>
      <w:jc w:val="left"/>
    </w:pPr>
    <w:r w:rsidRPr="00643E42">
      <w:rPr>
        <w:i/>
      </w:rPr>
      <w:t>Príloha ku kapitole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jc w:val="left"/>
      <w:rPr>
        <w:i/>
      </w:rPr>
    </w:pPr>
    <w:r w:rsidRPr="00AD0A11">
      <w:rPr>
        <w:i/>
      </w:rPr>
      <w:t>Správa o sociálnej situácii obyvateľstva SR za rok 201</w:t>
    </w:r>
    <w:r>
      <w:rPr>
        <w:i/>
      </w:rPr>
      <w:t>5</w:t>
    </w:r>
  </w:p>
  <w:p w:rsidR="000A4927" w:rsidRDefault="000A4927" w:rsidP="0084617B">
    <w:pPr>
      <w:pStyle w:val="Hlavika"/>
      <w:jc w:val="left"/>
    </w:pPr>
    <w:r>
      <w:rPr>
        <w:i/>
      </w:rPr>
      <w:t>Príloha ku kapitole 4</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C51170" w:rsidRDefault="000A4927" w:rsidP="00C51170">
    <w:pPr>
      <w:pStyle w:val="Hlavika"/>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jc w:val="right"/>
      <w:rPr>
        <w:i/>
      </w:rPr>
    </w:pPr>
    <w:r w:rsidRPr="00AD0A11">
      <w:rPr>
        <w:i/>
      </w:rPr>
      <w:t>Správa o sociálnej situácii obyvateľstva SR za rok 201</w:t>
    </w:r>
    <w:r>
      <w:rPr>
        <w:i/>
      </w:rPr>
      <w:t>5</w:t>
    </w:r>
  </w:p>
  <w:p w:rsidR="000A4927" w:rsidRDefault="000A4927" w:rsidP="0084617B">
    <w:pPr>
      <w:pStyle w:val="Hlavika"/>
      <w:jc w:val="right"/>
    </w:pPr>
    <w:r>
      <w:rPr>
        <w:i/>
      </w:rPr>
      <w:t>Príloha ku kapitole 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643E42" w:rsidRDefault="000A4927" w:rsidP="002F30B4">
    <w:pPr>
      <w:pStyle w:val="Hlavika"/>
      <w:jc w:val="right"/>
      <w:rPr>
        <w:i/>
      </w:rPr>
    </w:pPr>
    <w:r w:rsidRPr="00643E42">
      <w:rPr>
        <w:i/>
      </w:rPr>
      <w:t>Správa o sociálnej situácii obyvateľstva SR za rok 201</w:t>
    </w:r>
    <w:r>
      <w:rPr>
        <w:i/>
      </w:rPr>
      <w:t>5</w:t>
    </w:r>
  </w:p>
  <w:p w:rsidR="000A4927" w:rsidRPr="00C51170" w:rsidRDefault="000A4927" w:rsidP="002F30B4">
    <w:pPr>
      <w:pStyle w:val="Hlavika"/>
      <w:jc w:val="right"/>
    </w:pPr>
    <w:r w:rsidRPr="00643E42">
      <w:rPr>
        <w:i/>
      </w:rPr>
      <w:t xml:space="preserve">Príloha ku kapitole </w:t>
    </w:r>
    <w:r>
      <w:rPr>
        <w:i/>
      </w:rPr>
      <w:t>4</w:t>
    </w:r>
  </w:p>
  <w:p w:rsidR="000A4927" w:rsidRPr="002F30B4" w:rsidRDefault="000A4927" w:rsidP="002F30B4">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E0328F" w:rsidRDefault="000A4927" w:rsidP="00E0328F">
    <w:pPr>
      <w:pStyle w:val="Hlavika"/>
      <w:jc w:val="right"/>
      <w:rPr>
        <w:i/>
      </w:rPr>
    </w:pPr>
    <w:r w:rsidRPr="004C34A9">
      <w:rPr>
        <w:i/>
      </w:rPr>
      <w:t>Správa o sociálnej situácii obyvateľstva SR za rok 201</w:t>
    </w:r>
    <w:r>
      <w:rPr>
        <w:i/>
      </w:rPr>
      <w:t>5</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4966DF">
    <w:pPr>
      <w:jc w:val="left"/>
      <w:rPr>
        <w:i/>
      </w:rPr>
    </w:pPr>
    <w:r>
      <w:rPr>
        <w:i/>
      </w:rPr>
      <w:t>Správa o sociálnej situácii obyvateľstva SR za rok 2015</w:t>
    </w:r>
  </w:p>
  <w:p w:rsidR="000A4927" w:rsidRPr="00B73347" w:rsidRDefault="000A4927" w:rsidP="004966DF">
    <w:pPr>
      <w:jc w:val="left"/>
      <w:rPr>
        <w:i/>
      </w:rPr>
    </w:pPr>
    <w:r>
      <w:rPr>
        <w:i/>
      </w:rPr>
      <w:t>Príloha ku kapitole 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D0A11" w:rsidRDefault="000A4927" w:rsidP="0084617B">
    <w:pPr>
      <w:pStyle w:val="Hlavika"/>
      <w:jc w:val="right"/>
      <w:rPr>
        <w:i/>
      </w:rPr>
    </w:pPr>
    <w:r w:rsidRPr="00AD0A11">
      <w:rPr>
        <w:i/>
      </w:rPr>
      <w:t>Správa o sociálnej situácii obyvateľstva SR za rok 201</w:t>
    </w:r>
    <w:r>
      <w:rPr>
        <w:i/>
      </w:rPr>
      <w:t>2</w:t>
    </w:r>
  </w:p>
  <w:p w:rsidR="000A4927" w:rsidRDefault="000A4927" w:rsidP="0084617B">
    <w:pPr>
      <w:pStyle w:val="Hlavika"/>
      <w:jc w:val="right"/>
    </w:pPr>
    <w:r>
      <w:rPr>
        <w:i/>
      </w:rPr>
      <w:t>Príloha ku kapitole 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A470A7" w:rsidRDefault="000A4927" w:rsidP="00A470A7">
    <w:pPr>
      <w:pStyle w:val="Hlavika"/>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84617B">
    <w:pPr>
      <w:jc w:val="right"/>
      <w:rPr>
        <w:i/>
      </w:rPr>
    </w:pPr>
    <w:r>
      <w:rPr>
        <w:i/>
      </w:rPr>
      <w:t>Správa o sociálnej situácii obyvateľstva SR za rok 2015</w:t>
    </w:r>
  </w:p>
  <w:p w:rsidR="000A4927" w:rsidRPr="00B73347" w:rsidRDefault="000A4927" w:rsidP="0084617B">
    <w:pPr>
      <w:jc w:val="right"/>
      <w:rPr>
        <w:i/>
      </w:rPr>
    </w:pPr>
    <w:r>
      <w:rPr>
        <w:i/>
      </w:rPr>
      <w:t>Príloha ku kapitole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E0328F" w:rsidRDefault="000A4927" w:rsidP="00E0328F">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DF1615" w:rsidRDefault="000A4927" w:rsidP="00DF1615">
    <w:pPr>
      <w:pStyle w:val="Hlavika"/>
      <w:jc w:val="left"/>
      <w:rPr>
        <w:i/>
      </w:rPr>
    </w:pPr>
    <w:r w:rsidRPr="004C34A9">
      <w:rPr>
        <w:i/>
      </w:rPr>
      <w:t>Správa o sociálnej situácii obyvateľstva SR za rok 201</w:t>
    </w:r>
    <w:r>
      <w:rPr>
        <w:i/>
      </w:rPr>
      <w:t>5</w:t>
    </w:r>
  </w:p>
  <w:p w:rsidR="000A4927" w:rsidRPr="00DF1615" w:rsidRDefault="000A4927" w:rsidP="00DF1615">
    <w:pPr>
      <w:pStyle w:val="Hlavika"/>
      <w:rPr>
        <w:i/>
      </w:rPr>
    </w:pPr>
    <w:r w:rsidRPr="00DF1615">
      <w:rPr>
        <w:i/>
      </w:rPr>
      <w:t xml:space="preserve">Kapitola </w:t>
    </w:r>
    <w:r>
      <w:rPr>
        <w:i/>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671272">
    <w:pPr>
      <w:pStyle w:val="Hlavika"/>
      <w:jc w:val="right"/>
      <w:rPr>
        <w:i/>
      </w:rPr>
    </w:pPr>
    <w:r w:rsidRPr="004C34A9">
      <w:rPr>
        <w:i/>
      </w:rPr>
      <w:t>Správa o sociálnej situácii obyvateľstva SR za rok 201</w:t>
    </w:r>
    <w:r>
      <w:rPr>
        <w:i/>
      </w:rPr>
      <w:t>5</w:t>
    </w:r>
  </w:p>
  <w:p w:rsidR="000A4927" w:rsidRPr="00DF1615" w:rsidRDefault="000A4927" w:rsidP="00671272">
    <w:pPr>
      <w:pStyle w:val="Hlavika"/>
      <w:jc w:val="right"/>
      <w:rPr>
        <w:i/>
      </w:rPr>
    </w:pPr>
    <w:r>
      <w:rPr>
        <w:i/>
      </w:rPr>
      <w:t>Kapitola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Pr="00DF7834" w:rsidRDefault="000A4927" w:rsidP="00DF7834">
    <w:pPr>
      <w:pStyle w:val="Hlavik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27" w:rsidRDefault="000A4927" w:rsidP="00E0328F">
    <w:pPr>
      <w:pStyle w:val="Hlavika"/>
      <w:jc w:val="left"/>
      <w:rPr>
        <w:i/>
      </w:rPr>
    </w:pPr>
    <w:r w:rsidRPr="004C34A9">
      <w:rPr>
        <w:i/>
      </w:rPr>
      <w:t>Správa o sociálnej situácii obyvateľstva SR za rok 201</w:t>
    </w:r>
    <w:r>
      <w:rPr>
        <w:i/>
      </w:rPr>
      <w:t>5</w:t>
    </w:r>
  </w:p>
  <w:p w:rsidR="000A4927" w:rsidRPr="00E0328F" w:rsidRDefault="000A4927" w:rsidP="00E0328F">
    <w:pPr>
      <w:pStyle w:val="Hlavika"/>
      <w:jc w:val="left"/>
      <w:rPr>
        <w:i/>
      </w:rPr>
    </w:pPr>
    <w:r>
      <w:rPr>
        <w:i/>
      </w:rPr>
      <w:t>Kapitola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0B719AB"/>
    <w:multiLevelType w:val="hybridMultilevel"/>
    <w:tmpl w:val="AC06FCF2"/>
    <w:lvl w:ilvl="0" w:tplc="5F14DEAE">
      <w:start w:val="1"/>
      <w:numFmt w:val="bullet"/>
      <w:lvlText w:val=""/>
      <w:lvlJc w:val="left"/>
      <w:pPr>
        <w:ind w:left="720" w:hanging="360"/>
      </w:pPr>
      <w:rPr>
        <w:rFonts w:ascii="Symbol" w:hAnsi="Symbol" w:hint="default"/>
        <w:color w:val="DF5446" w:themeColor="text2" w:themeTint="99"/>
        <w:sz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022B6488"/>
    <w:multiLevelType w:val="hybridMultilevel"/>
    <w:tmpl w:val="C44E593C"/>
    <w:lvl w:ilvl="0" w:tplc="8D2EC2FA">
      <w:start w:val="1"/>
      <w:numFmt w:val="bullet"/>
      <w:lvlText w:val=""/>
      <w:lvlJc w:val="left"/>
      <w:pPr>
        <w:ind w:left="1287" w:hanging="360"/>
      </w:pPr>
      <w:rPr>
        <w:rFonts w:ascii="Symbol" w:hAnsi="Symbol" w:hint="default"/>
        <w:color w:val="7F2016" w:themeColor="text2"/>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nsid w:val="04FF6375"/>
    <w:multiLevelType w:val="hybridMultilevel"/>
    <w:tmpl w:val="9F168B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A0B00D8"/>
    <w:multiLevelType w:val="hybridMultilevel"/>
    <w:tmpl w:val="040EF94E"/>
    <w:lvl w:ilvl="0" w:tplc="5F14DEAE">
      <w:start w:val="1"/>
      <w:numFmt w:val="bullet"/>
      <w:lvlText w:val=""/>
      <w:lvlJc w:val="left"/>
      <w:pPr>
        <w:ind w:left="644" w:hanging="360"/>
      </w:pPr>
      <w:rPr>
        <w:rFonts w:ascii="Symbol" w:hAnsi="Symbol" w:hint="default"/>
        <w:color w:val="DF5446" w:themeColor="text2" w:themeTint="99"/>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5">
    <w:nsid w:val="0B086CC6"/>
    <w:multiLevelType w:val="hybridMultilevel"/>
    <w:tmpl w:val="CDDABDBA"/>
    <w:lvl w:ilvl="0" w:tplc="B2A271A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
    <w:nsid w:val="0D8F5A1B"/>
    <w:multiLevelType w:val="hybridMultilevel"/>
    <w:tmpl w:val="FB1E54BC"/>
    <w:lvl w:ilvl="0" w:tplc="5F14DEAE">
      <w:start w:val="1"/>
      <w:numFmt w:val="bullet"/>
      <w:lvlText w:val=""/>
      <w:lvlJc w:val="left"/>
      <w:pPr>
        <w:ind w:left="360" w:hanging="360"/>
      </w:pPr>
      <w:rPr>
        <w:rFonts w:ascii="Symbol" w:hAnsi="Symbol" w:hint="default"/>
        <w:color w:val="DF5446" w:themeColor="text2" w:themeTint="99"/>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nsid w:val="0E0D342E"/>
    <w:multiLevelType w:val="hybridMultilevel"/>
    <w:tmpl w:val="1B9A4492"/>
    <w:lvl w:ilvl="0" w:tplc="D98E976A">
      <w:start w:val="1"/>
      <w:numFmt w:val="bullet"/>
      <w:lvlText w:val=""/>
      <w:lvlJc w:val="left"/>
      <w:pPr>
        <w:ind w:left="720" w:hanging="360"/>
      </w:pPr>
      <w:rPr>
        <w:rFonts w:ascii="Wingdings 2" w:hAnsi="Wingdings 2" w:hint="default"/>
        <w:color w:val="D83E2C" w:themeColor="accent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13D0656"/>
    <w:multiLevelType w:val="hybridMultilevel"/>
    <w:tmpl w:val="8F3A3476"/>
    <w:lvl w:ilvl="0" w:tplc="5F14DEAE">
      <w:start w:val="1"/>
      <w:numFmt w:val="bullet"/>
      <w:lvlText w:val=""/>
      <w:lvlJc w:val="left"/>
      <w:pPr>
        <w:ind w:left="1151" w:hanging="360"/>
      </w:pPr>
      <w:rPr>
        <w:rFonts w:ascii="Symbol" w:hAnsi="Symbol" w:hint="default"/>
        <w:color w:val="DF5446" w:themeColor="text2" w:themeTint="99"/>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9">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10">
    <w:nsid w:val="17CA52BB"/>
    <w:multiLevelType w:val="hybridMultilevel"/>
    <w:tmpl w:val="27821B0A"/>
    <w:lvl w:ilvl="0" w:tplc="FA984E00">
      <w:start w:val="11"/>
      <w:numFmt w:val="bullet"/>
      <w:lvlText w:val="-"/>
      <w:lvlJc w:val="left"/>
      <w:pPr>
        <w:tabs>
          <w:tab w:val="num" w:pos="360"/>
        </w:tabs>
        <w:ind w:left="360" w:hanging="360"/>
      </w:pPr>
      <w:rPr>
        <w:rFonts w:ascii="Times New Roman" w:eastAsia="Times New Roman" w:hAnsi="Times New Roman" w:hint="default"/>
      </w:rPr>
    </w:lvl>
    <w:lvl w:ilvl="1" w:tplc="D8F0F60E">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nsid w:val="18E549BF"/>
    <w:multiLevelType w:val="hybridMultilevel"/>
    <w:tmpl w:val="BB1CC88E"/>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D266256"/>
    <w:multiLevelType w:val="multilevel"/>
    <w:tmpl w:val="F19EE93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DBF70F3"/>
    <w:multiLevelType w:val="hybridMultilevel"/>
    <w:tmpl w:val="C166F95E"/>
    <w:lvl w:ilvl="0" w:tplc="8664509A">
      <w:start w:val="1"/>
      <w:numFmt w:val="bullet"/>
      <w:lvlText w:val="­"/>
      <w:lvlJc w:val="left"/>
      <w:pPr>
        <w:ind w:left="1572" w:hanging="360"/>
      </w:pPr>
      <w:rPr>
        <w:rFonts w:ascii="Lucida Sans Unicode" w:hAnsi="Lucida Sans Unicode" w:hint="default"/>
        <w:color w:val="auto"/>
      </w:rPr>
    </w:lvl>
    <w:lvl w:ilvl="1" w:tplc="041B0003">
      <w:start w:val="1"/>
      <w:numFmt w:val="bullet"/>
      <w:lvlText w:val="o"/>
      <w:lvlJc w:val="left"/>
      <w:pPr>
        <w:ind w:left="2292" w:hanging="360"/>
      </w:pPr>
      <w:rPr>
        <w:rFonts w:ascii="Courier New" w:hAnsi="Courier New" w:hint="default"/>
      </w:rPr>
    </w:lvl>
    <w:lvl w:ilvl="2" w:tplc="041B0005">
      <w:start w:val="1"/>
      <w:numFmt w:val="bullet"/>
      <w:lvlText w:val=""/>
      <w:lvlJc w:val="left"/>
      <w:pPr>
        <w:ind w:left="3012" w:hanging="360"/>
      </w:pPr>
      <w:rPr>
        <w:rFonts w:ascii="Wingdings" w:hAnsi="Wingdings" w:hint="default"/>
      </w:rPr>
    </w:lvl>
    <w:lvl w:ilvl="3" w:tplc="041B0001">
      <w:start w:val="1"/>
      <w:numFmt w:val="bullet"/>
      <w:lvlText w:val=""/>
      <w:lvlJc w:val="left"/>
      <w:pPr>
        <w:ind w:left="3732" w:hanging="360"/>
      </w:pPr>
      <w:rPr>
        <w:rFonts w:ascii="Symbol" w:hAnsi="Symbol" w:hint="default"/>
      </w:rPr>
    </w:lvl>
    <w:lvl w:ilvl="4" w:tplc="041B0003">
      <w:start w:val="1"/>
      <w:numFmt w:val="bullet"/>
      <w:lvlText w:val="o"/>
      <w:lvlJc w:val="left"/>
      <w:pPr>
        <w:ind w:left="4452" w:hanging="360"/>
      </w:pPr>
      <w:rPr>
        <w:rFonts w:ascii="Courier New" w:hAnsi="Courier New" w:hint="default"/>
      </w:rPr>
    </w:lvl>
    <w:lvl w:ilvl="5" w:tplc="041B0005">
      <w:start w:val="1"/>
      <w:numFmt w:val="bullet"/>
      <w:lvlText w:val=""/>
      <w:lvlJc w:val="left"/>
      <w:pPr>
        <w:ind w:left="5172" w:hanging="360"/>
      </w:pPr>
      <w:rPr>
        <w:rFonts w:ascii="Wingdings" w:hAnsi="Wingdings" w:hint="default"/>
      </w:rPr>
    </w:lvl>
    <w:lvl w:ilvl="6" w:tplc="041B0001">
      <w:start w:val="1"/>
      <w:numFmt w:val="bullet"/>
      <w:lvlText w:val=""/>
      <w:lvlJc w:val="left"/>
      <w:pPr>
        <w:ind w:left="5892" w:hanging="360"/>
      </w:pPr>
      <w:rPr>
        <w:rFonts w:ascii="Symbol" w:hAnsi="Symbol" w:hint="default"/>
      </w:rPr>
    </w:lvl>
    <w:lvl w:ilvl="7" w:tplc="041B0003">
      <w:start w:val="1"/>
      <w:numFmt w:val="bullet"/>
      <w:lvlText w:val="o"/>
      <w:lvlJc w:val="left"/>
      <w:pPr>
        <w:ind w:left="6612" w:hanging="360"/>
      </w:pPr>
      <w:rPr>
        <w:rFonts w:ascii="Courier New" w:hAnsi="Courier New" w:hint="default"/>
      </w:rPr>
    </w:lvl>
    <w:lvl w:ilvl="8" w:tplc="041B0005">
      <w:start w:val="1"/>
      <w:numFmt w:val="bullet"/>
      <w:lvlText w:val=""/>
      <w:lvlJc w:val="left"/>
      <w:pPr>
        <w:ind w:left="7332" w:hanging="360"/>
      </w:pPr>
      <w:rPr>
        <w:rFonts w:ascii="Wingdings" w:hAnsi="Wingdings" w:hint="default"/>
      </w:rPr>
    </w:lvl>
  </w:abstractNum>
  <w:abstractNum w:abstractNumId="14">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24D7084C"/>
    <w:multiLevelType w:val="hybridMultilevel"/>
    <w:tmpl w:val="00923CC8"/>
    <w:lvl w:ilvl="0" w:tplc="63902372">
      <w:numFmt w:val="bullet"/>
      <w:lvlText w:val="-"/>
      <w:lvlJc w:val="left"/>
      <w:pPr>
        <w:ind w:left="360" w:hanging="360"/>
      </w:pPr>
      <w:rPr>
        <w:rFonts w:ascii="Times New Roman" w:eastAsia="Times New Roman" w:hAnsi="Times New Roman" w:hint="default"/>
      </w:rPr>
    </w:lvl>
    <w:lvl w:ilvl="1" w:tplc="63902372">
      <w:numFmt w:val="bullet"/>
      <w:lvlText w:val="-"/>
      <w:lvlJc w:val="left"/>
      <w:pPr>
        <w:ind w:left="1080" w:hanging="360"/>
      </w:pPr>
      <w:rPr>
        <w:rFonts w:ascii="Times New Roman" w:eastAsia="Times New Roman" w:hAnsi="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nsid w:val="2663534A"/>
    <w:multiLevelType w:val="hybridMultilevel"/>
    <w:tmpl w:val="0C849FB4"/>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9014A7F"/>
    <w:multiLevelType w:val="hybridMultilevel"/>
    <w:tmpl w:val="C0728E90"/>
    <w:lvl w:ilvl="0" w:tplc="D98E976A">
      <w:start w:val="1"/>
      <w:numFmt w:val="bullet"/>
      <w:lvlText w:val=""/>
      <w:lvlJc w:val="left"/>
      <w:pPr>
        <w:ind w:left="360" w:hanging="360"/>
      </w:pPr>
      <w:rPr>
        <w:rFonts w:ascii="Wingdings 2" w:hAnsi="Wingdings 2" w:hint="default"/>
        <w:color w:val="D83E2C" w:themeColor="accent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nsid w:val="2BA64D19"/>
    <w:multiLevelType w:val="hybridMultilevel"/>
    <w:tmpl w:val="5282B57E"/>
    <w:lvl w:ilvl="0" w:tplc="5F14DEAE">
      <w:start w:val="1"/>
      <w:numFmt w:val="bullet"/>
      <w:lvlText w:val=""/>
      <w:lvlJc w:val="left"/>
      <w:pPr>
        <w:ind w:left="1080" w:hanging="360"/>
      </w:pPr>
      <w:rPr>
        <w:rFonts w:ascii="Symbol" w:hAnsi="Symbol" w:hint="default"/>
        <w:color w:val="DF5446" w:themeColor="text2" w:themeTint="9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2EFD4FF3"/>
    <w:multiLevelType w:val="hybridMultilevel"/>
    <w:tmpl w:val="D0DAD51A"/>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F970234"/>
    <w:multiLevelType w:val="hybridMultilevel"/>
    <w:tmpl w:val="5AB67818"/>
    <w:lvl w:ilvl="0" w:tplc="D98E976A">
      <w:start w:val="1"/>
      <w:numFmt w:val="bullet"/>
      <w:lvlText w:val=""/>
      <w:lvlJc w:val="left"/>
      <w:pPr>
        <w:ind w:left="720" w:hanging="360"/>
      </w:pPr>
      <w:rPr>
        <w:rFonts w:ascii="Wingdings 2" w:hAnsi="Wingdings 2" w:hint="default"/>
        <w:color w:val="C0504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14030E4"/>
    <w:multiLevelType w:val="hybridMultilevel"/>
    <w:tmpl w:val="9B3E3DF0"/>
    <w:lvl w:ilvl="0" w:tplc="5F2A4220">
      <w:start w:val="1"/>
      <w:numFmt w:val="bullet"/>
      <w:lvlText w:val=""/>
      <w:lvlJc w:val="left"/>
      <w:pPr>
        <w:ind w:left="720" w:hanging="360"/>
      </w:pPr>
      <w:rPr>
        <w:rFonts w:ascii="Wingdings 2" w:hAnsi="Wingdings 2" w:hint="default"/>
        <w:color w:val="7F2016" w:themeColor="accent1"/>
        <w:sz w:val="24"/>
      </w:rPr>
    </w:lvl>
    <w:lvl w:ilvl="1" w:tplc="5F2A4220">
      <w:start w:val="1"/>
      <w:numFmt w:val="bullet"/>
      <w:lvlText w:val=""/>
      <w:lvlJc w:val="left"/>
      <w:pPr>
        <w:ind w:left="1440" w:hanging="360"/>
      </w:pPr>
      <w:rPr>
        <w:rFonts w:ascii="Wingdings 2" w:hAnsi="Wingdings 2" w:hint="default"/>
        <w:color w:val="7F2016" w:themeColor="accent1"/>
        <w:sz w:val="24"/>
      </w:rPr>
    </w:lvl>
    <w:lvl w:ilvl="2" w:tplc="041B0005">
      <w:start w:val="1"/>
      <w:numFmt w:val="bullet"/>
      <w:lvlText w:val=""/>
      <w:lvlJc w:val="left"/>
      <w:pPr>
        <w:ind w:left="2160" w:hanging="360"/>
      </w:pPr>
      <w:rPr>
        <w:rFonts w:ascii="Wingdings" w:hAnsi="Wingdings" w:hint="default"/>
      </w:rPr>
    </w:lvl>
    <w:lvl w:ilvl="3" w:tplc="8D2EC2FA">
      <w:start w:val="1"/>
      <w:numFmt w:val="bullet"/>
      <w:lvlText w:val=""/>
      <w:lvlJc w:val="left"/>
      <w:pPr>
        <w:ind w:left="2880" w:hanging="360"/>
      </w:pPr>
      <w:rPr>
        <w:rFonts w:ascii="Symbol" w:hAnsi="Symbol" w:hint="default"/>
        <w:color w:val="7F2016" w:themeColor="text2"/>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A2C6F88"/>
    <w:multiLevelType w:val="hybridMultilevel"/>
    <w:tmpl w:val="2A16F4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3B6B3CE1"/>
    <w:multiLevelType w:val="hybridMultilevel"/>
    <w:tmpl w:val="9B626B52"/>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41E7751E"/>
    <w:multiLevelType w:val="hybridMultilevel"/>
    <w:tmpl w:val="A5B00494"/>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45EF1A3C"/>
    <w:multiLevelType w:val="hybridMultilevel"/>
    <w:tmpl w:val="B1EEA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489666DE"/>
    <w:multiLevelType w:val="hybridMultilevel"/>
    <w:tmpl w:val="B5E4A1C2"/>
    <w:lvl w:ilvl="0" w:tplc="D98E976A">
      <w:start w:val="1"/>
      <w:numFmt w:val="bullet"/>
      <w:pStyle w:val="Odsekzoznamu"/>
      <w:lvlText w:val=""/>
      <w:lvlJc w:val="left"/>
      <w:pPr>
        <w:ind w:left="720" w:hanging="360"/>
      </w:pPr>
      <w:rPr>
        <w:rFonts w:ascii="Wingdings 2" w:hAnsi="Wingdings 2" w:hint="default"/>
        <w:color w:val="D83E2C" w:themeColor="accen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4B7E74A1"/>
    <w:multiLevelType w:val="hybridMultilevel"/>
    <w:tmpl w:val="36104E0A"/>
    <w:lvl w:ilvl="0" w:tplc="C00645AC">
      <w:start w:val="1"/>
      <w:numFmt w:val="lowerLetter"/>
      <w:lvlText w:val="%1)"/>
      <w:lvlJc w:val="left"/>
      <w:pPr>
        <w:tabs>
          <w:tab w:val="num" w:pos="897"/>
        </w:tabs>
        <w:ind w:left="897" w:hanging="357"/>
      </w:pPr>
      <w:rPr>
        <w:rFonts w:cs="Times New Roman" w:hint="default"/>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32">
    <w:nsid w:val="4C9A7E8D"/>
    <w:multiLevelType w:val="hybridMultilevel"/>
    <w:tmpl w:val="1D3C0F98"/>
    <w:lvl w:ilvl="0" w:tplc="5F14DEAE">
      <w:start w:val="1"/>
      <w:numFmt w:val="bullet"/>
      <w:lvlText w:val=""/>
      <w:lvlJc w:val="left"/>
      <w:pPr>
        <w:ind w:left="644" w:hanging="360"/>
      </w:pPr>
      <w:rPr>
        <w:rFonts w:ascii="Symbol" w:hAnsi="Symbol" w:hint="default"/>
        <w:color w:val="DF5446" w:themeColor="text2" w:themeTint="99"/>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3">
    <w:nsid w:val="4D520B58"/>
    <w:multiLevelType w:val="hybridMultilevel"/>
    <w:tmpl w:val="04EE5C54"/>
    <w:lvl w:ilvl="0" w:tplc="5F14DEAE">
      <w:start w:val="1"/>
      <w:numFmt w:val="bullet"/>
      <w:lvlText w:val=""/>
      <w:lvlJc w:val="left"/>
      <w:pPr>
        <w:ind w:left="1287" w:hanging="360"/>
      </w:pPr>
      <w:rPr>
        <w:rFonts w:ascii="Symbol" w:hAnsi="Symbol" w:hint="default"/>
        <w:color w:val="DF5446" w:themeColor="text2" w:themeTint="99"/>
        <w:sz w:val="24"/>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4">
    <w:nsid w:val="4EEC67F9"/>
    <w:multiLevelType w:val="hybridMultilevel"/>
    <w:tmpl w:val="A106F1CC"/>
    <w:lvl w:ilvl="0" w:tplc="8DBA8292">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5">
    <w:nsid w:val="4F5C536D"/>
    <w:multiLevelType w:val="multilevel"/>
    <w:tmpl w:val="E3E8F252"/>
    <w:lvl w:ilvl="0">
      <w:start w:val="1"/>
      <w:numFmt w:val="bullet"/>
      <w:lvlText w:val=""/>
      <w:lvlJc w:val="left"/>
      <w:pPr>
        <w:tabs>
          <w:tab w:val="num" w:pos="720"/>
        </w:tabs>
        <w:ind w:left="720" w:hanging="360"/>
      </w:pPr>
      <w:rPr>
        <w:rFonts w:ascii="Symbol" w:hAnsi="Symbol" w:hint="default"/>
        <w:color w:val="DF5446" w:themeColor="text2" w:themeTint="9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4CF4545"/>
    <w:multiLevelType w:val="hybridMultilevel"/>
    <w:tmpl w:val="32100268"/>
    <w:lvl w:ilvl="0" w:tplc="5F2A4220">
      <w:start w:val="1"/>
      <w:numFmt w:val="bullet"/>
      <w:lvlText w:val=""/>
      <w:lvlJc w:val="left"/>
      <w:pPr>
        <w:ind w:left="720" w:hanging="360"/>
      </w:pPr>
      <w:rPr>
        <w:rFonts w:ascii="Wingdings 2" w:hAnsi="Wingdings 2" w:hint="default"/>
        <w:color w:val="7F2016" w:themeColor="accent1"/>
        <w:sz w:val="24"/>
      </w:rPr>
    </w:lvl>
    <w:lvl w:ilvl="1" w:tplc="5F2A4220">
      <w:start w:val="1"/>
      <w:numFmt w:val="bullet"/>
      <w:lvlText w:val=""/>
      <w:lvlJc w:val="left"/>
      <w:pPr>
        <w:ind w:left="1440" w:hanging="360"/>
      </w:pPr>
      <w:rPr>
        <w:rFonts w:ascii="Wingdings 2" w:hAnsi="Wingdings 2" w:hint="default"/>
        <w:b/>
        <w:color w:val="7F2016" w:themeColor="accent1"/>
        <w:sz w:val="24"/>
      </w:rPr>
    </w:lvl>
    <w:lvl w:ilvl="2" w:tplc="1DE2D458">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D73922"/>
    <w:multiLevelType w:val="hybridMultilevel"/>
    <w:tmpl w:val="20D4DC70"/>
    <w:lvl w:ilvl="0" w:tplc="5F2A4220">
      <w:start w:val="1"/>
      <w:numFmt w:val="bullet"/>
      <w:lvlText w:val=""/>
      <w:lvlJc w:val="left"/>
      <w:pPr>
        <w:ind w:left="1080" w:hanging="360"/>
      </w:pPr>
      <w:rPr>
        <w:rFonts w:ascii="Wingdings 2" w:hAnsi="Wingdings 2" w:hint="default"/>
        <w:color w:val="7F2016" w:themeColor="accent1"/>
        <w:sz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9">
    <w:nsid w:val="6226224C"/>
    <w:multiLevelType w:val="hybridMultilevel"/>
    <w:tmpl w:val="03B0B96C"/>
    <w:lvl w:ilvl="0" w:tplc="ADE84ECA">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nsid w:val="62733042"/>
    <w:multiLevelType w:val="hybridMultilevel"/>
    <w:tmpl w:val="F1E0E22E"/>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42">
    <w:nsid w:val="631F6570"/>
    <w:multiLevelType w:val="hybridMultilevel"/>
    <w:tmpl w:val="88E2CBE6"/>
    <w:lvl w:ilvl="0" w:tplc="5F14DEAE">
      <w:start w:val="1"/>
      <w:numFmt w:val="bullet"/>
      <w:lvlText w:val=""/>
      <w:lvlJc w:val="left"/>
      <w:pPr>
        <w:ind w:left="360" w:hanging="360"/>
      </w:pPr>
      <w:rPr>
        <w:rFonts w:ascii="Symbol" w:hAnsi="Symbol" w:hint="default"/>
        <w:color w:val="DF5446" w:themeColor="text2" w:themeTint="99"/>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nsid w:val="67F86D25"/>
    <w:multiLevelType w:val="hybridMultilevel"/>
    <w:tmpl w:val="91FE42E6"/>
    <w:lvl w:ilvl="0" w:tplc="D9287A3E">
      <w:numFmt w:val="bullet"/>
      <w:lvlText w:val="-"/>
      <w:lvlJc w:val="left"/>
      <w:pPr>
        <w:ind w:left="927" w:hanging="360"/>
      </w:pPr>
      <w:rPr>
        <w:rFonts w:ascii="Times New Roman" w:eastAsia="Times New Roman" w:hAnsi="Times New Roman" w:cs="Times New Roman" w:hint="default"/>
        <w:b/>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hint="default"/>
      </w:rPr>
    </w:lvl>
    <w:lvl w:ilvl="3" w:tplc="041B0001">
      <w:start w:val="1"/>
      <w:numFmt w:val="bullet"/>
      <w:lvlText w:val=""/>
      <w:lvlJc w:val="left"/>
      <w:pPr>
        <w:ind w:left="3087" w:hanging="360"/>
      </w:pPr>
      <w:rPr>
        <w:rFonts w:ascii="Symbol" w:hAnsi="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hint="default"/>
      </w:rPr>
    </w:lvl>
    <w:lvl w:ilvl="6" w:tplc="041B0001">
      <w:start w:val="1"/>
      <w:numFmt w:val="bullet"/>
      <w:lvlText w:val=""/>
      <w:lvlJc w:val="left"/>
      <w:pPr>
        <w:ind w:left="5247" w:hanging="360"/>
      </w:pPr>
      <w:rPr>
        <w:rFonts w:ascii="Symbol" w:hAnsi="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hint="default"/>
      </w:rPr>
    </w:lvl>
  </w:abstractNum>
  <w:abstractNum w:abstractNumId="44">
    <w:nsid w:val="68695090"/>
    <w:multiLevelType w:val="hybridMultilevel"/>
    <w:tmpl w:val="84229C7E"/>
    <w:lvl w:ilvl="0" w:tplc="175A60DE">
      <w:numFmt w:val="bullet"/>
      <w:lvlText w:val="-"/>
      <w:lvlJc w:val="left"/>
      <w:pPr>
        <w:ind w:left="42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45">
    <w:nsid w:val="68B4058F"/>
    <w:multiLevelType w:val="hybridMultilevel"/>
    <w:tmpl w:val="6E0C5B36"/>
    <w:lvl w:ilvl="0" w:tplc="5F14DEAE">
      <w:start w:val="1"/>
      <w:numFmt w:val="bullet"/>
      <w:lvlText w:val=""/>
      <w:lvlJc w:val="left"/>
      <w:pPr>
        <w:ind w:left="720" w:hanging="360"/>
      </w:pPr>
      <w:rPr>
        <w:rFonts w:ascii="Symbol" w:hAnsi="Symbol" w:hint="default"/>
        <w:color w:val="DF5446" w:themeColor="text2" w:themeTint="99"/>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6">
    <w:nsid w:val="6D8711A1"/>
    <w:multiLevelType w:val="hybridMultilevel"/>
    <w:tmpl w:val="E7FEBD3A"/>
    <w:lvl w:ilvl="0" w:tplc="04090017">
      <w:start w:val="1"/>
      <w:numFmt w:val="lowerLetter"/>
      <w:lvlText w:val="%1)"/>
      <w:lvlJc w:val="left"/>
      <w:pPr>
        <w:tabs>
          <w:tab w:val="num" w:pos="357"/>
        </w:tabs>
        <w:ind w:left="357" w:hanging="357"/>
      </w:pPr>
      <w:rPr>
        <w:rFonts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7">
    <w:nsid w:val="709F460F"/>
    <w:multiLevelType w:val="hybridMultilevel"/>
    <w:tmpl w:val="C30C2174"/>
    <w:lvl w:ilvl="0" w:tplc="5F14DEAE">
      <w:start w:val="1"/>
      <w:numFmt w:val="bullet"/>
      <w:lvlText w:val=""/>
      <w:lvlJc w:val="left"/>
      <w:pPr>
        <w:ind w:left="1080" w:hanging="360"/>
      </w:pPr>
      <w:rPr>
        <w:rFonts w:ascii="Symbol" w:hAnsi="Symbol" w:hint="default"/>
        <w:color w:val="DF5446" w:themeColor="text2" w:themeTint="9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8">
    <w:nsid w:val="73EA3159"/>
    <w:multiLevelType w:val="hybridMultilevel"/>
    <w:tmpl w:val="294214DE"/>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7944C6F8">
      <w:start w:val="1"/>
      <w:numFmt w:val="bullet"/>
      <w:lvlText w:val="–"/>
      <w:lvlJc w:val="left"/>
      <w:pPr>
        <w:ind w:left="2160" w:hanging="360"/>
      </w:pPr>
      <w:rPr>
        <w:rFonts w:ascii="Times New Roman" w:eastAsia="Times New Roman" w:hAnsi="Times New Roman" w:cs="Times New Roman" w:hint="default"/>
        <w:b/>
        <w:color w:val="000000" w:themeColor="text1"/>
      </w:rPr>
    </w:lvl>
    <w:lvl w:ilvl="3" w:tplc="F8821702">
      <w:numFmt w:val="bullet"/>
      <w:lvlText w:val=""/>
      <w:lvlJc w:val="left"/>
      <w:pPr>
        <w:ind w:left="2880" w:hanging="360"/>
      </w:pPr>
      <w:rPr>
        <w:rFonts w:ascii="Wingdings" w:eastAsia="Times New Roman" w:hAnsi="Wingdings" w:cs="Times New Roman"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1">
    <w:nsid w:val="7ED04F90"/>
    <w:multiLevelType w:val="multilevel"/>
    <w:tmpl w:val="FC9EE442"/>
    <w:lvl w:ilvl="0">
      <w:start w:val="1"/>
      <w:numFmt w:val="bullet"/>
      <w:lvlText w:val=""/>
      <w:lvlJc w:val="left"/>
      <w:pPr>
        <w:ind w:left="720" w:hanging="360"/>
      </w:pPr>
      <w:rPr>
        <w:rFonts w:ascii="Symbol" w:hAnsi="Symbol" w:hint="default"/>
        <w:color w:val="DF5446" w:themeColor="text2" w:themeTint="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9"/>
  </w:num>
  <w:num w:numId="4">
    <w:abstractNumId w:val="30"/>
  </w:num>
  <w:num w:numId="5">
    <w:abstractNumId w:val="23"/>
  </w:num>
  <w:num w:numId="6">
    <w:abstractNumId w:val="4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0"/>
  </w:num>
  <w:num w:numId="10">
    <w:abstractNumId w:val="49"/>
  </w:num>
  <w:num w:numId="11">
    <w:abstractNumId w:val="11"/>
  </w:num>
  <w:num w:numId="12">
    <w:abstractNumId w:val="48"/>
  </w:num>
  <w:num w:numId="13">
    <w:abstractNumId w:val="12"/>
  </w:num>
  <w:num w:numId="14">
    <w:abstractNumId w:val="44"/>
  </w:num>
  <w:num w:numId="15">
    <w:abstractNumId w:val="5"/>
  </w:num>
  <w:num w:numId="16">
    <w:abstractNumId w:val="31"/>
  </w:num>
  <w:num w:numId="17">
    <w:abstractNumId w:val="46"/>
  </w:num>
  <w:num w:numId="18">
    <w:abstractNumId w:val="43"/>
  </w:num>
  <w:num w:numId="19">
    <w:abstractNumId w:val="40"/>
  </w:num>
  <w:num w:numId="20">
    <w:abstractNumId w:val="10"/>
  </w:num>
  <w:num w:numId="21">
    <w:abstractNumId w:val="32"/>
  </w:num>
  <w:num w:numId="22">
    <w:abstractNumId w:val="7"/>
  </w:num>
  <w:num w:numId="23">
    <w:abstractNumId w:val="17"/>
  </w:num>
  <w:num w:numId="24">
    <w:abstractNumId w:val="29"/>
  </w:num>
  <w:num w:numId="25">
    <w:abstractNumId w:val="1"/>
  </w:num>
  <w:num w:numId="26">
    <w:abstractNumId w:val="45"/>
  </w:num>
  <w:num w:numId="27">
    <w:abstractNumId w:val="34"/>
  </w:num>
  <w:num w:numId="28">
    <w:abstractNumId w:val="47"/>
  </w:num>
  <w:num w:numId="29">
    <w:abstractNumId w:val="4"/>
  </w:num>
  <w:num w:numId="30">
    <w:abstractNumId w:val="35"/>
  </w:num>
  <w:num w:numId="31">
    <w:abstractNumId w:val="18"/>
  </w:num>
  <w:num w:numId="32">
    <w:abstractNumId w:val="26"/>
  </w:num>
  <w:num w:numId="33">
    <w:abstractNumId w:val="7"/>
    <w:lvlOverride w:ilvl="0">
      <w:startOverride w:val="1"/>
    </w:lvlOverride>
  </w:num>
  <w:num w:numId="34">
    <w:abstractNumId w:val="29"/>
    <w:lvlOverride w:ilvl="0">
      <w:startOverride w:val="1"/>
    </w:lvlOverride>
  </w:num>
  <w:num w:numId="35">
    <w:abstractNumId w:val="22"/>
  </w:num>
  <w:num w:numId="36">
    <w:abstractNumId w:val="16"/>
  </w:num>
  <w:num w:numId="37">
    <w:abstractNumId w:val="24"/>
  </w:num>
  <w:num w:numId="38">
    <w:abstractNumId w:val="33"/>
  </w:num>
  <w:num w:numId="39">
    <w:abstractNumId w:val="19"/>
  </w:num>
  <w:num w:numId="40">
    <w:abstractNumId w:val="6"/>
  </w:num>
  <w:num w:numId="41">
    <w:abstractNumId w:val="42"/>
  </w:num>
  <w:num w:numId="42">
    <w:abstractNumId w:val="37"/>
  </w:num>
  <w:num w:numId="43">
    <w:abstractNumId w:val="36"/>
  </w:num>
  <w:num w:numId="44">
    <w:abstractNumId w:val="21"/>
  </w:num>
  <w:num w:numId="45">
    <w:abstractNumId w:val="51"/>
  </w:num>
  <w:num w:numId="46">
    <w:abstractNumId w:val="20"/>
  </w:num>
  <w:num w:numId="47">
    <w:abstractNumId w:val="8"/>
  </w:num>
  <w:num w:numId="48">
    <w:abstractNumId w:val="15"/>
  </w:num>
  <w:num w:numId="49">
    <w:abstractNumId w:val="2"/>
  </w:num>
  <w:num w:numId="50">
    <w:abstractNumId w:val="39"/>
  </w:num>
  <w:num w:numId="51">
    <w:abstractNumId w:val="28"/>
  </w:num>
  <w:num w:numId="52">
    <w:abstractNumId w:val="3"/>
  </w:num>
  <w:num w:numId="53">
    <w:abstractNumId w:val="13"/>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ária Filová">
    <w15:presenceInfo w15:providerId="Windows Live" w15:userId="4389646769597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de-DE"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5ADA"/>
    <w:rsid w:val="00000FC3"/>
    <w:rsid w:val="00001498"/>
    <w:rsid w:val="000019AE"/>
    <w:rsid w:val="00002192"/>
    <w:rsid w:val="00002809"/>
    <w:rsid w:val="0000300D"/>
    <w:rsid w:val="000033B4"/>
    <w:rsid w:val="00003E80"/>
    <w:rsid w:val="0000437D"/>
    <w:rsid w:val="000044AC"/>
    <w:rsid w:val="000046A7"/>
    <w:rsid w:val="00004C2D"/>
    <w:rsid w:val="000054BF"/>
    <w:rsid w:val="000055C2"/>
    <w:rsid w:val="000056D0"/>
    <w:rsid w:val="0000594D"/>
    <w:rsid w:val="0000644D"/>
    <w:rsid w:val="000064BF"/>
    <w:rsid w:val="00006A6D"/>
    <w:rsid w:val="00006FF3"/>
    <w:rsid w:val="000070D1"/>
    <w:rsid w:val="00007323"/>
    <w:rsid w:val="000077CD"/>
    <w:rsid w:val="00007827"/>
    <w:rsid w:val="00007959"/>
    <w:rsid w:val="00010311"/>
    <w:rsid w:val="000108BB"/>
    <w:rsid w:val="00010959"/>
    <w:rsid w:val="00010BEA"/>
    <w:rsid w:val="000114DD"/>
    <w:rsid w:val="000117FE"/>
    <w:rsid w:val="000128B4"/>
    <w:rsid w:val="00012A40"/>
    <w:rsid w:val="00012AEC"/>
    <w:rsid w:val="00012D23"/>
    <w:rsid w:val="0001311C"/>
    <w:rsid w:val="00013231"/>
    <w:rsid w:val="000135EE"/>
    <w:rsid w:val="00013F71"/>
    <w:rsid w:val="00014525"/>
    <w:rsid w:val="000146D6"/>
    <w:rsid w:val="000146F1"/>
    <w:rsid w:val="0001551D"/>
    <w:rsid w:val="00015E7A"/>
    <w:rsid w:val="0001621E"/>
    <w:rsid w:val="000163BC"/>
    <w:rsid w:val="00016439"/>
    <w:rsid w:val="00016464"/>
    <w:rsid w:val="000166C3"/>
    <w:rsid w:val="00016E14"/>
    <w:rsid w:val="00016E17"/>
    <w:rsid w:val="0001727B"/>
    <w:rsid w:val="00017834"/>
    <w:rsid w:val="000178D1"/>
    <w:rsid w:val="000179FF"/>
    <w:rsid w:val="00017D5E"/>
    <w:rsid w:val="0002117F"/>
    <w:rsid w:val="0002141E"/>
    <w:rsid w:val="00021426"/>
    <w:rsid w:val="0002157E"/>
    <w:rsid w:val="00021A3C"/>
    <w:rsid w:val="00021CB4"/>
    <w:rsid w:val="000225E7"/>
    <w:rsid w:val="000229C3"/>
    <w:rsid w:val="0002340E"/>
    <w:rsid w:val="0002371A"/>
    <w:rsid w:val="00023835"/>
    <w:rsid w:val="00023B1C"/>
    <w:rsid w:val="00024B43"/>
    <w:rsid w:val="00024F6E"/>
    <w:rsid w:val="000258CE"/>
    <w:rsid w:val="00025F8E"/>
    <w:rsid w:val="00026024"/>
    <w:rsid w:val="00026352"/>
    <w:rsid w:val="00026A73"/>
    <w:rsid w:val="000274F0"/>
    <w:rsid w:val="0002759D"/>
    <w:rsid w:val="000275FB"/>
    <w:rsid w:val="000276D4"/>
    <w:rsid w:val="00027AAD"/>
    <w:rsid w:val="00027E20"/>
    <w:rsid w:val="00027F7F"/>
    <w:rsid w:val="000301E2"/>
    <w:rsid w:val="00030496"/>
    <w:rsid w:val="00030F21"/>
    <w:rsid w:val="00030FC3"/>
    <w:rsid w:val="00031658"/>
    <w:rsid w:val="00031D22"/>
    <w:rsid w:val="00031E40"/>
    <w:rsid w:val="000321E5"/>
    <w:rsid w:val="0003275B"/>
    <w:rsid w:val="00032F83"/>
    <w:rsid w:val="00033026"/>
    <w:rsid w:val="0003339A"/>
    <w:rsid w:val="00033F3E"/>
    <w:rsid w:val="000345C4"/>
    <w:rsid w:val="0003460D"/>
    <w:rsid w:val="00034756"/>
    <w:rsid w:val="00034A8C"/>
    <w:rsid w:val="0003523F"/>
    <w:rsid w:val="0003544F"/>
    <w:rsid w:val="000360FA"/>
    <w:rsid w:val="00036303"/>
    <w:rsid w:val="000366BC"/>
    <w:rsid w:val="00037763"/>
    <w:rsid w:val="000378FA"/>
    <w:rsid w:val="0004044B"/>
    <w:rsid w:val="00040B43"/>
    <w:rsid w:val="00041244"/>
    <w:rsid w:val="000414A7"/>
    <w:rsid w:val="00041844"/>
    <w:rsid w:val="00041989"/>
    <w:rsid w:val="00041B72"/>
    <w:rsid w:val="000423FD"/>
    <w:rsid w:val="00042937"/>
    <w:rsid w:val="00043839"/>
    <w:rsid w:val="00043D7F"/>
    <w:rsid w:val="00043DD7"/>
    <w:rsid w:val="00044B6E"/>
    <w:rsid w:val="00044E79"/>
    <w:rsid w:val="00045183"/>
    <w:rsid w:val="00045675"/>
    <w:rsid w:val="000456D4"/>
    <w:rsid w:val="000458D8"/>
    <w:rsid w:val="000464F1"/>
    <w:rsid w:val="000464FC"/>
    <w:rsid w:val="00046A63"/>
    <w:rsid w:val="00046B5D"/>
    <w:rsid w:val="0004706C"/>
    <w:rsid w:val="00050C2E"/>
    <w:rsid w:val="00051A06"/>
    <w:rsid w:val="000520E5"/>
    <w:rsid w:val="00052296"/>
    <w:rsid w:val="000530AE"/>
    <w:rsid w:val="00053448"/>
    <w:rsid w:val="00053479"/>
    <w:rsid w:val="00053530"/>
    <w:rsid w:val="00053DC9"/>
    <w:rsid w:val="00053E1F"/>
    <w:rsid w:val="000543B1"/>
    <w:rsid w:val="00054868"/>
    <w:rsid w:val="00054E60"/>
    <w:rsid w:val="000550A4"/>
    <w:rsid w:val="00055580"/>
    <w:rsid w:val="00055B95"/>
    <w:rsid w:val="00055DBA"/>
    <w:rsid w:val="00056044"/>
    <w:rsid w:val="00056165"/>
    <w:rsid w:val="0005627F"/>
    <w:rsid w:val="0005633C"/>
    <w:rsid w:val="00056952"/>
    <w:rsid w:val="00056A68"/>
    <w:rsid w:val="00056C0B"/>
    <w:rsid w:val="00057136"/>
    <w:rsid w:val="0005732A"/>
    <w:rsid w:val="00057576"/>
    <w:rsid w:val="000575F3"/>
    <w:rsid w:val="00060065"/>
    <w:rsid w:val="00060403"/>
    <w:rsid w:val="000612CA"/>
    <w:rsid w:val="000616EB"/>
    <w:rsid w:val="000617E6"/>
    <w:rsid w:val="00062044"/>
    <w:rsid w:val="00062786"/>
    <w:rsid w:val="00062AB1"/>
    <w:rsid w:val="00062EDD"/>
    <w:rsid w:val="00062FE8"/>
    <w:rsid w:val="00063840"/>
    <w:rsid w:val="00063E68"/>
    <w:rsid w:val="00063EC6"/>
    <w:rsid w:val="00063FA6"/>
    <w:rsid w:val="00064567"/>
    <w:rsid w:val="000646C8"/>
    <w:rsid w:val="0006493D"/>
    <w:rsid w:val="0006511F"/>
    <w:rsid w:val="0006536D"/>
    <w:rsid w:val="0006537E"/>
    <w:rsid w:val="00065468"/>
    <w:rsid w:val="00065700"/>
    <w:rsid w:val="00065928"/>
    <w:rsid w:val="00065B6C"/>
    <w:rsid w:val="0006626C"/>
    <w:rsid w:val="000667F4"/>
    <w:rsid w:val="00066FAC"/>
    <w:rsid w:val="00067052"/>
    <w:rsid w:val="00067E3C"/>
    <w:rsid w:val="0007031C"/>
    <w:rsid w:val="00071064"/>
    <w:rsid w:val="00071245"/>
    <w:rsid w:val="000716A7"/>
    <w:rsid w:val="000720BE"/>
    <w:rsid w:val="00072FAE"/>
    <w:rsid w:val="000731E2"/>
    <w:rsid w:val="00073D95"/>
    <w:rsid w:val="00074CC4"/>
    <w:rsid w:val="000755D0"/>
    <w:rsid w:val="00075DB4"/>
    <w:rsid w:val="000761CB"/>
    <w:rsid w:val="000761F6"/>
    <w:rsid w:val="0007640E"/>
    <w:rsid w:val="000770E3"/>
    <w:rsid w:val="0007760D"/>
    <w:rsid w:val="0007763E"/>
    <w:rsid w:val="000777F0"/>
    <w:rsid w:val="00077C12"/>
    <w:rsid w:val="00077EC1"/>
    <w:rsid w:val="00077FDA"/>
    <w:rsid w:val="000806B3"/>
    <w:rsid w:val="00080888"/>
    <w:rsid w:val="00081080"/>
    <w:rsid w:val="00081085"/>
    <w:rsid w:val="00081DCF"/>
    <w:rsid w:val="00081E47"/>
    <w:rsid w:val="00081F9E"/>
    <w:rsid w:val="0008230B"/>
    <w:rsid w:val="000826E6"/>
    <w:rsid w:val="00082930"/>
    <w:rsid w:val="00083063"/>
    <w:rsid w:val="000830D8"/>
    <w:rsid w:val="000832BB"/>
    <w:rsid w:val="00083954"/>
    <w:rsid w:val="00084030"/>
    <w:rsid w:val="00085131"/>
    <w:rsid w:val="000856B7"/>
    <w:rsid w:val="00085A21"/>
    <w:rsid w:val="000860E9"/>
    <w:rsid w:val="00086485"/>
    <w:rsid w:val="00086793"/>
    <w:rsid w:val="00086A7B"/>
    <w:rsid w:val="0008700C"/>
    <w:rsid w:val="000871B3"/>
    <w:rsid w:val="000877FF"/>
    <w:rsid w:val="00087F98"/>
    <w:rsid w:val="00090370"/>
    <w:rsid w:val="00090827"/>
    <w:rsid w:val="00090DA5"/>
    <w:rsid w:val="00090F03"/>
    <w:rsid w:val="00091228"/>
    <w:rsid w:val="0009243D"/>
    <w:rsid w:val="00092450"/>
    <w:rsid w:val="0009248E"/>
    <w:rsid w:val="00092C82"/>
    <w:rsid w:val="00092E56"/>
    <w:rsid w:val="00093CCA"/>
    <w:rsid w:val="00093CE1"/>
    <w:rsid w:val="0009418C"/>
    <w:rsid w:val="00094228"/>
    <w:rsid w:val="00094774"/>
    <w:rsid w:val="00094A11"/>
    <w:rsid w:val="00094C64"/>
    <w:rsid w:val="0009528F"/>
    <w:rsid w:val="000953DC"/>
    <w:rsid w:val="00096384"/>
    <w:rsid w:val="00096565"/>
    <w:rsid w:val="000965E5"/>
    <w:rsid w:val="00096E70"/>
    <w:rsid w:val="00097339"/>
    <w:rsid w:val="000977B1"/>
    <w:rsid w:val="000A04D5"/>
    <w:rsid w:val="000A0686"/>
    <w:rsid w:val="000A0AF9"/>
    <w:rsid w:val="000A15D1"/>
    <w:rsid w:val="000A15D6"/>
    <w:rsid w:val="000A17AA"/>
    <w:rsid w:val="000A1F1C"/>
    <w:rsid w:val="000A3172"/>
    <w:rsid w:val="000A4198"/>
    <w:rsid w:val="000A4927"/>
    <w:rsid w:val="000A4B44"/>
    <w:rsid w:val="000A4EBE"/>
    <w:rsid w:val="000A5206"/>
    <w:rsid w:val="000A5547"/>
    <w:rsid w:val="000A557A"/>
    <w:rsid w:val="000A5D03"/>
    <w:rsid w:val="000A5E86"/>
    <w:rsid w:val="000A5F84"/>
    <w:rsid w:val="000A678A"/>
    <w:rsid w:val="000A6C9E"/>
    <w:rsid w:val="000A6E02"/>
    <w:rsid w:val="000A7003"/>
    <w:rsid w:val="000A7585"/>
    <w:rsid w:val="000A75EB"/>
    <w:rsid w:val="000A763A"/>
    <w:rsid w:val="000A788F"/>
    <w:rsid w:val="000A7D17"/>
    <w:rsid w:val="000A7E09"/>
    <w:rsid w:val="000B01B4"/>
    <w:rsid w:val="000B16D0"/>
    <w:rsid w:val="000B16FD"/>
    <w:rsid w:val="000B18CC"/>
    <w:rsid w:val="000B19A0"/>
    <w:rsid w:val="000B22BD"/>
    <w:rsid w:val="000B2649"/>
    <w:rsid w:val="000B3302"/>
    <w:rsid w:val="000B33AB"/>
    <w:rsid w:val="000B3663"/>
    <w:rsid w:val="000B3A0D"/>
    <w:rsid w:val="000B4550"/>
    <w:rsid w:val="000B5105"/>
    <w:rsid w:val="000B5A08"/>
    <w:rsid w:val="000B641D"/>
    <w:rsid w:val="000B6A63"/>
    <w:rsid w:val="000B6DBC"/>
    <w:rsid w:val="000B7084"/>
    <w:rsid w:val="000B7095"/>
    <w:rsid w:val="000B70E1"/>
    <w:rsid w:val="000B7A3A"/>
    <w:rsid w:val="000B7B41"/>
    <w:rsid w:val="000B7B44"/>
    <w:rsid w:val="000B7C3E"/>
    <w:rsid w:val="000C0393"/>
    <w:rsid w:val="000C03D2"/>
    <w:rsid w:val="000C03EF"/>
    <w:rsid w:val="000C0787"/>
    <w:rsid w:val="000C0B07"/>
    <w:rsid w:val="000C1396"/>
    <w:rsid w:val="000C1AC9"/>
    <w:rsid w:val="000C264A"/>
    <w:rsid w:val="000C2667"/>
    <w:rsid w:val="000C2B0C"/>
    <w:rsid w:val="000C3DE6"/>
    <w:rsid w:val="000C4055"/>
    <w:rsid w:val="000C424E"/>
    <w:rsid w:val="000C44B3"/>
    <w:rsid w:val="000C497A"/>
    <w:rsid w:val="000C583D"/>
    <w:rsid w:val="000C5A2E"/>
    <w:rsid w:val="000C5E15"/>
    <w:rsid w:val="000C611B"/>
    <w:rsid w:val="000C6485"/>
    <w:rsid w:val="000C67B6"/>
    <w:rsid w:val="000C6E88"/>
    <w:rsid w:val="000C70A3"/>
    <w:rsid w:val="000C72C2"/>
    <w:rsid w:val="000C7A7C"/>
    <w:rsid w:val="000C7CA6"/>
    <w:rsid w:val="000D02DA"/>
    <w:rsid w:val="000D038C"/>
    <w:rsid w:val="000D1469"/>
    <w:rsid w:val="000D14ED"/>
    <w:rsid w:val="000D17B5"/>
    <w:rsid w:val="000D1E98"/>
    <w:rsid w:val="000D2380"/>
    <w:rsid w:val="000D343A"/>
    <w:rsid w:val="000D567F"/>
    <w:rsid w:val="000D56A4"/>
    <w:rsid w:val="000D5778"/>
    <w:rsid w:val="000D5ABC"/>
    <w:rsid w:val="000D5F29"/>
    <w:rsid w:val="000D650E"/>
    <w:rsid w:val="000D6688"/>
    <w:rsid w:val="000D6753"/>
    <w:rsid w:val="000D6773"/>
    <w:rsid w:val="000D6AEE"/>
    <w:rsid w:val="000D6C62"/>
    <w:rsid w:val="000D72BF"/>
    <w:rsid w:val="000D7331"/>
    <w:rsid w:val="000D7E20"/>
    <w:rsid w:val="000D7E9E"/>
    <w:rsid w:val="000D7F71"/>
    <w:rsid w:val="000E02DB"/>
    <w:rsid w:val="000E0631"/>
    <w:rsid w:val="000E0EC0"/>
    <w:rsid w:val="000E0ED4"/>
    <w:rsid w:val="000E2259"/>
    <w:rsid w:val="000E2603"/>
    <w:rsid w:val="000E39A5"/>
    <w:rsid w:val="000E4147"/>
    <w:rsid w:val="000E50A0"/>
    <w:rsid w:val="000E527E"/>
    <w:rsid w:val="000E5661"/>
    <w:rsid w:val="000E5A65"/>
    <w:rsid w:val="000E5EAD"/>
    <w:rsid w:val="000E6277"/>
    <w:rsid w:val="000E67B1"/>
    <w:rsid w:val="000E6B37"/>
    <w:rsid w:val="000E6D5C"/>
    <w:rsid w:val="000E6E0B"/>
    <w:rsid w:val="000E6E9A"/>
    <w:rsid w:val="000E7144"/>
    <w:rsid w:val="000E7180"/>
    <w:rsid w:val="000E76AB"/>
    <w:rsid w:val="000E7856"/>
    <w:rsid w:val="000E7902"/>
    <w:rsid w:val="000E7A62"/>
    <w:rsid w:val="000E7E45"/>
    <w:rsid w:val="000E7F5E"/>
    <w:rsid w:val="000F04E4"/>
    <w:rsid w:val="000F05FF"/>
    <w:rsid w:val="000F0A76"/>
    <w:rsid w:val="000F0CB1"/>
    <w:rsid w:val="000F0FB2"/>
    <w:rsid w:val="000F0FBD"/>
    <w:rsid w:val="000F2951"/>
    <w:rsid w:val="000F2F4D"/>
    <w:rsid w:val="000F35AB"/>
    <w:rsid w:val="000F3C23"/>
    <w:rsid w:val="000F3FD9"/>
    <w:rsid w:val="000F452C"/>
    <w:rsid w:val="000F4F21"/>
    <w:rsid w:val="000F5A53"/>
    <w:rsid w:val="000F5B12"/>
    <w:rsid w:val="000F65C5"/>
    <w:rsid w:val="000F6847"/>
    <w:rsid w:val="000F6FF4"/>
    <w:rsid w:val="000F7123"/>
    <w:rsid w:val="000F735B"/>
    <w:rsid w:val="000F73C3"/>
    <w:rsid w:val="000F7470"/>
    <w:rsid w:val="000F7743"/>
    <w:rsid w:val="000F7952"/>
    <w:rsid w:val="00100201"/>
    <w:rsid w:val="00100765"/>
    <w:rsid w:val="00100F0C"/>
    <w:rsid w:val="001013D4"/>
    <w:rsid w:val="00101668"/>
    <w:rsid w:val="00102275"/>
    <w:rsid w:val="00102A5C"/>
    <w:rsid w:val="00102DEB"/>
    <w:rsid w:val="00102E9B"/>
    <w:rsid w:val="0010304E"/>
    <w:rsid w:val="00103242"/>
    <w:rsid w:val="001032DB"/>
    <w:rsid w:val="0010380B"/>
    <w:rsid w:val="00103AF5"/>
    <w:rsid w:val="00104C36"/>
    <w:rsid w:val="00104E05"/>
    <w:rsid w:val="00105470"/>
    <w:rsid w:val="00105473"/>
    <w:rsid w:val="0010555C"/>
    <w:rsid w:val="001057F3"/>
    <w:rsid w:val="00105A91"/>
    <w:rsid w:val="00105CBB"/>
    <w:rsid w:val="00106028"/>
    <w:rsid w:val="0010656F"/>
    <w:rsid w:val="001067E0"/>
    <w:rsid w:val="001076CA"/>
    <w:rsid w:val="00107781"/>
    <w:rsid w:val="00107A0C"/>
    <w:rsid w:val="00107B05"/>
    <w:rsid w:val="00107D3D"/>
    <w:rsid w:val="00107E8B"/>
    <w:rsid w:val="001103DE"/>
    <w:rsid w:val="00110639"/>
    <w:rsid w:val="001110A1"/>
    <w:rsid w:val="00112120"/>
    <w:rsid w:val="00113051"/>
    <w:rsid w:val="0011429B"/>
    <w:rsid w:val="001142BD"/>
    <w:rsid w:val="0011473D"/>
    <w:rsid w:val="0011489D"/>
    <w:rsid w:val="00114C48"/>
    <w:rsid w:val="00114FC3"/>
    <w:rsid w:val="00115090"/>
    <w:rsid w:val="00115625"/>
    <w:rsid w:val="00115786"/>
    <w:rsid w:val="00116017"/>
    <w:rsid w:val="001166F1"/>
    <w:rsid w:val="0011713C"/>
    <w:rsid w:val="00117C4F"/>
    <w:rsid w:val="00117CCB"/>
    <w:rsid w:val="00117F54"/>
    <w:rsid w:val="00120190"/>
    <w:rsid w:val="001206CF"/>
    <w:rsid w:val="0012071A"/>
    <w:rsid w:val="00120EFF"/>
    <w:rsid w:val="00121035"/>
    <w:rsid w:val="00121142"/>
    <w:rsid w:val="00121D26"/>
    <w:rsid w:val="00121E32"/>
    <w:rsid w:val="00122C07"/>
    <w:rsid w:val="00122C93"/>
    <w:rsid w:val="001237BA"/>
    <w:rsid w:val="00123A51"/>
    <w:rsid w:val="0012421D"/>
    <w:rsid w:val="00124628"/>
    <w:rsid w:val="001247CE"/>
    <w:rsid w:val="0012489D"/>
    <w:rsid w:val="001249F1"/>
    <w:rsid w:val="00124D36"/>
    <w:rsid w:val="0012528F"/>
    <w:rsid w:val="001253D1"/>
    <w:rsid w:val="001257E9"/>
    <w:rsid w:val="00125B30"/>
    <w:rsid w:val="00125B53"/>
    <w:rsid w:val="00126014"/>
    <w:rsid w:val="001263F1"/>
    <w:rsid w:val="00126FBE"/>
    <w:rsid w:val="0012729C"/>
    <w:rsid w:val="001302DA"/>
    <w:rsid w:val="001308BA"/>
    <w:rsid w:val="00131169"/>
    <w:rsid w:val="001313A2"/>
    <w:rsid w:val="0013181C"/>
    <w:rsid w:val="0013185A"/>
    <w:rsid w:val="001318A9"/>
    <w:rsid w:val="00131AAE"/>
    <w:rsid w:val="0013235B"/>
    <w:rsid w:val="00132BE2"/>
    <w:rsid w:val="001333FE"/>
    <w:rsid w:val="00133B74"/>
    <w:rsid w:val="00133CA8"/>
    <w:rsid w:val="00133D90"/>
    <w:rsid w:val="00133E0E"/>
    <w:rsid w:val="0013494F"/>
    <w:rsid w:val="001349D2"/>
    <w:rsid w:val="00134C31"/>
    <w:rsid w:val="00134C3C"/>
    <w:rsid w:val="00135059"/>
    <w:rsid w:val="00135407"/>
    <w:rsid w:val="00135B74"/>
    <w:rsid w:val="00135CDF"/>
    <w:rsid w:val="00135F59"/>
    <w:rsid w:val="001360B8"/>
    <w:rsid w:val="00136675"/>
    <w:rsid w:val="0013667E"/>
    <w:rsid w:val="00136D69"/>
    <w:rsid w:val="00137571"/>
    <w:rsid w:val="00137A05"/>
    <w:rsid w:val="00137E99"/>
    <w:rsid w:val="001408B7"/>
    <w:rsid w:val="00142125"/>
    <w:rsid w:val="00142D12"/>
    <w:rsid w:val="0014323E"/>
    <w:rsid w:val="00144091"/>
    <w:rsid w:val="00144389"/>
    <w:rsid w:val="001446D9"/>
    <w:rsid w:val="00144BE2"/>
    <w:rsid w:val="00144CBA"/>
    <w:rsid w:val="001451D7"/>
    <w:rsid w:val="00145719"/>
    <w:rsid w:val="00145EBB"/>
    <w:rsid w:val="00145FB0"/>
    <w:rsid w:val="00145FCC"/>
    <w:rsid w:val="00146580"/>
    <w:rsid w:val="001467EB"/>
    <w:rsid w:val="00146F42"/>
    <w:rsid w:val="001503F5"/>
    <w:rsid w:val="001508A3"/>
    <w:rsid w:val="00150A6A"/>
    <w:rsid w:val="00151089"/>
    <w:rsid w:val="00151265"/>
    <w:rsid w:val="0015138E"/>
    <w:rsid w:val="00151918"/>
    <w:rsid w:val="0015196B"/>
    <w:rsid w:val="00152081"/>
    <w:rsid w:val="00152713"/>
    <w:rsid w:val="001527A4"/>
    <w:rsid w:val="00152F13"/>
    <w:rsid w:val="0015329D"/>
    <w:rsid w:val="00155632"/>
    <w:rsid w:val="00155861"/>
    <w:rsid w:val="001558E9"/>
    <w:rsid w:val="001559C8"/>
    <w:rsid w:val="00155B16"/>
    <w:rsid w:val="00155B85"/>
    <w:rsid w:val="0015643E"/>
    <w:rsid w:val="001565CC"/>
    <w:rsid w:val="00156637"/>
    <w:rsid w:val="00156B84"/>
    <w:rsid w:val="00156DD4"/>
    <w:rsid w:val="00156E62"/>
    <w:rsid w:val="00156EE0"/>
    <w:rsid w:val="00160660"/>
    <w:rsid w:val="0016196A"/>
    <w:rsid w:val="00161C3C"/>
    <w:rsid w:val="00161E87"/>
    <w:rsid w:val="0016289B"/>
    <w:rsid w:val="00162996"/>
    <w:rsid w:val="00162AE3"/>
    <w:rsid w:val="00163642"/>
    <w:rsid w:val="00163657"/>
    <w:rsid w:val="00163EFE"/>
    <w:rsid w:val="00163FE4"/>
    <w:rsid w:val="001645C5"/>
    <w:rsid w:val="00164E2E"/>
    <w:rsid w:val="001650E2"/>
    <w:rsid w:val="00165B3B"/>
    <w:rsid w:val="00165DB6"/>
    <w:rsid w:val="001665F9"/>
    <w:rsid w:val="001666D0"/>
    <w:rsid w:val="00166D73"/>
    <w:rsid w:val="00167070"/>
    <w:rsid w:val="0016708A"/>
    <w:rsid w:val="001670B7"/>
    <w:rsid w:val="0016780A"/>
    <w:rsid w:val="00167ED9"/>
    <w:rsid w:val="00170570"/>
    <w:rsid w:val="00170725"/>
    <w:rsid w:val="00170733"/>
    <w:rsid w:val="00170A67"/>
    <w:rsid w:val="00170C94"/>
    <w:rsid w:val="00170D74"/>
    <w:rsid w:val="00170F9A"/>
    <w:rsid w:val="0017133B"/>
    <w:rsid w:val="0017146E"/>
    <w:rsid w:val="001716F9"/>
    <w:rsid w:val="00172908"/>
    <w:rsid w:val="0017317B"/>
    <w:rsid w:val="00173201"/>
    <w:rsid w:val="001743E6"/>
    <w:rsid w:val="00174440"/>
    <w:rsid w:val="00174607"/>
    <w:rsid w:val="00174FB9"/>
    <w:rsid w:val="00175240"/>
    <w:rsid w:val="00175601"/>
    <w:rsid w:val="0017570A"/>
    <w:rsid w:val="001759BD"/>
    <w:rsid w:val="001767F7"/>
    <w:rsid w:val="00177302"/>
    <w:rsid w:val="001773DC"/>
    <w:rsid w:val="001777E4"/>
    <w:rsid w:val="00177C89"/>
    <w:rsid w:val="00177D15"/>
    <w:rsid w:val="001804E2"/>
    <w:rsid w:val="00181534"/>
    <w:rsid w:val="00182116"/>
    <w:rsid w:val="00182BED"/>
    <w:rsid w:val="001831E4"/>
    <w:rsid w:val="00183549"/>
    <w:rsid w:val="00183AB0"/>
    <w:rsid w:val="00183C68"/>
    <w:rsid w:val="00183E74"/>
    <w:rsid w:val="00184012"/>
    <w:rsid w:val="001841F1"/>
    <w:rsid w:val="001842C0"/>
    <w:rsid w:val="00184339"/>
    <w:rsid w:val="00184541"/>
    <w:rsid w:val="001847E9"/>
    <w:rsid w:val="00184BCC"/>
    <w:rsid w:val="00185E8C"/>
    <w:rsid w:val="00186204"/>
    <w:rsid w:val="001863EB"/>
    <w:rsid w:val="00186E2A"/>
    <w:rsid w:val="00186F8E"/>
    <w:rsid w:val="00187377"/>
    <w:rsid w:val="001874BF"/>
    <w:rsid w:val="00187509"/>
    <w:rsid w:val="00187517"/>
    <w:rsid w:val="001875CE"/>
    <w:rsid w:val="001876AD"/>
    <w:rsid w:val="00187C1F"/>
    <w:rsid w:val="001905A4"/>
    <w:rsid w:val="001905B2"/>
    <w:rsid w:val="0019062D"/>
    <w:rsid w:val="00190942"/>
    <w:rsid w:val="0019098D"/>
    <w:rsid w:val="00190B01"/>
    <w:rsid w:val="00190CED"/>
    <w:rsid w:val="00191046"/>
    <w:rsid w:val="001912FC"/>
    <w:rsid w:val="00191895"/>
    <w:rsid w:val="001919FE"/>
    <w:rsid w:val="00191AAD"/>
    <w:rsid w:val="001923E5"/>
    <w:rsid w:val="00192A45"/>
    <w:rsid w:val="00192C71"/>
    <w:rsid w:val="00192D50"/>
    <w:rsid w:val="00193842"/>
    <w:rsid w:val="00193F03"/>
    <w:rsid w:val="001945A8"/>
    <w:rsid w:val="00194C22"/>
    <w:rsid w:val="00195272"/>
    <w:rsid w:val="00195424"/>
    <w:rsid w:val="00195A3F"/>
    <w:rsid w:val="00196A24"/>
    <w:rsid w:val="00196E10"/>
    <w:rsid w:val="001972D7"/>
    <w:rsid w:val="00197725"/>
    <w:rsid w:val="00197752"/>
    <w:rsid w:val="0019779E"/>
    <w:rsid w:val="001978D8"/>
    <w:rsid w:val="00197E6A"/>
    <w:rsid w:val="001A0387"/>
    <w:rsid w:val="001A04D4"/>
    <w:rsid w:val="001A078F"/>
    <w:rsid w:val="001A0CDB"/>
    <w:rsid w:val="001A0DEA"/>
    <w:rsid w:val="001A0E05"/>
    <w:rsid w:val="001A1101"/>
    <w:rsid w:val="001A11B0"/>
    <w:rsid w:val="001A1BA2"/>
    <w:rsid w:val="001A27F5"/>
    <w:rsid w:val="001A2E3B"/>
    <w:rsid w:val="001A339B"/>
    <w:rsid w:val="001A3523"/>
    <w:rsid w:val="001A37C9"/>
    <w:rsid w:val="001A3D1C"/>
    <w:rsid w:val="001A4381"/>
    <w:rsid w:val="001A48E8"/>
    <w:rsid w:val="001A4B06"/>
    <w:rsid w:val="001A4B57"/>
    <w:rsid w:val="001A4CC1"/>
    <w:rsid w:val="001A4FC0"/>
    <w:rsid w:val="001A50A2"/>
    <w:rsid w:val="001A5139"/>
    <w:rsid w:val="001A5AE9"/>
    <w:rsid w:val="001A6253"/>
    <w:rsid w:val="001A6672"/>
    <w:rsid w:val="001A687D"/>
    <w:rsid w:val="001A6A4E"/>
    <w:rsid w:val="001A730D"/>
    <w:rsid w:val="001A73B7"/>
    <w:rsid w:val="001A7650"/>
    <w:rsid w:val="001A7930"/>
    <w:rsid w:val="001B0504"/>
    <w:rsid w:val="001B0D39"/>
    <w:rsid w:val="001B144B"/>
    <w:rsid w:val="001B14F9"/>
    <w:rsid w:val="001B1756"/>
    <w:rsid w:val="001B19B3"/>
    <w:rsid w:val="001B1A14"/>
    <w:rsid w:val="001B1CEC"/>
    <w:rsid w:val="001B274A"/>
    <w:rsid w:val="001B2783"/>
    <w:rsid w:val="001B27DB"/>
    <w:rsid w:val="001B27FE"/>
    <w:rsid w:val="001B2E14"/>
    <w:rsid w:val="001B32E2"/>
    <w:rsid w:val="001B41A5"/>
    <w:rsid w:val="001B4379"/>
    <w:rsid w:val="001B4854"/>
    <w:rsid w:val="001B5B95"/>
    <w:rsid w:val="001B6016"/>
    <w:rsid w:val="001B6522"/>
    <w:rsid w:val="001B6532"/>
    <w:rsid w:val="001B6562"/>
    <w:rsid w:val="001B68A9"/>
    <w:rsid w:val="001B68B4"/>
    <w:rsid w:val="001B74D0"/>
    <w:rsid w:val="001B7765"/>
    <w:rsid w:val="001B7C41"/>
    <w:rsid w:val="001C01CD"/>
    <w:rsid w:val="001C0656"/>
    <w:rsid w:val="001C1259"/>
    <w:rsid w:val="001C176D"/>
    <w:rsid w:val="001C1839"/>
    <w:rsid w:val="001C1D80"/>
    <w:rsid w:val="001C20E1"/>
    <w:rsid w:val="001C2119"/>
    <w:rsid w:val="001C2144"/>
    <w:rsid w:val="001C2474"/>
    <w:rsid w:val="001C248A"/>
    <w:rsid w:val="001C3065"/>
    <w:rsid w:val="001C33AF"/>
    <w:rsid w:val="001C3C5E"/>
    <w:rsid w:val="001C3EB0"/>
    <w:rsid w:val="001C430B"/>
    <w:rsid w:val="001C46B6"/>
    <w:rsid w:val="001C49E0"/>
    <w:rsid w:val="001C4C0A"/>
    <w:rsid w:val="001C4E3B"/>
    <w:rsid w:val="001C57E1"/>
    <w:rsid w:val="001C6269"/>
    <w:rsid w:val="001C6364"/>
    <w:rsid w:val="001C6836"/>
    <w:rsid w:val="001C6A70"/>
    <w:rsid w:val="001C6C2C"/>
    <w:rsid w:val="001C6E78"/>
    <w:rsid w:val="001C725E"/>
    <w:rsid w:val="001C72AB"/>
    <w:rsid w:val="001C72FC"/>
    <w:rsid w:val="001C751A"/>
    <w:rsid w:val="001C7948"/>
    <w:rsid w:val="001C7DF6"/>
    <w:rsid w:val="001D024E"/>
    <w:rsid w:val="001D035E"/>
    <w:rsid w:val="001D0502"/>
    <w:rsid w:val="001D08D0"/>
    <w:rsid w:val="001D0A22"/>
    <w:rsid w:val="001D0AB7"/>
    <w:rsid w:val="001D0B17"/>
    <w:rsid w:val="001D0CCD"/>
    <w:rsid w:val="001D0F63"/>
    <w:rsid w:val="001D1078"/>
    <w:rsid w:val="001D1BAE"/>
    <w:rsid w:val="001D21D4"/>
    <w:rsid w:val="001D262C"/>
    <w:rsid w:val="001D2C5A"/>
    <w:rsid w:val="001D321D"/>
    <w:rsid w:val="001D35BD"/>
    <w:rsid w:val="001D3928"/>
    <w:rsid w:val="001D3B10"/>
    <w:rsid w:val="001D40DB"/>
    <w:rsid w:val="001D4904"/>
    <w:rsid w:val="001D5AA1"/>
    <w:rsid w:val="001D6C8E"/>
    <w:rsid w:val="001D716D"/>
    <w:rsid w:val="001D76CA"/>
    <w:rsid w:val="001E03B8"/>
    <w:rsid w:val="001E0522"/>
    <w:rsid w:val="001E0E08"/>
    <w:rsid w:val="001E0EFB"/>
    <w:rsid w:val="001E1464"/>
    <w:rsid w:val="001E1511"/>
    <w:rsid w:val="001E1997"/>
    <w:rsid w:val="001E19AF"/>
    <w:rsid w:val="001E1D3A"/>
    <w:rsid w:val="001E1F72"/>
    <w:rsid w:val="001E2078"/>
    <w:rsid w:val="001E2248"/>
    <w:rsid w:val="001E2E4B"/>
    <w:rsid w:val="001E2EC6"/>
    <w:rsid w:val="001E2ED6"/>
    <w:rsid w:val="001E3198"/>
    <w:rsid w:val="001E3469"/>
    <w:rsid w:val="001E34BC"/>
    <w:rsid w:val="001E3ABB"/>
    <w:rsid w:val="001E3CAC"/>
    <w:rsid w:val="001E3FA9"/>
    <w:rsid w:val="001E4B96"/>
    <w:rsid w:val="001E5314"/>
    <w:rsid w:val="001E553C"/>
    <w:rsid w:val="001E6183"/>
    <w:rsid w:val="001E6BB3"/>
    <w:rsid w:val="001E7058"/>
    <w:rsid w:val="001E788A"/>
    <w:rsid w:val="001E7A38"/>
    <w:rsid w:val="001E7C8D"/>
    <w:rsid w:val="001F00C5"/>
    <w:rsid w:val="001F00CC"/>
    <w:rsid w:val="001F07D8"/>
    <w:rsid w:val="001F0A46"/>
    <w:rsid w:val="001F0B6E"/>
    <w:rsid w:val="001F0DF5"/>
    <w:rsid w:val="001F14DC"/>
    <w:rsid w:val="001F163C"/>
    <w:rsid w:val="001F1CF1"/>
    <w:rsid w:val="001F1D8E"/>
    <w:rsid w:val="001F27A4"/>
    <w:rsid w:val="001F2B41"/>
    <w:rsid w:val="001F2E01"/>
    <w:rsid w:val="001F386C"/>
    <w:rsid w:val="001F4183"/>
    <w:rsid w:val="001F429E"/>
    <w:rsid w:val="001F4AEC"/>
    <w:rsid w:val="001F556B"/>
    <w:rsid w:val="001F5B98"/>
    <w:rsid w:val="001F5C1D"/>
    <w:rsid w:val="001F5E2E"/>
    <w:rsid w:val="001F7143"/>
    <w:rsid w:val="001F7786"/>
    <w:rsid w:val="0020037A"/>
    <w:rsid w:val="00200622"/>
    <w:rsid w:val="002006E0"/>
    <w:rsid w:val="00200F9B"/>
    <w:rsid w:val="00200FFB"/>
    <w:rsid w:val="0020122E"/>
    <w:rsid w:val="00201738"/>
    <w:rsid w:val="00201AAF"/>
    <w:rsid w:val="00202947"/>
    <w:rsid w:val="002030CF"/>
    <w:rsid w:val="00203EF0"/>
    <w:rsid w:val="00204AEE"/>
    <w:rsid w:val="00204E4E"/>
    <w:rsid w:val="00205E7D"/>
    <w:rsid w:val="00205F5E"/>
    <w:rsid w:val="002060F9"/>
    <w:rsid w:val="00206B09"/>
    <w:rsid w:val="00206E08"/>
    <w:rsid w:val="0020703B"/>
    <w:rsid w:val="00207222"/>
    <w:rsid w:val="00207670"/>
    <w:rsid w:val="00207ADD"/>
    <w:rsid w:val="00207BC7"/>
    <w:rsid w:val="00210016"/>
    <w:rsid w:val="002115EB"/>
    <w:rsid w:val="00211632"/>
    <w:rsid w:val="00211720"/>
    <w:rsid w:val="00211763"/>
    <w:rsid w:val="00211B44"/>
    <w:rsid w:val="00211BF7"/>
    <w:rsid w:val="00211EE7"/>
    <w:rsid w:val="00211F48"/>
    <w:rsid w:val="002124B2"/>
    <w:rsid w:val="00212AD9"/>
    <w:rsid w:val="00212C3F"/>
    <w:rsid w:val="00212D06"/>
    <w:rsid w:val="00213385"/>
    <w:rsid w:val="002133C5"/>
    <w:rsid w:val="0021344C"/>
    <w:rsid w:val="00213708"/>
    <w:rsid w:val="002137C7"/>
    <w:rsid w:val="0021385F"/>
    <w:rsid w:val="002139D6"/>
    <w:rsid w:val="002140EA"/>
    <w:rsid w:val="002142CB"/>
    <w:rsid w:val="00214819"/>
    <w:rsid w:val="00214C45"/>
    <w:rsid w:val="00214E5D"/>
    <w:rsid w:val="00214F60"/>
    <w:rsid w:val="002154B2"/>
    <w:rsid w:val="00215831"/>
    <w:rsid w:val="00215F10"/>
    <w:rsid w:val="00215F8C"/>
    <w:rsid w:val="00216D09"/>
    <w:rsid w:val="00216D0C"/>
    <w:rsid w:val="00216D62"/>
    <w:rsid w:val="00217733"/>
    <w:rsid w:val="00217B2E"/>
    <w:rsid w:val="00217CEA"/>
    <w:rsid w:val="0022103C"/>
    <w:rsid w:val="00221612"/>
    <w:rsid w:val="00221A28"/>
    <w:rsid w:val="00221AC2"/>
    <w:rsid w:val="00221B32"/>
    <w:rsid w:val="00221C08"/>
    <w:rsid w:val="0022209F"/>
    <w:rsid w:val="0022214F"/>
    <w:rsid w:val="00222470"/>
    <w:rsid w:val="00222805"/>
    <w:rsid w:val="00222A3A"/>
    <w:rsid w:val="00222A75"/>
    <w:rsid w:val="00222BB9"/>
    <w:rsid w:val="00222C65"/>
    <w:rsid w:val="00222D0B"/>
    <w:rsid w:val="00222EFB"/>
    <w:rsid w:val="002230C9"/>
    <w:rsid w:val="00223D5D"/>
    <w:rsid w:val="002244D4"/>
    <w:rsid w:val="00224A37"/>
    <w:rsid w:val="002254E7"/>
    <w:rsid w:val="002256A0"/>
    <w:rsid w:val="00225C4C"/>
    <w:rsid w:val="00225D79"/>
    <w:rsid w:val="0022611A"/>
    <w:rsid w:val="00226CF0"/>
    <w:rsid w:val="00226D77"/>
    <w:rsid w:val="002271D4"/>
    <w:rsid w:val="00227450"/>
    <w:rsid w:val="00227469"/>
    <w:rsid w:val="002275F2"/>
    <w:rsid w:val="0022775B"/>
    <w:rsid w:val="002278E3"/>
    <w:rsid w:val="002300E0"/>
    <w:rsid w:val="0023120E"/>
    <w:rsid w:val="002313BD"/>
    <w:rsid w:val="002315F2"/>
    <w:rsid w:val="00231E36"/>
    <w:rsid w:val="002328D6"/>
    <w:rsid w:val="0023399F"/>
    <w:rsid w:val="00233C65"/>
    <w:rsid w:val="002354E5"/>
    <w:rsid w:val="00235BF5"/>
    <w:rsid w:val="00235D0C"/>
    <w:rsid w:val="00235DAD"/>
    <w:rsid w:val="00235E7C"/>
    <w:rsid w:val="002361AD"/>
    <w:rsid w:val="002362D3"/>
    <w:rsid w:val="00237087"/>
    <w:rsid w:val="00237200"/>
    <w:rsid w:val="00237FFD"/>
    <w:rsid w:val="00240544"/>
    <w:rsid w:val="0024069E"/>
    <w:rsid w:val="002409D9"/>
    <w:rsid w:val="00240ABD"/>
    <w:rsid w:val="00240AC1"/>
    <w:rsid w:val="00240E20"/>
    <w:rsid w:val="00240E58"/>
    <w:rsid w:val="0024160B"/>
    <w:rsid w:val="0024227B"/>
    <w:rsid w:val="002425B8"/>
    <w:rsid w:val="0024295D"/>
    <w:rsid w:val="00242B45"/>
    <w:rsid w:val="0024390C"/>
    <w:rsid w:val="00243970"/>
    <w:rsid w:val="00243FD2"/>
    <w:rsid w:val="002441C0"/>
    <w:rsid w:val="00244867"/>
    <w:rsid w:val="00244D5F"/>
    <w:rsid w:val="0024571B"/>
    <w:rsid w:val="00245AAC"/>
    <w:rsid w:val="00246843"/>
    <w:rsid w:val="002468DC"/>
    <w:rsid w:val="00246ADC"/>
    <w:rsid w:val="00247E8A"/>
    <w:rsid w:val="00247ED1"/>
    <w:rsid w:val="00247FC5"/>
    <w:rsid w:val="00250BF1"/>
    <w:rsid w:val="002511B1"/>
    <w:rsid w:val="002512C7"/>
    <w:rsid w:val="00251598"/>
    <w:rsid w:val="00251772"/>
    <w:rsid w:val="002517A1"/>
    <w:rsid w:val="00251A7E"/>
    <w:rsid w:val="00251D0E"/>
    <w:rsid w:val="00252797"/>
    <w:rsid w:val="00253046"/>
    <w:rsid w:val="00253250"/>
    <w:rsid w:val="00253734"/>
    <w:rsid w:val="00253BFA"/>
    <w:rsid w:val="00253FA5"/>
    <w:rsid w:val="00254346"/>
    <w:rsid w:val="00254D1D"/>
    <w:rsid w:val="00255EEB"/>
    <w:rsid w:val="00256B44"/>
    <w:rsid w:val="00256F64"/>
    <w:rsid w:val="00257B74"/>
    <w:rsid w:val="00257D61"/>
    <w:rsid w:val="00257DFC"/>
    <w:rsid w:val="002602DF"/>
    <w:rsid w:val="00260929"/>
    <w:rsid w:val="00261D01"/>
    <w:rsid w:val="002620C1"/>
    <w:rsid w:val="002621D7"/>
    <w:rsid w:val="00262324"/>
    <w:rsid w:val="002625B2"/>
    <w:rsid w:val="002625E8"/>
    <w:rsid w:val="002626D7"/>
    <w:rsid w:val="00262C8A"/>
    <w:rsid w:val="00262D3E"/>
    <w:rsid w:val="00262E10"/>
    <w:rsid w:val="00262F51"/>
    <w:rsid w:val="002634D2"/>
    <w:rsid w:val="0026383C"/>
    <w:rsid w:val="002641CA"/>
    <w:rsid w:val="0026483B"/>
    <w:rsid w:val="00264BEB"/>
    <w:rsid w:val="002650AB"/>
    <w:rsid w:val="00265294"/>
    <w:rsid w:val="002657EA"/>
    <w:rsid w:val="0026599E"/>
    <w:rsid w:val="00266182"/>
    <w:rsid w:val="00266184"/>
    <w:rsid w:val="00266850"/>
    <w:rsid w:val="0026734E"/>
    <w:rsid w:val="0026768A"/>
    <w:rsid w:val="00267E4E"/>
    <w:rsid w:val="002707A0"/>
    <w:rsid w:val="00271101"/>
    <w:rsid w:val="00271157"/>
    <w:rsid w:val="00271D60"/>
    <w:rsid w:val="00271DEE"/>
    <w:rsid w:val="00272397"/>
    <w:rsid w:val="0027275B"/>
    <w:rsid w:val="00272999"/>
    <w:rsid w:val="00273525"/>
    <w:rsid w:val="002739DF"/>
    <w:rsid w:val="00274B3E"/>
    <w:rsid w:val="00274C09"/>
    <w:rsid w:val="00274C77"/>
    <w:rsid w:val="00274F35"/>
    <w:rsid w:val="0027514C"/>
    <w:rsid w:val="0027533D"/>
    <w:rsid w:val="00275B0E"/>
    <w:rsid w:val="00275F19"/>
    <w:rsid w:val="0027686C"/>
    <w:rsid w:val="00276BC2"/>
    <w:rsid w:val="00276C5B"/>
    <w:rsid w:val="00277062"/>
    <w:rsid w:val="0027708D"/>
    <w:rsid w:val="002774D9"/>
    <w:rsid w:val="00277B34"/>
    <w:rsid w:val="00277C0E"/>
    <w:rsid w:val="002805CA"/>
    <w:rsid w:val="002810A3"/>
    <w:rsid w:val="0028173B"/>
    <w:rsid w:val="00281F47"/>
    <w:rsid w:val="0028243B"/>
    <w:rsid w:val="0028246C"/>
    <w:rsid w:val="00282680"/>
    <w:rsid w:val="00282DC7"/>
    <w:rsid w:val="00283A6C"/>
    <w:rsid w:val="00283E35"/>
    <w:rsid w:val="00283FD2"/>
    <w:rsid w:val="002855C3"/>
    <w:rsid w:val="002857D0"/>
    <w:rsid w:val="002859C6"/>
    <w:rsid w:val="00285A80"/>
    <w:rsid w:val="00285ACE"/>
    <w:rsid w:val="00285E1A"/>
    <w:rsid w:val="00286249"/>
    <w:rsid w:val="00286361"/>
    <w:rsid w:val="0028665F"/>
    <w:rsid w:val="00287A3D"/>
    <w:rsid w:val="00287AEA"/>
    <w:rsid w:val="0029155C"/>
    <w:rsid w:val="00291933"/>
    <w:rsid w:val="00291D9F"/>
    <w:rsid w:val="00291FD2"/>
    <w:rsid w:val="00292025"/>
    <w:rsid w:val="002926E5"/>
    <w:rsid w:val="0029284E"/>
    <w:rsid w:val="00292E74"/>
    <w:rsid w:val="0029361E"/>
    <w:rsid w:val="002937BF"/>
    <w:rsid w:val="002939B8"/>
    <w:rsid w:val="0029417E"/>
    <w:rsid w:val="00294584"/>
    <w:rsid w:val="0029484C"/>
    <w:rsid w:val="0029489E"/>
    <w:rsid w:val="002948EF"/>
    <w:rsid w:val="00294F08"/>
    <w:rsid w:val="002950E5"/>
    <w:rsid w:val="002957DD"/>
    <w:rsid w:val="0029583A"/>
    <w:rsid w:val="00295CF5"/>
    <w:rsid w:val="00295EB7"/>
    <w:rsid w:val="00296414"/>
    <w:rsid w:val="002966C0"/>
    <w:rsid w:val="00296761"/>
    <w:rsid w:val="00296888"/>
    <w:rsid w:val="002968B7"/>
    <w:rsid w:val="00296ACA"/>
    <w:rsid w:val="002975B7"/>
    <w:rsid w:val="0029767A"/>
    <w:rsid w:val="00297891"/>
    <w:rsid w:val="00297947"/>
    <w:rsid w:val="002979A1"/>
    <w:rsid w:val="002A027D"/>
    <w:rsid w:val="002A078A"/>
    <w:rsid w:val="002A07D2"/>
    <w:rsid w:val="002A111D"/>
    <w:rsid w:val="002A13BB"/>
    <w:rsid w:val="002A1CD0"/>
    <w:rsid w:val="002A21C4"/>
    <w:rsid w:val="002A3244"/>
    <w:rsid w:val="002A32B0"/>
    <w:rsid w:val="002A33D8"/>
    <w:rsid w:val="002A36C0"/>
    <w:rsid w:val="002A3CB9"/>
    <w:rsid w:val="002A4023"/>
    <w:rsid w:val="002A4761"/>
    <w:rsid w:val="002A49A5"/>
    <w:rsid w:val="002A4A2D"/>
    <w:rsid w:val="002A52E9"/>
    <w:rsid w:val="002A54EF"/>
    <w:rsid w:val="002A5979"/>
    <w:rsid w:val="002A59D3"/>
    <w:rsid w:val="002A5C1E"/>
    <w:rsid w:val="002A5D69"/>
    <w:rsid w:val="002A6433"/>
    <w:rsid w:val="002A6690"/>
    <w:rsid w:val="002A689B"/>
    <w:rsid w:val="002A69D6"/>
    <w:rsid w:val="002A746E"/>
    <w:rsid w:val="002A7B5E"/>
    <w:rsid w:val="002B0705"/>
    <w:rsid w:val="002B0A0C"/>
    <w:rsid w:val="002B1933"/>
    <w:rsid w:val="002B1A6B"/>
    <w:rsid w:val="002B1E19"/>
    <w:rsid w:val="002B229B"/>
    <w:rsid w:val="002B3E62"/>
    <w:rsid w:val="002B451A"/>
    <w:rsid w:val="002B5028"/>
    <w:rsid w:val="002B5E8E"/>
    <w:rsid w:val="002B5F39"/>
    <w:rsid w:val="002B6349"/>
    <w:rsid w:val="002B63EC"/>
    <w:rsid w:val="002B65A3"/>
    <w:rsid w:val="002B6951"/>
    <w:rsid w:val="002B6992"/>
    <w:rsid w:val="002B7608"/>
    <w:rsid w:val="002B77E4"/>
    <w:rsid w:val="002B7F70"/>
    <w:rsid w:val="002C022A"/>
    <w:rsid w:val="002C0AD3"/>
    <w:rsid w:val="002C0B94"/>
    <w:rsid w:val="002C0BE6"/>
    <w:rsid w:val="002C0C98"/>
    <w:rsid w:val="002C0E34"/>
    <w:rsid w:val="002C14D9"/>
    <w:rsid w:val="002C16CE"/>
    <w:rsid w:val="002C1E7D"/>
    <w:rsid w:val="002C272E"/>
    <w:rsid w:val="002C2F10"/>
    <w:rsid w:val="002C307E"/>
    <w:rsid w:val="002C3149"/>
    <w:rsid w:val="002C317A"/>
    <w:rsid w:val="002C388E"/>
    <w:rsid w:val="002C3B3E"/>
    <w:rsid w:val="002C4065"/>
    <w:rsid w:val="002C4BD4"/>
    <w:rsid w:val="002C4D7D"/>
    <w:rsid w:val="002C52C6"/>
    <w:rsid w:val="002C53C3"/>
    <w:rsid w:val="002C582B"/>
    <w:rsid w:val="002C58DB"/>
    <w:rsid w:val="002C5BEE"/>
    <w:rsid w:val="002C5F65"/>
    <w:rsid w:val="002C6103"/>
    <w:rsid w:val="002C6268"/>
    <w:rsid w:val="002C656F"/>
    <w:rsid w:val="002C6903"/>
    <w:rsid w:val="002C6A5C"/>
    <w:rsid w:val="002C7295"/>
    <w:rsid w:val="002C7B84"/>
    <w:rsid w:val="002C7BB4"/>
    <w:rsid w:val="002C7E13"/>
    <w:rsid w:val="002D02A5"/>
    <w:rsid w:val="002D0A11"/>
    <w:rsid w:val="002D0B59"/>
    <w:rsid w:val="002D0BAE"/>
    <w:rsid w:val="002D1AA0"/>
    <w:rsid w:val="002D20E8"/>
    <w:rsid w:val="002D2594"/>
    <w:rsid w:val="002D2F91"/>
    <w:rsid w:val="002D32C7"/>
    <w:rsid w:val="002D3667"/>
    <w:rsid w:val="002D3EFC"/>
    <w:rsid w:val="002D4197"/>
    <w:rsid w:val="002D54B8"/>
    <w:rsid w:val="002D5556"/>
    <w:rsid w:val="002D61E4"/>
    <w:rsid w:val="002D65D6"/>
    <w:rsid w:val="002D6604"/>
    <w:rsid w:val="002D6646"/>
    <w:rsid w:val="002D66B3"/>
    <w:rsid w:val="002D77F0"/>
    <w:rsid w:val="002E04F9"/>
    <w:rsid w:val="002E0641"/>
    <w:rsid w:val="002E07EC"/>
    <w:rsid w:val="002E1A5D"/>
    <w:rsid w:val="002E2B19"/>
    <w:rsid w:val="002E300B"/>
    <w:rsid w:val="002E3094"/>
    <w:rsid w:val="002E3496"/>
    <w:rsid w:val="002E3F53"/>
    <w:rsid w:val="002E3F83"/>
    <w:rsid w:val="002E42C3"/>
    <w:rsid w:val="002E4C43"/>
    <w:rsid w:val="002E5145"/>
    <w:rsid w:val="002E541A"/>
    <w:rsid w:val="002E5748"/>
    <w:rsid w:val="002E5D3E"/>
    <w:rsid w:val="002E60C1"/>
    <w:rsid w:val="002E616A"/>
    <w:rsid w:val="002E61DF"/>
    <w:rsid w:val="002E63FF"/>
    <w:rsid w:val="002E65F5"/>
    <w:rsid w:val="002E665A"/>
    <w:rsid w:val="002E6DFB"/>
    <w:rsid w:val="002E6E04"/>
    <w:rsid w:val="002E7193"/>
    <w:rsid w:val="002E7431"/>
    <w:rsid w:val="002E76A1"/>
    <w:rsid w:val="002E78E0"/>
    <w:rsid w:val="002E79DB"/>
    <w:rsid w:val="002E7B47"/>
    <w:rsid w:val="002E7B8D"/>
    <w:rsid w:val="002F009C"/>
    <w:rsid w:val="002F1211"/>
    <w:rsid w:val="002F17EE"/>
    <w:rsid w:val="002F196D"/>
    <w:rsid w:val="002F1B52"/>
    <w:rsid w:val="002F1BC5"/>
    <w:rsid w:val="002F20CB"/>
    <w:rsid w:val="002F232D"/>
    <w:rsid w:val="002F2B02"/>
    <w:rsid w:val="002F30B4"/>
    <w:rsid w:val="002F3602"/>
    <w:rsid w:val="002F36D9"/>
    <w:rsid w:val="002F39CB"/>
    <w:rsid w:val="002F3C6F"/>
    <w:rsid w:val="002F3E5E"/>
    <w:rsid w:val="002F3E80"/>
    <w:rsid w:val="002F40EF"/>
    <w:rsid w:val="002F4A5E"/>
    <w:rsid w:val="002F50A7"/>
    <w:rsid w:val="002F53A1"/>
    <w:rsid w:val="002F549E"/>
    <w:rsid w:val="002F5548"/>
    <w:rsid w:val="002F57E8"/>
    <w:rsid w:val="002F59A9"/>
    <w:rsid w:val="002F59CC"/>
    <w:rsid w:val="002F5A1B"/>
    <w:rsid w:val="002F5E10"/>
    <w:rsid w:val="002F66EB"/>
    <w:rsid w:val="002F67C6"/>
    <w:rsid w:val="002F6956"/>
    <w:rsid w:val="002F6F9C"/>
    <w:rsid w:val="002F75E8"/>
    <w:rsid w:val="002F7806"/>
    <w:rsid w:val="002F7C3E"/>
    <w:rsid w:val="0030038C"/>
    <w:rsid w:val="00300495"/>
    <w:rsid w:val="00301BE7"/>
    <w:rsid w:val="0030219C"/>
    <w:rsid w:val="003024B6"/>
    <w:rsid w:val="00302702"/>
    <w:rsid w:val="00302BC0"/>
    <w:rsid w:val="00302C21"/>
    <w:rsid w:val="003030DB"/>
    <w:rsid w:val="003039A0"/>
    <w:rsid w:val="00303F05"/>
    <w:rsid w:val="0030414F"/>
    <w:rsid w:val="003043DB"/>
    <w:rsid w:val="003048E4"/>
    <w:rsid w:val="00304A2A"/>
    <w:rsid w:val="00304D00"/>
    <w:rsid w:val="00304D6F"/>
    <w:rsid w:val="00304E41"/>
    <w:rsid w:val="003057F7"/>
    <w:rsid w:val="00306506"/>
    <w:rsid w:val="00306BCA"/>
    <w:rsid w:val="00306F73"/>
    <w:rsid w:val="00307230"/>
    <w:rsid w:val="00307A8E"/>
    <w:rsid w:val="0031004A"/>
    <w:rsid w:val="00310254"/>
    <w:rsid w:val="0031064A"/>
    <w:rsid w:val="003109F4"/>
    <w:rsid w:val="00310E4B"/>
    <w:rsid w:val="00310E95"/>
    <w:rsid w:val="00311A40"/>
    <w:rsid w:val="003120FD"/>
    <w:rsid w:val="00312357"/>
    <w:rsid w:val="003126C9"/>
    <w:rsid w:val="003134C4"/>
    <w:rsid w:val="003137C2"/>
    <w:rsid w:val="00313EFB"/>
    <w:rsid w:val="00314C02"/>
    <w:rsid w:val="00314C2D"/>
    <w:rsid w:val="00314C8E"/>
    <w:rsid w:val="00314FD6"/>
    <w:rsid w:val="003154BC"/>
    <w:rsid w:val="0031566A"/>
    <w:rsid w:val="00315703"/>
    <w:rsid w:val="003169DB"/>
    <w:rsid w:val="003170D0"/>
    <w:rsid w:val="00317265"/>
    <w:rsid w:val="00317911"/>
    <w:rsid w:val="00320050"/>
    <w:rsid w:val="003200FE"/>
    <w:rsid w:val="00320A23"/>
    <w:rsid w:val="003211AB"/>
    <w:rsid w:val="0032160B"/>
    <w:rsid w:val="003216F7"/>
    <w:rsid w:val="003217A2"/>
    <w:rsid w:val="003221F9"/>
    <w:rsid w:val="00322FAC"/>
    <w:rsid w:val="00323C68"/>
    <w:rsid w:val="00324D9E"/>
    <w:rsid w:val="00324E2B"/>
    <w:rsid w:val="00325470"/>
    <w:rsid w:val="003255F1"/>
    <w:rsid w:val="00325688"/>
    <w:rsid w:val="00325689"/>
    <w:rsid w:val="003257DA"/>
    <w:rsid w:val="003261A9"/>
    <w:rsid w:val="003267E7"/>
    <w:rsid w:val="00326DA1"/>
    <w:rsid w:val="003271FA"/>
    <w:rsid w:val="0032724A"/>
    <w:rsid w:val="0032730A"/>
    <w:rsid w:val="003273AE"/>
    <w:rsid w:val="003279CC"/>
    <w:rsid w:val="00327B69"/>
    <w:rsid w:val="003303CC"/>
    <w:rsid w:val="00330450"/>
    <w:rsid w:val="00331104"/>
    <w:rsid w:val="00331260"/>
    <w:rsid w:val="003312A6"/>
    <w:rsid w:val="00331536"/>
    <w:rsid w:val="0033176E"/>
    <w:rsid w:val="00331B1C"/>
    <w:rsid w:val="00331E2B"/>
    <w:rsid w:val="00331F6A"/>
    <w:rsid w:val="00331FC2"/>
    <w:rsid w:val="00332673"/>
    <w:rsid w:val="003326E5"/>
    <w:rsid w:val="003327EC"/>
    <w:rsid w:val="003336EC"/>
    <w:rsid w:val="00333995"/>
    <w:rsid w:val="00333BB6"/>
    <w:rsid w:val="00334CF9"/>
    <w:rsid w:val="0033512D"/>
    <w:rsid w:val="00335D0E"/>
    <w:rsid w:val="00335D11"/>
    <w:rsid w:val="00335FA2"/>
    <w:rsid w:val="00336E27"/>
    <w:rsid w:val="003376FF"/>
    <w:rsid w:val="003412AD"/>
    <w:rsid w:val="0034156B"/>
    <w:rsid w:val="00343377"/>
    <w:rsid w:val="00343A33"/>
    <w:rsid w:val="00343B47"/>
    <w:rsid w:val="00343D68"/>
    <w:rsid w:val="003443EB"/>
    <w:rsid w:val="00344443"/>
    <w:rsid w:val="0034452B"/>
    <w:rsid w:val="00345366"/>
    <w:rsid w:val="00346880"/>
    <w:rsid w:val="003473DF"/>
    <w:rsid w:val="003476A9"/>
    <w:rsid w:val="00347853"/>
    <w:rsid w:val="0035009B"/>
    <w:rsid w:val="0035010B"/>
    <w:rsid w:val="00350A9B"/>
    <w:rsid w:val="00350BE2"/>
    <w:rsid w:val="0035118A"/>
    <w:rsid w:val="00351B30"/>
    <w:rsid w:val="00351FBF"/>
    <w:rsid w:val="00351FCA"/>
    <w:rsid w:val="00352225"/>
    <w:rsid w:val="0035235F"/>
    <w:rsid w:val="0035276B"/>
    <w:rsid w:val="00352824"/>
    <w:rsid w:val="00352885"/>
    <w:rsid w:val="003529AA"/>
    <w:rsid w:val="003530EF"/>
    <w:rsid w:val="00353404"/>
    <w:rsid w:val="003538DB"/>
    <w:rsid w:val="003539B4"/>
    <w:rsid w:val="00354A0F"/>
    <w:rsid w:val="00354B63"/>
    <w:rsid w:val="00354BDC"/>
    <w:rsid w:val="00355B43"/>
    <w:rsid w:val="00356016"/>
    <w:rsid w:val="0035679B"/>
    <w:rsid w:val="00356B4F"/>
    <w:rsid w:val="00356C18"/>
    <w:rsid w:val="00356EE3"/>
    <w:rsid w:val="00357F70"/>
    <w:rsid w:val="003609E8"/>
    <w:rsid w:val="00360E0F"/>
    <w:rsid w:val="00361284"/>
    <w:rsid w:val="00361B9E"/>
    <w:rsid w:val="0036300D"/>
    <w:rsid w:val="003632D0"/>
    <w:rsid w:val="00363505"/>
    <w:rsid w:val="00363E0E"/>
    <w:rsid w:val="00364105"/>
    <w:rsid w:val="00364826"/>
    <w:rsid w:val="0036488C"/>
    <w:rsid w:val="0036562F"/>
    <w:rsid w:val="00365FE7"/>
    <w:rsid w:val="0036611E"/>
    <w:rsid w:val="003664E3"/>
    <w:rsid w:val="0036687E"/>
    <w:rsid w:val="00366896"/>
    <w:rsid w:val="00367C01"/>
    <w:rsid w:val="00370167"/>
    <w:rsid w:val="0037039C"/>
    <w:rsid w:val="003712A6"/>
    <w:rsid w:val="00371470"/>
    <w:rsid w:val="00372A33"/>
    <w:rsid w:val="003730A7"/>
    <w:rsid w:val="00373A07"/>
    <w:rsid w:val="00373CA7"/>
    <w:rsid w:val="0037415D"/>
    <w:rsid w:val="0037459B"/>
    <w:rsid w:val="003746E9"/>
    <w:rsid w:val="00375265"/>
    <w:rsid w:val="003752FF"/>
    <w:rsid w:val="0037620A"/>
    <w:rsid w:val="003763A5"/>
    <w:rsid w:val="00376561"/>
    <w:rsid w:val="00376973"/>
    <w:rsid w:val="00377471"/>
    <w:rsid w:val="00380295"/>
    <w:rsid w:val="00380665"/>
    <w:rsid w:val="00380E70"/>
    <w:rsid w:val="0038116C"/>
    <w:rsid w:val="00381289"/>
    <w:rsid w:val="00381599"/>
    <w:rsid w:val="00381844"/>
    <w:rsid w:val="00382523"/>
    <w:rsid w:val="003825BA"/>
    <w:rsid w:val="003825CC"/>
    <w:rsid w:val="00382F18"/>
    <w:rsid w:val="00383D43"/>
    <w:rsid w:val="00384209"/>
    <w:rsid w:val="003844C0"/>
    <w:rsid w:val="0038489B"/>
    <w:rsid w:val="0038494F"/>
    <w:rsid w:val="00384DCB"/>
    <w:rsid w:val="00384E03"/>
    <w:rsid w:val="00384E41"/>
    <w:rsid w:val="00385087"/>
    <w:rsid w:val="003851C0"/>
    <w:rsid w:val="00385657"/>
    <w:rsid w:val="00385884"/>
    <w:rsid w:val="00386B8F"/>
    <w:rsid w:val="00386C3F"/>
    <w:rsid w:val="00386E2D"/>
    <w:rsid w:val="00387171"/>
    <w:rsid w:val="00387249"/>
    <w:rsid w:val="0038739B"/>
    <w:rsid w:val="0038746C"/>
    <w:rsid w:val="0039011E"/>
    <w:rsid w:val="003902E8"/>
    <w:rsid w:val="00390308"/>
    <w:rsid w:val="00390844"/>
    <w:rsid w:val="00390DE0"/>
    <w:rsid w:val="00391099"/>
    <w:rsid w:val="00391842"/>
    <w:rsid w:val="00391EA6"/>
    <w:rsid w:val="00391EB4"/>
    <w:rsid w:val="00393B87"/>
    <w:rsid w:val="00393FE0"/>
    <w:rsid w:val="00394407"/>
    <w:rsid w:val="00394835"/>
    <w:rsid w:val="00394B2A"/>
    <w:rsid w:val="00394CFF"/>
    <w:rsid w:val="00394FF9"/>
    <w:rsid w:val="0039508E"/>
    <w:rsid w:val="00395539"/>
    <w:rsid w:val="00395586"/>
    <w:rsid w:val="00395F41"/>
    <w:rsid w:val="003972E2"/>
    <w:rsid w:val="0039741C"/>
    <w:rsid w:val="003A038C"/>
    <w:rsid w:val="003A0643"/>
    <w:rsid w:val="003A0E14"/>
    <w:rsid w:val="003A102C"/>
    <w:rsid w:val="003A1130"/>
    <w:rsid w:val="003A163B"/>
    <w:rsid w:val="003A1F1F"/>
    <w:rsid w:val="003A224F"/>
    <w:rsid w:val="003A23DE"/>
    <w:rsid w:val="003A3015"/>
    <w:rsid w:val="003A32EB"/>
    <w:rsid w:val="003A3B85"/>
    <w:rsid w:val="003A3BA5"/>
    <w:rsid w:val="003A3CB0"/>
    <w:rsid w:val="003A3E0D"/>
    <w:rsid w:val="003A449A"/>
    <w:rsid w:val="003A467E"/>
    <w:rsid w:val="003A4C37"/>
    <w:rsid w:val="003A50B7"/>
    <w:rsid w:val="003A53C0"/>
    <w:rsid w:val="003A5503"/>
    <w:rsid w:val="003A55EF"/>
    <w:rsid w:val="003A5F78"/>
    <w:rsid w:val="003A61F3"/>
    <w:rsid w:val="003A69C4"/>
    <w:rsid w:val="003A71AF"/>
    <w:rsid w:val="003A7337"/>
    <w:rsid w:val="003A7378"/>
    <w:rsid w:val="003B03B9"/>
    <w:rsid w:val="003B0E41"/>
    <w:rsid w:val="003B0E51"/>
    <w:rsid w:val="003B1AE3"/>
    <w:rsid w:val="003B1B15"/>
    <w:rsid w:val="003B1E84"/>
    <w:rsid w:val="003B20A7"/>
    <w:rsid w:val="003B2294"/>
    <w:rsid w:val="003B2C03"/>
    <w:rsid w:val="003B315D"/>
    <w:rsid w:val="003B3B8A"/>
    <w:rsid w:val="003B3EB5"/>
    <w:rsid w:val="003B3F7A"/>
    <w:rsid w:val="003B4332"/>
    <w:rsid w:val="003B4E24"/>
    <w:rsid w:val="003B4F21"/>
    <w:rsid w:val="003B6DBF"/>
    <w:rsid w:val="003B6F57"/>
    <w:rsid w:val="003B73C7"/>
    <w:rsid w:val="003B7607"/>
    <w:rsid w:val="003B76A4"/>
    <w:rsid w:val="003B784F"/>
    <w:rsid w:val="003B7AAE"/>
    <w:rsid w:val="003C0537"/>
    <w:rsid w:val="003C06FA"/>
    <w:rsid w:val="003C0B15"/>
    <w:rsid w:val="003C0C16"/>
    <w:rsid w:val="003C1806"/>
    <w:rsid w:val="003C1A97"/>
    <w:rsid w:val="003C2556"/>
    <w:rsid w:val="003C25D2"/>
    <w:rsid w:val="003C3581"/>
    <w:rsid w:val="003C3A3F"/>
    <w:rsid w:val="003C3A6D"/>
    <w:rsid w:val="003C4DE4"/>
    <w:rsid w:val="003C564F"/>
    <w:rsid w:val="003C5D27"/>
    <w:rsid w:val="003C5F44"/>
    <w:rsid w:val="003C6704"/>
    <w:rsid w:val="003C6975"/>
    <w:rsid w:val="003C7214"/>
    <w:rsid w:val="003C7A5D"/>
    <w:rsid w:val="003C7C44"/>
    <w:rsid w:val="003D0340"/>
    <w:rsid w:val="003D10B1"/>
    <w:rsid w:val="003D1351"/>
    <w:rsid w:val="003D1F20"/>
    <w:rsid w:val="003D20B8"/>
    <w:rsid w:val="003D2265"/>
    <w:rsid w:val="003D2C1C"/>
    <w:rsid w:val="003D307B"/>
    <w:rsid w:val="003D39E3"/>
    <w:rsid w:val="003D42C7"/>
    <w:rsid w:val="003D43F1"/>
    <w:rsid w:val="003D4864"/>
    <w:rsid w:val="003D4998"/>
    <w:rsid w:val="003D4F15"/>
    <w:rsid w:val="003D5480"/>
    <w:rsid w:val="003D66AE"/>
    <w:rsid w:val="003D67C3"/>
    <w:rsid w:val="003D70F9"/>
    <w:rsid w:val="003D721B"/>
    <w:rsid w:val="003D733C"/>
    <w:rsid w:val="003E0183"/>
    <w:rsid w:val="003E0588"/>
    <w:rsid w:val="003E07F0"/>
    <w:rsid w:val="003E08EC"/>
    <w:rsid w:val="003E0EE9"/>
    <w:rsid w:val="003E1652"/>
    <w:rsid w:val="003E1C29"/>
    <w:rsid w:val="003E1E61"/>
    <w:rsid w:val="003E2038"/>
    <w:rsid w:val="003E213E"/>
    <w:rsid w:val="003E2180"/>
    <w:rsid w:val="003E2565"/>
    <w:rsid w:val="003E2617"/>
    <w:rsid w:val="003E295C"/>
    <w:rsid w:val="003E2C2A"/>
    <w:rsid w:val="003E2D6E"/>
    <w:rsid w:val="003E3260"/>
    <w:rsid w:val="003E35B9"/>
    <w:rsid w:val="003E3664"/>
    <w:rsid w:val="003E3CB2"/>
    <w:rsid w:val="003E3DDF"/>
    <w:rsid w:val="003E3FA2"/>
    <w:rsid w:val="003E4367"/>
    <w:rsid w:val="003E46FA"/>
    <w:rsid w:val="003E4B86"/>
    <w:rsid w:val="003E4C00"/>
    <w:rsid w:val="003E4C0E"/>
    <w:rsid w:val="003E4F15"/>
    <w:rsid w:val="003E4FA8"/>
    <w:rsid w:val="003E50B4"/>
    <w:rsid w:val="003E5368"/>
    <w:rsid w:val="003E5719"/>
    <w:rsid w:val="003E5847"/>
    <w:rsid w:val="003E58A7"/>
    <w:rsid w:val="003E5A34"/>
    <w:rsid w:val="003E684D"/>
    <w:rsid w:val="003E7072"/>
    <w:rsid w:val="003E71C5"/>
    <w:rsid w:val="003E7439"/>
    <w:rsid w:val="003E7635"/>
    <w:rsid w:val="003E7F8E"/>
    <w:rsid w:val="003F0BAD"/>
    <w:rsid w:val="003F0F01"/>
    <w:rsid w:val="003F12DD"/>
    <w:rsid w:val="003F133A"/>
    <w:rsid w:val="003F1809"/>
    <w:rsid w:val="003F1A9D"/>
    <w:rsid w:val="003F1DA2"/>
    <w:rsid w:val="003F212C"/>
    <w:rsid w:val="003F2687"/>
    <w:rsid w:val="003F2722"/>
    <w:rsid w:val="003F2F16"/>
    <w:rsid w:val="003F35FB"/>
    <w:rsid w:val="003F3624"/>
    <w:rsid w:val="003F4E9A"/>
    <w:rsid w:val="003F4ED2"/>
    <w:rsid w:val="003F5400"/>
    <w:rsid w:val="003F5500"/>
    <w:rsid w:val="003F5BEB"/>
    <w:rsid w:val="003F5DA8"/>
    <w:rsid w:val="003F64C9"/>
    <w:rsid w:val="003F6DAC"/>
    <w:rsid w:val="003F7563"/>
    <w:rsid w:val="003F77EC"/>
    <w:rsid w:val="003F7827"/>
    <w:rsid w:val="003F7CD2"/>
    <w:rsid w:val="003F7DD9"/>
    <w:rsid w:val="003F7E22"/>
    <w:rsid w:val="0040081D"/>
    <w:rsid w:val="004008A3"/>
    <w:rsid w:val="00400974"/>
    <w:rsid w:val="00400A49"/>
    <w:rsid w:val="00400DC8"/>
    <w:rsid w:val="00401079"/>
    <w:rsid w:val="00401B91"/>
    <w:rsid w:val="0040201A"/>
    <w:rsid w:val="0040207E"/>
    <w:rsid w:val="00403678"/>
    <w:rsid w:val="004037D1"/>
    <w:rsid w:val="0040456A"/>
    <w:rsid w:val="00404B83"/>
    <w:rsid w:val="00404C41"/>
    <w:rsid w:val="00404C61"/>
    <w:rsid w:val="00404D61"/>
    <w:rsid w:val="004059BD"/>
    <w:rsid w:val="00406494"/>
    <w:rsid w:val="004068A1"/>
    <w:rsid w:val="0040697B"/>
    <w:rsid w:val="0040720B"/>
    <w:rsid w:val="00407278"/>
    <w:rsid w:val="004079F4"/>
    <w:rsid w:val="00407A39"/>
    <w:rsid w:val="00410124"/>
    <w:rsid w:val="00410221"/>
    <w:rsid w:val="00410517"/>
    <w:rsid w:val="004105AA"/>
    <w:rsid w:val="00410C83"/>
    <w:rsid w:val="004112AC"/>
    <w:rsid w:val="00411759"/>
    <w:rsid w:val="00411B27"/>
    <w:rsid w:val="00411CF0"/>
    <w:rsid w:val="00411F48"/>
    <w:rsid w:val="004128ED"/>
    <w:rsid w:val="00412F60"/>
    <w:rsid w:val="00412FBD"/>
    <w:rsid w:val="00413D54"/>
    <w:rsid w:val="00414127"/>
    <w:rsid w:val="00414642"/>
    <w:rsid w:val="004148CD"/>
    <w:rsid w:val="00415172"/>
    <w:rsid w:val="00415E31"/>
    <w:rsid w:val="00415E64"/>
    <w:rsid w:val="00415EC6"/>
    <w:rsid w:val="0041621F"/>
    <w:rsid w:val="00416448"/>
    <w:rsid w:val="0041652C"/>
    <w:rsid w:val="0041662A"/>
    <w:rsid w:val="00416FF7"/>
    <w:rsid w:val="00417948"/>
    <w:rsid w:val="00420144"/>
    <w:rsid w:val="004209A6"/>
    <w:rsid w:val="00420C50"/>
    <w:rsid w:val="0042129B"/>
    <w:rsid w:val="00421326"/>
    <w:rsid w:val="004217B7"/>
    <w:rsid w:val="00421822"/>
    <w:rsid w:val="00421C68"/>
    <w:rsid w:val="004221A7"/>
    <w:rsid w:val="004223CF"/>
    <w:rsid w:val="004224A4"/>
    <w:rsid w:val="00422A1A"/>
    <w:rsid w:val="00422B1F"/>
    <w:rsid w:val="00422C1D"/>
    <w:rsid w:val="004231F7"/>
    <w:rsid w:val="00423669"/>
    <w:rsid w:val="004236FE"/>
    <w:rsid w:val="0042383A"/>
    <w:rsid w:val="00424275"/>
    <w:rsid w:val="00424E2D"/>
    <w:rsid w:val="00424EEB"/>
    <w:rsid w:val="004252D8"/>
    <w:rsid w:val="004255C2"/>
    <w:rsid w:val="00426097"/>
    <w:rsid w:val="0042688F"/>
    <w:rsid w:val="00426B6E"/>
    <w:rsid w:val="00426CD5"/>
    <w:rsid w:val="00426D86"/>
    <w:rsid w:val="00427382"/>
    <w:rsid w:val="004276C4"/>
    <w:rsid w:val="00427A0C"/>
    <w:rsid w:val="00427F5D"/>
    <w:rsid w:val="00427FAE"/>
    <w:rsid w:val="00430974"/>
    <w:rsid w:val="00430EF6"/>
    <w:rsid w:val="00430F5E"/>
    <w:rsid w:val="004316D5"/>
    <w:rsid w:val="004316F9"/>
    <w:rsid w:val="00431CE7"/>
    <w:rsid w:val="0043295C"/>
    <w:rsid w:val="00433F24"/>
    <w:rsid w:val="00434305"/>
    <w:rsid w:val="0043477D"/>
    <w:rsid w:val="0043499C"/>
    <w:rsid w:val="00434FD2"/>
    <w:rsid w:val="0043540C"/>
    <w:rsid w:val="004354E2"/>
    <w:rsid w:val="00436117"/>
    <w:rsid w:val="00436DF0"/>
    <w:rsid w:val="0043708F"/>
    <w:rsid w:val="0043716A"/>
    <w:rsid w:val="004371CC"/>
    <w:rsid w:val="004375AE"/>
    <w:rsid w:val="00437A24"/>
    <w:rsid w:val="00437D25"/>
    <w:rsid w:val="00440C9A"/>
    <w:rsid w:val="00440D13"/>
    <w:rsid w:val="004412D5"/>
    <w:rsid w:val="00441D9D"/>
    <w:rsid w:val="0044217B"/>
    <w:rsid w:val="00442DDB"/>
    <w:rsid w:val="004434ED"/>
    <w:rsid w:val="00443515"/>
    <w:rsid w:val="004438D0"/>
    <w:rsid w:val="00443A53"/>
    <w:rsid w:val="004443AF"/>
    <w:rsid w:val="00444C82"/>
    <w:rsid w:val="00444DFF"/>
    <w:rsid w:val="00445081"/>
    <w:rsid w:val="004450AB"/>
    <w:rsid w:val="004455CC"/>
    <w:rsid w:val="00445B7C"/>
    <w:rsid w:val="00446045"/>
    <w:rsid w:val="00446231"/>
    <w:rsid w:val="00446386"/>
    <w:rsid w:val="00447285"/>
    <w:rsid w:val="0044746E"/>
    <w:rsid w:val="00447577"/>
    <w:rsid w:val="004476B0"/>
    <w:rsid w:val="00447B18"/>
    <w:rsid w:val="00447E38"/>
    <w:rsid w:val="0045010C"/>
    <w:rsid w:val="0045017B"/>
    <w:rsid w:val="00450211"/>
    <w:rsid w:val="004505CA"/>
    <w:rsid w:val="00450934"/>
    <w:rsid w:val="004511A9"/>
    <w:rsid w:val="004512E4"/>
    <w:rsid w:val="00451548"/>
    <w:rsid w:val="004519B3"/>
    <w:rsid w:val="00451A42"/>
    <w:rsid w:val="00451CF5"/>
    <w:rsid w:val="00452496"/>
    <w:rsid w:val="00452B31"/>
    <w:rsid w:val="00452B9C"/>
    <w:rsid w:val="00453E78"/>
    <w:rsid w:val="00453F8D"/>
    <w:rsid w:val="00453FD6"/>
    <w:rsid w:val="00454342"/>
    <w:rsid w:val="00454794"/>
    <w:rsid w:val="00454D12"/>
    <w:rsid w:val="00454DD8"/>
    <w:rsid w:val="0045585A"/>
    <w:rsid w:val="00455F4A"/>
    <w:rsid w:val="0045613D"/>
    <w:rsid w:val="004566D9"/>
    <w:rsid w:val="00456B02"/>
    <w:rsid w:val="004572FF"/>
    <w:rsid w:val="00457348"/>
    <w:rsid w:val="00457391"/>
    <w:rsid w:val="00457670"/>
    <w:rsid w:val="00457706"/>
    <w:rsid w:val="00460902"/>
    <w:rsid w:val="0046091A"/>
    <w:rsid w:val="00460955"/>
    <w:rsid w:val="00460DEB"/>
    <w:rsid w:val="004615FD"/>
    <w:rsid w:val="00461FDE"/>
    <w:rsid w:val="004625B0"/>
    <w:rsid w:val="00462AA0"/>
    <w:rsid w:val="00462CF3"/>
    <w:rsid w:val="00462D39"/>
    <w:rsid w:val="00462D3E"/>
    <w:rsid w:val="004630AA"/>
    <w:rsid w:val="004631FE"/>
    <w:rsid w:val="00463CB5"/>
    <w:rsid w:val="00463E2C"/>
    <w:rsid w:val="00464224"/>
    <w:rsid w:val="00464B3E"/>
    <w:rsid w:val="00465009"/>
    <w:rsid w:val="00465417"/>
    <w:rsid w:val="004656B0"/>
    <w:rsid w:val="0046593F"/>
    <w:rsid w:val="00465EDD"/>
    <w:rsid w:val="00466741"/>
    <w:rsid w:val="00466909"/>
    <w:rsid w:val="004669D4"/>
    <w:rsid w:val="00466AA9"/>
    <w:rsid w:val="0046720A"/>
    <w:rsid w:val="004676A4"/>
    <w:rsid w:val="00467754"/>
    <w:rsid w:val="00467BE0"/>
    <w:rsid w:val="00467C16"/>
    <w:rsid w:val="00467EA8"/>
    <w:rsid w:val="0047003C"/>
    <w:rsid w:val="00470110"/>
    <w:rsid w:val="0047049E"/>
    <w:rsid w:val="004704FB"/>
    <w:rsid w:val="0047050F"/>
    <w:rsid w:val="00471605"/>
    <w:rsid w:val="00471701"/>
    <w:rsid w:val="00471FF8"/>
    <w:rsid w:val="004722DC"/>
    <w:rsid w:val="00472492"/>
    <w:rsid w:val="0047371E"/>
    <w:rsid w:val="004740B3"/>
    <w:rsid w:val="004748A5"/>
    <w:rsid w:val="00474CB4"/>
    <w:rsid w:val="0047502D"/>
    <w:rsid w:val="0047517F"/>
    <w:rsid w:val="00475346"/>
    <w:rsid w:val="00475523"/>
    <w:rsid w:val="004761ED"/>
    <w:rsid w:val="00476314"/>
    <w:rsid w:val="00476539"/>
    <w:rsid w:val="004767B3"/>
    <w:rsid w:val="00476C34"/>
    <w:rsid w:val="00476EDC"/>
    <w:rsid w:val="00476F0C"/>
    <w:rsid w:val="00476F0F"/>
    <w:rsid w:val="00477028"/>
    <w:rsid w:val="00477962"/>
    <w:rsid w:val="00477B0A"/>
    <w:rsid w:val="004800DE"/>
    <w:rsid w:val="00480166"/>
    <w:rsid w:val="004801CC"/>
    <w:rsid w:val="004802A1"/>
    <w:rsid w:val="00480713"/>
    <w:rsid w:val="00480AF0"/>
    <w:rsid w:val="00481696"/>
    <w:rsid w:val="00481900"/>
    <w:rsid w:val="0048285C"/>
    <w:rsid w:val="0048298F"/>
    <w:rsid w:val="00483BD2"/>
    <w:rsid w:val="00484117"/>
    <w:rsid w:val="004846F5"/>
    <w:rsid w:val="004849C3"/>
    <w:rsid w:val="00485806"/>
    <w:rsid w:val="00485815"/>
    <w:rsid w:val="00485E14"/>
    <w:rsid w:val="0048658C"/>
    <w:rsid w:val="0048766B"/>
    <w:rsid w:val="00490821"/>
    <w:rsid w:val="00490BED"/>
    <w:rsid w:val="0049121E"/>
    <w:rsid w:val="004913D3"/>
    <w:rsid w:val="004918F7"/>
    <w:rsid w:val="00491B70"/>
    <w:rsid w:val="00491DBA"/>
    <w:rsid w:val="00491E78"/>
    <w:rsid w:val="004928A6"/>
    <w:rsid w:val="00492DAA"/>
    <w:rsid w:val="0049346D"/>
    <w:rsid w:val="00493644"/>
    <w:rsid w:val="004936B3"/>
    <w:rsid w:val="00493BCD"/>
    <w:rsid w:val="00493C2A"/>
    <w:rsid w:val="00493CB8"/>
    <w:rsid w:val="00493DC0"/>
    <w:rsid w:val="0049416F"/>
    <w:rsid w:val="004943BD"/>
    <w:rsid w:val="004947CD"/>
    <w:rsid w:val="00494888"/>
    <w:rsid w:val="004957AB"/>
    <w:rsid w:val="004966DF"/>
    <w:rsid w:val="004968D7"/>
    <w:rsid w:val="00496B16"/>
    <w:rsid w:val="00496B7E"/>
    <w:rsid w:val="00496DA9"/>
    <w:rsid w:val="00497AB5"/>
    <w:rsid w:val="00497FC8"/>
    <w:rsid w:val="004A02F7"/>
    <w:rsid w:val="004A124E"/>
    <w:rsid w:val="004A1741"/>
    <w:rsid w:val="004A1760"/>
    <w:rsid w:val="004A2678"/>
    <w:rsid w:val="004A2AD2"/>
    <w:rsid w:val="004A349D"/>
    <w:rsid w:val="004A37E0"/>
    <w:rsid w:val="004A397D"/>
    <w:rsid w:val="004A3CAA"/>
    <w:rsid w:val="004A4361"/>
    <w:rsid w:val="004A46F3"/>
    <w:rsid w:val="004A4B2E"/>
    <w:rsid w:val="004A4F26"/>
    <w:rsid w:val="004A513E"/>
    <w:rsid w:val="004A5615"/>
    <w:rsid w:val="004A5701"/>
    <w:rsid w:val="004A579A"/>
    <w:rsid w:val="004A57BA"/>
    <w:rsid w:val="004A598D"/>
    <w:rsid w:val="004A5C4D"/>
    <w:rsid w:val="004A625C"/>
    <w:rsid w:val="004A6EE1"/>
    <w:rsid w:val="004A71D8"/>
    <w:rsid w:val="004A71D9"/>
    <w:rsid w:val="004A793F"/>
    <w:rsid w:val="004B02FC"/>
    <w:rsid w:val="004B13B3"/>
    <w:rsid w:val="004B1484"/>
    <w:rsid w:val="004B1764"/>
    <w:rsid w:val="004B1E82"/>
    <w:rsid w:val="004B1F6A"/>
    <w:rsid w:val="004B2C7F"/>
    <w:rsid w:val="004B30BE"/>
    <w:rsid w:val="004B33D6"/>
    <w:rsid w:val="004B34A2"/>
    <w:rsid w:val="004B3AED"/>
    <w:rsid w:val="004B3B87"/>
    <w:rsid w:val="004B4503"/>
    <w:rsid w:val="004B48C9"/>
    <w:rsid w:val="004B4AA5"/>
    <w:rsid w:val="004B4B3E"/>
    <w:rsid w:val="004B5003"/>
    <w:rsid w:val="004B576F"/>
    <w:rsid w:val="004B6293"/>
    <w:rsid w:val="004B6412"/>
    <w:rsid w:val="004B6751"/>
    <w:rsid w:val="004C0F64"/>
    <w:rsid w:val="004C1114"/>
    <w:rsid w:val="004C11F8"/>
    <w:rsid w:val="004C1502"/>
    <w:rsid w:val="004C1F75"/>
    <w:rsid w:val="004C2010"/>
    <w:rsid w:val="004C262A"/>
    <w:rsid w:val="004C2E4B"/>
    <w:rsid w:val="004C2EA6"/>
    <w:rsid w:val="004C2EEB"/>
    <w:rsid w:val="004C3085"/>
    <w:rsid w:val="004C34A9"/>
    <w:rsid w:val="004C36A5"/>
    <w:rsid w:val="004C44B8"/>
    <w:rsid w:val="004C469D"/>
    <w:rsid w:val="004C4A69"/>
    <w:rsid w:val="004C537B"/>
    <w:rsid w:val="004C5551"/>
    <w:rsid w:val="004C56A3"/>
    <w:rsid w:val="004C6309"/>
    <w:rsid w:val="004C6A57"/>
    <w:rsid w:val="004C72F8"/>
    <w:rsid w:val="004C76EE"/>
    <w:rsid w:val="004C7CA3"/>
    <w:rsid w:val="004C7CD7"/>
    <w:rsid w:val="004D0A6E"/>
    <w:rsid w:val="004D1150"/>
    <w:rsid w:val="004D17D6"/>
    <w:rsid w:val="004D224F"/>
    <w:rsid w:val="004D2CAB"/>
    <w:rsid w:val="004D2EB5"/>
    <w:rsid w:val="004D350C"/>
    <w:rsid w:val="004D38C9"/>
    <w:rsid w:val="004D3F99"/>
    <w:rsid w:val="004D3FF6"/>
    <w:rsid w:val="004D473A"/>
    <w:rsid w:val="004D4E7A"/>
    <w:rsid w:val="004D4EC7"/>
    <w:rsid w:val="004D4F13"/>
    <w:rsid w:val="004D50B2"/>
    <w:rsid w:val="004D533C"/>
    <w:rsid w:val="004D5E20"/>
    <w:rsid w:val="004D6735"/>
    <w:rsid w:val="004D6E2D"/>
    <w:rsid w:val="004D6FA9"/>
    <w:rsid w:val="004D701B"/>
    <w:rsid w:val="004D7937"/>
    <w:rsid w:val="004D7CBC"/>
    <w:rsid w:val="004D7D46"/>
    <w:rsid w:val="004D7D67"/>
    <w:rsid w:val="004D7D9D"/>
    <w:rsid w:val="004E03B0"/>
    <w:rsid w:val="004E0772"/>
    <w:rsid w:val="004E0833"/>
    <w:rsid w:val="004E0AEC"/>
    <w:rsid w:val="004E0B26"/>
    <w:rsid w:val="004E0B64"/>
    <w:rsid w:val="004E0E6B"/>
    <w:rsid w:val="004E1540"/>
    <w:rsid w:val="004E171F"/>
    <w:rsid w:val="004E1A7F"/>
    <w:rsid w:val="004E2218"/>
    <w:rsid w:val="004E28C2"/>
    <w:rsid w:val="004E2E77"/>
    <w:rsid w:val="004E3049"/>
    <w:rsid w:val="004E3123"/>
    <w:rsid w:val="004E3486"/>
    <w:rsid w:val="004E35AB"/>
    <w:rsid w:val="004E39EC"/>
    <w:rsid w:val="004E4D0C"/>
    <w:rsid w:val="004E538E"/>
    <w:rsid w:val="004E53DA"/>
    <w:rsid w:val="004E5758"/>
    <w:rsid w:val="004E5CFE"/>
    <w:rsid w:val="004E5E07"/>
    <w:rsid w:val="004E61CD"/>
    <w:rsid w:val="004E6265"/>
    <w:rsid w:val="004E637E"/>
    <w:rsid w:val="004E6B58"/>
    <w:rsid w:val="004E6EBA"/>
    <w:rsid w:val="004E7042"/>
    <w:rsid w:val="004E7907"/>
    <w:rsid w:val="004E796D"/>
    <w:rsid w:val="004E7E4A"/>
    <w:rsid w:val="004E7EAC"/>
    <w:rsid w:val="004F01A7"/>
    <w:rsid w:val="004F033C"/>
    <w:rsid w:val="004F052C"/>
    <w:rsid w:val="004F0BD7"/>
    <w:rsid w:val="004F170C"/>
    <w:rsid w:val="004F1CCD"/>
    <w:rsid w:val="004F1DAB"/>
    <w:rsid w:val="004F1EA0"/>
    <w:rsid w:val="004F22F5"/>
    <w:rsid w:val="004F24D2"/>
    <w:rsid w:val="004F24EF"/>
    <w:rsid w:val="004F2CAA"/>
    <w:rsid w:val="004F3385"/>
    <w:rsid w:val="004F3B06"/>
    <w:rsid w:val="004F3C97"/>
    <w:rsid w:val="004F3EF0"/>
    <w:rsid w:val="004F41B4"/>
    <w:rsid w:val="004F4324"/>
    <w:rsid w:val="004F4ABA"/>
    <w:rsid w:val="004F51C7"/>
    <w:rsid w:val="004F56CA"/>
    <w:rsid w:val="004F5862"/>
    <w:rsid w:val="004F58C9"/>
    <w:rsid w:val="004F5A0D"/>
    <w:rsid w:val="004F5C4F"/>
    <w:rsid w:val="004F6703"/>
    <w:rsid w:val="004F6C75"/>
    <w:rsid w:val="004F6CA9"/>
    <w:rsid w:val="004F74AB"/>
    <w:rsid w:val="004F7A1B"/>
    <w:rsid w:val="005005CD"/>
    <w:rsid w:val="005007C6"/>
    <w:rsid w:val="00500D2E"/>
    <w:rsid w:val="00501140"/>
    <w:rsid w:val="005017FB"/>
    <w:rsid w:val="00501A4C"/>
    <w:rsid w:val="00501E3D"/>
    <w:rsid w:val="005022A2"/>
    <w:rsid w:val="00502AAC"/>
    <w:rsid w:val="00502BD4"/>
    <w:rsid w:val="0050353A"/>
    <w:rsid w:val="00504321"/>
    <w:rsid w:val="00504780"/>
    <w:rsid w:val="005048F5"/>
    <w:rsid w:val="00504DAE"/>
    <w:rsid w:val="005051F3"/>
    <w:rsid w:val="00505352"/>
    <w:rsid w:val="005053AE"/>
    <w:rsid w:val="005057D4"/>
    <w:rsid w:val="005057F3"/>
    <w:rsid w:val="00505CDE"/>
    <w:rsid w:val="005072F4"/>
    <w:rsid w:val="00507497"/>
    <w:rsid w:val="00507850"/>
    <w:rsid w:val="00510689"/>
    <w:rsid w:val="0051073C"/>
    <w:rsid w:val="00510A36"/>
    <w:rsid w:val="00510C6E"/>
    <w:rsid w:val="00510DAC"/>
    <w:rsid w:val="00511578"/>
    <w:rsid w:val="00512A23"/>
    <w:rsid w:val="00512F7B"/>
    <w:rsid w:val="0051344F"/>
    <w:rsid w:val="00513480"/>
    <w:rsid w:val="0051350A"/>
    <w:rsid w:val="0051351A"/>
    <w:rsid w:val="00513CF4"/>
    <w:rsid w:val="005140C3"/>
    <w:rsid w:val="005140F1"/>
    <w:rsid w:val="00514727"/>
    <w:rsid w:val="005152B9"/>
    <w:rsid w:val="00515B21"/>
    <w:rsid w:val="00516519"/>
    <w:rsid w:val="00516536"/>
    <w:rsid w:val="005167F5"/>
    <w:rsid w:val="00516E54"/>
    <w:rsid w:val="00517135"/>
    <w:rsid w:val="005173C7"/>
    <w:rsid w:val="00517571"/>
    <w:rsid w:val="0052058F"/>
    <w:rsid w:val="005206BB"/>
    <w:rsid w:val="005206D8"/>
    <w:rsid w:val="00521277"/>
    <w:rsid w:val="00521601"/>
    <w:rsid w:val="00521828"/>
    <w:rsid w:val="00521EAA"/>
    <w:rsid w:val="005224D7"/>
    <w:rsid w:val="00522546"/>
    <w:rsid w:val="00522BAE"/>
    <w:rsid w:val="005237D2"/>
    <w:rsid w:val="005239A1"/>
    <w:rsid w:val="00523C30"/>
    <w:rsid w:val="00523D65"/>
    <w:rsid w:val="005240BE"/>
    <w:rsid w:val="00524394"/>
    <w:rsid w:val="005245FE"/>
    <w:rsid w:val="0052476F"/>
    <w:rsid w:val="005247A8"/>
    <w:rsid w:val="00525884"/>
    <w:rsid w:val="00525D18"/>
    <w:rsid w:val="00526682"/>
    <w:rsid w:val="005266B6"/>
    <w:rsid w:val="0052674D"/>
    <w:rsid w:val="00526970"/>
    <w:rsid w:val="00526BE2"/>
    <w:rsid w:val="00526DA1"/>
    <w:rsid w:val="0052702B"/>
    <w:rsid w:val="00527130"/>
    <w:rsid w:val="005271A5"/>
    <w:rsid w:val="00527EC2"/>
    <w:rsid w:val="00530875"/>
    <w:rsid w:val="005308FD"/>
    <w:rsid w:val="00530C13"/>
    <w:rsid w:val="00530FC7"/>
    <w:rsid w:val="00531124"/>
    <w:rsid w:val="00531441"/>
    <w:rsid w:val="005316B5"/>
    <w:rsid w:val="0053186C"/>
    <w:rsid w:val="00531A70"/>
    <w:rsid w:val="00531B40"/>
    <w:rsid w:val="0053246C"/>
    <w:rsid w:val="0053260B"/>
    <w:rsid w:val="00532681"/>
    <w:rsid w:val="0053273E"/>
    <w:rsid w:val="00532827"/>
    <w:rsid w:val="00533212"/>
    <w:rsid w:val="005334FA"/>
    <w:rsid w:val="005337F2"/>
    <w:rsid w:val="00533A12"/>
    <w:rsid w:val="00533E06"/>
    <w:rsid w:val="005341FF"/>
    <w:rsid w:val="00534902"/>
    <w:rsid w:val="00534AE3"/>
    <w:rsid w:val="00535553"/>
    <w:rsid w:val="0053574A"/>
    <w:rsid w:val="0053629A"/>
    <w:rsid w:val="00536478"/>
    <w:rsid w:val="005365A6"/>
    <w:rsid w:val="005366B0"/>
    <w:rsid w:val="00536EB7"/>
    <w:rsid w:val="005372B8"/>
    <w:rsid w:val="005377FD"/>
    <w:rsid w:val="005378C5"/>
    <w:rsid w:val="0054042F"/>
    <w:rsid w:val="0054050D"/>
    <w:rsid w:val="005405AE"/>
    <w:rsid w:val="005407C3"/>
    <w:rsid w:val="00540C2A"/>
    <w:rsid w:val="00540E1E"/>
    <w:rsid w:val="00541191"/>
    <w:rsid w:val="00541D2F"/>
    <w:rsid w:val="005422AE"/>
    <w:rsid w:val="005422C9"/>
    <w:rsid w:val="005426DD"/>
    <w:rsid w:val="0054295F"/>
    <w:rsid w:val="005429DE"/>
    <w:rsid w:val="00542CD8"/>
    <w:rsid w:val="00543903"/>
    <w:rsid w:val="00543CF2"/>
    <w:rsid w:val="005447A1"/>
    <w:rsid w:val="0054485C"/>
    <w:rsid w:val="00544C89"/>
    <w:rsid w:val="00544CC8"/>
    <w:rsid w:val="005451E4"/>
    <w:rsid w:val="00545270"/>
    <w:rsid w:val="00545BD9"/>
    <w:rsid w:val="0054682A"/>
    <w:rsid w:val="005471AD"/>
    <w:rsid w:val="00547203"/>
    <w:rsid w:val="00550229"/>
    <w:rsid w:val="005521A1"/>
    <w:rsid w:val="00552881"/>
    <w:rsid w:val="00552898"/>
    <w:rsid w:val="00552AB0"/>
    <w:rsid w:val="005532C9"/>
    <w:rsid w:val="00553B34"/>
    <w:rsid w:val="00553CBF"/>
    <w:rsid w:val="00553DC4"/>
    <w:rsid w:val="00553F8F"/>
    <w:rsid w:val="005555BF"/>
    <w:rsid w:val="00555618"/>
    <w:rsid w:val="00555805"/>
    <w:rsid w:val="00555D2B"/>
    <w:rsid w:val="00555F39"/>
    <w:rsid w:val="0055661E"/>
    <w:rsid w:val="00557043"/>
    <w:rsid w:val="0056050E"/>
    <w:rsid w:val="00560B46"/>
    <w:rsid w:val="00561060"/>
    <w:rsid w:val="00561085"/>
    <w:rsid w:val="005618A4"/>
    <w:rsid w:val="0056267A"/>
    <w:rsid w:val="00562882"/>
    <w:rsid w:val="00562B39"/>
    <w:rsid w:val="00562E98"/>
    <w:rsid w:val="00563604"/>
    <w:rsid w:val="00563680"/>
    <w:rsid w:val="00563A0E"/>
    <w:rsid w:val="00563C1D"/>
    <w:rsid w:val="00563E24"/>
    <w:rsid w:val="00564ACE"/>
    <w:rsid w:val="00564BAE"/>
    <w:rsid w:val="0056505F"/>
    <w:rsid w:val="005653F4"/>
    <w:rsid w:val="0056544C"/>
    <w:rsid w:val="00565C13"/>
    <w:rsid w:val="00565FA3"/>
    <w:rsid w:val="00566880"/>
    <w:rsid w:val="005669CA"/>
    <w:rsid w:val="00566AEE"/>
    <w:rsid w:val="00566CD9"/>
    <w:rsid w:val="005670EE"/>
    <w:rsid w:val="00567125"/>
    <w:rsid w:val="005676EF"/>
    <w:rsid w:val="00567BEE"/>
    <w:rsid w:val="005700D9"/>
    <w:rsid w:val="00570ECB"/>
    <w:rsid w:val="00571680"/>
    <w:rsid w:val="00571785"/>
    <w:rsid w:val="00571F74"/>
    <w:rsid w:val="00572231"/>
    <w:rsid w:val="005722E3"/>
    <w:rsid w:val="00573252"/>
    <w:rsid w:val="0057325F"/>
    <w:rsid w:val="0057343D"/>
    <w:rsid w:val="005737D0"/>
    <w:rsid w:val="00573C56"/>
    <w:rsid w:val="005740FD"/>
    <w:rsid w:val="00574185"/>
    <w:rsid w:val="005743A7"/>
    <w:rsid w:val="00574631"/>
    <w:rsid w:val="005747E9"/>
    <w:rsid w:val="00574F57"/>
    <w:rsid w:val="0057513C"/>
    <w:rsid w:val="005751F8"/>
    <w:rsid w:val="005752B1"/>
    <w:rsid w:val="00575B81"/>
    <w:rsid w:val="0057642D"/>
    <w:rsid w:val="0057729E"/>
    <w:rsid w:val="00577310"/>
    <w:rsid w:val="005776DA"/>
    <w:rsid w:val="00577C40"/>
    <w:rsid w:val="00577C9C"/>
    <w:rsid w:val="005807B3"/>
    <w:rsid w:val="005810EA"/>
    <w:rsid w:val="005812E9"/>
    <w:rsid w:val="00581871"/>
    <w:rsid w:val="00581AAF"/>
    <w:rsid w:val="00581B6E"/>
    <w:rsid w:val="00581BBA"/>
    <w:rsid w:val="00581FFD"/>
    <w:rsid w:val="005824DD"/>
    <w:rsid w:val="00582BC2"/>
    <w:rsid w:val="0058317F"/>
    <w:rsid w:val="005845B4"/>
    <w:rsid w:val="00584750"/>
    <w:rsid w:val="00585491"/>
    <w:rsid w:val="005858F6"/>
    <w:rsid w:val="00585BA3"/>
    <w:rsid w:val="00585DD8"/>
    <w:rsid w:val="00585DDD"/>
    <w:rsid w:val="005863FF"/>
    <w:rsid w:val="00586B82"/>
    <w:rsid w:val="00586D1F"/>
    <w:rsid w:val="005879A4"/>
    <w:rsid w:val="00590059"/>
    <w:rsid w:val="00590720"/>
    <w:rsid w:val="00591CC1"/>
    <w:rsid w:val="00591D2E"/>
    <w:rsid w:val="00591FAE"/>
    <w:rsid w:val="005923B3"/>
    <w:rsid w:val="00592637"/>
    <w:rsid w:val="00593202"/>
    <w:rsid w:val="00593366"/>
    <w:rsid w:val="00593759"/>
    <w:rsid w:val="0059435A"/>
    <w:rsid w:val="00594517"/>
    <w:rsid w:val="005949F0"/>
    <w:rsid w:val="00594D58"/>
    <w:rsid w:val="00594FD9"/>
    <w:rsid w:val="0059590A"/>
    <w:rsid w:val="00595D37"/>
    <w:rsid w:val="0059606D"/>
    <w:rsid w:val="00596794"/>
    <w:rsid w:val="0059729B"/>
    <w:rsid w:val="00597418"/>
    <w:rsid w:val="005977E4"/>
    <w:rsid w:val="00597D24"/>
    <w:rsid w:val="005A0012"/>
    <w:rsid w:val="005A0357"/>
    <w:rsid w:val="005A041D"/>
    <w:rsid w:val="005A044D"/>
    <w:rsid w:val="005A0620"/>
    <w:rsid w:val="005A0680"/>
    <w:rsid w:val="005A099E"/>
    <w:rsid w:val="005A0B0A"/>
    <w:rsid w:val="005A0B51"/>
    <w:rsid w:val="005A0C4E"/>
    <w:rsid w:val="005A16E6"/>
    <w:rsid w:val="005A1F04"/>
    <w:rsid w:val="005A2024"/>
    <w:rsid w:val="005A25A5"/>
    <w:rsid w:val="005A2B7D"/>
    <w:rsid w:val="005A2CDB"/>
    <w:rsid w:val="005A3154"/>
    <w:rsid w:val="005A32CB"/>
    <w:rsid w:val="005A36D8"/>
    <w:rsid w:val="005A393C"/>
    <w:rsid w:val="005A3BD2"/>
    <w:rsid w:val="005A48B0"/>
    <w:rsid w:val="005A4D89"/>
    <w:rsid w:val="005A58C7"/>
    <w:rsid w:val="005A5B6B"/>
    <w:rsid w:val="005A5BEE"/>
    <w:rsid w:val="005A606E"/>
    <w:rsid w:val="005A6208"/>
    <w:rsid w:val="005A6424"/>
    <w:rsid w:val="005A6B41"/>
    <w:rsid w:val="005A6ED1"/>
    <w:rsid w:val="005A7023"/>
    <w:rsid w:val="005A71AF"/>
    <w:rsid w:val="005A76BE"/>
    <w:rsid w:val="005A7CB9"/>
    <w:rsid w:val="005A7E62"/>
    <w:rsid w:val="005B042A"/>
    <w:rsid w:val="005B0D16"/>
    <w:rsid w:val="005B1149"/>
    <w:rsid w:val="005B13E0"/>
    <w:rsid w:val="005B1474"/>
    <w:rsid w:val="005B147E"/>
    <w:rsid w:val="005B18F3"/>
    <w:rsid w:val="005B1BF9"/>
    <w:rsid w:val="005B2043"/>
    <w:rsid w:val="005B2361"/>
    <w:rsid w:val="005B23E5"/>
    <w:rsid w:val="005B27BA"/>
    <w:rsid w:val="005B2816"/>
    <w:rsid w:val="005B2958"/>
    <w:rsid w:val="005B2B88"/>
    <w:rsid w:val="005B2E74"/>
    <w:rsid w:val="005B3458"/>
    <w:rsid w:val="005B3B6F"/>
    <w:rsid w:val="005B3C0A"/>
    <w:rsid w:val="005B3E58"/>
    <w:rsid w:val="005B40B9"/>
    <w:rsid w:val="005B43BA"/>
    <w:rsid w:val="005B45FD"/>
    <w:rsid w:val="005B4845"/>
    <w:rsid w:val="005B5246"/>
    <w:rsid w:val="005B5D0A"/>
    <w:rsid w:val="005B5F98"/>
    <w:rsid w:val="005B6607"/>
    <w:rsid w:val="005B6A79"/>
    <w:rsid w:val="005B6AF8"/>
    <w:rsid w:val="005B6B32"/>
    <w:rsid w:val="005B6B9E"/>
    <w:rsid w:val="005B7586"/>
    <w:rsid w:val="005B7C5B"/>
    <w:rsid w:val="005B7DA7"/>
    <w:rsid w:val="005B7E61"/>
    <w:rsid w:val="005C04EB"/>
    <w:rsid w:val="005C09F6"/>
    <w:rsid w:val="005C0A61"/>
    <w:rsid w:val="005C0AC6"/>
    <w:rsid w:val="005C0FAA"/>
    <w:rsid w:val="005C10C1"/>
    <w:rsid w:val="005C1856"/>
    <w:rsid w:val="005C1864"/>
    <w:rsid w:val="005C1F10"/>
    <w:rsid w:val="005C3A6A"/>
    <w:rsid w:val="005C3F4E"/>
    <w:rsid w:val="005C4E8A"/>
    <w:rsid w:val="005C4F14"/>
    <w:rsid w:val="005C5033"/>
    <w:rsid w:val="005C521E"/>
    <w:rsid w:val="005C55BC"/>
    <w:rsid w:val="005C586E"/>
    <w:rsid w:val="005C5989"/>
    <w:rsid w:val="005C5DC2"/>
    <w:rsid w:val="005C5ECF"/>
    <w:rsid w:val="005C64CD"/>
    <w:rsid w:val="005C66A1"/>
    <w:rsid w:val="005C69B2"/>
    <w:rsid w:val="005C7555"/>
    <w:rsid w:val="005C7839"/>
    <w:rsid w:val="005D072F"/>
    <w:rsid w:val="005D0BAA"/>
    <w:rsid w:val="005D0C7B"/>
    <w:rsid w:val="005D0CF6"/>
    <w:rsid w:val="005D1A7A"/>
    <w:rsid w:val="005D1D07"/>
    <w:rsid w:val="005D1EB8"/>
    <w:rsid w:val="005D2316"/>
    <w:rsid w:val="005D253D"/>
    <w:rsid w:val="005D3168"/>
    <w:rsid w:val="005D31AB"/>
    <w:rsid w:val="005D380C"/>
    <w:rsid w:val="005D3DFE"/>
    <w:rsid w:val="005D4A1E"/>
    <w:rsid w:val="005D4AF1"/>
    <w:rsid w:val="005D5115"/>
    <w:rsid w:val="005D52FC"/>
    <w:rsid w:val="005D550D"/>
    <w:rsid w:val="005D575D"/>
    <w:rsid w:val="005D6372"/>
    <w:rsid w:val="005D76B7"/>
    <w:rsid w:val="005D79A2"/>
    <w:rsid w:val="005D79FF"/>
    <w:rsid w:val="005D7A35"/>
    <w:rsid w:val="005D7B89"/>
    <w:rsid w:val="005D7B8C"/>
    <w:rsid w:val="005D7BA8"/>
    <w:rsid w:val="005E03BE"/>
    <w:rsid w:val="005E0FCF"/>
    <w:rsid w:val="005E1101"/>
    <w:rsid w:val="005E11DC"/>
    <w:rsid w:val="005E16F4"/>
    <w:rsid w:val="005E17F8"/>
    <w:rsid w:val="005E1E94"/>
    <w:rsid w:val="005E20F5"/>
    <w:rsid w:val="005E24E1"/>
    <w:rsid w:val="005E2DDD"/>
    <w:rsid w:val="005E356A"/>
    <w:rsid w:val="005E37AE"/>
    <w:rsid w:val="005E3806"/>
    <w:rsid w:val="005E4457"/>
    <w:rsid w:val="005E4C23"/>
    <w:rsid w:val="005E501E"/>
    <w:rsid w:val="005E50E5"/>
    <w:rsid w:val="005E532F"/>
    <w:rsid w:val="005E57E2"/>
    <w:rsid w:val="005E5CAA"/>
    <w:rsid w:val="005E5F93"/>
    <w:rsid w:val="005E70DE"/>
    <w:rsid w:val="005E7942"/>
    <w:rsid w:val="005E7C04"/>
    <w:rsid w:val="005E7C8D"/>
    <w:rsid w:val="005F06FD"/>
    <w:rsid w:val="005F0DC4"/>
    <w:rsid w:val="005F1702"/>
    <w:rsid w:val="005F2654"/>
    <w:rsid w:val="005F2A7C"/>
    <w:rsid w:val="005F302A"/>
    <w:rsid w:val="005F3324"/>
    <w:rsid w:val="005F35AE"/>
    <w:rsid w:val="005F38BB"/>
    <w:rsid w:val="005F5100"/>
    <w:rsid w:val="005F5232"/>
    <w:rsid w:val="005F5AB3"/>
    <w:rsid w:val="005F5B11"/>
    <w:rsid w:val="005F7877"/>
    <w:rsid w:val="005F7DD6"/>
    <w:rsid w:val="005F7F15"/>
    <w:rsid w:val="0060041A"/>
    <w:rsid w:val="0060052F"/>
    <w:rsid w:val="00600686"/>
    <w:rsid w:val="006007B1"/>
    <w:rsid w:val="00600E84"/>
    <w:rsid w:val="006011D8"/>
    <w:rsid w:val="006016C4"/>
    <w:rsid w:val="0060181B"/>
    <w:rsid w:val="00601901"/>
    <w:rsid w:val="00601A66"/>
    <w:rsid w:val="00601C9C"/>
    <w:rsid w:val="00602215"/>
    <w:rsid w:val="006022FE"/>
    <w:rsid w:val="00602B2C"/>
    <w:rsid w:val="00602BDB"/>
    <w:rsid w:val="00603129"/>
    <w:rsid w:val="00603C90"/>
    <w:rsid w:val="006040E2"/>
    <w:rsid w:val="00604A18"/>
    <w:rsid w:val="00604B4C"/>
    <w:rsid w:val="00604DA1"/>
    <w:rsid w:val="00604DF2"/>
    <w:rsid w:val="00605461"/>
    <w:rsid w:val="00605699"/>
    <w:rsid w:val="0060591A"/>
    <w:rsid w:val="00605B25"/>
    <w:rsid w:val="00607054"/>
    <w:rsid w:val="006070A0"/>
    <w:rsid w:val="0060723D"/>
    <w:rsid w:val="0060765A"/>
    <w:rsid w:val="00610307"/>
    <w:rsid w:val="006105F5"/>
    <w:rsid w:val="006119F9"/>
    <w:rsid w:val="00611E9A"/>
    <w:rsid w:val="006122BE"/>
    <w:rsid w:val="00612A46"/>
    <w:rsid w:val="00613021"/>
    <w:rsid w:val="0061311D"/>
    <w:rsid w:val="00613670"/>
    <w:rsid w:val="0061367D"/>
    <w:rsid w:val="00613697"/>
    <w:rsid w:val="006138FA"/>
    <w:rsid w:val="00613B4F"/>
    <w:rsid w:val="00613D59"/>
    <w:rsid w:val="006142BB"/>
    <w:rsid w:val="00614643"/>
    <w:rsid w:val="006147C3"/>
    <w:rsid w:val="00614AF9"/>
    <w:rsid w:val="00615337"/>
    <w:rsid w:val="00615C05"/>
    <w:rsid w:val="0061666D"/>
    <w:rsid w:val="00616E28"/>
    <w:rsid w:val="006170A2"/>
    <w:rsid w:val="0061798E"/>
    <w:rsid w:val="00617CE3"/>
    <w:rsid w:val="00620715"/>
    <w:rsid w:val="00620861"/>
    <w:rsid w:val="00620974"/>
    <w:rsid w:val="006210FC"/>
    <w:rsid w:val="006214B9"/>
    <w:rsid w:val="00621FDA"/>
    <w:rsid w:val="006221E6"/>
    <w:rsid w:val="00623619"/>
    <w:rsid w:val="00623627"/>
    <w:rsid w:val="006240B9"/>
    <w:rsid w:val="0062559A"/>
    <w:rsid w:val="00625967"/>
    <w:rsid w:val="00626154"/>
    <w:rsid w:val="00626CCD"/>
    <w:rsid w:val="00626DFD"/>
    <w:rsid w:val="00626F75"/>
    <w:rsid w:val="00626FDD"/>
    <w:rsid w:val="00627448"/>
    <w:rsid w:val="0062759B"/>
    <w:rsid w:val="006275CE"/>
    <w:rsid w:val="00627A1F"/>
    <w:rsid w:val="00627B73"/>
    <w:rsid w:val="006301B9"/>
    <w:rsid w:val="00630603"/>
    <w:rsid w:val="00630A69"/>
    <w:rsid w:val="00631120"/>
    <w:rsid w:val="006314B2"/>
    <w:rsid w:val="00631AE2"/>
    <w:rsid w:val="006324E5"/>
    <w:rsid w:val="00632C97"/>
    <w:rsid w:val="00632D2A"/>
    <w:rsid w:val="0063309D"/>
    <w:rsid w:val="006333EE"/>
    <w:rsid w:val="0063433C"/>
    <w:rsid w:val="0063442F"/>
    <w:rsid w:val="006349D2"/>
    <w:rsid w:val="00634FC8"/>
    <w:rsid w:val="00635489"/>
    <w:rsid w:val="006354AC"/>
    <w:rsid w:val="00635793"/>
    <w:rsid w:val="00635ECE"/>
    <w:rsid w:val="00636547"/>
    <w:rsid w:val="00636723"/>
    <w:rsid w:val="0063682A"/>
    <w:rsid w:val="006370AC"/>
    <w:rsid w:val="006377F0"/>
    <w:rsid w:val="006403A1"/>
    <w:rsid w:val="00640420"/>
    <w:rsid w:val="00640486"/>
    <w:rsid w:val="0064056C"/>
    <w:rsid w:val="00641072"/>
    <w:rsid w:val="0064107E"/>
    <w:rsid w:val="006416A1"/>
    <w:rsid w:val="0064180A"/>
    <w:rsid w:val="006418DC"/>
    <w:rsid w:val="00641BBF"/>
    <w:rsid w:val="006424EB"/>
    <w:rsid w:val="00642F1F"/>
    <w:rsid w:val="006432F0"/>
    <w:rsid w:val="00643AEE"/>
    <w:rsid w:val="00644211"/>
    <w:rsid w:val="0064462B"/>
    <w:rsid w:val="0064545B"/>
    <w:rsid w:val="00645D99"/>
    <w:rsid w:val="006464B7"/>
    <w:rsid w:val="0064752F"/>
    <w:rsid w:val="006477BB"/>
    <w:rsid w:val="006478C9"/>
    <w:rsid w:val="00647F99"/>
    <w:rsid w:val="00650245"/>
    <w:rsid w:val="006507F4"/>
    <w:rsid w:val="0065095D"/>
    <w:rsid w:val="00650C4E"/>
    <w:rsid w:val="00650C63"/>
    <w:rsid w:val="00650C9C"/>
    <w:rsid w:val="00650CAB"/>
    <w:rsid w:val="00650D1A"/>
    <w:rsid w:val="0065142D"/>
    <w:rsid w:val="006515FE"/>
    <w:rsid w:val="006518DD"/>
    <w:rsid w:val="006519CD"/>
    <w:rsid w:val="006521C1"/>
    <w:rsid w:val="0065224C"/>
    <w:rsid w:val="00652584"/>
    <w:rsid w:val="00652B7C"/>
    <w:rsid w:val="00652F7F"/>
    <w:rsid w:val="00653136"/>
    <w:rsid w:val="006534C7"/>
    <w:rsid w:val="006534E3"/>
    <w:rsid w:val="00653A32"/>
    <w:rsid w:val="00653AB2"/>
    <w:rsid w:val="00653ACC"/>
    <w:rsid w:val="00653D76"/>
    <w:rsid w:val="006540F8"/>
    <w:rsid w:val="0065458B"/>
    <w:rsid w:val="006547E8"/>
    <w:rsid w:val="00655048"/>
    <w:rsid w:val="00655346"/>
    <w:rsid w:val="006556D9"/>
    <w:rsid w:val="00655ED3"/>
    <w:rsid w:val="00655F4E"/>
    <w:rsid w:val="0065625F"/>
    <w:rsid w:val="0065649F"/>
    <w:rsid w:val="006565C5"/>
    <w:rsid w:val="00656B4F"/>
    <w:rsid w:val="00656C70"/>
    <w:rsid w:val="00660815"/>
    <w:rsid w:val="00660853"/>
    <w:rsid w:val="00660ECA"/>
    <w:rsid w:val="00661EDB"/>
    <w:rsid w:val="00661FD1"/>
    <w:rsid w:val="0066206C"/>
    <w:rsid w:val="00662644"/>
    <w:rsid w:val="00662787"/>
    <w:rsid w:val="006637C2"/>
    <w:rsid w:val="0066572C"/>
    <w:rsid w:val="00665BA6"/>
    <w:rsid w:val="00665CD2"/>
    <w:rsid w:val="00667586"/>
    <w:rsid w:val="0066759A"/>
    <w:rsid w:val="00667DF1"/>
    <w:rsid w:val="006700A6"/>
    <w:rsid w:val="0067099E"/>
    <w:rsid w:val="00671272"/>
    <w:rsid w:val="00671F7D"/>
    <w:rsid w:val="00671FB0"/>
    <w:rsid w:val="00672D64"/>
    <w:rsid w:val="00672DA1"/>
    <w:rsid w:val="00673D00"/>
    <w:rsid w:val="00673F6C"/>
    <w:rsid w:val="00674132"/>
    <w:rsid w:val="006743D9"/>
    <w:rsid w:val="00674CEF"/>
    <w:rsid w:val="00674D1A"/>
    <w:rsid w:val="00675498"/>
    <w:rsid w:val="00675B38"/>
    <w:rsid w:val="0067624F"/>
    <w:rsid w:val="006775D8"/>
    <w:rsid w:val="006778B8"/>
    <w:rsid w:val="0068024F"/>
    <w:rsid w:val="006807C3"/>
    <w:rsid w:val="00680814"/>
    <w:rsid w:val="00680FEF"/>
    <w:rsid w:val="006812B6"/>
    <w:rsid w:val="00681694"/>
    <w:rsid w:val="00681702"/>
    <w:rsid w:val="00682050"/>
    <w:rsid w:val="006821B1"/>
    <w:rsid w:val="006821E4"/>
    <w:rsid w:val="006829EC"/>
    <w:rsid w:val="0068324F"/>
    <w:rsid w:val="006832C1"/>
    <w:rsid w:val="00683BD1"/>
    <w:rsid w:val="0068510B"/>
    <w:rsid w:val="00685129"/>
    <w:rsid w:val="00685A6B"/>
    <w:rsid w:val="00685EC9"/>
    <w:rsid w:val="00685F65"/>
    <w:rsid w:val="00686312"/>
    <w:rsid w:val="00686A7E"/>
    <w:rsid w:val="006878E8"/>
    <w:rsid w:val="006879C9"/>
    <w:rsid w:val="00687CE6"/>
    <w:rsid w:val="0069063D"/>
    <w:rsid w:val="00691288"/>
    <w:rsid w:val="00691358"/>
    <w:rsid w:val="006913F2"/>
    <w:rsid w:val="00692BC4"/>
    <w:rsid w:val="00693B38"/>
    <w:rsid w:val="00693CCC"/>
    <w:rsid w:val="00694281"/>
    <w:rsid w:val="0069433F"/>
    <w:rsid w:val="00695084"/>
    <w:rsid w:val="0069525A"/>
    <w:rsid w:val="00695302"/>
    <w:rsid w:val="006955C8"/>
    <w:rsid w:val="00695687"/>
    <w:rsid w:val="00696532"/>
    <w:rsid w:val="00696C83"/>
    <w:rsid w:val="00696CF2"/>
    <w:rsid w:val="00697AB8"/>
    <w:rsid w:val="00697AFA"/>
    <w:rsid w:val="00697C7A"/>
    <w:rsid w:val="006A00FD"/>
    <w:rsid w:val="006A0301"/>
    <w:rsid w:val="006A0583"/>
    <w:rsid w:val="006A0AB9"/>
    <w:rsid w:val="006A0D46"/>
    <w:rsid w:val="006A0D7B"/>
    <w:rsid w:val="006A0D83"/>
    <w:rsid w:val="006A0F7B"/>
    <w:rsid w:val="006A13F1"/>
    <w:rsid w:val="006A1492"/>
    <w:rsid w:val="006A153B"/>
    <w:rsid w:val="006A1957"/>
    <w:rsid w:val="006A1B1E"/>
    <w:rsid w:val="006A1C3C"/>
    <w:rsid w:val="006A2B04"/>
    <w:rsid w:val="006A3329"/>
    <w:rsid w:val="006A421D"/>
    <w:rsid w:val="006A44E7"/>
    <w:rsid w:val="006A4782"/>
    <w:rsid w:val="006A48F4"/>
    <w:rsid w:val="006A494C"/>
    <w:rsid w:val="006A4985"/>
    <w:rsid w:val="006A5C29"/>
    <w:rsid w:val="006A5D53"/>
    <w:rsid w:val="006A631C"/>
    <w:rsid w:val="006A6761"/>
    <w:rsid w:val="006A68DB"/>
    <w:rsid w:val="006A68E2"/>
    <w:rsid w:val="006A6DA4"/>
    <w:rsid w:val="006A6ED3"/>
    <w:rsid w:val="006A6FB2"/>
    <w:rsid w:val="006A7293"/>
    <w:rsid w:val="006A740B"/>
    <w:rsid w:val="006B0A98"/>
    <w:rsid w:val="006B0C16"/>
    <w:rsid w:val="006B105E"/>
    <w:rsid w:val="006B118F"/>
    <w:rsid w:val="006B1AF6"/>
    <w:rsid w:val="006B21EE"/>
    <w:rsid w:val="006B2640"/>
    <w:rsid w:val="006B299C"/>
    <w:rsid w:val="006B2DA6"/>
    <w:rsid w:val="006B40DB"/>
    <w:rsid w:val="006B4237"/>
    <w:rsid w:val="006B4606"/>
    <w:rsid w:val="006B4DF9"/>
    <w:rsid w:val="006B4E43"/>
    <w:rsid w:val="006B4E67"/>
    <w:rsid w:val="006B4FD5"/>
    <w:rsid w:val="006B5050"/>
    <w:rsid w:val="006B60EF"/>
    <w:rsid w:val="006B642E"/>
    <w:rsid w:val="006B64F4"/>
    <w:rsid w:val="006B6C5F"/>
    <w:rsid w:val="006B6CBF"/>
    <w:rsid w:val="006B71FA"/>
    <w:rsid w:val="006B7A01"/>
    <w:rsid w:val="006B7CF8"/>
    <w:rsid w:val="006B7F72"/>
    <w:rsid w:val="006C0074"/>
    <w:rsid w:val="006C0666"/>
    <w:rsid w:val="006C0813"/>
    <w:rsid w:val="006C0D0A"/>
    <w:rsid w:val="006C145B"/>
    <w:rsid w:val="006C1C4F"/>
    <w:rsid w:val="006C1C9A"/>
    <w:rsid w:val="006C27B5"/>
    <w:rsid w:val="006C28A4"/>
    <w:rsid w:val="006C29B8"/>
    <w:rsid w:val="006C2BCF"/>
    <w:rsid w:val="006C34A8"/>
    <w:rsid w:val="006C34F8"/>
    <w:rsid w:val="006C38D8"/>
    <w:rsid w:val="006C4132"/>
    <w:rsid w:val="006C44D9"/>
    <w:rsid w:val="006C4BE9"/>
    <w:rsid w:val="006C4C3C"/>
    <w:rsid w:val="006C5614"/>
    <w:rsid w:val="006C5A68"/>
    <w:rsid w:val="006C6006"/>
    <w:rsid w:val="006C624A"/>
    <w:rsid w:val="006C6492"/>
    <w:rsid w:val="006C7F91"/>
    <w:rsid w:val="006D0272"/>
    <w:rsid w:val="006D0543"/>
    <w:rsid w:val="006D06CB"/>
    <w:rsid w:val="006D06CD"/>
    <w:rsid w:val="006D07E4"/>
    <w:rsid w:val="006D07E5"/>
    <w:rsid w:val="006D1305"/>
    <w:rsid w:val="006D158E"/>
    <w:rsid w:val="006D159A"/>
    <w:rsid w:val="006D16E5"/>
    <w:rsid w:val="006D1822"/>
    <w:rsid w:val="006D1C7C"/>
    <w:rsid w:val="006D1EE3"/>
    <w:rsid w:val="006D210A"/>
    <w:rsid w:val="006D297B"/>
    <w:rsid w:val="006D2A57"/>
    <w:rsid w:val="006D2AA7"/>
    <w:rsid w:val="006D2B9B"/>
    <w:rsid w:val="006D2EE6"/>
    <w:rsid w:val="006D3048"/>
    <w:rsid w:val="006D34FC"/>
    <w:rsid w:val="006D3A23"/>
    <w:rsid w:val="006D3D43"/>
    <w:rsid w:val="006D505C"/>
    <w:rsid w:val="006D5486"/>
    <w:rsid w:val="006D5B80"/>
    <w:rsid w:val="006D61CD"/>
    <w:rsid w:val="006D64B9"/>
    <w:rsid w:val="006D6852"/>
    <w:rsid w:val="006D6B1D"/>
    <w:rsid w:val="006D7744"/>
    <w:rsid w:val="006E0097"/>
    <w:rsid w:val="006E00C3"/>
    <w:rsid w:val="006E04BB"/>
    <w:rsid w:val="006E05C4"/>
    <w:rsid w:val="006E0627"/>
    <w:rsid w:val="006E083C"/>
    <w:rsid w:val="006E08BF"/>
    <w:rsid w:val="006E0FFB"/>
    <w:rsid w:val="006E1A22"/>
    <w:rsid w:val="006E1A96"/>
    <w:rsid w:val="006E1B0C"/>
    <w:rsid w:val="006E1E0D"/>
    <w:rsid w:val="006E2674"/>
    <w:rsid w:val="006E2734"/>
    <w:rsid w:val="006E311B"/>
    <w:rsid w:val="006E338D"/>
    <w:rsid w:val="006E3B18"/>
    <w:rsid w:val="006E3D16"/>
    <w:rsid w:val="006E4482"/>
    <w:rsid w:val="006E51C7"/>
    <w:rsid w:val="006E5280"/>
    <w:rsid w:val="006E57AF"/>
    <w:rsid w:val="006E6048"/>
    <w:rsid w:val="006E616B"/>
    <w:rsid w:val="006E63EB"/>
    <w:rsid w:val="006E6CDD"/>
    <w:rsid w:val="006E72DD"/>
    <w:rsid w:val="006E7338"/>
    <w:rsid w:val="006E7B05"/>
    <w:rsid w:val="006E7B3A"/>
    <w:rsid w:val="006E7C9B"/>
    <w:rsid w:val="006E7D9D"/>
    <w:rsid w:val="006F018E"/>
    <w:rsid w:val="006F050B"/>
    <w:rsid w:val="006F0553"/>
    <w:rsid w:val="006F086C"/>
    <w:rsid w:val="006F0BF6"/>
    <w:rsid w:val="006F10E1"/>
    <w:rsid w:val="006F123D"/>
    <w:rsid w:val="006F12C0"/>
    <w:rsid w:val="006F1304"/>
    <w:rsid w:val="006F1EB4"/>
    <w:rsid w:val="006F285F"/>
    <w:rsid w:val="006F28BD"/>
    <w:rsid w:val="006F2AC6"/>
    <w:rsid w:val="006F2D93"/>
    <w:rsid w:val="006F3062"/>
    <w:rsid w:val="006F3C5F"/>
    <w:rsid w:val="006F40D2"/>
    <w:rsid w:val="006F49AD"/>
    <w:rsid w:val="006F4C4F"/>
    <w:rsid w:val="006F5093"/>
    <w:rsid w:val="006F57A7"/>
    <w:rsid w:val="006F591F"/>
    <w:rsid w:val="006F598D"/>
    <w:rsid w:val="006F6379"/>
    <w:rsid w:val="006F6790"/>
    <w:rsid w:val="006F6AA3"/>
    <w:rsid w:val="006F7217"/>
    <w:rsid w:val="006F7531"/>
    <w:rsid w:val="006F79CB"/>
    <w:rsid w:val="006F7CC2"/>
    <w:rsid w:val="00700BAE"/>
    <w:rsid w:val="00700D38"/>
    <w:rsid w:val="0070127B"/>
    <w:rsid w:val="007013BA"/>
    <w:rsid w:val="00701658"/>
    <w:rsid w:val="007019A8"/>
    <w:rsid w:val="00701A5C"/>
    <w:rsid w:val="00701DF0"/>
    <w:rsid w:val="00701F89"/>
    <w:rsid w:val="007023DE"/>
    <w:rsid w:val="00702594"/>
    <w:rsid w:val="00702871"/>
    <w:rsid w:val="00702A07"/>
    <w:rsid w:val="00702AA7"/>
    <w:rsid w:val="00702BEB"/>
    <w:rsid w:val="00702C0F"/>
    <w:rsid w:val="00702C6B"/>
    <w:rsid w:val="00702FFB"/>
    <w:rsid w:val="0070315E"/>
    <w:rsid w:val="007035AE"/>
    <w:rsid w:val="00703788"/>
    <w:rsid w:val="00703EF4"/>
    <w:rsid w:val="00704644"/>
    <w:rsid w:val="007047A5"/>
    <w:rsid w:val="00704AE3"/>
    <w:rsid w:val="00705255"/>
    <w:rsid w:val="0070536C"/>
    <w:rsid w:val="00705406"/>
    <w:rsid w:val="00705DAB"/>
    <w:rsid w:val="00706665"/>
    <w:rsid w:val="00707322"/>
    <w:rsid w:val="00707560"/>
    <w:rsid w:val="00707770"/>
    <w:rsid w:val="00710601"/>
    <w:rsid w:val="007106C9"/>
    <w:rsid w:val="00710749"/>
    <w:rsid w:val="007108A7"/>
    <w:rsid w:val="007108DC"/>
    <w:rsid w:val="00710BB0"/>
    <w:rsid w:val="00710C9A"/>
    <w:rsid w:val="00711F9F"/>
    <w:rsid w:val="00712741"/>
    <w:rsid w:val="00712A7C"/>
    <w:rsid w:val="00712B7C"/>
    <w:rsid w:val="007130FE"/>
    <w:rsid w:val="00713385"/>
    <w:rsid w:val="00713562"/>
    <w:rsid w:val="007135B3"/>
    <w:rsid w:val="00714037"/>
    <w:rsid w:val="00714721"/>
    <w:rsid w:val="00714745"/>
    <w:rsid w:val="007156DC"/>
    <w:rsid w:val="00715C6F"/>
    <w:rsid w:val="00715DC7"/>
    <w:rsid w:val="00715E48"/>
    <w:rsid w:val="0071607E"/>
    <w:rsid w:val="0071661A"/>
    <w:rsid w:val="00716793"/>
    <w:rsid w:val="00716864"/>
    <w:rsid w:val="00716BDF"/>
    <w:rsid w:val="00720374"/>
    <w:rsid w:val="007203D2"/>
    <w:rsid w:val="00720D30"/>
    <w:rsid w:val="00721235"/>
    <w:rsid w:val="00721415"/>
    <w:rsid w:val="00721F10"/>
    <w:rsid w:val="00722403"/>
    <w:rsid w:val="00722522"/>
    <w:rsid w:val="007237FE"/>
    <w:rsid w:val="00723C93"/>
    <w:rsid w:val="007249E9"/>
    <w:rsid w:val="00724BBF"/>
    <w:rsid w:val="0072514C"/>
    <w:rsid w:val="00725281"/>
    <w:rsid w:val="00725312"/>
    <w:rsid w:val="00725578"/>
    <w:rsid w:val="00725610"/>
    <w:rsid w:val="00726076"/>
    <w:rsid w:val="007261B3"/>
    <w:rsid w:val="00726534"/>
    <w:rsid w:val="00726F5F"/>
    <w:rsid w:val="00727107"/>
    <w:rsid w:val="00730250"/>
    <w:rsid w:val="007309B2"/>
    <w:rsid w:val="007313F9"/>
    <w:rsid w:val="0073162A"/>
    <w:rsid w:val="00731C38"/>
    <w:rsid w:val="00732468"/>
    <w:rsid w:val="00732584"/>
    <w:rsid w:val="0073275C"/>
    <w:rsid w:val="00732802"/>
    <w:rsid w:val="007328C3"/>
    <w:rsid w:val="0073299D"/>
    <w:rsid w:val="00732EDD"/>
    <w:rsid w:val="00733501"/>
    <w:rsid w:val="00733642"/>
    <w:rsid w:val="00733A33"/>
    <w:rsid w:val="00733F86"/>
    <w:rsid w:val="00734209"/>
    <w:rsid w:val="007344C0"/>
    <w:rsid w:val="0073468E"/>
    <w:rsid w:val="00734957"/>
    <w:rsid w:val="00734CE6"/>
    <w:rsid w:val="0073515F"/>
    <w:rsid w:val="00735EB0"/>
    <w:rsid w:val="00736902"/>
    <w:rsid w:val="00736C56"/>
    <w:rsid w:val="00736DE1"/>
    <w:rsid w:val="00736EB4"/>
    <w:rsid w:val="00737125"/>
    <w:rsid w:val="00737497"/>
    <w:rsid w:val="007375A9"/>
    <w:rsid w:val="007375DD"/>
    <w:rsid w:val="007376F5"/>
    <w:rsid w:val="00740D82"/>
    <w:rsid w:val="00740E25"/>
    <w:rsid w:val="00740F8A"/>
    <w:rsid w:val="0074174B"/>
    <w:rsid w:val="00741851"/>
    <w:rsid w:val="007424D1"/>
    <w:rsid w:val="00743140"/>
    <w:rsid w:val="00743193"/>
    <w:rsid w:val="00743503"/>
    <w:rsid w:val="00743C80"/>
    <w:rsid w:val="007443E9"/>
    <w:rsid w:val="007444FD"/>
    <w:rsid w:val="00744B55"/>
    <w:rsid w:val="00744CB9"/>
    <w:rsid w:val="00744EF1"/>
    <w:rsid w:val="007450D7"/>
    <w:rsid w:val="00745112"/>
    <w:rsid w:val="00746317"/>
    <w:rsid w:val="00746341"/>
    <w:rsid w:val="00746575"/>
    <w:rsid w:val="007465D8"/>
    <w:rsid w:val="00746D58"/>
    <w:rsid w:val="00746DFE"/>
    <w:rsid w:val="00747458"/>
    <w:rsid w:val="00747966"/>
    <w:rsid w:val="00750248"/>
    <w:rsid w:val="00750BF8"/>
    <w:rsid w:val="00750DBC"/>
    <w:rsid w:val="00750EC3"/>
    <w:rsid w:val="007511DF"/>
    <w:rsid w:val="007513AD"/>
    <w:rsid w:val="0075187A"/>
    <w:rsid w:val="007518CF"/>
    <w:rsid w:val="00751B16"/>
    <w:rsid w:val="00751BCA"/>
    <w:rsid w:val="00751F5A"/>
    <w:rsid w:val="00752FD8"/>
    <w:rsid w:val="007530FA"/>
    <w:rsid w:val="007536D4"/>
    <w:rsid w:val="007537F0"/>
    <w:rsid w:val="00753DF8"/>
    <w:rsid w:val="00754586"/>
    <w:rsid w:val="00754835"/>
    <w:rsid w:val="00754BBB"/>
    <w:rsid w:val="00754C2A"/>
    <w:rsid w:val="00754CA3"/>
    <w:rsid w:val="007555D0"/>
    <w:rsid w:val="00756709"/>
    <w:rsid w:val="00756DC5"/>
    <w:rsid w:val="00757101"/>
    <w:rsid w:val="0075738B"/>
    <w:rsid w:val="00757A09"/>
    <w:rsid w:val="00757FDD"/>
    <w:rsid w:val="0076016F"/>
    <w:rsid w:val="00760397"/>
    <w:rsid w:val="007604F9"/>
    <w:rsid w:val="0076117C"/>
    <w:rsid w:val="00761617"/>
    <w:rsid w:val="0076167B"/>
    <w:rsid w:val="007618A9"/>
    <w:rsid w:val="00761BFF"/>
    <w:rsid w:val="00761F7F"/>
    <w:rsid w:val="007640EE"/>
    <w:rsid w:val="00764169"/>
    <w:rsid w:val="007651D2"/>
    <w:rsid w:val="00765219"/>
    <w:rsid w:val="007655FE"/>
    <w:rsid w:val="00766209"/>
    <w:rsid w:val="00766490"/>
    <w:rsid w:val="00766D31"/>
    <w:rsid w:val="0076772E"/>
    <w:rsid w:val="00770A0F"/>
    <w:rsid w:val="007710BF"/>
    <w:rsid w:val="0077175E"/>
    <w:rsid w:val="00771799"/>
    <w:rsid w:val="007720A5"/>
    <w:rsid w:val="007722AB"/>
    <w:rsid w:val="00772A27"/>
    <w:rsid w:val="007733B1"/>
    <w:rsid w:val="00773C58"/>
    <w:rsid w:val="00773FCA"/>
    <w:rsid w:val="007742C4"/>
    <w:rsid w:val="007743A9"/>
    <w:rsid w:val="00774820"/>
    <w:rsid w:val="00774B7E"/>
    <w:rsid w:val="00774E31"/>
    <w:rsid w:val="00774F3D"/>
    <w:rsid w:val="00775158"/>
    <w:rsid w:val="0077520B"/>
    <w:rsid w:val="00776135"/>
    <w:rsid w:val="00776DA3"/>
    <w:rsid w:val="00776DC8"/>
    <w:rsid w:val="00777290"/>
    <w:rsid w:val="00777349"/>
    <w:rsid w:val="007776CD"/>
    <w:rsid w:val="00777DEF"/>
    <w:rsid w:val="007802FD"/>
    <w:rsid w:val="0078064A"/>
    <w:rsid w:val="007809D1"/>
    <w:rsid w:val="00780BE2"/>
    <w:rsid w:val="007811BB"/>
    <w:rsid w:val="00781A10"/>
    <w:rsid w:val="00782AD6"/>
    <w:rsid w:val="00782BB3"/>
    <w:rsid w:val="007834FA"/>
    <w:rsid w:val="00783552"/>
    <w:rsid w:val="00783587"/>
    <w:rsid w:val="00783AD8"/>
    <w:rsid w:val="00783D67"/>
    <w:rsid w:val="0078493A"/>
    <w:rsid w:val="00784CED"/>
    <w:rsid w:val="0078523A"/>
    <w:rsid w:val="007857A4"/>
    <w:rsid w:val="00785A8C"/>
    <w:rsid w:val="007863F8"/>
    <w:rsid w:val="00786A20"/>
    <w:rsid w:val="00786B42"/>
    <w:rsid w:val="00786B7D"/>
    <w:rsid w:val="00787281"/>
    <w:rsid w:val="00787390"/>
    <w:rsid w:val="00790140"/>
    <w:rsid w:val="0079054D"/>
    <w:rsid w:val="0079064A"/>
    <w:rsid w:val="00790A46"/>
    <w:rsid w:val="00790C47"/>
    <w:rsid w:val="007915B2"/>
    <w:rsid w:val="00791838"/>
    <w:rsid w:val="00791A7E"/>
    <w:rsid w:val="007946CC"/>
    <w:rsid w:val="007949B4"/>
    <w:rsid w:val="00794C37"/>
    <w:rsid w:val="00795025"/>
    <w:rsid w:val="00795761"/>
    <w:rsid w:val="00795A62"/>
    <w:rsid w:val="00796221"/>
    <w:rsid w:val="00796414"/>
    <w:rsid w:val="00796D4E"/>
    <w:rsid w:val="00796F15"/>
    <w:rsid w:val="007977E6"/>
    <w:rsid w:val="007A041F"/>
    <w:rsid w:val="007A055B"/>
    <w:rsid w:val="007A076C"/>
    <w:rsid w:val="007A08F8"/>
    <w:rsid w:val="007A0E02"/>
    <w:rsid w:val="007A1088"/>
    <w:rsid w:val="007A1552"/>
    <w:rsid w:val="007A1CEF"/>
    <w:rsid w:val="007A2143"/>
    <w:rsid w:val="007A29A1"/>
    <w:rsid w:val="007A2BEE"/>
    <w:rsid w:val="007A3249"/>
    <w:rsid w:val="007A32CE"/>
    <w:rsid w:val="007A33B0"/>
    <w:rsid w:val="007A357F"/>
    <w:rsid w:val="007A3AF9"/>
    <w:rsid w:val="007A4121"/>
    <w:rsid w:val="007A4935"/>
    <w:rsid w:val="007A4E0E"/>
    <w:rsid w:val="007A5376"/>
    <w:rsid w:val="007A5C1E"/>
    <w:rsid w:val="007A5C76"/>
    <w:rsid w:val="007A5DEE"/>
    <w:rsid w:val="007A628B"/>
    <w:rsid w:val="007A6761"/>
    <w:rsid w:val="007A67BE"/>
    <w:rsid w:val="007A6AB0"/>
    <w:rsid w:val="007A6FA8"/>
    <w:rsid w:val="007A70E9"/>
    <w:rsid w:val="007A7697"/>
    <w:rsid w:val="007A7DBA"/>
    <w:rsid w:val="007B03D7"/>
    <w:rsid w:val="007B1A13"/>
    <w:rsid w:val="007B1C6E"/>
    <w:rsid w:val="007B1CB2"/>
    <w:rsid w:val="007B20F9"/>
    <w:rsid w:val="007B2281"/>
    <w:rsid w:val="007B2324"/>
    <w:rsid w:val="007B2E8B"/>
    <w:rsid w:val="007B311D"/>
    <w:rsid w:val="007B33C0"/>
    <w:rsid w:val="007B3499"/>
    <w:rsid w:val="007B3A5D"/>
    <w:rsid w:val="007B3C86"/>
    <w:rsid w:val="007B3CD5"/>
    <w:rsid w:val="007B4ECD"/>
    <w:rsid w:val="007B5671"/>
    <w:rsid w:val="007B5C4A"/>
    <w:rsid w:val="007B5C4D"/>
    <w:rsid w:val="007B5DF2"/>
    <w:rsid w:val="007B5F1E"/>
    <w:rsid w:val="007B624E"/>
    <w:rsid w:val="007B6B67"/>
    <w:rsid w:val="007B6C03"/>
    <w:rsid w:val="007B6C9E"/>
    <w:rsid w:val="007B6EA5"/>
    <w:rsid w:val="007B7230"/>
    <w:rsid w:val="007B7522"/>
    <w:rsid w:val="007B762C"/>
    <w:rsid w:val="007B7632"/>
    <w:rsid w:val="007C0A5D"/>
    <w:rsid w:val="007C0B09"/>
    <w:rsid w:val="007C0C6C"/>
    <w:rsid w:val="007C0D64"/>
    <w:rsid w:val="007C0D9A"/>
    <w:rsid w:val="007C1614"/>
    <w:rsid w:val="007C1E67"/>
    <w:rsid w:val="007C25D9"/>
    <w:rsid w:val="007C2623"/>
    <w:rsid w:val="007C2626"/>
    <w:rsid w:val="007C2BCF"/>
    <w:rsid w:val="007C2E6F"/>
    <w:rsid w:val="007C3054"/>
    <w:rsid w:val="007C305F"/>
    <w:rsid w:val="007C314A"/>
    <w:rsid w:val="007C334E"/>
    <w:rsid w:val="007C338F"/>
    <w:rsid w:val="007C359A"/>
    <w:rsid w:val="007C35F9"/>
    <w:rsid w:val="007C376A"/>
    <w:rsid w:val="007C3D23"/>
    <w:rsid w:val="007C3DB5"/>
    <w:rsid w:val="007C4200"/>
    <w:rsid w:val="007C4308"/>
    <w:rsid w:val="007C4745"/>
    <w:rsid w:val="007C4950"/>
    <w:rsid w:val="007C4BE2"/>
    <w:rsid w:val="007C530D"/>
    <w:rsid w:val="007C5423"/>
    <w:rsid w:val="007C5AFA"/>
    <w:rsid w:val="007C5D31"/>
    <w:rsid w:val="007C6881"/>
    <w:rsid w:val="007C72E9"/>
    <w:rsid w:val="007C7ACF"/>
    <w:rsid w:val="007C7EE0"/>
    <w:rsid w:val="007C7F30"/>
    <w:rsid w:val="007D005B"/>
    <w:rsid w:val="007D038B"/>
    <w:rsid w:val="007D042C"/>
    <w:rsid w:val="007D0513"/>
    <w:rsid w:val="007D0A10"/>
    <w:rsid w:val="007D0F0D"/>
    <w:rsid w:val="007D10FF"/>
    <w:rsid w:val="007D1237"/>
    <w:rsid w:val="007D149D"/>
    <w:rsid w:val="007D18D2"/>
    <w:rsid w:val="007D2F3D"/>
    <w:rsid w:val="007D30BC"/>
    <w:rsid w:val="007D3CC9"/>
    <w:rsid w:val="007D4612"/>
    <w:rsid w:val="007D485A"/>
    <w:rsid w:val="007D5E93"/>
    <w:rsid w:val="007D61A2"/>
    <w:rsid w:val="007D68BA"/>
    <w:rsid w:val="007D6979"/>
    <w:rsid w:val="007D6A0E"/>
    <w:rsid w:val="007D6E67"/>
    <w:rsid w:val="007D6FD8"/>
    <w:rsid w:val="007D70D2"/>
    <w:rsid w:val="007D71CC"/>
    <w:rsid w:val="007D7972"/>
    <w:rsid w:val="007D7D50"/>
    <w:rsid w:val="007E07BA"/>
    <w:rsid w:val="007E0F62"/>
    <w:rsid w:val="007E10AC"/>
    <w:rsid w:val="007E1720"/>
    <w:rsid w:val="007E1CA7"/>
    <w:rsid w:val="007E234A"/>
    <w:rsid w:val="007E3C3D"/>
    <w:rsid w:val="007E4084"/>
    <w:rsid w:val="007E4BFE"/>
    <w:rsid w:val="007E4EB4"/>
    <w:rsid w:val="007E51F5"/>
    <w:rsid w:val="007E6AF6"/>
    <w:rsid w:val="007E6BBA"/>
    <w:rsid w:val="007E71DD"/>
    <w:rsid w:val="007E7499"/>
    <w:rsid w:val="007E7529"/>
    <w:rsid w:val="007E76AE"/>
    <w:rsid w:val="007E7996"/>
    <w:rsid w:val="007F00C6"/>
    <w:rsid w:val="007F0314"/>
    <w:rsid w:val="007F043E"/>
    <w:rsid w:val="007F0CA0"/>
    <w:rsid w:val="007F1CAC"/>
    <w:rsid w:val="007F2742"/>
    <w:rsid w:val="007F2C36"/>
    <w:rsid w:val="007F3057"/>
    <w:rsid w:val="007F38D4"/>
    <w:rsid w:val="007F4F5A"/>
    <w:rsid w:val="007F5214"/>
    <w:rsid w:val="007F5287"/>
    <w:rsid w:val="007F53E3"/>
    <w:rsid w:val="007F5498"/>
    <w:rsid w:val="007F5A56"/>
    <w:rsid w:val="007F643E"/>
    <w:rsid w:val="007F6CC0"/>
    <w:rsid w:val="007F72A6"/>
    <w:rsid w:val="007F72AE"/>
    <w:rsid w:val="007F78BB"/>
    <w:rsid w:val="0080017A"/>
    <w:rsid w:val="008003E4"/>
    <w:rsid w:val="00800670"/>
    <w:rsid w:val="00801C00"/>
    <w:rsid w:val="008024AE"/>
    <w:rsid w:val="00802742"/>
    <w:rsid w:val="00802883"/>
    <w:rsid w:val="00803687"/>
    <w:rsid w:val="008036D7"/>
    <w:rsid w:val="0080375D"/>
    <w:rsid w:val="00803BF8"/>
    <w:rsid w:val="0080472B"/>
    <w:rsid w:val="00804AEB"/>
    <w:rsid w:val="00805AA7"/>
    <w:rsid w:val="00805CBC"/>
    <w:rsid w:val="00805FD9"/>
    <w:rsid w:val="00806E3E"/>
    <w:rsid w:val="00806EED"/>
    <w:rsid w:val="00806FB8"/>
    <w:rsid w:val="0080734B"/>
    <w:rsid w:val="00807AB3"/>
    <w:rsid w:val="008100CC"/>
    <w:rsid w:val="008101E6"/>
    <w:rsid w:val="008102DE"/>
    <w:rsid w:val="0081033F"/>
    <w:rsid w:val="00810830"/>
    <w:rsid w:val="00810E0C"/>
    <w:rsid w:val="00810F9D"/>
    <w:rsid w:val="0081175D"/>
    <w:rsid w:val="00811A19"/>
    <w:rsid w:val="00811C10"/>
    <w:rsid w:val="008122FB"/>
    <w:rsid w:val="0081251C"/>
    <w:rsid w:val="00812556"/>
    <w:rsid w:val="008133A3"/>
    <w:rsid w:val="00814116"/>
    <w:rsid w:val="008148A9"/>
    <w:rsid w:val="00814CBB"/>
    <w:rsid w:val="0081510B"/>
    <w:rsid w:val="0081546D"/>
    <w:rsid w:val="00815643"/>
    <w:rsid w:val="00815658"/>
    <w:rsid w:val="008158E4"/>
    <w:rsid w:val="00816652"/>
    <w:rsid w:val="0081678D"/>
    <w:rsid w:val="0081783D"/>
    <w:rsid w:val="00817C69"/>
    <w:rsid w:val="00820BB3"/>
    <w:rsid w:val="008213A7"/>
    <w:rsid w:val="00821496"/>
    <w:rsid w:val="008214B1"/>
    <w:rsid w:val="0082245F"/>
    <w:rsid w:val="00822854"/>
    <w:rsid w:val="00822DFF"/>
    <w:rsid w:val="00823A07"/>
    <w:rsid w:val="00823CAA"/>
    <w:rsid w:val="00823CB8"/>
    <w:rsid w:val="00823E4F"/>
    <w:rsid w:val="008240EF"/>
    <w:rsid w:val="0082465E"/>
    <w:rsid w:val="008248F2"/>
    <w:rsid w:val="00825E85"/>
    <w:rsid w:val="008265AF"/>
    <w:rsid w:val="00826607"/>
    <w:rsid w:val="008268AE"/>
    <w:rsid w:val="00826B8F"/>
    <w:rsid w:val="00826DA3"/>
    <w:rsid w:val="00827900"/>
    <w:rsid w:val="00830CA6"/>
    <w:rsid w:val="00831140"/>
    <w:rsid w:val="008314C7"/>
    <w:rsid w:val="0083158F"/>
    <w:rsid w:val="00831899"/>
    <w:rsid w:val="00831A2C"/>
    <w:rsid w:val="00832196"/>
    <w:rsid w:val="008321B7"/>
    <w:rsid w:val="008322F1"/>
    <w:rsid w:val="00832B9B"/>
    <w:rsid w:val="00833AC1"/>
    <w:rsid w:val="00833B28"/>
    <w:rsid w:val="00833BE5"/>
    <w:rsid w:val="00833E39"/>
    <w:rsid w:val="00834BAC"/>
    <w:rsid w:val="008355D2"/>
    <w:rsid w:val="0083589F"/>
    <w:rsid w:val="008359CA"/>
    <w:rsid w:val="00835AA5"/>
    <w:rsid w:val="00835F70"/>
    <w:rsid w:val="00836609"/>
    <w:rsid w:val="00836676"/>
    <w:rsid w:val="00836AEF"/>
    <w:rsid w:val="00837F2A"/>
    <w:rsid w:val="00840797"/>
    <w:rsid w:val="00840DEA"/>
    <w:rsid w:val="008410F1"/>
    <w:rsid w:val="00842642"/>
    <w:rsid w:val="0084267E"/>
    <w:rsid w:val="00842ABF"/>
    <w:rsid w:val="00842E70"/>
    <w:rsid w:val="0084301B"/>
    <w:rsid w:val="00843051"/>
    <w:rsid w:val="008435B3"/>
    <w:rsid w:val="008437C6"/>
    <w:rsid w:val="008438A2"/>
    <w:rsid w:val="00843D60"/>
    <w:rsid w:val="00843F3E"/>
    <w:rsid w:val="008441BE"/>
    <w:rsid w:val="008443DD"/>
    <w:rsid w:val="0084450F"/>
    <w:rsid w:val="00844935"/>
    <w:rsid w:val="00845F6E"/>
    <w:rsid w:val="0084617B"/>
    <w:rsid w:val="008464ED"/>
    <w:rsid w:val="008466E5"/>
    <w:rsid w:val="00846736"/>
    <w:rsid w:val="00846739"/>
    <w:rsid w:val="008471A5"/>
    <w:rsid w:val="008472A8"/>
    <w:rsid w:val="00847C52"/>
    <w:rsid w:val="00847F45"/>
    <w:rsid w:val="00850799"/>
    <w:rsid w:val="00851804"/>
    <w:rsid w:val="0085181B"/>
    <w:rsid w:val="0085244D"/>
    <w:rsid w:val="00852830"/>
    <w:rsid w:val="00852B5B"/>
    <w:rsid w:val="00853872"/>
    <w:rsid w:val="00853CC9"/>
    <w:rsid w:val="00853D86"/>
    <w:rsid w:val="008541A3"/>
    <w:rsid w:val="00854ADD"/>
    <w:rsid w:val="00854CA9"/>
    <w:rsid w:val="00854EF0"/>
    <w:rsid w:val="00855577"/>
    <w:rsid w:val="00855661"/>
    <w:rsid w:val="00855ECA"/>
    <w:rsid w:val="00856121"/>
    <w:rsid w:val="008567FD"/>
    <w:rsid w:val="008568CF"/>
    <w:rsid w:val="00857B38"/>
    <w:rsid w:val="00857C59"/>
    <w:rsid w:val="00860022"/>
    <w:rsid w:val="008603FF"/>
    <w:rsid w:val="008610C9"/>
    <w:rsid w:val="00861811"/>
    <w:rsid w:val="00861871"/>
    <w:rsid w:val="008621AA"/>
    <w:rsid w:val="00862368"/>
    <w:rsid w:val="00862940"/>
    <w:rsid w:val="00862A28"/>
    <w:rsid w:val="00862D47"/>
    <w:rsid w:val="00862D51"/>
    <w:rsid w:val="00862FC2"/>
    <w:rsid w:val="008637E1"/>
    <w:rsid w:val="00863A12"/>
    <w:rsid w:val="00863E59"/>
    <w:rsid w:val="00863E5D"/>
    <w:rsid w:val="0086457F"/>
    <w:rsid w:val="00864ED5"/>
    <w:rsid w:val="008651D1"/>
    <w:rsid w:val="00865223"/>
    <w:rsid w:val="00865C19"/>
    <w:rsid w:val="00866A27"/>
    <w:rsid w:val="00866C59"/>
    <w:rsid w:val="0086730A"/>
    <w:rsid w:val="00867772"/>
    <w:rsid w:val="00867C54"/>
    <w:rsid w:val="00867FB0"/>
    <w:rsid w:val="00870225"/>
    <w:rsid w:val="00870280"/>
    <w:rsid w:val="0087034D"/>
    <w:rsid w:val="00870544"/>
    <w:rsid w:val="00870C9C"/>
    <w:rsid w:val="00870EC1"/>
    <w:rsid w:val="0087125A"/>
    <w:rsid w:val="008713E3"/>
    <w:rsid w:val="0087148A"/>
    <w:rsid w:val="00872027"/>
    <w:rsid w:val="00872130"/>
    <w:rsid w:val="00872540"/>
    <w:rsid w:val="00872581"/>
    <w:rsid w:val="00872CBA"/>
    <w:rsid w:val="00873082"/>
    <w:rsid w:val="008730B9"/>
    <w:rsid w:val="00873358"/>
    <w:rsid w:val="00873B30"/>
    <w:rsid w:val="00873FDB"/>
    <w:rsid w:val="00874206"/>
    <w:rsid w:val="008742A8"/>
    <w:rsid w:val="00874D32"/>
    <w:rsid w:val="0087589D"/>
    <w:rsid w:val="00875A48"/>
    <w:rsid w:val="00875CBF"/>
    <w:rsid w:val="00875D86"/>
    <w:rsid w:val="00875FB5"/>
    <w:rsid w:val="00876A70"/>
    <w:rsid w:val="00876D27"/>
    <w:rsid w:val="00877013"/>
    <w:rsid w:val="00877466"/>
    <w:rsid w:val="0087765B"/>
    <w:rsid w:val="00880111"/>
    <w:rsid w:val="00880215"/>
    <w:rsid w:val="00880603"/>
    <w:rsid w:val="00880C94"/>
    <w:rsid w:val="00880E82"/>
    <w:rsid w:val="00880EF9"/>
    <w:rsid w:val="008816C3"/>
    <w:rsid w:val="00881D8B"/>
    <w:rsid w:val="00881E75"/>
    <w:rsid w:val="0088296B"/>
    <w:rsid w:val="00882D38"/>
    <w:rsid w:val="00882EFD"/>
    <w:rsid w:val="008831CD"/>
    <w:rsid w:val="00883C81"/>
    <w:rsid w:val="00883EE3"/>
    <w:rsid w:val="008844E3"/>
    <w:rsid w:val="00884667"/>
    <w:rsid w:val="00884C16"/>
    <w:rsid w:val="008855B2"/>
    <w:rsid w:val="00885A14"/>
    <w:rsid w:val="00885A81"/>
    <w:rsid w:val="0088604C"/>
    <w:rsid w:val="00886359"/>
    <w:rsid w:val="008863A1"/>
    <w:rsid w:val="008866D1"/>
    <w:rsid w:val="00886B69"/>
    <w:rsid w:val="00886C30"/>
    <w:rsid w:val="00887036"/>
    <w:rsid w:val="0088751C"/>
    <w:rsid w:val="00887A78"/>
    <w:rsid w:val="00887FB5"/>
    <w:rsid w:val="0089089A"/>
    <w:rsid w:val="00890B97"/>
    <w:rsid w:val="00890C31"/>
    <w:rsid w:val="00890CAD"/>
    <w:rsid w:val="00890E2F"/>
    <w:rsid w:val="00890F9B"/>
    <w:rsid w:val="008910FF"/>
    <w:rsid w:val="0089129E"/>
    <w:rsid w:val="008915DA"/>
    <w:rsid w:val="008917FA"/>
    <w:rsid w:val="00891D56"/>
    <w:rsid w:val="00892065"/>
    <w:rsid w:val="008923F6"/>
    <w:rsid w:val="00892F37"/>
    <w:rsid w:val="0089319D"/>
    <w:rsid w:val="008932E3"/>
    <w:rsid w:val="0089336E"/>
    <w:rsid w:val="0089352A"/>
    <w:rsid w:val="0089353B"/>
    <w:rsid w:val="00893633"/>
    <w:rsid w:val="00893A25"/>
    <w:rsid w:val="00893EAE"/>
    <w:rsid w:val="0089467D"/>
    <w:rsid w:val="00894911"/>
    <w:rsid w:val="00894D9F"/>
    <w:rsid w:val="00895069"/>
    <w:rsid w:val="00895129"/>
    <w:rsid w:val="00896267"/>
    <w:rsid w:val="008962EA"/>
    <w:rsid w:val="00896962"/>
    <w:rsid w:val="00896991"/>
    <w:rsid w:val="00896B2A"/>
    <w:rsid w:val="00896B8F"/>
    <w:rsid w:val="00897172"/>
    <w:rsid w:val="0089747B"/>
    <w:rsid w:val="008A0214"/>
    <w:rsid w:val="008A0A7C"/>
    <w:rsid w:val="008A0FD1"/>
    <w:rsid w:val="008A1608"/>
    <w:rsid w:val="008A1BF3"/>
    <w:rsid w:val="008A1DD4"/>
    <w:rsid w:val="008A1E38"/>
    <w:rsid w:val="008A1EEC"/>
    <w:rsid w:val="008A279D"/>
    <w:rsid w:val="008A2AA6"/>
    <w:rsid w:val="008A2C08"/>
    <w:rsid w:val="008A35F3"/>
    <w:rsid w:val="008A391A"/>
    <w:rsid w:val="008A39F5"/>
    <w:rsid w:val="008A3DD1"/>
    <w:rsid w:val="008A4278"/>
    <w:rsid w:val="008A4290"/>
    <w:rsid w:val="008A4394"/>
    <w:rsid w:val="008A5815"/>
    <w:rsid w:val="008A6C66"/>
    <w:rsid w:val="008A6E93"/>
    <w:rsid w:val="008A6F03"/>
    <w:rsid w:val="008A7102"/>
    <w:rsid w:val="008A78FF"/>
    <w:rsid w:val="008A7B57"/>
    <w:rsid w:val="008B0A08"/>
    <w:rsid w:val="008B0A3F"/>
    <w:rsid w:val="008B0BD0"/>
    <w:rsid w:val="008B1831"/>
    <w:rsid w:val="008B18CB"/>
    <w:rsid w:val="008B1AA4"/>
    <w:rsid w:val="008B2127"/>
    <w:rsid w:val="008B26FF"/>
    <w:rsid w:val="008B2893"/>
    <w:rsid w:val="008B2C9E"/>
    <w:rsid w:val="008B2E8E"/>
    <w:rsid w:val="008B33F6"/>
    <w:rsid w:val="008B354F"/>
    <w:rsid w:val="008B362E"/>
    <w:rsid w:val="008B387C"/>
    <w:rsid w:val="008B38C8"/>
    <w:rsid w:val="008B3F45"/>
    <w:rsid w:val="008B41EC"/>
    <w:rsid w:val="008B44BB"/>
    <w:rsid w:val="008B4FD9"/>
    <w:rsid w:val="008B50FE"/>
    <w:rsid w:val="008B5422"/>
    <w:rsid w:val="008B55C0"/>
    <w:rsid w:val="008B5DA0"/>
    <w:rsid w:val="008B665E"/>
    <w:rsid w:val="008B6D14"/>
    <w:rsid w:val="008B77CF"/>
    <w:rsid w:val="008B79A3"/>
    <w:rsid w:val="008B7B5D"/>
    <w:rsid w:val="008B7BF1"/>
    <w:rsid w:val="008B7F27"/>
    <w:rsid w:val="008C042D"/>
    <w:rsid w:val="008C0FFB"/>
    <w:rsid w:val="008C1AB9"/>
    <w:rsid w:val="008C2565"/>
    <w:rsid w:val="008C2A2A"/>
    <w:rsid w:val="008C2E63"/>
    <w:rsid w:val="008C302F"/>
    <w:rsid w:val="008C3054"/>
    <w:rsid w:val="008C34B8"/>
    <w:rsid w:val="008C36D0"/>
    <w:rsid w:val="008C3EAD"/>
    <w:rsid w:val="008C4050"/>
    <w:rsid w:val="008C40F4"/>
    <w:rsid w:val="008C4962"/>
    <w:rsid w:val="008C5040"/>
    <w:rsid w:val="008C505E"/>
    <w:rsid w:val="008C5282"/>
    <w:rsid w:val="008C5897"/>
    <w:rsid w:val="008C58D8"/>
    <w:rsid w:val="008C614B"/>
    <w:rsid w:val="008C6B05"/>
    <w:rsid w:val="008C73F7"/>
    <w:rsid w:val="008C7882"/>
    <w:rsid w:val="008C7F00"/>
    <w:rsid w:val="008C7FC5"/>
    <w:rsid w:val="008D0798"/>
    <w:rsid w:val="008D0E8A"/>
    <w:rsid w:val="008D1A0C"/>
    <w:rsid w:val="008D1BC5"/>
    <w:rsid w:val="008D23EB"/>
    <w:rsid w:val="008D25A5"/>
    <w:rsid w:val="008D2755"/>
    <w:rsid w:val="008D2818"/>
    <w:rsid w:val="008D2E05"/>
    <w:rsid w:val="008D336B"/>
    <w:rsid w:val="008D371A"/>
    <w:rsid w:val="008D37B4"/>
    <w:rsid w:val="008D3B10"/>
    <w:rsid w:val="008D4939"/>
    <w:rsid w:val="008D495A"/>
    <w:rsid w:val="008D4AC2"/>
    <w:rsid w:val="008D4EE7"/>
    <w:rsid w:val="008D52F0"/>
    <w:rsid w:val="008D568B"/>
    <w:rsid w:val="008D640E"/>
    <w:rsid w:val="008D6D33"/>
    <w:rsid w:val="008D6E75"/>
    <w:rsid w:val="008D6E92"/>
    <w:rsid w:val="008E08AB"/>
    <w:rsid w:val="008E0AEF"/>
    <w:rsid w:val="008E13BB"/>
    <w:rsid w:val="008E1648"/>
    <w:rsid w:val="008E18CC"/>
    <w:rsid w:val="008E1A4D"/>
    <w:rsid w:val="008E276A"/>
    <w:rsid w:val="008E2F3E"/>
    <w:rsid w:val="008E315E"/>
    <w:rsid w:val="008E32A5"/>
    <w:rsid w:val="008E3385"/>
    <w:rsid w:val="008E37F8"/>
    <w:rsid w:val="008E3A5D"/>
    <w:rsid w:val="008E3AEB"/>
    <w:rsid w:val="008E4A7D"/>
    <w:rsid w:val="008E4BDA"/>
    <w:rsid w:val="008E5542"/>
    <w:rsid w:val="008E56EB"/>
    <w:rsid w:val="008E5A4E"/>
    <w:rsid w:val="008E5CBA"/>
    <w:rsid w:val="008E69BF"/>
    <w:rsid w:val="008E6AC9"/>
    <w:rsid w:val="008E6AFB"/>
    <w:rsid w:val="008E6F21"/>
    <w:rsid w:val="008E72F5"/>
    <w:rsid w:val="008E79D0"/>
    <w:rsid w:val="008E7F80"/>
    <w:rsid w:val="008F09A2"/>
    <w:rsid w:val="008F09D1"/>
    <w:rsid w:val="008F0ECA"/>
    <w:rsid w:val="008F1D38"/>
    <w:rsid w:val="008F1E06"/>
    <w:rsid w:val="008F1F6A"/>
    <w:rsid w:val="008F4309"/>
    <w:rsid w:val="008F43B9"/>
    <w:rsid w:val="008F497F"/>
    <w:rsid w:val="008F4DFA"/>
    <w:rsid w:val="008F5012"/>
    <w:rsid w:val="008F58DD"/>
    <w:rsid w:val="008F5E37"/>
    <w:rsid w:val="008F5F2B"/>
    <w:rsid w:val="008F6462"/>
    <w:rsid w:val="008F6975"/>
    <w:rsid w:val="008F77DB"/>
    <w:rsid w:val="0090011C"/>
    <w:rsid w:val="00900458"/>
    <w:rsid w:val="0090069D"/>
    <w:rsid w:val="00900C9D"/>
    <w:rsid w:val="00900E22"/>
    <w:rsid w:val="00901489"/>
    <w:rsid w:val="009015E9"/>
    <w:rsid w:val="00901F4C"/>
    <w:rsid w:val="00902150"/>
    <w:rsid w:val="00902B54"/>
    <w:rsid w:val="00902C35"/>
    <w:rsid w:val="009030A2"/>
    <w:rsid w:val="00903304"/>
    <w:rsid w:val="00903E04"/>
    <w:rsid w:val="00903F3E"/>
    <w:rsid w:val="009040F1"/>
    <w:rsid w:val="009047C0"/>
    <w:rsid w:val="009048C8"/>
    <w:rsid w:val="00904F7B"/>
    <w:rsid w:val="009053AC"/>
    <w:rsid w:val="00905AD8"/>
    <w:rsid w:val="009062A5"/>
    <w:rsid w:val="00906334"/>
    <w:rsid w:val="009075E6"/>
    <w:rsid w:val="00907868"/>
    <w:rsid w:val="00907CE2"/>
    <w:rsid w:val="00910855"/>
    <w:rsid w:val="009111DB"/>
    <w:rsid w:val="00912627"/>
    <w:rsid w:val="009129C6"/>
    <w:rsid w:val="00912E98"/>
    <w:rsid w:val="009134B1"/>
    <w:rsid w:val="009136C2"/>
    <w:rsid w:val="009136D3"/>
    <w:rsid w:val="00913863"/>
    <w:rsid w:val="00913B48"/>
    <w:rsid w:val="00913C06"/>
    <w:rsid w:val="009144A4"/>
    <w:rsid w:val="00914576"/>
    <w:rsid w:val="009145E0"/>
    <w:rsid w:val="00914C28"/>
    <w:rsid w:val="00915D1D"/>
    <w:rsid w:val="00915D60"/>
    <w:rsid w:val="009167B2"/>
    <w:rsid w:val="00916DD5"/>
    <w:rsid w:val="009174CC"/>
    <w:rsid w:val="00917529"/>
    <w:rsid w:val="00920515"/>
    <w:rsid w:val="00920766"/>
    <w:rsid w:val="0092082F"/>
    <w:rsid w:val="00920B91"/>
    <w:rsid w:val="00920F84"/>
    <w:rsid w:val="0092169E"/>
    <w:rsid w:val="00921785"/>
    <w:rsid w:val="00921B2E"/>
    <w:rsid w:val="00921F28"/>
    <w:rsid w:val="009221FC"/>
    <w:rsid w:val="00922230"/>
    <w:rsid w:val="00922A90"/>
    <w:rsid w:val="00922FE2"/>
    <w:rsid w:val="00923090"/>
    <w:rsid w:val="009230B4"/>
    <w:rsid w:val="00923126"/>
    <w:rsid w:val="00923719"/>
    <w:rsid w:val="00923A5B"/>
    <w:rsid w:val="00923CEC"/>
    <w:rsid w:val="009242FC"/>
    <w:rsid w:val="00924D88"/>
    <w:rsid w:val="00924FC2"/>
    <w:rsid w:val="009253DF"/>
    <w:rsid w:val="00925785"/>
    <w:rsid w:val="00925870"/>
    <w:rsid w:val="009265AA"/>
    <w:rsid w:val="00926F36"/>
    <w:rsid w:val="0092721B"/>
    <w:rsid w:val="00927A83"/>
    <w:rsid w:val="00927BFE"/>
    <w:rsid w:val="00927E4B"/>
    <w:rsid w:val="009300EF"/>
    <w:rsid w:val="009307EB"/>
    <w:rsid w:val="00930A36"/>
    <w:rsid w:val="00931085"/>
    <w:rsid w:val="0093110C"/>
    <w:rsid w:val="00932537"/>
    <w:rsid w:val="00932ABF"/>
    <w:rsid w:val="00932B1B"/>
    <w:rsid w:val="00932C3E"/>
    <w:rsid w:val="00932CE8"/>
    <w:rsid w:val="00932E76"/>
    <w:rsid w:val="00932F2D"/>
    <w:rsid w:val="009336BB"/>
    <w:rsid w:val="00933C18"/>
    <w:rsid w:val="00933C46"/>
    <w:rsid w:val="00933C93"/>
    <w:rsid w:val="00934E09"/>
    <w:rsid w:val="00934F9A"/>
    <w:rsid w:val="0093510E"/>
    <w:rsid w:val="0093563E"/>
    <w:rsid w:val="00935BF5"/>
    <w:rsid w:val="00936C1F"/>
    <w:rsid w:val="00936D5F"/>
    <w:rsid w:val="009372FB"/>
    <w:rsid w:val="00937693"/>
    <w:rsid w:val="00937DB4"/>
    <w:rsid w:val="00937DE6"/>
    <w:rsid w:val="0094055C"/>
    <w:rsid w:val="0094111A"/>
    <w:rsid w:val="009413B1"/>
    <w:rsid w:val="00941C36"/>
    <w:rsid w:val="0094212E"/>
    <w:rsid w:val="009425AA"/>
    <w:rsid w:val="009436F7"/>
    <w:rsid w:val="009437D0"/>
    <w:rsid w:val="00943E79"/>
    <w:rsid w:val="00944E98"/>
    <w:rsid w:val="00945719"/>
    <w:rsid w:val="0094587E"/>
    <w:rsid w:val="009460CF"/>
    <w:rsid w:val="009462A5"/>
    <w:rsid w:val="009464A0"/>
    <w:rsid w:val="009469FE"/>
    <w:rsid w:val="00946DA8"/>
    <w:rsid w:val="00946FF9"/>
    <w:rsid w:val="00950239"/>
    <w:rsid w:val="009509DB"/>
    <w:rsid w:val="00951300"/>
    <w:rsid w:val="00951676"/>
    <w:rsid w:val="00952253"/>
    <w:rsid w:val="00952831"/>
    <w:rsid w:val="00952D75"/>
    <w:rsid w:val="00952E33"/>
    <w:rsid w:val="00953A6B"/>
    <w:rsid w:val="00953A88"/>
    <w:rsid w:val="00954113"/>
    <w:rsid w:val="00954139"/>
    <w:rsid w:val="00954140"/>
    <w:rsid w:val="0095432D"/>
    <w:rsid w:val="00954AD1"/>
    <w:rsid w:val="00955743"/>
    <w:rsid w:val="00955A5D"/>
    <w:rsid w:val="00955B7B"/>
    <w:rsid w:val="0095608B"/>
    <w:rsid w:val="0095631F"/>
    <w:rsid w:val="009569B3"/>
    <w:rsid w:val="009574E1"/>
    <w:rsid w:val="00957717"/>
    <w:rsid w:val="009601F1"/>
    <w:rsid w:val="00960673"/>
    <w:rsid w:val="00960E22"/>
    <w:rsid w:val="00960E97"/>
    <w:rsid w:val="009610EE"/>
    <w:rsid w:val="009611FF"/>
    <w:rsid w:val="00961300"/>
    <w:rsid w:val="0096140A"/>
    <w:rsid w:val="00961588"/>
    <w:rsid w:val="00961A26"/>
    <w:rsid w:val="00961B03"/>
    <w:rsid w:val="00961D7E"/>
    <w:rsid w:val="009623B2"/>
    <w:rsid w:val="009631A7"/>
    <w:rsid w:val="00963323"/>
    <w:rsid w:val="00963418"/>
    <w:rsid w:val="00963C38"/>
    <w:rsid w:val="00964532"/>
    <w:rsid w:val="0096461E"/>
    <w:rsid w:val="00964995"/>
    <w:rsid w:val="0096537C"/>
    <w:rsid w:val="009660F3"/>
    <w:rsid w:val="00966413"/>
    <w:rsid w:val="00966BCD"/>
    <w:rsid w:val="00966C5D"/>
    <w:rsid w:val="00966F63"/>
    <w:rsid w:val="00967B54"/>
    <w:rsid w:val="00967BBD"/>
    <w:rsid w:val="00967D32"/>
    <w:rsid w:val="009700F3"/>
    <w:rsid w:val="00970440"/>
    <w:rsid w:val="00971638"/>
    <w:rsid w:val="009717AB"/>
    <w:rsid w:val="0097180B"/>
    <w:rsid w:val="00971944"/>
    <w:rsid w:val="00971AD7"/>
    <w:rsid w:val="00971F49"/>
    <w:rsid w:val="009723EF"/>
    <w:rsid w:val="009726A0"/>
    <w:rsid w:val="0097304E"/>
    <w:rsid w:val="0097313D"/>
    <w:rsid w:val="00973465"/>
    <w:rsid w:val="00973B50"/>
    <w:rsid w:val="00973C0D"/>
    <w:rsid w:val="00973DDA"/>
    <w:rsid w:val="00973F1F"/>
    <w:rsid w:val="00974045"/>
    <w:rsid w:val="00974291"/>
    <w:rsid w:val="00974537"/>
    <w:rsid w:val="00974667"/>
    <w:rsid w:val="0097490B"/>
    <w:rsid w:val="00974A8C"/>
    <w:rsid w:val="00974ACE"/>
    <w:rsid w:val="009752D1"/>
    <w:rsid w:val="00975817"/>
    <w:rsid w:val="00975B41"/>
    <w:rsid w:val="00975D7D"/>
    <w:rsid w:val="00975ED9"/>
    <w:rsid w:val="00975F9E"/>
    <w:rsid w:val="00976367"/>
    <w:rsid w:val="009769B2"/>
    <w:rsid w:val="00976D54"/>
    <w:rsid w:val="00976E6C"/>
    <w:rsid w:val="00977C10"/>
    <w:rsid w:val="00977FF1"/>
    <w:rsid w:val="0098016F"/>
    <w:rsid w:val="00980227"/>
    <w:rsid w:val="00980237"/>
    <w:rsid w:val="0098062B"/>
    <w:rsid w:val="00980676"/>
    <w:rsid w:val="00980E44"/>
    <w:rsid w:val="00981C65"/>
    <w:rsid w:val="00982008"/>
    <w:rsid w:val="009826F6"/>
    <w:rsid w:val="00982E17"/>
    <w:rsid w:val="0098313D"/>
    <w:rsid w:val="00983541"/>
    <w:rsid w:val="00983698"/>
    <w:rsid w:val="0098391F"/>
    <w:rsid w:val="00983DE7"/>
    <w:rsid w:val="00984664"/>
    <w:rsid w:val="00984F23"/>
    <w:rsid w:val="0098503C"/>
    <w:rsid w:val="00985527"/>
    <w:rsid w:val="00985E45"/>
    <w:rsid w:val="00985F73"/>
    <w:rsid w:val="00986004"/>
    <w:rsid w:val="009860F4"/>
    <w:rsid w:val="009867AF"/>
    <w:rsid w:val="00986A3B"/>
    <w:rsid w:val="00986B3E"/>
    <w:rsid w:val="0098716A"/>
    <w:rsid w:val="00987231"/>
    <w:rsid w:val="009906B1"/>
    <w:rsid w:val="0099074F"/>
    <w:rsid w:val="00990915"/>
    <w:rsid w:val="00990B46"/>
    <w:rsid w:val="009922AC"/>
    <w:rsid w:val="009924D9"/>
    <w:rsid w:val="0099287D"/>
    <w:rsid w:val="009932A5"/>
    <w:rsid w:val="00993FD0"/>
    <w:rsid w:val="009947D0"/>
    <w:rsid w:val="00994D66"/>
    <w:rsid w:val="00995542"/>
    <w:rsid w:val="00995D62"/>
    <w:rsid w:val="00995DD1"/>
    <w:rsid w:val="00996131"/>
    <w:rsid w:val="009964EE"/>
    <w:rsid w:val="00996A24"/>
    <w:rsid w:val="00996C77"/>
    <w:rsid w:val="009976D8"/>
    <w:rsid w:val="00997B73"/>
    <w:rsid w:val="00997F08"/>
    <w:rsid w:val="009A01ED"/>
    <w:rsid w:val="009A02B2"/>
    <w:rsid w:val="009A0DFF"/>
    <w:rsid w:val="009A10DF"/>
    <w:rsid w:val="009A2335"/>
    <w:rsid w:val="009A28BA"/>
    <w:rsid w:val="009A2B20"/>
    <w:rsid w:val="009A2E34"/>
    <w:rsid w:val="009A3CEA"/>
    <w:rsid w:val="009A3DDD"/>
    <w:rsid w:val="009A46E0"/>
    <w:rsid w:val="009A4940"/>
    <w:rsid w:val="009A4E45"/>
    <w:rsid w:val="009A509B"/>
    <w:rsid w:val="009A54E1"/>
    <w:rsid w:val="009A5CF2"/>
    <w:rsid w:val="009A60BC"/>
    <w:rsid w:val="009A664A"/>
    <w:rsid w:val="009A6652"/>
    <w:rsid w:val="009A67D0"/>
    <w:rsid w:val="009A6998"/>
    <w:rsid w:val="009A6E13"/>
    <w:rsid w:val="009A7E31"/>
    <w:rsid w:val="009B025E"/>
    <w:rsid w:val="009B037C"/>
    <w:rsid w:val="009B06E6"/>
    <w:rsid w:val="009B0C9F"/>
    <w:rsid w:val="009B1737"/>
    <w:rsid w:val="009B1744"/>
    <w:rsid w:val="009B1C09"/>
    <w:rsid w:val="009B2BEC"/>
    <w:rsid w:val="009B2F20"/>
    <w:rsid w:val="009B40A4"/>
    <w:rsid w:val="009B4C33"/>
    <w:rsid w:val="009B4D5B"/>
    <w:rsid w:val="009B618C"/>
    <w:rsid w:val="009B6968"/>
    <w:rsid w:val="009B6AD5"/>
    <w:rsid w:val="009B7913"/>
    <w:rsid w:val="009B7923"/>
    <w:rsid w:val="009B7A32"/>
    <w:rsid w:val="009B7B3D"/>
    <w:rsid w:val="009B7B4B"/>
    <w:rsid w:val="009C0F1C"/>
    <w:rsid w:val="009C130B"/>
    <w:rsid w:val="009C13AD"/>
    <w:rsid w:val="009C1582"/>
    <w:rsid w:val="009C170B"/>
    <w:rsid w:val="009C1867"/>
    <w:rsid w:val="009C235E"/>
    <w:rsid w:val="009C254D"/>
    <w:rsid w:val="009C3807"/>
    <w:rsid w:val="009C38F3"/>
    <w:rsid w:val="009C48B6"/>
    <w:rsid w:val="009C55E3"/>
    <w:rsid w:val="009C5740"/>
    <w:rsid w:val="009C6864"/>
    <w:rsid w:val="009C7274"/>
    <w:rsid w:val="009C7346"/>
    <w:rsid w:val="009C7C6B"/>
    <w:rsid w:val="009C7EAE"/>
    <w:rsid w:val="009D020A"/>
    <w:rsid w:val="009D052C"/>
    <w:rsid w:val="009D0753"/>
    <w:rsid w:val="009D07BD"/>
    <w:rsid w:val="009D092E"/>
    <w:rsid w:val="009D1593"/>
    <w:rsid w:val="009D223C"/>
    <w:rsid w:val="009D2CA5"/>
    <w:rsid w:val="009D2EBD"/>
    <w:rsid w:val="009D31CB"/>
    <w:rsid w:val="009D341C"/>
    <w:rsid w:val="009D3D30"/>
    <w:rsid w:val="009D3F13"/>
    <w:rsid w:val="009D3F8E"/>
    <w:rsid w:val="009D4C19"/>
    <w:rsid w:val="009D4FE6"/>
    <w:rsid w:val="009D5767"/>
    <w:rsid w:val="009D5816"/>
    <w:rsid w:val="009D67A5"/>
    <w:rsid w:val="009D6E63"/>
    <w:rsid w:val="009D7382"/>
    <w:rsid w:val="009D73F0"/>
    <w:rsid w:val="009D75BC"/>
    <w:rsid w:val="009D7C5B"/>
    <w:rsid w:val="009E0529"/>
    <w:rsid w:val="009E0F3D"/>
    <w:rsid w:val="009E0FF9"/>
    <w:rsid w:val="009E133B"/>
    <w:rsid w:val="009E182A"/>
    <w:rsid w:val="009E1830"/>
    <w:rsid w:val="009E1875"/>
    <w:rsid w:val="009E1F72"/>
    <w:rsid w:val="009E2776"/>
    <w:rsid w:val="009E2991"/>
    <w:rsid w:val="009E347D"/>
    <w:rsid w:val="009E350A"/>
    <w:rsid w:val="009E3FC1"/>
    <w:rsid w:val="009E4094"/>
    <w:rsid w:val="009E4BCF"/>
    <w:rsid w:val="009E51ED"/>
    <w:rsid w:val="009E55EA"/>
    <w:rsid w:val="009E5ADA"/>
    <w:rsid w:val="009E5AF6"/>
    <w:rsid w:val="009E60BA"/>
    <w:rsid w:val="009E6163"/>
    <w:rsid w:val="009E62F7"/>
    <w:rsid w:val="009E6CD1"/>
    <w:rsid w:val="009E721A"/>
    <w:rsid w:val="009E755D"/>
    <w:rsid w:val="009F07AA"/>
    <w:rsid w:val="009F0DE3"/>
    <w:rsid w:val="009F113B"/>
    <w:rsid w:val="009F115A"/>
    <w:rsid w:val="009F1672"/>
    <w:rsid w:val="009F16FB"/>
    <w:rsid w:val="009F24F3"/>
    <w:rsid w:val="009F3AB1"/>
    <w:rsid w:val="009F3E38"/>
    <w:rsid w:val="009F3E84"/>
    <w:rsid w:val="009F3EC2"/>
    <w:rsid w:val="009F441B"/>
    <w:rsid w:val="009F4B68"/>
    <w:rsid w:val="009F4C3E"/>
    <w:rsid w:val="009F4D74"/>
    <w:rsid w:val="009F5630"/>
    <w:rsid w:val="009F622A"/>
    <w:rsid w:val="009F6A95"/>
    <w:rsid w:val="009F6F04"/>
    <w:rsid w:val="009F7285"/>
    <w:rsid w:val="009F74C0"/>
    <w:rsid w:val="009F79BB"/>
    <w:rsid w:val="009F7B27"/>
    <w:rsid w:val="009F7E76"/>
    <w:rsid w:val="00A0000A"/>
    <w:rsid w:val="00A0065A"/>
    <w:rsid w:val="00A01233"/>
    <w:rsid w:val="00A0166C"/>
    <w:rsid w:val="00A01A0C"/>
    <w:rsid w:val="00A01F15"/>
    <w:rsid w:val="00A037A6"/>
    <w:rsid w:val="00A03801"/>
    <w:rsid w:val="00A038F2"/>
    <w:rsid w:val="00A03BF5"/>
    <w:rsid w:val="00A03FDB"/>
    <w:rsid w:val="00A04BDB"/>
    <w:rsid w:val="00A05573"/>
    <w:rsid w:val="00A059E2"/>
    <w:rsid w:val="00A05B40"/>
    <w:rsid w:val="00A07886"/>
    <w:rsid w:val="00A07BF5"/>
    <w:rsid w:val="00A1096D"/>
    <w:rsid w:val="00A11398"/>
    <w:rsid w:val="00A11A67"/>
    <w:rsid w:val="00A11AC1"/>
    <w:rsid w:val="00A11BE2"/>
    <w:rsid w:val="00A11DF4"/>
    <w:rsid w:val="00A12073"/>
    <w:rsid w:val="00A12293"/>
    <w:rsid w:val="00A123FE"/>
    <w:rsid w:val="00A126C4"/>
    <w:rsid w:val="00A12D69"/>
    <w:rsid w:val="00A12F3F"/>
    <w:rsid w:val="00A13E8B"/>
    <w:rsid w:val="00A144DC"/>
    <w:rsid w:val="00A14549"/>
    <w:rsid w:val="00A146C7"/>
    <w:rsid w:val="00A14B51"/>
    <w:rsid w:val="00A14E6C"/>
    <w:rsid w:val="00A151CC"/>
    <w:rsid w:val="00A15C28"/>
    <w:rsid w:val="00A15FA6"/>
    <w:rsid w:val="00A15FB2"/>
    <w:rsid w:val="00A161A3"/>
    <w:rsid w:val="00A167EE"/>
    <w:rsid w:val="00A176D6"/>
    <w:rsid w:val="00A17E2E"/>
    <w:rsid w:val="00A201EB"/>
    <w:rsid w:val="00A205E3"/>
    <w:rsid w:val="00A20D23"/>
    <w:rsid w:val="00A2112F"/>
    <w:rsid w:val="00A215A8"/>
    <w:rsid w:val="00A215D5"/>
    <w:rsid w:val="00A21645"/>
    <w:rsid w:val="00A21736"/>
    <w:rsid w:val="00A22032"/>
    <w:rsid w:val="00A22797"/>
    <w:rsid w:val="00A22982"/>
    <w:rsid w:val="00A22AAC"/>
    <w:rsid w:val="00A231CC"/>
    <w:rsid w:val="00A23F17"/>
    <w:rsid w:val="00A23F22"/>
    <w:rsid w:val="00A2412D"/>
    <w:rsid w:val="00A241FC"/>
    <w:rsid w:val="00A24487"/>
    <w:rsid w:val="00A24AD0"/>
    <w:rsid w:val="00A252B7"/>
    <w:rsid w:val="00A254ED"/>
    <w:rsid w:val="00A255B4"/>
    <w:rsid w:val="00A255E2"/>
    <w:rsid w:val="00A25E1A"/>
    <w:rsid w:val="00A2621D"/>
    <w:rsid w:val="00A263E0"/>
    <w:rsid w:val="00A26976"/>
    <w:rsid w:val="00A26AB6"/>
    <w:rsid w:val="00A26F43"/>
    <w:rsid w:val="00A271E3"/>
    <w:rsid w:val="00A27246"/>
    <w:rsid w:val="00A272B8"/>
    <w:rsid w:val="00A279F0"/>
    <w:rsid w:val="00A27CC7"/>
    <w:rsid w:val="00A27D57"/>
    <w:rsid w:val="00A307FA"/>
    <w:rsid w:val="00A3084B"/>
    <w:rsid w:val="00A30C8A"/>
    <w:rsid w:val="00A31333"/>
    <w:rsid w:val="00A32BDA"/>
    <w:rsid w:val="00A32BEC"/>
    <w:rsid w:val="00A33205"/>
    <w:rsid w:val="00A3338F"/>
    <w:rsid w:val="00A3383A"/>
    <w:rsid w:val="00A339B0"/>
    <w:rsid w:val="00A339E1"/>
    <w:rsid w:val="00A33BBA"/>
    <w:rsid w:val="00A34865"/>
    <w:rsid w:val="00A350B1"/>
    <w:rsid w:val="00A35204"/>
    <w:rsid w:val="00A355CA"/>
    <w:rsid w:val="00A35A29"/>
    <w:rsid w:val="00A35E96"/>
    <w:rsid w:val="00A3605C"/>
    <w:rsid w:val="00A36141"/>
    <w:rsid w:val="00A368C0"/>
    <w:rsid w:val="00A372D5"/>
    <w:rsid w:val="00A372E9"/>
    <w:rsid w:val="00A37753"/>
    <w:rsid w:val="00A37BA0"/>
    <w:rsid w:val="00A37CE9"/>
    <w:rsid w:val="00A37DA0"/>
    <w:rsid w:val="00A4022A"/>
    <w:rsid w:val="00A402FF"/>
    <w:rsid w:val="00A4065F"/>
    <w:rsid w:val="00A410F2"/>
    <w:rsid w:val="00A41A41"/>
    <w:rsid w:val="00A41AFB"/>
    <w:rsid w:val="00A41D50"/>
    <w:rsid w:val="00A426B6"/>
    <w:rsid w:val="00A42852"/>
    <w:rsid w:val="00A428F3"/>
    <w:rsid w:val="00A42C23"/>
    <w:rsid w:val="00A42C26"/>
    <w:rsid w:val="00A42C76"/>
    <w:rsid w:val="00A42E8C"/>
    <w:rsid w:val="00A42FE3"/>
    <w:rsid w:val="00A43057"/>
    <w:rsid w:val="00A4344B"/>
    <w:rsid w:val="00A4347E"/>
    <w:rsid w:val="00A44DB7"/>
    <w:rsid w:val="00A45390"/>
    <w:rsid w:val="00A46108"/>
    <w:rsid w:val="00A46349"/>
    <w:rsid w:val="00A469D4"/>
    <w:rsid w:val="00A46C38"/>
    <w:rsid w:val="00A46C67"/>
    <w:rsid w:val="00A46FC6"/>
    <w:rsid w:val="00A46FFB"/>
    <w:rsid w:val="00A470A7"/>
    <w:rsid w:val="00A5026C"/>
    <w:rsid w:val="00A503D1"/>
    <w:rsid w:val="00A505E8"/>
    <w:rsid w:val="00A5063D"/>
    <w:rsid w:val="00A50B07"/>
    <w:rsid w:val="00A50C9D"/>
    <w:rsid w:val="00A50E1C"/>
    <w:rsid w:val="00A5140B"/>
    <w:rsid w:val="00A51EB2"/>
    <w:rsid w:val="00A51F4A"/>
    <w:rsid w:val="00A5418C"/>
    <w:rsid w:val="00A5422E"/>
    <w:rsid w:val="00A5431A"/>
    <w:rsid w:val="00A54330"/>
    <w:rsid w:val="00A54E68"/>
    <w:rsid w:val="00A54F77"/>
    <w:rsid w:val="00A55368"/>
    <w:rsid w:val="00A55548"/>
    <w:rsid w:val="00A55B62"/>
    <w:rsid w:val="00A5630F"/>
    <w:rsid w:val="00A56605"/>
    <w:rsid w:val="00A568E4"/>
    <w:rsid w:val="00A569C6"/>
    <w:rsid w:val="00A570E9"/>
    <w:rsid w:val="00A5712A"/>
    <w:rsid w:val="00A57D05"/>
    <w:rsid w:val="00A57DC7"/>
    <w:rsid w:val="00A60028"/>
    <w:rsid w:val="00A6030A"/>
    <w:rsid w:val="00A60EF3"/>
    <w:rsid w:val="00A60FB8"/>
    <w:rsid w:val="00A61C61"/>
    <w:rsid w:val="00A61E47"/>
    <w:rsid w:val="00A620C4"/>
    <w:rsid w:val="00A62A04"/>
    <w:rsid w:val="00A62B34"/>
    <w:rsid w:val="00A62F48"/>
    <w:rsid w:val="00A631B5"/>
    <w:rsid w:val="00A635FA"/>
    <w:rsid w:val="00A63794"/>
    <w:rsid w:val="00A641FE"/>
    <w:rsid w:val="00A64288"/>
    <w:rsid w:val="00A64293"/>
    <w:rsid w:val="00A64974"/>
    <w:rsid w:val="00A64DDF"/>
    <w:rsid w:val="00A64EAA"/>
    <w:rsid w:val="00A65134"/>
    <w:rsid w:val="00A6566A"/>
    <w:rsid w:val="00A6586B"/>
    <w:rsid w:val="00A65C15"/>
    <w:rsid w:val="00A6623E"/>
    <w:rsid w:val="00A6699D"/>
    <w:rsid w:val="00A66A07"/>
    <w:rsid w:val="00A6703B"/>
    <w:rsid w:val="00A67054"/>
    <w:rsid w:val="00A671C7"/>
    <w:rsid w:val="00A67FC1"/>
    <w:rsid w:val="00A70633"/>
    <w:rsid w:val="00A709CA"/>
    <w:rsid w:val="00A709DC"/>
    <w:rsid w:val="00A70AEF"/>
    <w:rsid w:val="00A71434"/>
    <w:rsid w:val="00A71758"/>
    <w:rsid w:val="00A71C36"/>
    <w:rsid w:val="00A71C4D"/>
    <w:rsid w:val="00A72B1B"/>
    <w:rsid w:val="00A7331E"/>
    <w:rsid w:val="00A734D0"/>
    <w:rsid w:val="00A7356C"/>
    <w:rsid w:val="00A7372E"/>
    <w:rsid w:val="00A73995"/>
    <w:rsid w:val="00A742F5"/>
    <w:rsid w:val="00A74377"/>
    <w:rsid w:val="00A74962"/>
    <w:rsid w:val="00A754FD"/>
    <w:rsid w:val="00A75712"/>
    <w:rsid w:val="00A75D9E"/>
    <w:rsid w:val="00A762C1"/>
    <w:rsid w:val="00A76A0E"/>
    <w:rsid w:val="00A77488"/>
    <w:rsid w:val="00A77514"/>
    <w:rsid w:val="00A805EB"/>
    <w:rsid w:val="00A8066C"/>
    <w:rsid w:val="00A80AB0"/>
    <w:rsid w:val="00A80FFF"/>
    <w:rsid w:val="00A81150"/>
    <w:rsid w:val="00A81A27"/>
    <w:rsid w:val="00A81CA7"/>
    <w:rsid w:val="00A820B6"/>
    <w:rsid w:val="00A8320D"/>
    <w:rsid w:val="00A848ED"/>
    <w:rsid w:val="00A84C48"/>
    <w:rsid w:val="00A855DB"/>
    <w:rsid w:val="00A857D8"/>
    <w:rsid w:val="00A875DA"/>
    <w:rsid w:val="00A90239"/>
    <w:rsid w:val="00A90F84"/>
    <w:rsid w:val="00A91461"/>
    <w:rsid w:val="00A926E5"/>
    <w:rsid w:val="00A92824"/>
    <w:rsid w:val="00A928FF"/>
    <w:rsid w:val="00A92EBC"/>
    <w:rsid w:val="00A93A52"/>
    <w:rsid w:val="00A940D7"/>
    <w:rsid w:val="00A94565"/>
    <w:rsid w:val="00A94E3A"/>
    <w:rsid w:val="00A95D1A"/>
    <w:rsid w:val="00A961A9"/>
    <w:rsid w:val="00A96375"/>
    <w:rsid w:val="00A966B5"/>
    <w:rsid w:val="00A96FDE"/>
    <w:rsid w:val="00A970A0"/>
    <w:rsid w:val="00A9739D"/>
    <w:rsid w:val="00A97999"/>
    <w:rsid w:val="00A97F9F"/>
    <w:rsid w:val="00AA0137"/>
    <w:rsid w:val="00AA0F07"/>
    <w:rsid w:val="00AA11A0"/>
    <w:rsid w:val="00AA12B0"/>
    <w:rsid w:val="00AA2B85"/>
    <w:rsid w:val="00AA2DC9"/>
    <w:rsid w:val="00AA2DD6"/>
    <w:rsid w:val="00AA3EAF"/>
    <w:rsid w:val="00AA414C"/>
    <w:rsid w:val="00AA425B"/>
    <w:rsid w:val="00AA4632"/>
    <w:rsid w:val="00AA4D52"/>
    <w:rsid w:val="00AA5197"/>
    <w:rsid w:val="00AA522A"/>
    <w:rsid w:val="00AA60AB"/>
    <w:rsid w:val="00AA6427"/>
    <w:rsid w:val="00AA66DE"/>
    <w:rsid w:val="00AA679C"/>
    <w:rsid w:val="00AA6804"/>
    <w:rsid w:val="00AA6827"/>
    <w:rsid w:val="00AA6D19"/>
    <w:rsid w:val="00AA7C10"/>
    <w:rsid w:val="00AA7F27"/>
    <w:rsid w:val="00AB021E"/>
    <w:rsid w:val="00AB0532"/>
    <w:rsid w:val="00AB0C90"/>
    <w:rsid w:val="00AB1AEB"/>
    <w:rsid w:val="00AB1B5F"/>
    <w:rsid w:val="00AB2465"/>
    <w:rsid w:val="00AB31A7"/>
    <w:rsid w:val="00AB358A"/>
    <w:rsid w:val="00AB3B8D"/>
    <w:rsid w:val="00AB3C8D"/>
    <w:rsid w:val="00AB3E25"/>
    <w:rsid w:val="00AB3F7F"/>
    <w:rsid w:val="00AB4100"/>
    <w:rsid w:val="00AB44F0"/>
    <w:rsid w:val="00AB4BBD"/>
    <w:rsid w:val="00AB4CAF"/>
    <w:rsid w:val="00AB4E16"/>
    <w:rsid w:val="00AB4EB3"/>
    <w:rsid w:val="00AB51B3"/>
    <w:rsid w:val="00AB59BC"/>
    <w:rsid w:val="00AB5D5D"/>
    <w:rsid w:val="00AB66EF"/>
    <w:rsid w:val="00AB689E"/>
    <w:rsid w:val="00AB70A9"/>
    <w:rsid w:val="00AB7301"/>
    <w:rsid w:val="00AB7524"/>
    <w:rsid w:val="00AB7CA7"/>
    <w:rsid w:val="00AB7EF2"/>
    <w:rsid w:val="00AC03BF"/>
    <w:rsid w:val="00AC0993"/>
    <w:rsid w:val="00AC0ABC"/>
    <w:rsid w:val="00AC13DE"/>
    <w:rsid w:val="00AC17A2"/>
    <w:rsid w:val="00AC1CB2"/>
    <w:rsid w:val="00AC1EF5"/>
    <w:rsid w:val="00AC21E5"/>
    <w:rsid w:val="00AC28B4"/>
    <w:rsid w:val="00AC2FE3"/>
    <w:rsid w:val="00AC3DD6"/>
    <w:rsid w:val="00AC44CB"/>
    <w:rsid w:val="00AC46F5"/>
    <w:rsid w:val="00AC4709"/>
    <w:rsid w:val="00AC4878"/>
    <w:rsid w:val="00AC4B2D"/>
    <w:rsid w:val="00AC4F7C"/>
    <w:rsid w:val="00AC55D6"/>
    <w:rsid w:val="00AC5AAB"/>
    <w:rsid w:val="00AC5D11"/>
    <w:rsid w:val="00AC61C6"/>
    <w:rsid w:val="00AC6626"/>
    <w:rsid w:val="00AC69AB"/>
    <w:rsid w:val="00AC70D2"/>
    <w:rsid w:val="00AC7557"/>
    <w:rsid w:val="00AC75FB"/>
    <w:rsid w:val="00AC76BE"/>
    <w:rsid w:val="00AD0126"/>
    <w:rsid w:val="00AD0643"/>
    <w:rsid w:val="00AD0B3B"/>
    <w:rsid w:val="00AD0CB2"/>
    <w:rsid w:val="00AD1564"/>
    <w:rsid w:val="00AD16C6"/>
    <w:rsid w:val="00AD1708"/>
    <w:rsid w:val="00AD1F2C"/>
    <w:rsid w:val="00AD2065"/>
    <w:rsid w:val="00AD2612"/>
    <w:rsid w:val="00AD2622"/>
    <w:rsid w:val="00AD271B"/>
    <w:rsid w:val="00AD2948"/>
    <w:rsid w:val="00AD2A62"/>
    <w:rsid w:val="00AD3B4A"/>
    <w:rsid w:val="00AD3DB1"/>
    <w:rsid w:val="00AD4243"/>
    <w:rsid w:val="00AD4319"/>
    <w:rsid w:val="00AD43A0"/>
    <w:rsid w:val="00AD4406"/>
    <w:rsid w:val="00AD5331"/>
    <w:rsid w:val="00AD58F8"/>
    <w:rsid w:val="00AD600F"/>
    <w:rsid w:val="00AD623F"/>
    <w:rsid w:val="00AD62FC"/>
    <w:rsid w:val="00AD6C5C"/>
    <w:rsid w:val="00AD772F"/>
    <w:rsid w:val="00AD7C22"/>
    <w:rsid w:val="00AE06D9"/>
    <w:rsid w:val="00AE08C7"/>
    <w:rsid w:val="00AE1009"/>
    <w:rsid w:val="00AE196A"/>
    <w:rsid w:val="00AE1B26"/>
    <w:rsid w:val="00AE2152"/>
    <w:rsid w:val="00AE24B1"/>
    <w:rsid w:val="00AE24CA"/>
    <w:rsid w:val="00AE2699"/>
    <w:rsid w:val="00AE410A"/>
    <w:rsid w:val="00AE42B3"/>
    <w:rsid w:val="00AE4B14"/>
    <w:rsid w:val="00AE4FAD"/>
    <w:rsid w:val="00AE5173"/>
    <w:rsid w:val="00AE5604"/>
    <w:rsid w:val="00AE6139"/>
    <w:rsid w:val="00AE6A91"/>
    <w:rsid w:val="00AE6D27"/>
    <w:rsid w:val="00AE6EDB"/>
    <w:rsid w:val="00AE710E"/>
    <w:rsid w:val="00AE781F"/>
    <w:rsid w:val="00AE7C24"/>
    <w:rsid w:val="00AF0158"/>
    <w:rsid w:val="00AF03EF"/>
    <w:rsid w:val="00AF04AD"/>
    <w:rsid w:val="00AF07E4"/>
    <w:rsid w:val="00AF0A3F"/>
    <w:rsid w:val="00AF17DF"/>
    <w:rsid w:val="00AF1825"/>
    <w:rsid w:val="00AF1BDF"/>
    <w:rsid w:val="00AF1C1A"/>
    <w:rsid w:val="00AF1FDA"/>
    <w:rsid w:val="00AF20A2"/>
    <w:rsid w:val="00AF271A"/>
    <w:rsid w:val="00AF2CB5"/>
    <w:rsid w:val="00AF2D5E"/>
    <w:rsid w:val="00AF3044"/>
    <w:rsid w:val="00AF3911"/>
    <w:rsid w:val="00AF3A06"/>
    <w:rsid w:val="00AF3FB8"/>
    <w:rsid w:val="00AF416E"/>
    <w:rsid w:val="00AF45A7"/>
    <w:rsid w:val="00AF4B66"/>
    <w:rsid w:val="00AF4BA7"/>
    <w:rsid w:val="00AF4EED"/>
    <w:rsid w:val="00AF61CA"/>
    <w:rsid w:val="00AF6273"/>
    <w:rsid w:val="00AF6783"/>
    <w:rsid w:val="00AF6824"/>
    <w:rsid w:val="00AF6B45"/>
    <w:rsid w:val="00AF6BB2"/>
    <w:rsid w:val="00AF6C72"/>
    <w:rsid w:val="00AF77A7"/>
    <w:rsid w:val="00AF7B26"/>
    <w:rsid w:val="00B0048F"/>
    <w:rsid w:val="00B005AD"/>
    <w:rsid w:val="00B009F9"/>
    <w:rsid w:val="00B00B8E"/>
    <w:rsid w:val="00B0114E"/>
    <w:rsid w:val="00B01D78"/>
    <w:rsid w:val="00B02543"/>
    <w:rsid w:val="00B02C76"/>
    <w:rsid w:val="00B02E77"/>
    <w:rsid w:val="00B02F12"/>
    <w:rsid w:val="00B0361D"/>
    <w:rsid w:val="00B03868"/>
    <w:rsid w:val="00B04451"/>
    <w:rsid w:val="00B04F17"/>
    <w:rsid w:val="00B0522B"/>
    <w:rsid w:val="00B053E8"/>
    <w:rsid w:val="00B05DAD"/>
    <w:rsid w:val="00B05F8E"/>
    <w:rsid w:val="00B0611A"/>
    <w:rsid w:val="00B0674D"/>
    <w:rsid w:val="00B069DA"/>
    <w:rsid w:val="00B07044"/>
    <w:rsid w:val="00B07B4A"/>
    <w:rsid w:val="00B07EA5"/>
    <w:rsid w:val="00B07F11"/>
    <w:rsid w:val="00B1044F"/>
    <w:rsid w:val="00B1046F"/>
    <w:rsid w:val="00B104E6"/>
    <w:rsid w:val="00B10529"/>
    <w:rsid w:val="00B10D89"/>
    <w:rsid w:val="00B10FA0"/>
    <w:rsid w:val="00B1124F"/>
    <w:rsid w:val="00B1146C"/>
    <w:rsid w:val="00B118B4"/>
    <w:rsid w:val="00B11D03"/>
    <w:rsid w:val="00B11E56"/>
    <w:rsid w:val="00B124AF"/>
    <w:rsid w:val="00B12524"/>
    <w:rsid w:val="00B12B6F"/>
    <w:rsid w:val="00B12F26"/>
    <w:rsid w:val="00B13D61"/>
    <w:rsid w:val="00B14385"/>
    <w:rsid w:val="00B14403"/>
    <w:rsid w:val="00B14C81"/>
    <w:rsid w:val="00B15463"/>
    <w:rsid w:val="00B155BC"/>
    <w:rsid w:val="00B15A74"/>
    <w:rsid w:val="00B15C0B"/>
    <w:rsid w:val="00B16046"/>
    <w:rsid w:val="00B166F7"/>
    <w:rsid w:val="00B1768B"/>
    <w:rsid w:val="00B17999"/>
    <w:rsid w:val="00B20AAF"/>
    <w:rsid w:val="00B21028"/>
    <w:rsid w:val="00B21288"/>
    <w:rsid w:val="00B21974"/>
    <w:rsid w:val="00B21ED1"/>
    <w:rsid w:val="00B2202D"/>
    <w:rsid w:val="00B22627"/>
    <w:rsid w:val="00B2262E"/>
    <w:rsid w:val="00B22D6A"/>
    <w:rsid w:val="00B22EDA"/>
    <w:rsid w:val="00B23438"/>
    <w:rsid w:val="00B236AD"/>
    <w:rsid w:val="00B23ACD"/>
    <w:rsid w:val="00B23BFE"/>
    <w:rsid w:val="00B2441C"/>
    <w:rsid w:val="00B24441"/>
    <w:rsid w:val="00B24453"/>
    <w:rsid w:val="00B244B9"/>
    <w:rsid w:val="00B24E7A"/>
    <w:rsid w:val="00B25030"/>
    <w:rsid w:val="00B253E7"/>
    <w:rsid w:val="00B25536"/>
    <w:rsid w:val="00B257C5"/>
    <w:rsid w:val="00B25BF1"/>
    <w:rsid w:val="00B25DB4"/>
    <w:rsid w:val="00B26375"/>
    <w:rsid w:val="00B264B1"/>
    <w:rsid w:val="00B27367"/>
    <w:rsid w:val="00B279ED"/>
    <w:rsid w:val="00B27EA8"/>
    <w:rsid w:val="00B3001C"/>
    <w:rsid w:val="00B30397"/>
    <w:rsid w:val="00B30C15"/>
    <w:rsid w:val="00B30F88"/>
    <w:rsid w:val="00B315A2"/>
    <w:rsid w:val="00B31684"/>
    <w:rsid w:val="00B3185E"/>
    <w:rsid w:val="00B32600"/>
    <w:rsid w:val="00B32948"/>
    <w:rsid w:val="00B3342A"/>
    <w:rsid w:val="00B33E20"/>
    <w:rsid w:val="00B33FCD"/>
    <w:rsid w:val="00B34958"/>
    <w:rsid w:val="00B34F51"/>
    <w:rsid w:val="00B35952"/>
    <w:rsid w:val="00B35DD9"/>
    <w:rsid w:val="00B3601F"/>
    <w:rsid w:val="00B364B3"/>
    <w:rsid w:val="00B365B8"/>
    <w:rsid w:val="00B365E9"/>
    <w:rsid w:val="00B3670D"/>
    <w:rsid w:val="00B36911"/>
    <w:rsid w:val="00B36DD9"/>
    <w:rsid w:val="00B37C46"/>
    <w:rsid w:val="00B40113"/>
    <w:rsid w:val="00B4014B"/>
    <w:rsid w:val="00B402FB"/>
    <w:rsid w:val="00B40848"/>
    <w:rsid w:val="00B41109"/>
    <w:rsid w:val="00B4166C"/>
    <w:rsid w:val="00B41856"/>
    <w:rsid w:val="00B42581"/>
    <w:rsid w:val="00B42E24"/>
    <w:rsid w:val="00B432FC"/>
    <w:rsid w:val="00B43F9E"/>
    <w:rsid w:val="00B44B01"/>
    <w:rsid w:val="00B451C1"/>
    <w:rsid w:val="00B45797"/>
    <w:rsid w:val="00B45924"/>
    <w:rsid w:val="00B46166"/>
    <w:rsid w:val="00B4643F"/>
    <w:rsid w:val="00B46742"/>
    <w:rsid w:val="00B47A31"/>
    <w:rsid w:val="00B505CD"/>
    <w:rsid w:val="00B51BC0"/>
    <w:rsid w:val="00B532CE"/>
    <w:rsid w:val="00B5358F"/>
    <w:rsid w:val="00B53896"/>
    <w:rsid w:val="00B54300"/>
    <w:rsid w:val="00B545D2"/>
    <w:rsid w:val="00B545EF"/>
    <w:rsid w:val="00B54B3F"/>
    <w:rsid w:val="00B54F31"/>
    <w:rsid w:val="00B553C8"/>
    <w:rsid w:val="00B55548"/>
    <w:rsid w:val="00B557AC"/>
    <w:rsid w:val="00B557CE"/>
    <w:rsid w:val="00B55B82"/>
    <w:rsid w:val="00B55B9E"/>
    <w:rsid w:val="00B55E2C"/>
    <w:rsid w:val="00B55F7E"/>
    <w:rsid w:val="00B56312"/>
    <w:rsid w:val="00B56493"/>
    <w:rsid w:val="00B568FE"/>
    <w:rsid w:val="00B56AF5"/>
    <w:rsid w:val="00B57478"/>
    <w:rsid w:val="00B575F4"/>
    <w:rsid w:val="00B5790D"/>
    <w:rsid w:val="00B57993"/>
    <w:rsid w:val="00B57A67"/>
    <w:rsid w:val="00B607D7"/>
    <w:rsid w:val="00B608A2"/>
    <w:rsid w:val="00B61DB1"/>
    <w:rsid w:val="00B61F00"/>
    <w:rsid w:val="00B62188"/>
    <w:rsid w:val="00B628BD"/>
    <w:rsid w:val="00B62A6C"/>
    <w:rsid w:val="00B62B6D"/>
    <w:rsid w:val="00B62C3B"/>
    <w:rsid w:val="00B62F6E"/>
    <w:rsid w:val="00B63612"/>
    <w:rsid w:val="00B63A01"/>
    <w:rsid w:val="00B645FA"/>
    <w:rsid w:val="00B64836"/>
    <w:rsid w:val="00B64C21"/>
    <w:rsid w:val="00B65403"/>
    <w:rsid w:val="00B655A6"/>
    <w:rsid w:val="00B65785"/>
    <w:rsid w:val="00B65D95"/>
    <w:rsid w:val="00B65E05"/>
    <w:rsid w:val="00B66A31"/>
    <w:rsid w:val="00B66C67"/>
    <w:rsid w:val="00B66D89"/>
    <w:rsid w:val="00B66E3B"/>
    <w:rsid w:val="00B66F81"/>
    <w:rsid w:val="00B67526"/>
    <w:rsid w:val="00B675D2"/>
    <w:rsid w:val="00B67B88"/>
    <w:rsid w:val="00B7063A"/>
    <w:rsid w:val="00B707C9"/>
    <w:rsid w:val="00B70BF4"/>
    <w:rsid w:val="00B71192"/>
    <w:rsid w:val="00B7133F"/>
    <w:rsid w:val="00B71676"/>
    <w:rsid w:val="00B71CA5"/>
    <w:rsid w:val="00B71D7B"/>
    <w:rsid w:val="00B720E7"/>
    <w:rsid w:val="00B73C19"/>
    <w:rsid w:val="00B74AC1"/>
    <w:rsid w:val="00B74D64"/>
    <w:rsid w:val="00B74FDC"/>
    <w:rsid w:val="00B76470"/>
    <w:rsid w:val="00B76BF8"/>
    <w:rsid w:val="00B76D48"/>
    <w:rsid w:val="00B76F56"/>
    <w:rsid w:val="00B77963"/>
    <w:rsid w:val="00B77E88"/>
    <w:rsid w:val="00B806F8"/>
    <w:rsid w:val="00B8076B"/>
    <w:rsid w:val="00B809B8"/>
    <w:rsid w:val="00B80F85"/>
    <w:rsid w:val="00B811E2"/>
    <w:rsid w:val="00B81229"/>
    <w:rsid w:val="00B81405"/>
    <w:rsid w:val="00B8168A"/>
    <w:rsid w:val="00B819D4"/>
    <w:rsid w:val="00B81AAB"/>
    <w:rsid w:val="00B81B94"/>
    <w:rsid w:val="00B8215B"/>
    <w:rsid w:val="00B82CFB"/>
    <w:rsid w:val="00B830AD"/>
    <w:rsid w:val="00B830CD"/>
    <w:rsid w:val="00B839D1"/>
    <w:rsid w:val="00B83D04"/>
    <w:rsid w:val="00B83D98"/>
    <w:rsid w:val="00B84381"/>
    <w:rsid w:val="00B8449A"/>
    <w:rsid w:val="00B8517C"/>
    <w:rsid w:val="00B85283"/>
    <w:rsid w:val="00B85490"/>
    <w:rsid w:val="00B85CEA"/>
    <w:rsid w:val="00B8602C"/>
    <w:rsid w:val="00B86210"/>
    <w:rsid w:val="00B86886"/>
    <w:rsid w:val="00B86B93"/>
    <w:rsid w:val="00B86C3A"/>
    <w:rsid w:val="00B870ED"/>
    <w:rsid w:val="00B875E8"/>
    <w:rsid w:val="00B90231"/>
    <w:rsid w:val="00B915AD"/>
    <w:rsid w:val="00B915FC"/>
    <w:rsid w:val="00B916F3"/>
    <w:rsid w:val="00B91911"/>
    <w:rsid w:val="00B91922"/>
    <w:rsid w:val="00B91CE7"/>
    <w:rsid w:val="00B922C6"/>
    <w:rsid w:val="00B92533"/>
    <w:rsid w:val="00B9284D"/>
    <w:rsid w:val="00B92B05"/>
    <w:rsid w:val="00B93EF3"/>
    <w:rsid w:val="00B942B1"/>
    <w:rsid w:val="00B94860"/>
    <w:rsid w:val="00B94E1F"/>
    <w:rsid w:val="00B95152"/>
    <w:rsid w:val="00B95164"/>
    <w:rsid w:val="00B952F2"/>
    <w:rsid w:val="00B95E53"/>
    <w:rsid w:val="00B96434"/>
    <w:rsid w:val="00B9702A"/>
    <w:rsid w:val="00B97876"/>
    <w:rsid w:val="00B978B8"/>
    <w:rsid w:val="00B97A39"/>
    <w:rsid w:val="00BA04F2"/>
    <w:rsid w:val="00BA06CF"/>
    <w:rsid w:val="00BA0884"/>
    <w:rsid w:val="00BA094D"/>
    <w:rsid w:val="00BA0E7F"/>
    <w:rsid w:val="00BA0FFA"/>
    <w:rsid w:val="00BA2209"/>
    <w:rsid w:val="00BA2213"/>
    <w:rsid w:val="00BA26A4"/>
    <w:rsid w:val="00BA2DCC"/>
    <w:rsid w:val="00BA2F29"/>
    <w:rsid w:val="00BA37C8"/>
    <w:rsid w:val="00BA3B38"/>
    <w:rsid w:val="00BA4143"/>
    <w:rsid w:val="00BA470E"/>
    <w:rsid w:val="00BA4AF8"/>
    <w:rsid w:val="00BA4E8F"/>
    <w:rsid w:val="00BA50C2"/>
    <w:rsid w:val="00BA541D"/>
    <w:rsid w:val="00BA550C"/>
    <w:rsid w:val="00BA55A2"/>
    <w:rsid w:val="00BA5E10"/>
    <w:rsid w:val="00BA605A"/>
    <w:rsid w:val="00BA622F"/>
    <w:rsid w:val="00BA6666"/>
    <w:rsid w:val="00BA6A6F"/>
    <w:rsid w:val="00BA6C33"/>
    <w:rsid w:val="00BA7062"/>
    <w:rsid w:val="00BA70D3"/>
    <w:rsid w:val="00BA7A35"/>
    <w:rsid w:val="00BA7F92"/>
    <w:rsid w:val="00BB06E8"/>
    <w:rsid w:val="00BB07E0"/>
    <w:rsid w:val="00BB0E71"/>
    <w:rsid w:val="00BB101F"/>
    <w:rsid w:val="00BB143F"/>
    <w:rsid w:val="00BB1867"/>
    <w:rsid w:val="00BB1B69"/>
    <w:rsid w:val="00BB1CF1"/>
    <w:rsid w:val="00BB2139"/>
    <w:rsid w:val="00BB274F"/>
    <w:rsid w:val="00BB2759"/>
    <w:rsid w:val="00BB2E0A"/>
    <w:rsid w:val="00BB3621"/>
    <w:rsid w:val="00BB3C9F"/>
    <w:rsid w:val="00BB457A"/>
    <w:rsid w:val="00BB4880"/>
    <w:rsid w:val="00BB490D"/>
    <w:rsid w:val="00BB4A1F"/>
    <w:rsid w:val="00BB54CA"/>
    <w:rsid w:val="00BB5672"/>
    <w:rsid w:val="00BB621C"/>
    <w:rsid w:val="00BB63E6"/>
    <w:rsid w:val="00BB6806"/>
    <w:rsid w:val="00BB6BBD"/>
    <w:rsid w:val="00BB7110"/>
    <w:rsid w:val="00BB7698"/>
    <w:rsid w:val="00BB782F"/>
    <w:rsid w:val="00BC04C6"/>
    <w:rsid w:val="00BC0771"/>
    <w:rsid w:val="00BC0D6C"/>
    <w:rsid w:val="00BC0FE1"/>
    <w:rsid w:val="00BC10B5"/>
    <w:rsid w:val="00BC10D4"/>
    <w:rsid w:val="00BC1CE8"/>
    <w:rsid w:val="00BC20FA"/>
    <w:rsid w:val="00BC218A"/>
    <w:rsid w:val="00BC236A"/>
    <w:rsid w:val="00BC25E5"/>
    <w:rsid w:val="00BC2A6A"/>
    <w:rsid w:val="00BC2B2E"/>
    <w:rsid w:val="00BC2E2F"/>
    <w:rsid w:val="00BC3252"/>
    <w:rsid w:val="00BC4C5B"/>
    <w:rsid w:val="00BC57DB"/>
    <w:rsid w:val="00BC5809"/>
    <w:rsid w:val="00BC6314"/>
    <w:rsid w:val="00BC7006"/>
    <w:rsid w:val="00BC75BF"/>
    <w:rsid w:val="00BC79F9"/>
    <w:rsid w:val="00BC7E37"/>
    <w:rsid w:val="00BD01A4"/>
    <w:rsid w:val="00BD0738"/>
    <w:rsid w:val="00BD0AEB"/>
    <w:rsid w:val="00BD0C59"/>
    <w:rsid w:val="00BD0D56"/>
    <w:rsid w:val="00BD1AA3"/>
    <w:rsid w:val="00BD2156"/>
    <w:rsid w:val="00BD2307"/>
    <w:rsid w:val="00BD28BD"/>
    <w:rsid w:val="00BD297B"/>
    <w:rsid w:val="00BD2C0B"/>
    <w:rsid w:val="00BD365A"/>
    <w:rsid w:val="00BD3B98"/>
    <w:rsid w:val="00BD443E"/>
    <w:rsid w:val="00BD494D"/>
    <w:rsid w:val="00BD4983"/>
    <w:rsid w:val="00BD4A6C"/>
    <w:rsid w:val="00BD4C34"/>
    <w:rsid w:val="00BD5241"/>
    <w:rsid w:val="00BD538A"/>
    <w:rsid w:val="00BD54E2"/>
    <w:rsid w:val="00BD5873"/>
    <w:rsid w:val="00BD5893"/>
    <w:rsid w:val="00BD58D1"/>
    <w:rsid w:val="00BD5C8A"/>
    <w:rsid w:val="00BD66D1"/>
    <w:rsid w:val="00BD7723"/>
    <w:rsid w:val="00BD7BC2"/>
    <w:rsid w:val="00BE05EA"/>
    <w:rsid w:val="00BE0BD2"/>
    <w:rsid w:val="00BE0C7F"/>
    <w:rsid w:val="00BE0E70"/>
    <w:rsid w:val="00BE1FB5"/>
    <w:rsid w:val="00BE3837"/>
    <w:rsid w:val="00BE3BDA"/>
    <w:rsid w:val="00BE3FBD"/>
    <w:rsid w:val="00BE4984"/>
    <w:rsid w:val="00BE4E77"/>
    <w:rsid w:val="00BE5C62"/>
    <w:rsid w:val="00BE6394"/>
    <w:rsid w:val="00BE662F"/>
    <w:rsid w:val="00BE6ABB"/>
    <w:rsid w:val="00BE7656"/>
    <w:rsid w:val="00BE76F0"/>
    <w:rsid w:val="00BE7C86"/>
    <w:rsid w:val="00BE7DC2"/>
    <w:rsid w:val="00BE7FA0"/>
    <w:rsid w:val="00BF00DA"/>
    <w:rsid w:val="00BF040F"/>
    <w:rsid w:val="00BF0655"/>
    <w:rsid w:val="00BF0B12"/>
    <w:rsid w:val="00BF0BB9"/>
    <w:rsid w:val="00BF0CA6"/>
    <w:rsid w:val="00BF12E1"/>
    <w:rsid w:val="00BF15B0"/>
    <w:rsid w:val="00BF15C3"/>
    <w:rsid w:val="00BF1982"/>
    <w:rsid w:val="00BF1AAF"/>
    <w:rsid w:val="00BF1C73"/>
    <w:rsid w:val="00BF2199"/>
    <w:rsid w:val="00BF2686"/>
    <w:rsid w:val="00BF3033"/>
    <w:rsid w:val="00BF4AC2"/>
    <w:rsid w:val="00BF553C"/>
    <w:rsid w:val="00BF5B73"/>
    <w:rsid w:val="00BF5DD9"/>
    <w:rsid w:val="00BF5F84"/>
    <w:rsid w:val="00BF6124"/>
    <w:rsid w:val="00BF7D45"/>
    <w:rsid w:val="00BF7DC7"/>
    <w:rsid w:val="00C00601"/>
    <w:rsid w:val="00C0085E"/>
    <w:rsid w:val="00C00C40"/>
    <w:rsid w:val="00C00D81"/>
    <w:rsid w:val="00C0188D"/>
    <w:rsid w:val="00C01979"/>
    <w:rsid w:val="00C01C24"/>
    <w:rsid w:val="00C01E5B"/>
    <w:rsid w:val="00C02714"/>
    <w:rsid w:val="00C029DC"/>
    <w:rsid w:val="00C02C82"/>
    <w:rsid w:val="00C03721"/>
    <w:rsid w:val="00C03B04"/>
    <w:rsid w:val="00C03C4E"/>
    <w:rsid w:val="00C0411B"/>
    <w:rsid w:val="00C0413A"/>
    <w:rsid w:val="00C05024"/>
    <w:rsid w:val="00C0530A"/>
    <w:rsid w:val="00C05569"/>
    <w:rsid w:val="00C05933"/>
    <w:rsid w:val="00C05B66"/>
    <w:rsid w:val="00C05CE2"/>
    <w:rsid w:val="00C05E6F"/>
    <w:rsid w:val="00C060E5"/>
    <w:rsid w:val="00C061E8"/>
    <w:rsid w:val="00C066C2"/>
    <w:rsid w:val="00C066E9"/>
    <w:rsid w:val="00C101F6"/>
    <w:rsid w:val="00C10364"/>
    <w:rsid w:val="00C103F0"/>
    <w:rsid w:val="00C10420"/>
    <w:rsid w:val="00C104A1"/>
    <w:rsid w:val="00C107AF"/>
    <w:rsid w:val="00C10F50"/>
    <w:rsid w:val="00C12111"/>
    <w:rsid w:val="00C125D9"/>
    <w:rsid w:val="00C12C45"/>
    <w:rsid w:val="00C13318"/>
    <w:rsid w:val="00C13741"/>
    <w:rsid w:val="00C1390F"/>
    <w:rsid w:val="00C13E71"/>
    <w:rsid w:val="00C13EC8"/>
    <w:rsid w:val="00C14543"/>
    <w:rsid w:val="00C1472C"/>
    <w:rsid w:val="00C15156"/>
    <w:rsid w:val="00C15455"/>
    <w:rsid w:val="00C15D89"/>
    <w:rsid w:val="00C162B4"/>
    <w:rsid w:val="00C1640C"/>
    <w:rsid w:val="00C17126"/>
    <w:rsid w:val="00C172B5"/>
    <w:rsid w:val="00C1738F"/>
    <w:rsid w:val="00C17994"/>
    <w:rsid w:val="00C17A2D"/>
    <w:rsid w:val="00C17B85"/>
    <w:rsid w:val="00C17DF3"/>
    <w:rsid w:val="00C203B6"/>
    <w:rsid w:val="00C208BB"/>
    <w:rsid w:val="00C20D33"/>
    <w:rsid w:val="00C20D78"/>
    <w:rsid w:val="00C20D7E"/>
    <w:rsid w:val="00C20DF9"/>
    <w:rsid w:val="00C2171B"/>
    <w:rsid w:val="00C2196D"/>
    <w:rsid w:val="00C22547"/>
    <w:rsid w:val="00C22874"/>
    <w:rsid w:val="00C22AAC"/>
    <w:rsid w:val="00C2340E"/>
    <w:rsid w:val="00C234A7"/>
    <w:rsid w:val="00C23FD6"/>
    <w:rsid w:val="00C24176"/>
    <w:rsid w:val="00C241B6"/>
    <w:rsid w:val="00C24732"/>
    <w:rsid w:val="00C24CFF"/>
    <w:rsid w:val="00C24DB7"/>
    <w:rsid w:val="00C25322"/>
    <w:rsid w:val="00C262F0"/>
    <w:rsid w:val="00C263E3"/>
    <w:rsid w:val="00C2791E"/>
    <w:rsid w:val="00C27A12"/>
    <w:rsid w:val="00C27C1E"/>
    <w:rsid w:val="00C27C26"/>
    <w:rsid w:val="00C27F45"/>
    <w:rsid w:val="00C3086C"/>
    <w:rsid w:val="00C30C2C"/>
    <w:rsid w:val="00C30D86"/>
    <w:rsid w:val="00C3107D"/>
    <w:rsid w:val="00C31B11"/>
    <w:rsid w:val="00C31B18"/>
    <w:rsid w:val="00C31F00"/>
    <w:rsid w:val="00C3358B"/>
    <w:rsid w:val="00C33FCB"/>
    <w:rsid w:val="00C3405F"/>
    <w:rsid w:val="00C34D3F"/>
    <w:rsid w:val="00C34E32"/>
    <w:rsid w:val="00C36505"/>
    <w:rsid w:val="00C3691A"/>
    <w:rsid w:val="00C371A4"/>
    <w:rsid w:val="00C37210"/>
    <w:rsid w:val="00C374AB"/>
    <w:rsid w:val="00C379F6"/>
    <w:rsid w:val="00C37A00"/>
    <w:rsid w:val="00C37E4A"/>
    <w:rsid w:val="00C4009A"/>
    <w:rsid w:val="00C40503"/>
    <w:rsid w:val="00C40789"/>
    <w:rsid w:val="00C40D1E"/>
    <w:rsid w:val="00C40E9C"/>
    <w:rsid w:val="00C4140C"/>
    <w:rsid w:val="00C417EC"/>
    <w:rsid w:val="00C41DC8"/>
    <w:rsid w:val="00C42322"/>
    <w:rsid w:val="00C42380"/>
    <w:rsid w:val="00C429AC"/>
    <w:rsid w:val="00C42DBD"/>
    <w:rsid w:val="00C4428B"/>
    <w:rsid w:val="00C448DF"/>
    <w:rsid w:val="00C44FD6"/>
    <w:rsid w:val="00C455DE"/>
    <w:rsid w:val="00C459CC"/>
    <w:rsid w:val="00C45FD2"/>
    <w:rsid w:val="00C461BD"/>
    <w:rsid w:val="00C46957"/>
    <w:rsid w:val="00C469B8"/>
    <w:rsid w:val="00C46B09"/>
    <w:rsid w:val="00C46F26"/>
    <w:rsid w:val="00C474E2"/>
    <w:rsid w:val="00C47DCA"/>
    <w:rsid w:val="00C50187"/>
    <w:rsid w:val="00C501B0"/>
    <w:rsid w:val="00C50315"/>
    <w:rsid w:val="00C50346"/>
    <w:rsid w:val="00C50886"/>
    <w:rsid w:val="00C50937"/>
    <w:rsid w:val="00C50B0F"/>
    <w:rsid w:val="00C50C97"/>
    <w:rsid w:val="00C50F83"/>
    <w:rsid w:val="00C50FA4"/>
    <w:rsid w:val="00C51124"/>
    <w:rsid w:val="00C51170"/>
    <w:rsid w:val="00C511E1"/>
    <w:rsid w:val="00C51C6B"/>
    <w:rsid w:val="00C5219B"/>
    <w:rsid w:val="00C52320"/>
    <w:rsid w:val="00C5294E"/>
    <w:rsid w:val="00C52E5E"/>
    <w:rsid w:val="00C531E5"/>
    <w:rsid w:val="00C53500"/>
    <w:rsid w:val="00C53B1B"/>
    <w:rsid w:val="00C53DD1"/>
    <w:rsid w:val="00C53DF9"/>
    <w:rsid w:val="00C53F3A"/>
    <w:rsid w:val="00C53F4D"/>
    <w:rsid w:val="00C53FD1"/>
    <w:rsid w:val="00C5413A"/>
    <w:rsid w:val="00C54348"/>
    <w:rsid w:val="00C54B3D"/>
    <w:rsid w:val="00C54BC3"/>
    <w:rsid w:val="00C54CDF"/>
    <w:rsid w:val="00C54F58"/>
    <w:rsid w:val="00C55891"/>
    <w:rsid w:val="00C55A5E"/>
    <w:rsid w:val="00C56195"/>
    <w:rsid w:val="00C568C9"/>
    <w:rsid w:val="00C572EE"/>
    <w:rsid w:val="00C574D1"/>
    <w:rsid w:val="00C5762F"/>
    <w:rsid w:val="00C57DFF"/>
    <w:rsid w:val="00C600CC"/>
    <w:rsid w:val="00C60D1E"/>
    <w:rsid w:val="00C61482"/>
    <w:rsid w:val="00C61B4C"/>
    <w:rsid w:val="00C620F3"/>
    <w:rsid w:val="00C6211C"/>
    <w:rsid w:val="00C623C4"/>
    <w:rsid w:val="00C6278E"/>
    <w:rsid w:val="00C62D2B"/>
    <w:rsid w:val="00C62E99"/>
    <w:rsid w:val="00C631AC"/>
    <w:rsid w:val="00C637BB"/>
    <w:rsid w:val="00C6395C"/>
    <w:rsid w:val="00C63B38"/>
    <w:rsid w:val="00C63BC3"/>
    <w:rsid w:val="00C64770"/>
    <w:rsid w:val="00C64D14"/>
    <w:rsid w:val="00C656BD"/>
    <w:rsid w:val="00C65B8F"/>
    <w:rsid w:val="00C65D85"/>
    <w:rsid w:val="00C66883"/>
    <w:rsid w:val="00C66A16"/>
    <w:rsid w:val="00C67534"/>
    <w:rsid w:val="00C67541"/>
    <w:rsid w:val="00C67F29"/>
    <w:rsid w:val="00C67F74"/>
    <w:rsid w:val="00C67FF9"/>
    <w:rsid w:val="00C702BB"/>
    <w:rsid w:val="00C7040D"/>
    <w:rsid w:val="00C70604"/>
    <w:rsid w:val="00C70B40"/>
    <w:rsid w:val="00C70B65"/>
    <w:rsid w:val="00C70F94"/>
    <w:rsid w:val="00C7193A"/>
    <w:rsid w:val="00C71E78"/>
    <w:rsid w:val="00C725F5"/>
    <w:rsid w:val="00C727D0"/>
    <w:rsid w:val="00C739E3"/>
    <w:rsid w:val="00C742DA"/>
    <w:rsid w:val="00C7476A"/>
    <w:rsid w:val="00C748BD"/>
    <w:rsid w:val="00C749D7"/>
    <w:rsid w:val="00C74E66"/>
    <w:rsid w:val="00C75382"/>
    <w:rsid w:val="00C75812"/>
    <w:rsid w:val="00C763E0"/>
    <w:rsid w:val="00C765A0"/>
    <w:rsid w:val="00C76A7E"/>
    <w:rsid w:val="00C76C35"/>
    <w:rsid w:val="00C7771C"/>
    <w:rsid w:val="00C77DC2"/>
    <w:rsid w:val="00C80191"/>
    <w:rsid w:val="00C80482"/>
    <w:rsid w:val="00C80501"/>
    <w:rsid w:val="00C80C5E"/>
    <w:rsid w:val="00C80D14"/>
    <w:rsid w:val="00C810F0"/>
    <w:rsid w:val="00C81296"/>
    <w:rsid w:val="00C820C4"/>
    <w:rsid w:val="00C835A7"/>
    <w:rsid w:val="00C83676"/>
    <w:rsid w:val="00C83B5B"/>
    <w:rsid w:val="00C844A1"/>
    <w:rsid w:val="00C844C1"/>
    <w:rsid w:val="00C85B87"/>
    <w:rsid w:val="00C85EE8"/>
    <w:rsid w:val="00C86241"/>
    <w:rsid w:val="00C86393"/>
    <w:rsid w:val="00C86E84"/>
    <w:rsid w:val="00C8727C"/>
    <w:rsid w:val="00C8782D"/>
    <w:rsid w:val="00C87A37"/>
    <w:rsid w:val="00C87BAA"/>
    <w:rsid w:val="00C90E33"/>
    <w:rsid w:val="00C90EA9"/>
    <w:rsid w:val="00C9102E"/>
    <w:rsid w:val="00C9131E"/>
    <w:rsid w:val="00C91613"/>
    <w:rsid w:val="00C918BB"/>
    <w:rsid w:val="00C92293"/>
    <w:rsid w:val="00C9293D"/>
    <w:rsid w:val="00C92966"/>
    <w:rsid w:val="00C92AC3"/>
    <w:rsid w:val="00C92B2F"/>
    <w:rsid w:val="00C92B52"/>
    <w:rsid w:val="00C93099"/>
    <w:rsid w:val="00C9327B"/>
    <w:rsid w:val="00C938CD"/>
    <w:rsid w:val="00C93DE5"/>
    <w:rsid w:val="00C94916"/>
    <w:rsid w:val="00C94BC5"/>
    <w:rsid w:val="00C94F79"/>
    <w:rsid w:val="00C95247"/>
    <w:rsid w:val="00C95359"/>
    <w:rsid w:val="00C9553B"/>
    <w:rsid w:val="00C959EF"/>
    <w:rsid w:val="00C95C6E"/>
    <w:rsid w:val="00C95DDB"/>
    <w:rsid w:val="00C96538"/>
    <w:rsid w:val="00C96660"/>
    <w:rsid w:val="00C96DF1"/>
    <w:rsid w:val="00C96FB1"/>
    <w:rsid w:val="00C97198"/>
    <w:rsid w:val="00CA0C1D"/>
    <w:rsid w:val="00CA172F"/>
    <w:rsid w:val="00CA1D1A"/>
    <w:rsid w:val="00CA2358"/>
    <w:rsid w:val="00CA26A1"/>
    <w:rsid w:val="00CA2CE2"/>
    <w:rsid w:val="00CA3773"/>
    <w:rsid w:val="00CA3918"/>
    <w:rsid w:val="00CA39FA"/>
    <w:rsid w:val="00CA4EF1"/>
    <w:rsid w:val="00CA5558"/>
    <w:rsid w:val="00CA61C8"/>
    <w:rsid w:val="00CB000D"/>
    <w:rsid w:val="00CB0316"/>
    <w:rsid w:val="00CB0735"/>
    <w:rsid w:val="00CB0B97"/>
    <w:rsid w:val="00CB1535"/>
    <w:rsid w:val="00CB199F"/>
    <w:rsid w:val="00CB1B05"/>
    <w:rsid w:val="00CB27E1"/>
    <w:rsid w:val="00CB3176"/>
    <w:rsid w:val="00CB32AA"/>
    <w:rsid w:val="00CB33A6"/>
    <w:rsid w:val="00CB3987"/>
    <w:rsid w:val="00CB3988"/>
    <w:rsid w:val="00CB48B0"/>
    <w:rsid w:val="00CB52DF"/>
    <w:rsid w:val="00CB5EB8"/>
    <w:rsid w:val="00CB680A"/>
    <w:rsid w:val="00CB6A2D"/>
    <w:rsid w:val="00CB6CEA"/>
    <w:rsid w:val="00CB7026"/>
    <w:rsid w:val="00CB741F"/>
    <w:rsid w:val="00CB7469"/>
    <w:rsid w:val="00CB781B"/>
    <w:rsid w:val="00CB79C7"/>
    <w:rsid w:val="00CC0632"/>
    <w:rsid w:val="00CC0B1D"/>
    <w:rsid w:val="00CC20A3"/>
    <w:rsid w:val="00CC2125"/>
    <w:rsid w:val="00CC2931"/>
    <w:rsid w:val="00CC296B"/>
    <w:rsid w:val="00CC2A56"/>
    <w:rsid w:val="00CC2FC3"/>
    <w:rsid w:val="00CC30A7"/>
    <w:rsid w:val="00CC328F"/>
    <w:rsid w:val="00CC3588"/>
    <w:rsid w:val="00CC3B75"/>
    <w:rsid w:val="00CC3DF5"/>
    <w:rsid w:val="00CC424E"/>
    <w:rsid w:val="00CC510D"/>
    <w:rsid w:val="00CC5218"/>
    <w:rsid w:val="00CC5A5D"/>
    <w:rsid w:val="00CC633F"/>
    <w:rsid w:val="00CC69B8"/>
    <w:rsid w:val="00CC7706"/>
    <w:rsid w:val="00CD04B4"/>
    <w:rsid w:val="00CD0AEF"/>
    <w:rsid w:val="00CD10C3"/>
    <w:rsid w:val="00CD130F"/>
    <w:rsid w:val="00CD17A6"/>
    <w:rsid w:val="00CD2159"/>
    <w:rsid w:val="00CD2225"/>
    <w:rsid w:val="00CD24FA"/>
    <w:rsid w:val="00CD2FA1"/>
    <w:rsid w:val="00CD35E0"/>
    <w:rsid w:val="00CD3756"/>
    <w:rsid w:val="00CD392B"/>
    <w:rsid w:val="00CD3DA6"/>
    <w:rsid w:val="00CD3F00"/>
    <w:rsid w:val="00CD4789"/>
    <w:rsid w:val="00CD4E01"/>
    <w:rsid w:val="00CD5A09"/>
    <w:rsid w:val="00CD5B34"/>
    <w:rsid w:val="00CD6357"/>
    <w:rsid w:val="00CD69FB"/>
    <w:rsid w:val="00CD71B1"/>
    <w:rsid w:val="00CD79BC"/>
    <w:rsid w:val="00CD7CE0"/>
    <w:rsid w:val="00CD7F9E"/>
    <w:rsid w:val="00CD7FBF"/>
    <w:rsid w:val="00CE0AAE"/>
    <w:rsid w:val="00CE1430"/>
    <w:rsid w:val="00CE15D0"/>
    <w:rsid w:val="00CE2E1B"/>
    <w:rsid w:val="00CE30F9"/>
    <w:rsid w:val="00CE3506"/>
    <w:rsid w:val="00CE3C9A"/>
    <w:rsid w:val="00CE3EEE"/>
    <w:rsid w:val="00CE4159"/>
    <w:rsid w:val="00CE4C82"/>
    <w:rsid w:val="00CE5001"/>
    <w:rsid w:val="00CE532C"/>
    <w:rsid w:val="00CE53EB"/>
    <w:rsid w:val="00CE5838"/>
    <w:rsid w:val="00CE5C1A"/>
    <w:rsid w:val="00CE5CC7"/>
    <w:rsid w:val="00CE5F50"/>
    <w:rsid w:val="00CE5FA2"/>
    <w:rsid w:val="00CE614D"/>
    <w:rsid w:val="00CE6188"/>
    <w:rsid w:val="00CE6438"/>
    <w:rsid w:val="00CE7397"/>
    <w:rsid w:val="00CE73D4"/>
    <w:rsid w:val="00CF04EA"/>
    <w:rsid w:val="00CF142C"/>
    <w:rsid w:val="00CF18ED"/>
    <w:rsid w:val="00CF1D2F"/>
    <w:rsid w:val="00CF1D7F"/>
    <w:rsid w:val="00CF254C"/>
    <w:rsid w:val="00CF263F"/>
    <w:rsid w:val="00CF2B36"/>
    <w:rsid w:val="00CF2F37"/>
    <w:rsid w:val="00CF32DC"/>
    <w:rsid w:val="00CF33E6"/>
    <w:rsid w:val="00CF34A6"/>
    <w:rsid w:val="00CF3C1A"/>
    <w:rsid w:val="00CF400F"/>
    <w:rsid w:val="00CF4A82"/>
    <w:rsid w:val="00CF4E9A"/>
    <w:rsid w:val="00CF6056"/>
    <w:rsid w:val="00CF6E26"/>
    <w:rsid w:val="00CF739B"/>
    <w:rsid w:val="00CF74E1"/>
    <w:rsid w:val="00CF7F06"/>
    <w:rsid w:val="00CF7FD7"/>
    <w:rsid w:val="00D009F5"/>
    <w:rsid w:val="00D00B58"/>
    <w:rsid w:val="00D011B7"/>
    <w:rsid w:val="00D015E1"/>
    <w:rsid w:val="00D0163E"/>
    <w:rsid w:val="00D02397"/>
    <w:rsid w:val="00D02678"/>
    <w:rsid w:val="00D02D08"/>
    <w:rsid w:val="00D0309C"/>
    <w:rsid w:val="00D0334D"/>
    <w:rsid w:val="00D039BE"/>
    <w:rsid w:val="00D04623"/>
    <w:rsid w:val="00D05028"/>
    <w:rsid w:val="00D059C8"/>
    <w:rsid w:val="00D05A00"/>
    <w:rsid w:val="00D0639E"/>
    <w:rsid w:val="00D06549"/>
    <w:rsid w:val="00D06D65"/>
    <w:rsid w:val="00D06EEE"/>
    <w:rsid w:val="00D07220"/>
    <w:rsid w:val="00D072BA"/>
    <w:rsid w:val="00D07674"/>
    <w:rsid w:val="00D07F8C"/>
    <w:rsid w:val="00D07FFD"/>
    <w:rsid w:val="00D10AA4"/>
    <w:rsid w:val="00D10DFA"/>
    <w:rsid w:val="00D11046"/>
    <w:rsid w:val="00D11116"/>
    <w:rsid w:val="00D11151"/>
    <w:rsid w:val="00D112F7"/>
    <w:rsid w:val="00D1152C"/>
    <w:rsid w:val="00D1173A"/>
    <w:rsid w:val="00D11B1D"/>
    <w:rsid w:val="00D12AFE"/>
    <w:rsid w:val="00D136BB"/>
    <w:rsid w:val="00D1382A"/>
    <w:rsid w:val="00D13958"/>
    <w:rsid w:val="00D13CC1"/>
    <w:rsid w:val="00D14002"/>
    <w:rsid w:val="00D145F5"/>
    <w:rsid w:val="00D147B2"/>
    <w:rsid w:val="00D14E2E"/>
    <w:rsid w:val="00D15473"/>
    <w:rsid w:val="00D154E3"/>
    <w:rsid w:val="00D15CD4"/>
    <w:rsid w:val="00D15CD7"/>
    <w:rsid w:val="00D15FC4"/>
    <w:rsid w:val="00D16C43"/>
    <w:rsid w:val="00D17382"/>
    <w:rsid w:val="00D17EEF"/>
    <w:rsid w:val="00D17FB2"/>
    <w:rsid w:val="00D17FBE"/>
    <w:rsid w:val="00D20423"/>
    <w:rsid w:val="00D20AB4"/>
    <w:rsid w:val="00D20E0F"/>
    <w:rsid w:val="00D210A6"/>
    <w:rsid w:val="00D21D65"/>
    <w:rsid w:val="00D22201"/>
    <w:rsid w:val="00D222E2"/>
    <w:rsid w:val="00D22336"/>
    <w:rsid w:val="00D223AD"/>
    <w:rsid w:val="00D22736"/>
    <w:rsid w:val="00D2281E"/>
    <w:rsid w:val="00D22B22"/>
    <w:rsid w:val="00D23264"/>
    <w:rsid w:val="00D23C11"/>
    <w:rsid w:val="00D24744"/>
    <w:rsid w:val="00D247DF"/>
    <w:rsid w:val="00D252CE"/>
    <w:rsid w:val="00D260B3"/>
    <w:rsid w:val="00D2655D"/>
    <w:rsid w:val="00D26864"/>
    <w:rsid w:val="00D26B90"/>
    <w:rsid w:val="00D26D30"/>
    <w:rsid w:val="00D27317"/>
    <w:rsid w:val="00D27792"/>
    <w:rsid w:val="00D27B43"/>
    <w:rsid w:val="00D27C7F"/>
    <w:rsid w:val="00D27E74"/>
    <w:rsid w:val="00D27EDC"/>
    <w:rsid w:val="00D27F42"/>
    <w:rsid w:val="00D30048"/>
    <w:rsid w:val="00D3036E"/>
    <w:rsid w:val="00D307D0"/>
    <w:rsid w:val="00D30F63"/>
    <w:rsid w:val="00D31D57"/>
    <w:rsid w:val="00D31FCA"/>
    <w:rsid w:val="00D326B8"/>
    <w:rsid w:val="00D32714"/>
    <w:rsid w:val="00D32805"/>
    <w:rsid w:val="00D32C13"/>
    <w:rsid w:val="00D33132"/>
    <w:rsid w:val="00D3361F"/>
    <w:rsid w:val="00D33D2D"/>
    <w:rsid w:val="00D33E6B"/>
    <w:rsid w:val="00D33FA8"/>
    <w:rsid w:val="00D33FC3"/>
    <w:rsid w:val="00D3418E"/>
    <w:rsid w:val="00D346C6"/>
    <w:rsid w:val="00D34897"/>
    <w:rsid w:val="00D35623"/>
    <w:rsid w:val="00D35FC6"/>
    <w:rsid w:val="00D36062"/>
    <w:rsid w:val="00D360D2"/>
    <w:rsid w:val="00D364C2"/>
    <w:rsid w:val="00D36BCB"/>
    <w:rsid w:val="00D36FB8"/>
    <w:rsid w:val="00D37186"/>
    <w:rsid w:val="00D3735F"/>
    <w:rsid w:val="00D37F56"/>
    <w:rsid w:val="00D40CFE"/>
    <w:rsid w:val="00D40D6B"/>
    <w:rsid w:val="00D4110E"/>
    <w:rsid w:val="00D4149F"/>
    <w:rsid w:val="00D42213"/>
    <w:rsid w:val="00D431F6"/>
    <w:rsid w:val="00D43201"/>
    <w:rsid w:val="00D4331A"/>
    <w:rsid w:val="00D43DE4"/>
    <w:rsid w:val="00D43E34"/>
    <w:rsid w:val="00D44377"/>
    <w:rsid w:val="00D4466B"/>
    <w:rsid w:val="00D44A84"/>
    <w:rsid w:val="00D44C45"/>
    <w:rsid w:val="00D452E7"/>
    <w:rsid w:val="00D454A2"/>
    <w:rsid w:val="00D45608"/>
    <w:rsid w:val="00D45F67"/>
    <w:rsid w:val="00D46EAB"/>
    <w:rsid w:val="00D46EB5"/>
    <w:rsid w:val="00D46F2E"/>
    <w:rsid w:val="00D46FF4"/>
    <w:rsid w:val="00D476BB"/>
    <w:rsid w:val="00D476BE"/>
    <w:rsid w:val="00D47B9A"/>
    <w:rsid w:val="00D501A6"/>
    <w:rsid w:val="00D5029C"/>
    <w:rsid w:val="00D50326"/>
    <w:rsid w:val="00D50870"/>
    <w:rsid w:val="00D508BE"/>
    <w:rsid w:val="00D50E6A"/>
    <w:rsid w:val="00D5149D"/>
    <w:rsid w:val="00D51AFC"/>
    <w:rsid w:val="00D52E6A"/>
    <w:rsid w:val="00D52FB2"/>
    <w:rsid w:val="00D53A9E"/>
    <w:rsid w:val="00D540F8"/>
    <w:rsid w:val="00D54239"/>
    <w:rsid w:val="00D54427"/>
    <w:rsid w:val="00D544B9"/>
    <w:rsid w:val="00D544F5"/>
    <w:rsid w:val="00D547C6"/>
    <w:rsid w:val="00D54F7A"/>
    <w:rsid w:val="00D5516C"/>
    <w:rsid w:val="00D55378"/>
    <w:rsid w:val="00D5610B"/>
    <w:rsid w:val="00D5685D"/>
    <w:rsid w:val="00D56C69"/>
    <w:rsid w:val="00D56FCC"/>
    <w:rsid w:val="00D57452"/>
    <w:rsid w:val="00D57765"/>
    <w:rsid w:val="00D57BDB"/>
    <w:rsid w:val="00D57E66"/>
    <w:rsid w:val="00D57F33"/>
    <w:rsid w:val="00D600ED"/>
    <w:rsid w:val="00D60895"/>
    <w:rsid w:val="00D60A67"/>
    <w:rsid w:val="00D6189A"/>
    <w:rsid w:val="00D62DDC"/>
    <w:rsid w:val="00D639AB"/>
    <w:rsid w:val="00D644B6"/>
    <w:rsid w:val="00D64F09"/>
    <w:rsid w:val="00D650E6"/>
    <w:rsid w:val="00D652F1"/>
    <w:rsid w:val="00D6574F"/>
    <w:rsid w:val="00D65E93"/>
    <w:rsid w:val="00D66312"/>
    <w:rsid w:val="00D66C0B"/>
    <w:rsid w:val="00D6777B"/>
    <w:rsid w:val="00D67851"/>
    <w:rsid w:val="00D6792E"/>
    <w:rsid w:val="00D67A1E"/>
    <w:rsid w:val="00D67A67"/>
    <w:rsid w:val="00D7012C"/>
    <w:rsid w:val="00D70B91"/>
    <w:rsid w:val="00D719EB"/>
    <w:rsid w:val="00D71BB0"/>
    <w:rsid w:val="00D72351"/>
    <w:rsid w:val="00D7256D"/>
    <w:rsid w:val="00D72AD6"/>
    <w:rsid w:val="00D73471"/>
    <w:rsid w:val="00D73B5B"/>
    <w:rsid w:val="00D73D28"/>
    <w:rsid w:val="00D73E18"/>
    <w:rsid w:val="00D74E1A"/>
    <w:rsid w:val="00D74FF5"/>
    <w:rsid w:val="00D75BF7"/>
    <w:rsid w:val="00D75EA9"/>
    <w:rsid w:val="00D76A3B"/>
    <w:rsid w:val="00D772D6"/>
    <w:rsid w:val="00D802E6"/>
    <w:rsid w:val="00D8062D"/>
    <w:rsid w:val="00D80687"/>
    <w:rsid w:val="00D80EAA"/>
    <w:rsid w:val="00D80FFD"/>
    <w:rsid w:val="00D81103"/>
    <w:rsid w:val="00D8131F"/>
    <w:rsid w:val="00D81353"/>
    <w:rsid w:val="00D818CE"/>
    <w:rsid w:val="00D81B71"/>
    <w:rsid w:val="00D82976"/>
    <w:rsid w:val="00D838D7"/>
    <w:rsid w:val="00D83BB5"/>
    <w:rsid w:val="00D84256"/>
    <w:rsid w:val="00D84E0F"/>
    <w:rsid w:val="00D84EA5"/>
    <w:rsid w:val="00D85DF0"/>
    <w:rsid w:val="00D85E52"/>
    <w:rsid w:val="00D85E58"/>
    <w:rsid w:val="00D866FF"/>
    <w:rsid w:val="00D86B22"/>
    <w:rsid w:val="00D86BA9"/>
    <w:rsid w:val="00D86F5B"/>
    <w:rsid w:val="00D8735A"/>
    <w:rsid w:val="00D87378"/>
    <w:rsid w:val="00D8755D"/>
    <w:rsid w:val="00D90A31"/>
    <w:rsid w:val="00D91E39"/>
    <w:rsid w:val="00D926C5"/>
    <w:rsid w:val="00D92B6B"/>
    <w:rsid w:val="00D92F09"/>
    <w:rsid w:val="00D93079"/>
    <w:rsid w:val="00D934A2"/>
    <w:rsid w:val="00D93758"/>
    <w:rsid w:val="00D93798"/>
    <w:rsid w:val="00D93C8A"/>
    <w:rsid w:val="00D9407A"/>
    <w:rsid w:val="00D940FE"/>
    <w:rsid w:val="00D94FC6"/>
    <w:rsid w:val="00D95381"/>
    <w:rsid w:val="00D95415"/>
    <w:rsid w:val="00D95521"/>
    <w:rsid w:val="00D95BB6"/>
    <w:rsid w:val="00D96A87"/>
    <w:rsid w:val="00D97279"/>
    <w:rsid w:val="00D97933"/>
    <w:rsid w:val="00D97A87"/>
    <w:rsid w:val="00D97BED"/>
    <w:rsid w:val="00D97D0B"/>
    <w:rsid w:val="00DA074A"/>
    <w:rsid w:val="00DA0800"/>
    <w:rsid w:val="00DA0D92"/>
    <w:rsid w:val="00DA10BB"/>
    <w:rsid w:val="00DA12FB"/>
    <w:rsid w:val="00DA1775"/>
    <w:rsid w:val="00DA18EE"/>
    <w:rsid w:val="00DA1DBD"/>
    <w:rsid w:val="00DA20F5"/>
    <w:rsid w:val="00DA216F"/>
    <w:rsid w:val="00DA291A"/>
    <w:rsid w:val="00DA30B9"/>
    <w:rsid w:val="00DA37D4"/>
    <w:rsid w:val="00DA4275"/>
    <w:rsid w:val="00DA4C37"/>
    <w:rsid w:val="00DA4D9E"/>
    <w:rsid w:val="00DA4DCE"/>
    <w:rsid w:val="00DA5950"/>
    <w:rsid w:val="00DA6841"/>
    <w:rsid w:val="00DA6899"/>
    <w:rsid w:val="00DA6CD1"/>
    <w:rsid w:val="00DA7099"/>
    <w:rsid w:val="00DA79C0"/>
    <w:rsid w:val="00DA7E91"/>
    <w:rsid w:val="00DB03FA"/>
    <w:rsid w:val="00DB083D"/>
    <w:rsid w:val="00DB0F03"/>
    <w:rsid w:val="00DB0FF5"/>
    <w:rsid w:val="00DB1E27"/>
    <w:rsid w:val="00DB22C0"/>
    <w:rsid w:val="00DB29BF"/>
    <w:rsid w:val="00DB3111"/>
    <w:rsid w:val="00DB317C"/>
    <w:rsid w:val="00DB3222"/>
    <w:rsid w:val="00DB3542"/>
    <w:rsid w:val="00DB3A12"/>
    <w:rsid w:val="00DB3B4D"/>
    <w:rsid w:val="00DB3BEA"/>
    <w:rsid w:val="00DB4661"/>
    <w:rsid w:val="00DB46F6"/>
    <w:rsid w:val="00DB4703"/>
    <w:rsid w:val="00DB47EC"/>
    <w:rsid w:val="00DB4C48"/>
    <w:rsid w:val="00DB4E06"/>
    <w:rsid w:val="00DB509D"/>
    <w:rsid w:val="00DB597B"/>
    <w:rsid w:val="00DB5B03"/>
    <w:rsid w:val="00DB5B73"/>
    <w:rsid w:val="00DB5BFE"/>
    <w:rsid w:val="00DB6C17"/>
    <w:rsid w:val="00DC05B1"/>
    <w:rsid w:val="00DC0A11"/>
    <w:rsid w:val="00DC1659"/>
    <w:rsid w:val="00DC17D3"/>
    <w:rsid w:val="00DC1989"/>
    <w:rsid w:val="00DC235D"/>
    <w:rsid w:val="00DC2C11"/>
    <w:rsid w:val="00DC31AB"/>
    <w:rsid w:val="00DC375E"/>
    <w:rsid w:val="00DC397C"/>
    <w:rsid w:val="00DC3FBE"/>
    <w:rsid w:val="00DC44ED"/>
    <w:rsid w:val="00DC4F05"/>
    <w:rsid w:val="00DC4FA5"/>
    <w:rsid w:val="00DC5952"/>
    <w:rsid w:val="00DC6141"/>
    <w:rsid w:val="00DC652B"/>
    <w:rsid w:val="00DC6A2E"/>
    <w:rsid w:val="00DC7007"/>
    <w:rsid w:val="00DC7264"/>
    <w:rsid w:val="00DC777B"/>
    <w:rsid w:val="00DC79E3"/>
    <w:rsid w:val="00DC7D75"/>
    <w:rsid w:val="00DD014F"/>
    <w:rsid w:val="00DD06B2"/>
    <w:rsid w:val="00DD0B8D"/>
    <w:rsid w:val="00DD116D"/>
    <w:rsid w:val="00DD1349"/>
    <w:rsid w:val="00DD1EB9"/>
    <w:rsid w:val="00DD2115"/>
    <w:rsid w:val="00DD2CDB"/>
    <w:rsid w:val="00DD2E1C"/>
    <w:rsid w:val="00DD2E45"/>
    <w:rsid w:val="00DD2F31"/>
    <w:rsid w:val="00DD3014"/>
    <w:rsid w:val="00DD3298"/>
    <w:rsid w:val="00DD4E15"/>
    <w:rsid w:val="00DD53EF"/>
    <w:rsid w:val="00DD5A7D"/>
    <w:rsid w:val="00DD5C99"/>
    <w:rsid w:val="00DD6145"/>
    <w:rsid w:val="00DD65A0"/>
    <w:rsid w:val="00DD67F9"/>
    <w:rsid w:val="00DD6A87"/>
    <w:rsid w:val="00DD71CA"/>
    <w:rsid w:val="00DD71FE"/>
    <w:rsid w:val="00DD791F"/>
    <w:rsid w:val="00DD7A6D"/>
    <w:rsid w:val="00DD7A84"/>
    <w:rsid w:val="00DE0098"/>
    <w:rsid w:val="00DE055E"/>
    <w:rsid w:val="00DE0EEC"/>
    <w:rsid w:val="00DE18D9"/>
    <w:rsid w:val="00DE1CEC"/>
    <w:rsid w:val="00DE1D9D"/>
    <w:rsid w:val="00DE1E08"/>
    <w:rsid w:val="00DE20A1"/>
    <w:rsid w:val="00DE29F9"/>
    <w:rsid w:val="00DE2A63"/>
    <w:rsid w:val="00DE2C7D"/>
    <w:rsid w:val="00DE321A"/>
    <w:rsid w:val="00DE349E"/>
    <w:rsid w:val="00DE38DD"/>
    <w:rsid w:val="00DE3A7D"/>
    <w:rsid w:val="00DE5247"/>
    <w:rsid w:val="00DE5297"/>
    <w:rsid w:val="00DE59EC"/>
    <w:rsid w:val="00DE6270"/>
    <w:rsid w:val="00DE635C"/>
    <w:rsid w:val="00DE6A59"/>
    <w:rsid w:val="00DE6E5A"/>
    <w:rsid w:val="00DE70AE"/>
    <w:rsid w:val="00DE7519"/>
    <w:rsid w:val="00DE785B"/>
    <w:rsid w:val="00DE7C50"/>
    <w:rsid w:val="00DE7CBE"/>
    <w:rsid w:val="00DF043C"/>
    <w:rsid w:val="00DF0BF3"/>
    <w:rsid w:val="00DF0F4A"/>
    <w:rsid w:val="00DF100F"/>
    <w:rsid w:val="00DF1178"/>
    <w:rsid w:val="00DF14DB"/>
    <w:rsid w:val="00DF1615"/>
    <w:rsid w:val="00DF24CE"/>
    <w:rsid w:val="00DF25EA"/>
    <w:rsid w:val="00DF26CD"/>
    <w:rsid w:val="00DF29B3"/>
    <w:rsid w:val="00DF2BFD"/>
    <w:rsid w:val="00DF3185"/>
    <w:rsid w:val="00DF3AA5"/>
    <w:rsid w:val="00DF3EC1"/>
    <w:rsid w:val="00DF4275"/>
    <w:rsid w:val="00DF44F9"/>
    <w:rsid w:val="00DF4CF3"/>
    <w:rsid w:val="00DF50B3"/>
    <w:rsid w:val="00DF546B"/>
    <w:rsid w:val="00DF585E"/>
    <w:rsid w:val="00DF6471"/>
    <w:rsid w:val="00DF66CB"/>
    <w:rsid w:val="00DF6D70"/>
    <w:rsid w:val="00DF75BF"/>
    <w:rsid w:val="00DF75E4"/>
    <w:rsid w:val="00DF7834"/>
    <w:rsid w:val="00DF7D91"/>
    <w:rsid w:val="00DF7F6D"/>
    <w:rsid w:val="00E00125"/>
    <w:rsid w:val="00E00EAE"/>
    <w:rsid w:val="00E015F5"/>
    <w:rsid w:val="00E01A91"/>
    <w:rsid w:val="00E01CCF"/>
    <w:rsid w:val="00E02178"/>
    <w:rsid w:val="00E0263D"/>
    <w:rsid w:val="00E02DB6"/>
    <w:rsid w:val="00E02E1A"/>
    <w:rsid w:val="00E0328F"/>
    <w:rsid w:val="00E03ABD"/>
    <w:rsid w:val="00E03D0B"/>
    <w:rsid w:val="00E03D35"/>
    <w:rsid w:val="00E04244"/>
    <w:rsid w:val="00E0481C"/>
    <w:rsid w:val="00E04ADC"/>
    <w:rsid w:val="00E0511F"/>
    <w:rsid w:val="00E058DB"/>
    <w:rsid w:val="00E07D9B"/>
    <w:rsid w:val="00E07F08"/>
    <w:rsid w:val="00E10175"/>
    <w:rsid w:val="00E103BC"/>
    <w:rsid w:val="00E105B0"/>
    <w:rsid w:val="00E11041"/>
    <w:rsid w:val="00E1104A"/>
    <w:rsid w:val="00E113F8"/>
    <w:rsid w:val="00E11486"/>
    <w:rsid w:val="00E120CC"/>
    <w:rsid w:val="00E121AB"/>
    <w:rsid w:val="00E121F7"/>
    <w:rsid w:val="00E127EC"/>
    <w:rsid w:val="00E138B1"/>
    <w:rsid w:val="00E14A01"/>
    <w:rsid w:val="00E15186"/>
    <w:rsid w:val="00E151DB"/>
    <w:rsid w:val="00E15438"/>
    <w:rsid w:val="00E16466"/>
    <w:rsid w:val="00E170D3"/>
    <w:rsid w:val="00E172D8"/>
    <w:rsid w:val="00E175AE"/>
    <w:rsid w:val="00E2009B"/>
    <w:rsid w:val="00E20971"/>
    <w:rsid w:val="00E212CB"/>
    <w:rsid w:val="00E220DB"/>
    <w:rsid w:val="00E22554"/>
    <w:rsid w:val="00E232BA"/>
    <w:rsid w:val="00E23E6B"/>
    <w:rsid w:val="00E23ECE"/>
    <w:rsid w:val="00E2491E"/>
    <w:rsid w:val="00E249E6"/>
    <w:rsid w:val="00E25560"/>
    <w:rsid w:val="00E259AE"/>
    <w:rsid w:val="00E25C3F"/>
    <w:rsid w:val="00E263E5"/>
    <w:rsid w:val="00E26593"/>
    <w:rsid w:val="00E26725"/>
    <w:rsid w:val="00E267BD"/>
    <w:rsid w:val="00E27466"/>
    <w:rsid w:val="00E30761"/>
    <w:rsid w:val="00E30DA0"/>
    <w:rsid w:val="00E310AA"/>
    <w:rsid w:val="00E31AD2"/>
    <w:rsid w:val="00E31B09"/>
    <w:rsid w:val="00E31F9C"/>
    <w:rsid w:val="00E32652"/>
    <w:rsid w:val="00E32EDF"/>
    <w:rsid w:val="00E32F90"/>
    <w:rsid w:val="00E3400D"/>
    <w:rsid w:val="00E341C5"/>
    <w:rsid w:val="00E3458E"/>
    <w:rsid w:val="00E346A0"/>
    <w:rsid w:val="00E34BC5"/>
    <w:rsid w:val="00E34F8D"/>
    <w:rsid w:val="00E35315"/>
    <w:rsid w:val="00E35390"/>
    <w:rsid w:val="00E36371"/>
    <w:rsid w:val="00E364F3"/>
    <w:rsid w:val="00E367D7"/>
    <w:rsid w:val="00E36A36"/>
    <w:rsid w:val="00E402E8"/>
    <w:rsid w:val="00E407DA"/>
    <w:rsid w:val="00E40C0F"/>
    <w:rsid w:val="00E40F23"/>
    <w:rsid w:val="00E41270"/>
    <w:rsid w:val="00E412D8"/>
    <w:rsid w:val="00E4189E"/>
    <w:rsid w:val="00E421C5"/>
    <w:rsid w:val="00E425C6"/>
    <w:rsid w:val="00E42B76"/>
    <w:rsid w:val="00E42E7A"/>
    <w:rsid w:val="00E4314B"/>
    <w:rsid w:val="00E43535"/>
    <w:rsid w:val="00E4370C"/>
    <w:rsid w:val="00E43723"/>
    <w:rsid w:val="00E437DC"/>
    <w:rsid w:val="00E43BBB"/>
    <w:rsid w:val="00E43BFB"/>
    <w:rsid w:val="00E43F60"/>
    <w:rsid w:val="00E45662"/>
    <w:rsid w:val="00E458AA"/>
    <w:rsid w:val="00E45AA6"/>
    <w:rsid w:val="00E45C7A"/>
    <w:rsid w:val="00E4603B"/>
    <w:rsid w:val="00E46359"/>
    <w:rsid w:val="00E46A49"/>
    <w:rsid w:val="00E475AF"/>
    <w:rsid w:val="00E47A4D"/>
    <w:rsid w:val="00E47B33"/>
    <w:rsid w:val="00E5059B"/>
    <w:rsid w:val="00E508A6"/>
    <w:rsid w:val="00E508F8"/>
    <w:rsid w:val="00E50C3F"/>
    <w:rsid w:val="00E50D46"/>
    <w:rsid w:val="00E50E7E"/>
    <w:rsid w:val="00E511EC"/>
    <w:rsid w:val="00E51BDD"/>
    <w:rsid w:val="00E52DFA"/>
    <w:rsid w:val="00E52ED8"/>
    <w:rsid w:val="00E535DC"/>
    <w:rsid w:val="00E537F0"/>
    <w:rsid w:val="00E53A5E"/>
    <w:rsid w:val="00E53AE6"/>
    <w:rsid w:val="00E53EF6"/>
    <w:rsid w:val="00E54328"/>
    <w:rsid w:val="00E549B7"/>
    <w:rsid w:val="00E54AF7"/>
    <w:rsid w:val="00E54CD0"/>
    <w:rsid w:val="00E54F5A"/>
    <w:rsid w:val="00E5520A"/>
    <w:rsid w:val="00E56A27"/>
    <w:rsid w:val="00E56C13"/>
    <w:rsid w:val="00E56CC3"/>
    <w:rsid w:val="00E56E6A"/>
    <w:rsid w:val="00E573EA"/>
    <w:rsid w:val="00E57785"/>
    <w:rsid w:val="00E60AEE"/>
    <w:rsid w:val="00E60EA1"/>
    <w:rsid w:val="00E61062"/>
    <w:rsid w:val="00E612A9"/>
    <w:rsid w:val="00E6136E"/>
    <w:rsid w:val="00E615B0"/>
    <w:rsid w:val="00E61A21"/>
    <w:rsid w:val="00E61AC9"/>
    <w:rsid w:val="00E61B3E"/>
    <w:rsid w:val="00E61FDF"/>
    <w:rsid w:val="00E62549"/>
    <w:rsid w:val="00E628DF"/>
    <w:rsid w:val="00E631C1"/>
    <w:rsid w:val="00E63B92"/>
    <w:rsid w:val="00E645D1"/>
    <w:rsid w:val="00E658F2"/>
    <w:rsid w:val="00E65DD1"/>
    <w:rsid w:val="00E668D3"/>
    <w:rsid w:val="00E66C42"/>
    <w:rsid w:val="00E66C8B"/>
    <w:rsid w:val="00E66CED"/>
    <w:rsid w:val="00E66DEC"/>
    <w:rsid w:val="00E6758A"/>
    <w:rsid w:val="00E67DDC"/>
    <w:rsid w:val="00E67FBD"/>
    <w:rsid w:val="00E70BC9"/>
    <w:rsid w:val="00E715AF"/>
    <w:rsid w:val="00E716C7"/>
    <w:rsid w:val="00E7192E"/>
    <w:rsid w:val="00E71BAB"/>
    <w:rsid w:val="00E71BD7"/>
    <w:rsid w:val="00E71CFB"/>
    <w:rsid w:val="00E71E75"/>
    <w:rsid w:val="00E72629"/>
    <w:rsid w:val="00E737FB"/>
    <w:rsid w:val="00E73821"/>
    <w:rsid w:val="00E74159"/>
    <w:rsid w:val="00E74326"/>
    <w:rsid w:val="00E74836"/>
    <w:rsid w:val="00E74F1F"/>
    <w:rsid w:val="00E75140"/>
    <w:rsid w:val="00E75F37"/>
    <w:rsid w:val="00E761A4"/>
    <w:rsid w:val="00E7653D"/>
    <w:rsid w:val="00E766B3"/>
    <w:rsid w:val="00E77CDC"/>
    <w:rsid w:val="00E77D8B"/>
    <w:rsid w:val="00E77EC4"/>
    <w:rsid w:val="00E80CD6"/>
    <w:rsid w:val="00E822A3"/>
    <w:rsid w:val="00E82B11"/>
    <w:rsid w:val="00E831C1"/>
    <w:rsid w:val="00E83444"/>
    <w:rsid w:val="00E83770"/>
    <w:rsid w:val="00E83794"/>
    <w:rsid w:val="00E842E9"/>
    <w:rsid w:val="00E84ADC"/>
    <w:rsid w:val="00E84B2E"/>
    <w:rsid w:val="00E84EF9"/>
    <w:rsid w:val="00E85044"/>
    <w:rsid w:val="00E85E29"/>
    <w:rsid w:val="00E867A0"/>
    <w:rsid w:val="00E86951"/>
    <w:rsid w:val="00E86C4E"/>
    <w:rsid w:val="00E87494"/>
    <w:rsid w:val="00E874DE"/>
    <w:rsid w:val="00E87B13"/>
    <w:rsid w:val="00E87BCB"/>
    <w:rsid w:val="00E902D3"/>
    <w:rsid w:val="00E90D47"/>
    <w:rsid w:val="00E90F2C"/>
    <w:rsid w:val="00E91B69"/>
    <w:rsid w:val="00E91C64"/>
    <w:rsid w:val="00E922DB"/>
    <w:rsid w:val="00E92749"/>
    <w:rsid w:val="00E92C0D"/>
    <w:rsid w:val="00E92E03"/>
    <w:rsid w:val="00E93C41"/>
    <w:rsid w:val="00E93C42"/>
    <w:rsid w:val="00E93D7E"/>
    <w:rsid w:val="00E9467A"/>
    <w:rsid w:val="00E94B11"/>
    <w:rsid w:val="00E94CC0"/>
    <w:rsid w:val="00E95D5A"/>
    <w:rsid w:val="00E96261"/>
    <w:rsid w:val="00E9628C"/>
    <w:rsid w:val="00E97573"/>
    <w:rsid w:val="00E97636"/>
    <w:rsid w:val="00E97766"/>
    <w:rsid w:val="00E979DC"/>
    <w:rsid w:val="00E97A28"/>
    <w:rsid w:val="00E97B48"/>
    <w:rsid w:val="00EA006C"/>
    <w:rsid w:val="00EA010B"/>
    <w:rsid w:val="00EA0DC9"/>
    <w:rsid w:val="00EA30C0"/>
    <w:rsid w:val="00EA36CA"/>
    <w:rsid w:val="00EA3E30"/>
    <w:rsid w:val="00EA40A8"/>
    <w:rsid w:val="00EA4A1A"/>
    <w:rsid w:val="00EA4C56"/>
    <w:rsid w:val="00EA503C"/>
    <w:rsid w:val="00EA557E"/>
    <w:rsid w:val="00EA5AF7"/>
    <w:rsid w:val="00EA5C8F"/>
    <w:rsid w:val="00EA659A"/>
    <w:rsid w:val="00EA66FB"/>
    <w:rsid w:val="00EA68ED"/>
    <w:rsid w:val="00EA770D"/>
    <w:rsid w:val="00EA77E1"/>
    <w:rsid w:val="00EA7F8F"/>
    <w:rsid w:val="00EA7FF1"/>
    <w:rsid w:val="00EB048C"/>
    <w:rsid w:val="00EB0666"/>
    <w:rsid w:val="00EB08D3"/>
    <w:rsid w:val="00EB0A90"/>
    <w:rsid w:val="00EB0C91"/>
    <w:rsid w:val="00EB10F9"/>
    <w:rsid w:val="00EB12E6"/>
    <w:rsid w:val="00EB1644"/>
    <w:rsid w:val="00EB1679"/>
    <w:rsid w:val="00EB2178"/>
    <w:rsid w:val="00EB2C41"/>
    <w:rsid w:val="00EB2E6B"/>
    <w:rsid w:val="00EB2EF1"/>
    <w:rsid w:val="00EB337E"/>
    <w:rsid w:val="00EB353B"/>
    <w:rsid w:val="00EB380E"/>
    <w:rsid w:val="00EB3E1D"/>
    <w:rsid w:val="00EB410A"/>
    <w:rsid w:val="00EB5631"/>
    <w:rsid w:val="00EB620A"/>
    <w:rsid w:val="00EB65C5"/>
    <w:rsid w:val="00EB7039"/>
    <w:rsid w:val="00EB71E1"/>
    <w:rsid w:val="00EB7761"/>
    <w:rsid w:val="00EC004B"/>
    <w:rsid w:val="00EC0421"/>
    <w:rsid w:val="00EC06F7"/>
    <w:rsid w:val="00EC0E72"/>
    <w:rsid w:val="00EC16A9"/>
    <w:rsid w:val="00EC1C86"/>
    <w:rsid w:val="00EC2604"/>
    <w:rsid w:val="00EC2969"/>
    <w:rsid w:val="00EC3362"/>
    <w:rsid w:val="00EC3AF1"/>
    <w:rsid w:val="00EC3DE6"/>
    <w:rsid w:val="00EC4185"/>
    <w:rsid w:val="00EC483A"/>
    <w:rsid w:val="00EC546A"/>
    <w:rsid w:val="00EC6312"/>
    <w:rsid w:val="00EC6806"/>
    <w:rsid w:val="00EC6B98"/>
    <w:rsid w:val="00EC753B"/>
    <w:rsid w:val="00EC7893"/>
    <w:rsid w:val="00EC7C6E"/>
    <w:rsid w:val="00EC7F20"/>
    <w:rsid w:val="00ED0191"/>
    <w:rsid w:val="00ED0B20"/>
    <w:rsid w:val="00ED0C1B"/>
    <w:rsid w:val="00ED10C4"/>
    <w:rsid w:val="00ED10F7"/>
    <w:rsid w:val="00ED13A8"/>
    <w:rsid w:val="00ED16E0"/>
    <w:rsid w:val="00ED16FA"/>
    <w:rsid w:val="00ED18AA"/>
    <w:rsid w:val="00ED1A71"/>
    <w:rsid w:val="00ED1FD5"/>
    <w:rsid w:val="00ED272C"/>
    <w:rsid w:val="00ED2922"/>
    <w:rsid w:val="00ED2A57"/>
    <w:rsid w:val="00ED2C10"/>
    <w:rsid w:val="00ED3530"/>
    <w:rsid w:val="00ED3E15"/>
    <w:rsid w:val="00ED3F36"/>
    <w:rsid w:val="00ED5C36"/>
    <w:rsid w:val="00ED614F"/>
    <w:rsid w:val="00ED6257"/>
    <w:rsid w:val="00ED62FD"/>
    <w:rsid w:val="00ED6928"/>
    <w:rsid w:val="00ED6B35"/>
    <w:rsid w:val="00ED6FC8"/>
    <w:rsid w:val="00ED7220"/>
    <w:rsid w:val="00ED73B0"/>
    <w:rsid w:val="00ED7E21"/>
    <w:rsid w:val="00ED7FB3"/>
    <w:rsid w:val="00ED7FDC"/>
    <w:rsid w:val="00EE0858"/>
    <w:rsid w:val="00EE093F"/>
    <w:rsid w:val="00EE0C89"/>
    <w:rsid w:val="00EE0DB2"/>
    <w:rsid w:val="00EE15FD"/>
    <w:rsid w:val="00EE1CF5"/>
    <w:rsid w:val="00EE2205"/>
    <w:rsid w:val="00EE22F1"/>
    <w:rsid w:val="00EE2CDC"/>
    <w:rsid w:val="00EE3137"/>
    <w:rsid w:val="00EE3676"/>
    <w:rsid w:val="00EE36EA"/>
    <w:rsid w:val="00EE3A3E"/>
    <w:rsid w:val="00EE480E"/>
    <w:rsid w:val="00EE49B9"/>
    <w:rsid w:val="00EE4C23"/>
    <w:rsid w:val="00EE501C"/>
    <w:rsid w:val="00EE57CC"/>
    <w:rsid w:val="00EE5A42"/>
    <w:rsid w:val="00EE6418"/>
    <w:rsid w:val="00EE64F0"/>
    <w:rsid w:val="00EE6D91"/>
    <w:rsid w:val="00EE7668"/>
    <w:rsid w:val="00EE7F62"/>
    <w:rsid w:val="00EF01C4"/>
    <w:rsid w:val="00EF0508"/>
    <w:rsid w:val="00EF0787"/>
    <w:rsid w:val="00EF0CFF"/>
    <w:rsid w:val="00EF12BE"/>
    <w:rsid w:val="00EF1D87"/>
    <w:rsid w:val="00EF2196"/>
    <w:rsid w:val="00EF21EA"/>
    <w:rsid w:val="00EF2722"/>
    <w:rsid w:val="00EF2B94"/>
    <w:rsid w:val="00EF2DF2"/>
    <w:rsid w:val="00EF37D0"/>
    <w:rsid w:val="00EF471E"/>
    <w:rsid w:val="00EF4A41"/>
    <w:rsid w:val="00EF4D53"/>
    <w:rsid w:val="00EF4EAF"/>
    <w:rsid w:val="00EF514A"/>
    <w:rsid w:val="00EF53B2"/>
    <w:rsid w:val="00EF5749"/>
    <w:rsid w:val="00EF5810"/>
    <w:rsid w:val="00EF5BE3"/>
    <w:rsid w:val="00EF5DB8"/>
    <w:rsid w:val="00EF6143"/>
    <w:rsid w:val="00EF6199"/>
    <w:rsid w:val="00EF623C"/>
    <w:rsid w:val="00EF642E"/>
    <w:rsid w:val="00EF64CB"/>
    <w:rsid w:val="00EF663D"/>
    <w:rsid w:val="00EF6651"/>
    <w:rsid w:val="00EF69A8"/>
    <w:rsid w:val="00EF6A9C"/>
    <w:rsid w:val="00EF71B8"/>
    <w:rsid w:val="00F006CF"/>
    <w:rsid w:val="00F0114C"/>
    <w:rsid w:val="00F01325"/>
    <w:rsid w:val="00F0183C"/>
    <w:rsid w:val="00F018EF"/>
    <w:rsid w:val="00F01E4D"/>
    <w:rsid w:val="00F022EB"/>
    <w:rsid w:val="00F02AF1"/>
    <w:rsid w:val="00F02E09"/>
    <w:rsid w:val="00F02F4F"/>
    <w:rsid w:val="00F0314B"/>
    <w:rsid w:val="00F0422E"/>
    <w:rsid w:val="00F042B4"/>
    <w:rsid w:val="00F0432A"/>
    <w:rsid w:val="00F043D8"/>
    <w:rsid w:val="00F048BB"/>
    <w:rsid w:val="00F05178"/>
    <w:rsid w:val="00F05995"/>
    <w:rsid w:val="00F05BBF"/>
    <w:rsid w:val="00F0632A"/>
    <w:rsid w:val="00F0649F"/>
    <w:rsid w:val="00F071F4"/>
    <w:rsid w:val="00F103B4"/>
    <w:rsid w:val="00F10415"/>
    <w:rsid w:val="00F10A63"/>
    <w:rsid w:val="00F10CA1"/>
    <w:rsid w:val="00F10DB1"/>
    <w:rsid w:val="00F11569"/>
    <w:rsid w:val="00F11936"/>
    <w:rsid w:val="00F11998"/>
    <w:rsid w:val="00F12B23"/>
    <w:rsid w:val="00F131AC"/>
    <w:rsid w:val="00F133D8"/>
    <w:rsid w:val="00F137E7"/>
    <w:rsid w:val="00F13910"/>
    <w:rsid w:val="00F13A0E"/>
    <w:rsid w:val="00F145D8"/>
    <w:rsid w:val="00F145F9"/>
    <w:rsid w:val="00F15EED"/>
    <w:rsid w:val="00F15F3B"/>
    <w:rsid w:val="00F163ED"/>
    <w:rsid w:val="00F1680C"/>
    <w:rsid w:val="00F16C4D"/>
    <w:rsid w:val="00F16F08"/>
    <w:rsid w:val="00F170AA"/>
    <w:rsid w:val="00F1795A"/>
    <w:rsid w:val="00F17D3D"/>
    <w:rsid w:val="00F2017E"/>
    <w:rsid w:val="00F202C4"/>
    <w:rsid w:val="00F202DC"/>
    <w:rsid w:val="00F20559"/>
    <w:rsid w:val="00F20567"/>
    <w:rsid w:val="00F2096B"/>
    <w:rsid w:val="00F20EE7"/>
    <w:rsid w:val="00F20F34"/>
    <w:rsid w:val="00F21516"/>
    <w:rsid w:val="00F22948"/>
    <w:rsid w:val="00F22BF4"/>
    <w:rsid w:val="00F22D96"/>
    <w:rsid w:val="00F22F50"/>
    <w:rsid w:val="00F2368E"/>
    <w:rsid w:val="00F23A64"/>
    <w:rsid w:val="00F24348"/>
    <w:rsid w:val="00F24589"/>
    <w:rsid w:val="00F24896"/>
    <w:rsid w:val="00F2550D"/>
    <w:rsid w:val="00F25514"/>
    <w:rsid w:val="00F256B7"/>
    <w:rsid w:val="00F2575B"/>
    <w:rsid w:val="00F25902"/>
    <w:rsid w:val="00F25EC1"/>
    <w:rsid w:val="00F2629E"/>
    <w:rsid w:val="00F276A8"/>
    <w:rsid w:val="00F279B6"/>
    <w:rsid w:val="00F30E13"/>
    <w:rsid w:val="00F322E5"/>
    <w:rsid w:val="00F32C11"/>
    <w:rsid w:val="00F32C4E"/>
    <w:rsid w:val="00F331ED"/>
    <w:rsid w:val="00F3321D"/>
    <w:rsid w:val="00F33706"/>
    <w:rsid w:val="00F33D7D"/>
    <w:rsid w:val="00F33EF8"/>
    <w:rsid w:val="00F33F30"/>
    <w:rsid w:val="00F33F56"/>
    <w:rsid w:val="00F342A7"/>
    <w:rsid w:val="00F35070"/>
    <w:rsid w:val="00F352FD"/>
    <w:rsid w:val="00F3534A"/>
    <w:rsid w:val="00F3546D"/>
    <w:rsid w:val="00F35D81"/>
    <w:rsid w:val="00F35DD0"/>
    <w:rsid w:val="00F36161"/>
    <w:rsid w:val="00F361BF"/>
    <w:rsid w:val="00F36322"/>
    <w:rsid w:val="00F36366"/>
    <w:rsid w:val="00F40532"/>
    <w:rsid w:val="00F41081"/>
    <w:rsid w:val="00F412F0"/>
    <w:rsid w:val="00F41C22"/>
    <w:rsid w:val="00F41E61"/>
    <w:rsid w:val="00F426EA"/>
    <w:rsid w:val="00F427FE"/>
    <w:rsid w:val="00F430EA"/>
    <w:rsid w:val="00F43508"/>
    <w:rsid w:val="00F4360D"/>
    <w:rsid w:val="00F4377A"/>
    <w:rsid w:val="00F43C26"/>
    <w:rsid w:val="00F43C9E"/>
    <w:rsid w:val="00F43CD6"/>
    <w:rsid w:val="00F4471C"/>
    <w:rsid w:val="00F44855"/>
    <w:rsid w:val="00F44AB0"/>
    <w:rsid w:val="00F45681"/>
    <w:rsid w:val="00F45FAE"/>
    <w:rsid w:val="00F4626A"/>
    <w:rsid w:val="00F5013C"/>
    <w:rsid w:val="00F5126E"/>
    <w:rsid w:val="00F5235A"/>
    <w:rsid w:val="00F52449"/>
    <w:rsid w:val="00F524BA"/>
    <w:rsid w:val="00F525F7"/>
    <w:rsid w:val="00F52C74"/>
    <w:rsid w:val="00F53021"/>
    <w:rsid w:val="00F54067"/>
    <w:rsid w:val="00F54720"/>
    <w:rsid w:val="00F54B52"/>
    <w:rsid w:val="00F55134"/>
    <w:rsid w:val="00F55175"/>
    <w:rsid w:val="00F5522F"/>
    <w:rsid w:val="00F56236"/>
    <w:rsid w:val="00F565B0"/>
    <w:rsid w:val="00F56E44"/>
    <w:rsid w:val="00F56E9F"/>
    <w:rsid w:val="00F57003"/>
    <w:rsid w:val="00F57DF2"/>
    <w:rsid w:val="00F60B13"/>
    <w:rsid w:val="00F611F0"/>
    <w:rsid w:val="00F616E3"/>
    <w:rsid w:val="00F6172F"/>
    <w:rsid w:val="00F61FFA"/>
    <w:rsid w:val="00F6214E"/>
    <w:rsid w:val="00F62822"/>
    <w:rsid w:val="00F62D84"/>
    <w:rsid w:val="00F62E49"/>
    <w:rsid w:val="00F6349F"/>
    <w:rsid w:val="00F63738"/>
    <w:rsid w:val="00F63D58"/>
    <w:rsid w:val="00F64417"/>
    <w:rsid w:val="00F64635"/>
    <w:rsid w:val="00F647EF"/>
    <w:rsid w:val="00F64B8F"/>
    <w:rsid w:val="00F65523"/>
    <w:rsid w:val="00F65601"/>
    <w:rsid w:val="00F65A6B"/>
    <w:rsid w:val="00F669E6"/>
    <w:rsid w:val="00F67762"/>
    <w:rsid w:val="00F67AF1"/>
    <w:rsid w:val="00F67DE6"/>
    <w:rsid w:val="00F67F7C"/>
    <w:rsid w:val="00F7019C"/>
    <w:rsid w:val="00F7055A"/>
    <w:rsid w:val="00F706E1"/>
    <w:rsid w:val="00F70F63"/>
    <w:rsid w:val="00F71F13"/>
    <w:rsid w:val="00F7214D"/>
    <w:rsid w:val="00F72393"/>
    <w:rsid w:val="00F72922"/>
    <w:rsid w:val="00F72DD2"/>
    <w:rsid w:val="00F741F4"/>
    <w:rsid w:val="00F74BE8"/>
    <w:rsid w:val="00F74FA5"/>
    <w:rsid w:val="00F75070"/>
    <w:rsid w:val="00F7552C"/>
    <w:rsid w:val="00F759D0"/>
    <w:rsid w:val="00F75AF6"/>
    <w:rsid w:val="00F75B6B"/>
    <w:rsid w:val="00F763F4"/>
    <w:rsid w:val="00F76425"/>
    <w:rsid w:val="00F76828"/>
    <w:rsid w:val="00F7693A"/>
    <w:rsid w:val="00F76B6F"/>
    <w:rsid w:val="00F776F7"/>
    <w:rsid w:val="00F77879"/>
    <w:rsid w:val="00F77A56"/>
    <w:rsid w:val="00F77C87"/>
    <w:rsid w:val="00F800A7"/>
    <w:rsid w:val="00F80174"/>
    <w:rsid w:val="00F804E2"/>
    <w:rsid w:val="00F80A2D"/>
    <w:rsid w:val="00F81F5F"/>
    <w:rsid w:val="00F8205D"/>
    <w:rsid w:val="00F8257C"/>
    <w:rsid w:val="00F82E60"/>
    <w:rsid w:val="00F83454"/>
    <w:rsid w:val="00F83810"/>
    <w:rsid w:val="00F8388C"/>
    <w:rsid w:val="00F838C2"/>
    <w:rsid w:val="00F83961"/>
    <w:rsid w:val="00F839A0"/>
    <w:rsid w:val="00F8401B"/>
    <w:rsid w:val="00F84D58"/>
    <w:rsid w:val="00F84DDF"/>
    <w:rsid w:val="00F85886"/>
    <w:rsid w:val="00F85ACF"/>
    <w:rsid w:val="00F85C9F"/>
    <w:rsid w:val="00F85D3B"/>
    <w:rsid w:val="00F86110"/>
    <w:rsid w:val="00F86463"/>
    <w:rsid w:val="00F868EC"/>
    <w:rsid w:val="00F86D4D"/>
    <w:rsid w:val="00F86FEF"/>
    <w:rsid w:val="00F8780F"/>
    <w:rsid w:val="00F87AC0"/>
    <w:rsid w:val="00F87DCB"/>
    <w:rsid w:val="00F87F18"/>
    <w:rsid w:val="00F905FA"/>
    <w:rsid w:val="00F90B93"/>
    <w:rsid w:val="00F90C52"/>
    <w:rsid w:val="00F90E08"/>
    <w:rsid w:val="00F91EE3"/>
    <w:rsid w:val="00F91F66"/>
    <w:rsid w:val="00F929D8"/>
    <w:rsid w:val="00F92ABC"/>
    <w:rsid w:val="00F92CFF"/>
    <w:rsid w:val="00F92E74"/>
    <w:rsid w:val="00F930DF"/>
    <w:rsid w:val="00F93252"/>
    <w:rsid w:val="00F93353"/>
    <w:rsid w:val="00F93584"/>
    <w:rsid w:val="00F93636"/>
    <w:rsid w:val="00F94294"/>
    <w:rsid w:val="00F943E8"/>
    <w:rsid w:val="00F948B7"/>
    <w:rsid w:val="00F94C43"/>
    <w:rsid w:val="00F952AD"/>
    <w:rsid w:val="00F96561"/>
    <w:rsid w:val="00F96726"/>
    <w:rsid w:val="00F96AE8"/>
    <w:rsid w:val="00F9741F"/>
    <w:rsid w:val="00F97C2F"/>
    <w:rsid w:val="00F97C8F"/>
    <w:rsid w:val="00F97DCF"/>
    <w:rsid w:val="00FA00BC"/>
    <w:rsid w:val="00FA048F"/>
    <w:rsid w:val="00FA063C"/>
    <w:rsid w:val="00FA06F5"/>
    <w:rsid w:val="00FA0896"/>
    <w:rsid w:val="00FA0AC5"/>
    <w:rsid w:val="00FA0E8D"/>
    <w:rsid w:val="00FA2827"/>
    <w:rsid w:val="00FA31C0"/>
    <w:rsid w:val="00FA3810"/>
    <w:rsid w:val="00FA3BAD"/>
    <w:rsid w:val="00FA3C63"/>
    <w:rsid w:val="00FA412B"/>
    <w:rsid w:val="00FA41C5"/>
    <w:rsid w:val="00FA45A1"/>
    <w:rsid w:val="00FA4DB7"/>
    <w:rsid w:val="00FA4E30"/>
    <w:rsid w:val="00FA57F6"/>
    <w:rsid w:val="00FA5E8A"/>
    <w:rsid w:val="00FA624D"/>
    <w:rsid w:val="00FA630E"/>
    <w:rsid w:val="00FA6680"/>
    <w:rsid w:val="00FA6724"/>
    <w:rsid w:val="00FA6A4C"/>
    <w:rsid w:val="00FA6AD0"/>
    <w:rsid w:val="00FA7398"/>
    <w:rsid w:val="00FA7832"/>
    <w:rsid w:val="00FA7D0F"/>
    <w:rsid w:val="00FA7EAD"/>
    <w:rsid w:val="00FB07A5"/>
    <w:rsid w:val="00FB0C73"/>
    <w:rsid w:val="00FB0DCB"/>
    <w:rsid w:val="00FB10F0"/>
    <w:rsid w:val="00FB1367"/>
    <w:rsid w:val="00FB16A5"/>
    <w:rsid w:val="00FB1877"/>
    <w:rsid w:val="00FB1DCF"/>
    <w:rsid w:val="00FB1F6A"/>
    <w:rsid w:val="00FB2714"/>
    <w:rsid w:val="00FB2A95"/>
    <w:rsid w:val="00FB3919"/>
    <w:rsid w:val="00FB3F60"/>
    <w:rsid w:val="00FB40B0"/>
    <w:rsid w:val="00FB4125"/>
    <w:rsid w:val="00FB419E"/>
    <w:rsid w:val="00FB42F3"/>
    <w:rsid w:val="00FB4B58"/>
    <w:rsid w:val="00FB4EA5"/>
    <w:rsid w:val="00FB51CD"/>
    <w:rsid w:val="00FB5275"/>
    <w:rsid w:val="00FB52ED"/>
    <w:rsid w:val="00FB532B"/>
    <w:rsid w:val="00FB5C37"/>
    <w:rsid w:val="00FB68E9"/>
    <w:rsid w:val="00FB743F"/>
    <w:rsid w:val="00FB79D1"/>
    <w:rsid w:val="00FC01BF"/>
    <w:rsid w:val="00FC12C2"/>
    <w:rsid w:val="00FC137F"/>
    <w:rsid w:val="00FC15B9"/>
    <w:rsid w:val="00FC15D8"/>
    <w:rsid w:val="00FC1A58"/>
    <w:rsid w:val="00FC1DAE"/>
    <w:rsid w:val="00FC205C"/>
    <w:rsid w:val="00FC220F"/>
    <w:rsid w:val="00FC3735"/>
    <w:rsid w:val="00FC382F"/>
    <w:rsid w:val="00FC3ADA"/>
    <w:rsid w:val="00FC3E56"/>
    <w:rsid w:val="00FC410C"/>
    <w:rsid w:val="00FC416C"/>
    <w:rsid w:val="00FC461A"/>
    <w:rsid w:val="00FC52BE"/>
    <w:rsid w:val="00FC53FB"/>
    <w:rsid w:val="00FC5CE3"/>
    <w:rsid w:val="00FC68C5"/>
    <w:rsid w:val="00FC6B42"/>
    <w:rsid w:val="00FC70E1"/>
    <w:rsid w:val="00FC74E2"/>
    <w:rsid w:val="00FC79E0"/>
    <w:rsid w:val="00FD0E24"/>
    <w:rsid w:val="00FD1A70"/>
    <w:rsid w:val="00FD333D"/>
    <w:rsid w:val="00FD3525"/>
    <w:rsid w:val="00FD3987"/>
    <w:rsid w:val="00FD3E7E"/>
    <w:rsid w:val="00FD40CF"/>
    <w:rsid w:val="00FD41E5"/>
    <w:rsid w:val="00FD5702"/>
    <w:rsid w:val="00FD613E"/>
    <w:rsid w:val="00FD65D6"/>
    <w:rsid w:val="00FD71A7"/>
    <w:rsid w:val="00FD7905"/>
    <w:rsid w:val="00FD79C4"/>
    <w:rsid w:val="00FD7AD3"/>
    <w:rsid w:val="00FE0338"/>
    <w:rsid w:val="00FE0A68"/>
    <w:rsid w:val="00FE0ADC"/>
    <w:rsid w:val="00FE0DE8"/>
    <w:rsid w:val="00FE1715"/>
    <w:rsid w:val="00FE1FAC"/>
    <w:rsid w:val="00FE22A8"/>
    <w:rsid w:val="00FE2A12"/>
    <w:rsid w:val="00FE2A73"/>
    <w:rsid w:val="00FE2BD0"/>
    <w:rsid w:val="00FE2C58"/>
    <w:rsid w:val="00FE2F0E"/>
    <w:rsid w:val="00FE33A6"/>
    <w:rsid w:val="00FE37D0"/>
    <w:rsid w:val="00FE37EE"/>
    <w:rsid w:val="00FE4127"/>
    <w:rsid w:val="00FE4836"/>
    <w:rsid w:val="00FE590E"/>
    <w:rsid w:val="00FE5AA8"/>
    <w:rsid w:val="00FE5EC8"/>
    <w:rsid w:val="00FE5F6A"/>
    <w:rsid w:val="00FE6424"/>
    <w:rsid w:val="00FE7D4F"/>
    <w:rsid w:val="00FF00C3"/>
    <w:rsid w:val="00FF013C"/>
    <w:rsid w:val="00FF03D5"/>
    <w:rsid w:val="00FF0449"/>
    <w:rsid w:val="00FF0C84"/>
    <w:rsid w:val="00FF0DA8"/>
    <w:rsid w:val="00FF0E0A"/>
    <w:rsid w:val="00FF217C"/>
    <w:rsid w:val="00FF3128"/>
    <w:rsid w:val="00FF4343"/>
    <w:rsid w:val="00FF4544"/>
    <w:rsid w:val="00FF4715"/>
    <w:rsid w:val="00FF5559"/>
    <w:rsid w:val="00FF5A2E"/>
    <w:rsid w:val="00FF5A8A"/>
    <w:rsid w:val="00FF6E05"/>
    <w:rsid w:val="00FF6FF8"/>
    <w:rsid w:val="00FF766C"/>
    <w:rsid w:val="00FF77E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uiPriority="99" w:qFormat="1"/>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2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376973"/>
    <w:pPr>
      <w:tabs>
        <w:tab w:val="left" w:pos="1815"/>
        <w:tab w:val="right" w:leader="dot" w:pos="9072"/>
      </w:tabs>
      <w:ind w:left="1701" w:right="56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uiPriority="99" w:qFormat="1"/>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2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376973"/>
    <w:pPr>
      <w:tabs>
        <w:tab w:val="left" w:pos="1815"/>
        <w:tab w:val="right" w:leader="dot" w:pos="9072"/>
      </w:tabs>
      <w:ind w:left="1701" w:right="56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5405">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36589955">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58009115">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190800205">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262305089">
      <w:bodyDiv w:val="1"/>
      <w:marLeft w:val="0"/>
      <w:marRight w:val="0"/>
      <w:marTop w:val="0"/>
      <w:marBottom w:val="0"/>
      <w:divBdr>
        <w:top w:val="none" w:sz="0" w:space="0" w:color="auto"/>
        <w:left w:val="none" w:sz="0" w:space="0" w:color="auto"/>
        <w:bottom w:val="none" w:sz="0" w:space="0" w:color="auto"/>
        <w:right w:val="none" w:sz="0" w:space="0" w:color="auto"/>
      </w:divBdr>
      <w:divsChild>
        <w:div w:id="1898586578">
          <w:marLeft w:val="0"/>
          <w:marRight w:val="0"/>
          <w:marTop w:val="0"/>
          <w:marBottom w:val="0"/>
          <w:divBdr>
            <w:top w:val="none" w:sz="0" w:space="0" w:color="auto"/>
            <w:left w:val="none" w:sz="0" w:space="0" w:color="auto"/>
            <w:bottom w:val="none" w:sz="0" w:space="0" w:color="auto"/>
            <w:right w:val="none" w:sz="0" w:space="0" w:color="auto"/>
          </w:divBdr>
          <w:divsChild>
            <w:div w:id="1017583994">
              <w:marLeft w:val="0"/>
              <w:marRight w:val="0"/>
              <w:marTop w:val="0"/>
              <w:marBottom w:val="0"/>
              <w:divBdr>
                <w:top w:val="none" w:sz="0" w:space="0" w:color="auto"/>
                <w:left w:val="none" w:sz="0" w:space="0" w:color="auto"/>
                <w:bottom w:val="none" w:sz="0" w:space="0" w:color="auto"/>
                <w:right w:val="none" w:sz="0" w:space="0" w:color="auto"/>
              </w:divBdr>
              <w:divsChild>
                <w:div w:id="598760489">
                  <w:marLeft w:val="0"/>
                  <w:marRight w:val="0"/>
                  <w:marTop w:val="150"/>
                  <w:marBottom w:val="0"/>
                  <w:divBdr>
                    <w:top w:val="none" w:sz="0" w:space="0" w:color="auto"/>
                    <w:left w:val="none" w:sz="0" w:space="0" w:color="auto"/>
                    <w:bottom w:val="none" w:sz="0" w:space="0" w:color="auto"/>
                    <w:right w:val="none" w:sz="0" w:space="0" w:color="auto"/>
                  </w:divBdr>
                  <w:divsChild>
                    <w:div w:id="201525500">
                      <w:marLeft w:val="300"/>
                      <w:marRight w:val="0"/>
                      <w:marTop w:val="0"/>
                      <w:marBottom w:val="0"/>
                      <w:divBdr>
                        <w:top w:val="none" w:sz="0" w:space="0" w:color="auto"/>
                        <w:left w:val="none" w:sz="0" w:space="0" w:color="auto"/>
                        <w:bottom w:val="none" w:sz="0" w:space="0" w:color="auto"/>
                        <w:right w:val="none" w:sz="0" w:space="0" w:color="auto"/>
                      </w:divBdr>
                      <w:divsChild>
                        <w:div w:id="94935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05429270">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85686360">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02723224">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416051554">
      <w:bodyDiv w:val="1"/>
      <w:marLeft w:val="0"/>
      <w:marRight w:val="0"/>
      <w:marTop w:val="0"/>
      <w:marBottom w:val="0"/>
      <w:divBdr>
        <w:top w:val="none" w:sz="0" w:space="0" w:color="auto"/>
        <w:left w:val="none" w:sz="0" w:space="0" w:color="auto"/>
        <w:bottom w:val="none" w:sz="0" w:space="0" w:color="auto"/>
        <w:right w:val="none" w:sz="0" w:space="0" w:color="auto"/>
      </w:divBdr>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21824971">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591821685">
      <w:bodyDiv w:val="1"/>
      <w:marLeft w:val="0"/>
      <w:marRight w:val="0"/>
      <w:marTop w:val="0"/>
      <w:marBottom w:val="0"/>
      <w:divBdr>
        <w:top w:val="none" w:sz="0" w:space="0" w:color="auto"/>
        <w:left w:val="none" w:sz="0" w:space="0" w:color="auto"/>
        <w:bottom w:val="none" w:sz="0" w:space="0" w:color="auto"/>
        <w:right w:val="none" w:sz="0" w:space="0" w:color="auto"/>
      </w:divBdr>
    </w:div>
    <w:div w:id="607540900">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23741713">
      <w:bodyDiv w:val="1"/>
      <w:marLeft w:val="0"/>
      <w:marRight w:val="0"/>
      <w:marTop w:val="0"/>
      <w:marBottom w:val="0"/>
      <w:divBdr>
        <w:top w:val="none" w:sz="0" w:space="0" w:color="auto"/>
        <w:left w:val="none" w:sz="0" w:space="0" w:color="auto"/>
        <w:bottom w:val="none" w:sz="0" w:space="0" w:color="auto"/>
        <w:right w:val="none" w:sz="0" w:space="0" w:color="auto"/>
      </w:divBdr>
    </w:div>
    <w:div w:id="846023757">
      <w:bodyDiv w:val="1"/>
      <w:marLeft w:val="0"/>
      <w:marRight w:val="0"/>
      <w:marTop w:val="0"/>
      <w:marBottom w:val="0"/>
      <w:divBdr>
        <w:top w:val="none" w:sz="0" w:space="0" w:color="auto"/>
        <w:left w:val="none" w:sz="0" w:space="0" w:color="auto"/>
        <w:bottom w:val="none" w:sz="0" w:space="0" w:color="auto"/>
        <w:right w:val="none" w:sz="0" w:space="0" w:color="auto"/>
      </w:divBdr>
    </w:div>
    <w:div w:id="849373311">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861088601">
      <w:bodyDiv w:val="1"/>
      <w:marLeft w:val="0"/>
      <w:marRight w:val="0"/>
      <w:marTop w:val="0"/>
      <w:marBottom w:val="0"/>
      <w:divBdr>
        <w:top w:val="none" w:sz="0" w:space="0" w:color="auto"/>
        <w:left w:val="none" w:sz="0" w:space="0" w:color="auto"/>
        <w:bottom w:val="none" w:sz="0" w:space="0" w:color="auto"/>
        <w:right w:val="none" w:sz="0" w:space="0" w:color="auto"/>
      </w:divBdr>
    </w:div>
    <w:div w:id="888610878">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66084914">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985667813">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10014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2890343">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64612872">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42313448">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599632815">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09275181">
      <w:bodyDiv w:val="1"/>
      <w:marLeft w:val="0"/>
      <w:marRight w:val="0"/>
      <w:marTop w:val="0"/>
      <w:marBottom w:val="0"/>
      <w:divBdr>
        <w:top w:val="none" w:sz="0" w:space="0" w:color="auto"/>
        <w:left w:val="none" w:sz="0" w:space="0" w:color="auto"/>
        <w:bottom w:val="none" w:sz="0" w:space="0" w:color="auto"/>
        <w:right w:val="none" w:sz="0" w:space="0" w:color="auto"/>
      </w:divBdr>
    </w:div>
    <w:div w:id="1822885783">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49708972">
      <w:bodyDiv w:val="1"/>
      <w:marLeft w:val="0"/>
      <w:marRight w:val="0"/>
      <w:marTop w:val="0"/>
      <w:marBottom w:val="0"/>
      <w:divBdr>
        <w:top w:val="none" w:sz="0" w:space="0" w:color="auto"/>
        <w:left w:val="none" w:sz="0" w:space="0" w:color="auto"/>
        <w:bottom w:val="none" w:sz="0" w:space="0" w:color="auto"/>
        <w:right w:val="none" w:sz="0" w:space="0" w:color="auto"/>
      </w:divBdr>
    </w:div>
    <w:div w:id="1864439044">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68730463">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14603209">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0813982">
      <w:bodyDiv w:val="1"/>
      <w:marLeft w:val="0"/>
      <w:marRight w:val="0"/>
      <w:marTop w:val="0"/>
      <w:marBottom w:val="0"/>
      <w:divBdr>
        <w:top w:val="none" w:sz="0" w:space="0" w:color="auto"/>
        <w:left w:val="none" w:sz="0" w:space="0" w:color="auto"/>
        <w:bottom w:val="none" w:sz="0" w:space="0" w:color="auto"/>
        <w:right w:val="none" w:sz="0" w:space="0" w:color="auto"/>
      </w:divBdr>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2704524">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header" Target="header35.xml"/><Relationship Id="rId21" Type="http://schemas.openxmlformats.org/officeDocument/2006/relationships/chart" Target="charts/chart2.xml"/><Relationship Id="rId42" Type="http://schemas.openxmlformats.org/officeDocument/2006/relationships/header" Target="header12.xml"/><Relationship Id="rId47" Type="http://schemas.openxmlformats.org/officeDocument/2006/relationships/diagramData" Target="diagrams/data1.xml"/><Relationship Id="rId63" Type="http://schemas.openxmlformats.org/officeDocument/2006/relationships/chart" Target="charts/chart32.xml"/><Relationship Id="rId68" Type="http://schemas.openxmlformats.org/officeDocument/2006/relationships/chart" Target="charts/chart37.xml"/><Relationship Id="rId84" Type="http://schemas.openxmlformats.org/officeDocument/2006/relationships/chart" Target="charts/chart48.xml"/><Relationship Id="rId89" Type="http://schemas.openxmlformats.org/officeDocument/2006/relationships/image" Target="media/image3.emf"/><Relationship Id="rId112" Type="http://schemas.openxmlformats.org/officeDocument/2006/relationships/header" Target="header32.xml"/><Relationship Id="rId16" Type="http://schemas.openxmlformats.org/officeDocument/2006/relationships/header" Target="header5.xml"/><Relationship Id="rId107" Type="http://schemas.openxmlformats.org/officeDocument/2006/relationships/header" Target="header29.xml"/><Relationship Id="rId11" Type="http://schemas.openxmlformats.org/officeDocument/2006/relationships/footer" Target="footer1.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chart" Target="charts/chart43.xml"/><Relationship Id="rId79" Type="http://schemas.openxmlformats.org/officeDocument/2006/relationships/image" Target="media/image2.jpeg"/><Relationship Id="rId102" Type="http://schemas.openxmlformats.org/officeDocument/2006/relationships/footer" Target="footer10.xml"/><Relationship Id="rId123" Type="http://schemas.openxmlformats.org/officeDocument/2006/relationships/header" Target="header41.xml"/><Relationship Id="rId5" Type="http://schemas.openxmlformats.org/officeDocument/2006/relationships/settings" Target="settings.xml"/><Relationship Id="rId90" Type="http://schemas.openxmlformats.org/officeDocument/2006/relationships/header" Target="header16.xml"/><Relationship Id="rId95" Type="http://schemas.openxmlformats.org/officeDocument/2006/relationships/footer" Target="footer7.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footer" Target="footer4.xml"/><Relationship Id="rId48" Type="http://schemas.openxmlformats.org/officeDocument/2006/relationships/diagramLayout" Target="diagrams/layout1.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13" Type="http://schemas.openxmlformats.org/officeDocument/2006/relationships/chart" Target="charts/chart50.xml"/><Relationship Id="rId118" Type="http://schemas.openxmlformats.org/officeDocument/2006/relationships/header" Target="header36.xml"/><Relationship Id="rId126"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1.xml"/><Relationship Id="rId72" Type="http://schemas.openxmlformats.org/officeDocument/2006/relationships/chart" Target="charts/chart41.xml"/><Relationship Id="rId80" Type="http://schemas.openxmlformats.org/officeDocument/2006/relationships/chart" Target="charts/chart44.xml"/><Relationship Id="rId85" Type="http://schemas.openxmlformats.org/officeDocument/2006/relationships/chart" Target="charts/chart49.xml"/><Relationship Id="rId93" Type="http://schemas.openxmlformats.org/officeDocument/2006/relationships/header" Target="header19.xml"/><Relationship Id="rId98" Type="http://schemas.openxmlformats.org/officeDocument/2006/relationships/footer" Target="footer8.xml"/><Relationship Id="rId121"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0.xml"/><Relationship Id="rId59" Type="http://schemas.openxmlformats.org/officeDocument/2006/relationships/chart" Target="charts/chart28.xml"/><Relationship Id="rId67" Type="http://schemas.openxmlformats.org/officeDocument/2006/relationships/chart" Target="charts/chart36.xml"/><Relationship Id="rId103" Type="http://schemas.openxmlformats.org/officeDocument/2006/relationships/header" Target="header25.xml"/><Relationship Id="rId108" Type="http://schemas.openxmlformats.org/officeDocument/2006/relationships/footer" Target="footer11.xml"/><Relationship Id="rId116" Type="http://schemas.openxmlformats.org/officeDocument/2006/relationships/header" Target="header34.xml"/><Relationship Id="rId124" Type="http://schemas.openxmlformats.org/officeDocument/2006/relationships/header" Target="header42.xml"/><Relationship Id="rId20" Type="http://schemas.openxmlformats.org/officeDocument/2006/relationships/header" Target="header8.xml"/><Relationship Id="rId41" Type="http://schemas.openxmlformats.org/officeDocument/2006/relationships/header" Target="header11.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image" Target="media/image1.png"/><Relationship Id="rId83" Type="http://schemas.openxmlformats.org/officeDocument/2006/relationships/chart" Target="charts/chart47.xml"/><Relationship Id="rId88" Type="http://schemas.openxmlformats.org/officeDocument/2006/relationships/footer" Target="footer6.xml"/><Relationship Id="rId91" Type="http://schemas.openxmlformats.org/officeDocument/2006/relationships/header" Target="header17.xml"/><Relationship Id="rId96" Type="http://schemas.openxmlformats.org/officeDocument/2006/relationships/header" Target="header21.xml"/><Relationship Id="rId111" Type="http://schemas.openxmlformats.org/officeDocument/2006/relationships/footer" Target="footer12.xml"/><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diagramQuickStyle" Target="diagrams/quickStyle1.xml"/><Relationship Id="rId57" Type="http://schemas.openxmlformats.org/officeDocument/2006/relationships/chart" Target="charts/chart26.xml"/><Relationship Id="rId106" Type="http://schemas.openxmlformats.org/officeDocument/2006/relationships/header" Target="header28.xml"/><Relationship Id="rId114" Type="http://schemas.openxmlformats.org/officeDocument/2006/relationships/chart" Target="charts/chart51.xml"/><Relationship Id="rId119" Type="http://schemas.openxmlformats.org/officeDocument/2006/relationships/header" Target="header37.xm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hyperlink" Target="http://www.zakonypreludi.sk/zz/2003-461" TargetMode="Externa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footer" Target="footer5.xml"/><Relationship Id="rId81" Type="http://schemas.openxmlformats.org/officeDocument/2006/relationships/chart" Target="charts/chart45.xml"/><Relationship Id="rId86" Type="http://schemas.openxmlformats.org/officeDocument/2006/relationships/header" Target="header14.xml"/><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footer" Target="footer9.xml"/><Relationship Id="rId122"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9.xml"/><Relationship Id="rId109" Type="http://schemas.openxmlformats.org/officeDocument/2006/relationships/header" Target="header30.xml"/><Relationship Id="rId34" Type="http://schemas.openxmlformats.org/officeDocument/2006/relationships/chart" Target="charts/chart15.xml"/><Relationship Id="rId50" Type="http://schemas.openxmlformats.org/officeDocument/2006/relationships/diagramColors" Target="diagrams/colors1.xml"/><Relationship Id="rId55" Type="http://schemas.openxmlformats.org/officeDocument/2006/relationships/chart" Target="charts/chart24.xml"/><Relationship Id="rId76" Type="http://schemas.openxmlformats.org/officeDocument/2006/relationships/hyperlink" Target="http://www1.employment.gov.sk/ESF/new/index8d93.html?id=3394" TargetMode="External"/><Relationship Id="rId97" Type="http://schemas.openxmlformats.org/officeDocument/2006/relationships/header" Target="header22.xml"/><Relationship Id="rId104" Type="http://schemas.openxmlformats.org/officeDocument/2006/relationships/header" Target="header26.xml"/><Relationship Id="rId120" Type="http://schemas.openxmlformats.org/officeDocument/2006/relationships/header" Target="header38.xml"/><Relationship Id="rId125"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header" Target="header10.xml"/><Relationship Id="rId45" Type="http://schemas.openxmlformats.org/officeDocument/2006/relationships/hyperlink" Target="https://www.slov-lex.sk/pravne-predpisy/SK/ZZ/2004/43/" TargetMode="External"/><Relationship Id="rId66" Type="http://schemas.openxmlformats.org/officeDocument/2006/relationships/chart" Target="charts/chart35.xml"/><Relationship Id="rId87" Type="http://schemas.openxmlformats.org/officeDocument/2006/relationships/header" Target="header15.xml"/><Relationship Id="rId110" Type="http://schemas.openxmlformats.org/officeDocument/2006/relationships/header" Target="header31.xml"/><Relationship Id="rId115" Type="http://schemas.openxmlformats.org/officeDocument/2006/relationships/header" Target="header33.xml"/><Relationship Id="rId131" Type="http://schemas.microsoft.com/office/2011/relationships/people" Target="people.xml"/><Relationship Id="rId61" Type="http://schemas.openxmlformats.org/officeDocument/2006/relationships/chart" Target="charts/chart30.xml"/><Relationship Id="rId82" Type="http://schemas.openxmlformats.org/officeDocument/2006/relationships/chart" Target="charts/chart46.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cache/ITY_OFFPUB/KS-SF-09-102/EN/KS-SF-09-102-EN.PDF" TargetMode="External"/><Relationship Id="rId3" Type="http://schemas.openxmlformats.org/officeDocument/2006/relationships/hyperlink" Target="http://eur-lex.europa.eu/legal-content/SK/TXT/PDF/?uri=CELEX:32007R1322&amp;from=EN" TargetMode="External"/><Relationship Id="rId7" Type="http://schemas.openxmlformats.org/officeDocument/2006/relationships/hyperlink" Target="https://slovak.statistics.sk/wps/portal/ext/themes/demography/social/publications/!ut/p/b1/jZDLDoIwEEW_xS_opZTXsq%20CUGoI8rCIbw8IYjIAL4_cLBDcmVGc3mXMyd4ZUpCRVV7-aa_1s-q6-j31lnzNHur5vcLiWA8ikUMChAGI6AKcBwEJxf%20PlJvoHc81TkW2aAWbOvAUY_LFLKPSaCdb4Lh3FA3SK2KWDMfiB4xJwYcGNhQfJI5V5mmuDmf_k1C374R1JNiC7B%20BOhepF_yAZZCCvsHMFyRRH17IY9WKVWikTe2egOmflqs/dl4/d5/L2dJQSEvUUt3QS80SmtFL1o2X1E3SThCQjFBMDg1NzAwSU5TVTAwVlMwME4w/"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c.europa.eu/eurostat/documents/3859598/5917481/KS-RA-11-014-EN.PDF/ee86d517-3348-4c20-94ee-a37c330755b1" TargetMode="External"/><Relationship Id="rId6" Type="http://schemas.openxmlformats.org/officeDocument/2006/relationships/hyperlink" Target="http://eur-lex.europa.eu/LexUriServ/LexUriServ.do?uri=OJ:L:2011:071:0004:0008:SK:PDF" TargetMode="External"/><Relationship Id="rId5" Type="http://schemas.openxmlformats.org/officeDocument/2006/relationships/hyperlink" Target="http://eur-lex.europa.eu/LexUriServ/LexUriServ.do?uri=OJ:L:2011:034:0029:0032:SK:PDF" TargetMode="External"/><Relationship Id="rId4" Type="http://schemas.openxmlformats.org/officeDocument/2006/relationships/hyperlink" Target="http://eur-lex.europa.eu/legal-content/SK/TXT/PDF/?uri=CELEX:32008R0010&amp;from=EN" TargetMode="External"/><Relationship Id="rId9" Type="http://schemas.openxmlformats.org/officeDocument/2006/relationships/hyperlink" Target="http://ec.europa.eu/economy_finance/publications/eeip/pdf/ip025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zova\Desktop\Spr&#225;va%20o%20SSO%20za%20rok%202014_20_5_2015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foldiova\Documents\Spr&#225;va%20o%20SSOSR%202016\graf%20hd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lovaAn\AppData\Local\Microsoft\Windows\Temporary%20Internet%20Files\Content.Outlook\05T0H8JU\regiony_podklady_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esktop\spr&#225;va%20za%20rok%202015\doru&#269;en&#233;%20podklady\zapracovan&#233;\&#250;stredie\Podklady%20_%20V&#253;voj%20dlhobobonezamesn&#253;%20ob&#269;an%20_2014_2015.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Zo&#353;it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pisiakova\Documents\EXCEL\SPRAV_SO\rok%202015\rok2015graf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ezova\Desktop\spr&#225;va%20za%20rok%202015\doru&#269;en&#233;%20podklady\soci&#225;lna%20pois&#357;ov&#328;a\Spr&#225;va%20o%20soci&#225;lnej%20situ&#225;cii%20obyvate&#318;stva%20SR%20201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rencikova\Desktop\Vyvoj%20AHDJ%20-%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rodinn&#233;%20d&#225;vky\pr&#237;davok%20na%20die&#357;a-region&#225;ln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ezova\Desktop\spr&#225;va%20za%20rok%202015\rodi&#269;ovsk&#253;%20pr&#237;spevok.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rodinn&#233;%20d&#225;vky\pr&#237;davok%20na%20starostlivos&#357;%20bez%20oh&#318;adu%20na%20n&#225;ro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hmotn&#225;%20n&#250;dza\DHN%20poberatelia%20aj%20peniaz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hmotn&#225;%20n&#250;dza\DHN%20&#353;trukt&#250;r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hmotn&#225;%20n&#250;dza\Pomery%20region&#225;l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hmotn&#225;%20n&#250;dza\dhn%20pod&#318;a%20veku%20a%20pohlavia.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brezova\Desktop\spr&#225;va%20za%20rok%202015\moje\kapitola%203\hmotn&#225;%20n&#250;dza\dot&#225;cia%20na%20stravu.xlsx" TargetMode="External"/><Relationship Id="rId1" Type="http://schemas.openxmlformats.org/officeDocument/2006/relationships/themeOverride" Target="../theme/themeOverride1.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brezova\Desktop\spr&#225;va%20za%20rok%202015\moje\kapitola%203\hmotn&#225;%20n&#250;dza\dot&#225;cia%20na%20&#353;kolsk&#233;%20pom&#244;ck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ezova\Desktop\spr&#225;va%20za%20rok%202015\doru&#269;en&#233;%20podklady\soci&#225;lna%20pois&#357;ov&#328;a\Spr&#225;va%20o%20soci&#225;lnej%20situ&#225;cii%20obyvate&#318;stva%20SR%20201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0BMBVGKT\export635956313266047804.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P3TQ410Q\export63595716804279292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poberatelia%20PP%20na%20kompenz&#225;ciu.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poberatelia%20PP%20na%20kompenz&#225;ciu.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poberatelia%20PP%20na%20kompenz&#225;ciu.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kompenz&#225;cie\PP%20na%20opatrovanie%20hlb&#353;ia%20&#353;trukt&#250;ra.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brezova\Desktop\spr&#225;va%20za%20rok%202015\moje\kapitola%203\ESSPROS\ESSPROS%20&#353;trukt&#250;ra%20pr&#237;jmov.xlsx" TargetMode="External"/><Relationship Id="rId1" Type="http://schemas.openxmlformats.org/officeDocument/2006/relationships/themeOverride" Target="../theme/themeOverride4.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rezova\Downloads\spr_rec_sumt%20(2).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ESSPROS\ESSPROS%20&#353;trukt&#250;ra%20pr&#237;jmo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ezova\Desktop\spr&#225;va%20za%20rok%202015\doru&#269;en&#233;%20podklady\soci&#225;lna%20pois&#357;ov&#328;a\Spr&#225;va%20o%20soci&#225;lnej%20situ&#225;cii%20obyvate&#318;stva%20SR%20201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ESSPROS\v&#253;davky.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rezova\Desktop\spr&#225;va%20za%20rok%202015\moje\kapitola%203\ESSPROS\testovan&#233;%20na%20pr&#237;jem.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brezova\Downloads\spr_exp_pens%20(4).xls"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rezova\Desktop\spr&#225;va%20za%20rok%202015\doru&#269;en&#233;%20podklady\ESF\ESF%20&#269;erpani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rezova\Desktop\SPR&#193;VA%20za%20rok%202014\tabu&#318;ky\K&#243;pia%20-%20zdrojovy%20subor%20SSSO2014_chudoba%20a%20socvyluc.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brezova\Desktop\spr&#225;va%20za%20rok%202015\moje\kapitola%204\chudob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regorcova\Desktop\archiv%20plocha\SSSO_2014\zdrojovy%20subor%20SSSO2014_chudoba%20a%20socvyluc.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C:\Users\brezova\Desktop\spr&#225;va%20za%20rok%202015\moje\kapitola%204\chudoba.xlsx" TargetMode="External"/><Relationship Id="rId1" Type="http://schemas.openxmlformats.org/officeDocument/2006/relationships/themeOverride" Target="../theme/themeOverride5.xml"/></Relationships>
</file>

<file path=word/charts/_rels/chart49.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MD_upravene%20o%20Md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ezova\Desktop\spr&#225;va%20za%20rok%202015\doru&#269;en&#233;%20podklady\soci&#225;lna%20pois&#357;ov&#328;a\Spr&#225;va%20o%20soci&#225;lnej%20situ&#225;cii%20obyvate&#318;stva%20SR%202015.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1.xml.rels><?xml version="1.0" encoding="UTF-8" standalone="yes"?>
<Relationships xmlns="http://schemas.openxmlformats.org/package/2006/relationships"><Relationship Id="rId1" Type="http://schemas.openxmlformats.org/officeDocument/2006/relationships/oleObject" Target="file:///C:\Users\chrencikova\Desktop\Graf%20vek%20sporitelov.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ezova\Desktop\spr&#225;va%20za%20rok%202015\moje\kapitola%202\pracuj&#250;c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ezova\Desktop\spr&#225;va%20za%20rok%202015\moje\kapitola%202\nezamestnanos&#357;%20&#353;&#250;sr+&#250;psv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ezova\Desktop\spr&#225;va%20za%20rok%202015\nezamestnanos&#357;%20&#353;&#250;sr+&#250;psv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Hárok2!$C$28</c:f>
              <c:strCache>
                <c:ptCount val="1"/>
                <c:pt idx="0">
                  <c:v>HDP v b.c. (mld. EUR)</c:v>
                </c:pt>
              </c:strCache>
            </c:strRef>
          </c:tx>
          <c:spPr>
            <a:ln>
              <a:solidFill>
                <a:schemeClr val="accent2">
                  <a:lumMod val="75000"/>
                </a:schemeClr>
              </a:solidFill>
            </a:ln>
          </c:spPr>
          <c:marker>
            <c:symbol val="none"/>
          </c:marker>
          <c:cat>
            <c:numRef>
              <c:f>Hárok2!$I$27:$N$27</c:f>
              <c:numCache>
                <c:formatCode>General</c:formatCode>
                <c:ptCount val="6"/>
                <c:pt idx="0">
                  <c:v>2010</c:v>
                </c:pt>
                <c:pt idx="1">
                  <c:v>2011</c:v>
                </c:pt>
                <c:pt idx="2">
                  <c:v>2012</c:v>
                </c:pt>
                <c:pt idx="3">
                  <c:v>2013</c:v>
                </c:pt>
                <c:pt idx="4">
                  <c:v>2014</c:v>
                </c:pt>
                <c:pt idx="5">
                  <c:v>2015</c:v>
                </c:pt>
              </c:numCache>
            </c:numRef>
          </c:cat>
          <c:val>
            <c:numRef>
              <c:f>Hárok2!$I$28:$N$28</c:f>
              <c:numCache>
                <c:formatCode>General</c:formatCode>
                <c:ptCount val="6"/>
                <c:pt idx="0">
                  <c:v>67.39</c:v>
                </c:pt>
                <c:pt idx="1">
                  <c:v>70.440000000000026</c:v>
                </c:pt>
                <c:pt idx="2">
                  <c:v>72.42</c:v>
                </c:pt>
                <c:pt idx="3">
                  <c:v>73.84</c:v>
                </c:pt>
                <c:pt idx="4">
                  <c:v>75.56</c:v>
                </c:pt>
                <c:pt idx="5">
                  <c:v>78.069999999999993</c:v>
                </c:pt>
              </c:numCache>
            </c:numRef>
          </c:val>
          <c:smooth val="0"/>
          <c:extLst xmlns:c16r2="http://schemas.microsoft.com/office/drawing/2015/06/chart">
            <c:ext xmlns:c16="http://schemas.microsoft.com/office/drawing/2014/chart" uri="{C3380CC4-5D6E-409C-BE32-E72D297353CC}">
              <c16:uniqueId val="{00000000-3DD7-47E5-A2FC-EC1193F45E08}"/>
            </c:ext>
          </c:extLst>
        </c:ser>
        <c:ser>
          <c:idx val="1"/>
          <c:order val="1"/>
          <c:tx>
            <c:strRef>
              <c:f>Hárok2!$C$29</c:f>
              <c:strCache>
                <c:ptCount val="1"/>
                <c:pt idx="0">
                  <c:v>HDP v s.c.10 (mld. EUR)</c:v>
                </c:pt>
              </c:strCache>
            </c:strRef>
          </c:tx>
          <c:spPr>
            <a:ln>
              <a:solidFill>
                <a:srgbClr val="FF0000"/>
              </a:solidFill>
              <a:prstDash val="dash"/>
            </a:ln>
          </c:spPr>
          <c:marker>
            <c:symbol val="none"/>
          </c:marker>
          <c:cat>
            <c:numRef>
              <c:f>Hárok2!$I$27:$N$27</c:f>
              <c:numCache>
                <c:formatCode>General</c:formatCode>
                <c:ptCount val="6"/>
                <c:pt idx="0">
                  <c:v>2010</c:v>
                </c:pt>
                <c:pt idx="1">
                  <c:v>2011</c:v>
                </c:pt>
                <c:pt idx="2">
                  <c:v>2012</c:v>
                </c:pt>
                <c:pt idx="3">
                  <c:v>2013</c:v>
                </c:pt>
                <c:pt idx="4">
                  <c:v>2014</c:v>
                </c:pt>
                <c:pt idx="5">
                  <c:v>2015</c:v>
                </c:pt>
              </c:numCache>
            </c:numRef>
          </c:cat>
          <c:val>
            <c:numRef>
              <c:f>Hárok2!$I$29:$N$29</c:f>
              <c:numCache>
                <c:formatCode>General</c:formatCode>
                <c:ptCount val="6"/>
                <c:pt idx="0">
                  <c:v>67.06</c:v>
                </c:pt>
                <c:pt idx="1">
                  <c:v>69.3</c:v>
                </c:pt>
                <c:pt idx="2">
                  <c:v>71.52</c:v>
                </c:pt>
                <c:pt idx="3">
                  <c:v>73.45</c:v>
                </c:pt>
                <c:pt idx="4">
                  <c:v>75.7</c:v>
                </c:pt>
                <c:pt idx="5">
                  <c:v>78.28</c:v>
                </c:pt>
              </c:numCache>
            </c:numRef>
          </c:val>
          <c:smooth val="0"/>
          <c:extLst xmlns:c16r2="http://schemas.microsoft.com/office/drawing/2015/06/chart">
            <c:ext xmlns:c16="http://schemas.microsoft.com/office/drawing/2014/chart" uri="{C3380CC4-5D6E-409C-BE32-E72D297353CC}">
              <c16:uniqueId val="{00000001-3DD7-47E5-A2FC-EC1193F45E08}"/>
            </c:ext>
          </c:extLst>
        </c:ser>
        <c:dLbls>
          <c:showLegendKey val="0"/>
          <c:showVal val="0"/>
          <c:showCatName val="0"/>
          <c:showSerName val="0"/>
          <c:showPercent val="0"/>
          <c:showBubbleSize val="0"/>
        </c:dLbls>
        <c:marker val="1"/>
        <c:smooth val="0"/>
        <c:axId val="216172416"/>
        <c:axId val="216173952"/>
      </c:lineChart>
      <c:catAx>
        <c:axId val="216172416"/>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216173952"/>
        <c:crosses val="autoZero"/>
        <c:auto val="1"/>
        <c:lblAlgn val="ctr"/>
        <c:lblOffset val="100"/>
        <c:noMultiLvlLbl val="0"/>
      </c:catAx>
      <c:valAx>
        <c:axId val="216173952"/>
        <c:scaling>
          <c:orientation val="minMax"/>
          <c:min val="65"/>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216172416"/>
        <c:crosses val="autoZero"/>
        <c:crossBetween val="between"/>
      </c:valAx>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7295822791237"/>
          <c:y val="4.4460010800632249E-2"/>
          <c:w val="0.84728416821975949"/>
          <c:h val="0.7756455437456129"/>
        </c:manualLayout>
      </c:layout>
      <c:barChart>
        <c:barDir val="col"/>
        <c:grouping val="clustered"/>
        <c:varyColors val="0"/>
        <c:ser>
          <c:idx val="0"/>
          <c:order val="0"/>
          <c:tx>
            <c:strRef>
              <c:f>disponibilní!$B$1</c:f>
              <c:strCache>
                <c:ptCount val="1"/>
                <c:pt idx="0">
                  <c:v>disponibilní UoZ 2014</c:v>
                </c:pt>
              </c:strCache>
            </c:strRef>
          </c:tx>
          <c:spPr>
            <a:solidFill>
              <a:schemeClr val="accent1"/>
            </a:solidFill>
          </c:spPr>
          <c:invertIfNegative val="0"/>
          <c:cat>
            <c:strRef>
              <c:f>disponibilní!$A$2:$A$13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disponibilní!$B$2:$B$13</c:f>
              <c:numCache>
                <c:formatCode>General</c:formatCode>
                <c:ptCount val="12"/>
                <c:pt idx="0">
                  <c:v>367221</c:v>
                </c:pt>
                <c:pt idx="1">
                  <c:v>364099</c:v>
                </c:pt>
                <c:pt idx="2">
                  <c:v>358285</c:v>
                </c:pt>
                <c:pt idx="3">
                  <c:v>349745</c:v>
                </c:pt>
                <c:pt idx="4">
                  <c:v>345487</c:v>
                </c:pt>
                <c:pt idx="5">
                  <c:v>345013</c:v>
                </c:pt>
                <c:pt idx="6">
                  <c:v>341882</c:v>
                </c:pt>
                <c:pt idx="7">
                  <c:v>338825</c:v>
                </c:pt>
                <c:pt idx="8">
                  <c:v>335720</c:v>
                </c:pt>
                <c:pt idx="9">
                  <c:v>333257</c:v>
                </c:pt>
                <c:pt idx="10">
                  <c:v>330517</c:v>
                </c:pt>
                <c:pt idx="11">
                  <c:v>331733</c:v>
                </c:pt>
              </c:numCache>
            </c:numRef>
          </c:val>
          <c:extLst xmlns:c16r2="http://schemas.microsoft.com/office/drawing/2015/06/chart">
            <c:ext xmlns:c16="http://schemas.microsoft.com/office/drawing/2014/chart" uri="{C3380CC4-5D6E-409C-BE32-E72D297353CC}">
              <c16:uniqueId val="{00000000-0643-4C80-A28A-DA0D4AE3FF3F}"/>
            </c:ext>
          </c:extLst>
        </c:ser>
        <c:ser>
          <c:idx val="1"/>
          <c:order val="1"/>
          <c:tx>
            <c:strRef>
              <c:f>disponibilní!$C$1</c:f>
              <c:strCache>
                <c:ptCount val="1"/>
                <c:pt idx="0">
                  <c:v>disponibilní UoZ 2015</c:v>
                </c:pt>
              </c:strCache>
            </c:strRef>
          </c:tx>
          <c:spPr>
            <a:solidFill>
              <a:schemeClr val="accent2"/>
            </a:solidFill>
          </c:spPr>
          <c:invertIfNegative val="0"/>
          <c:cat>
            <c:strRef>
              <c:f>disponibilní!$A$2:$A$13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disponibilní!$C$2:$C$13</c:f>
              <c:numCache>
                <c:formatCode>General</c:formatCode>
                <c:ptCount val="12"/>
                <c:pt idx="0">
                  <c:v>334250</c:v>
                </c:pt>
                <c:pt idx="1">
                  <c:v>332218</c:v>
                </c:pt>
                <c:pt idx="2">
                  <c:v>325171</c:v>
                </c:pt>
                <c:pt idx="3">
                  <c:v>315090</c:v>
                </c:pt>
                <c:pt idx="4">
                  <c:v>309525</c:v>
                </c:pt>
                <c:pt idx="5">
                  <c:v>311423</c:v>
                </c:pt>
                <c:pt idx="6">
                  <c:v>309110</c:v>
                </c:pt>
                <c:pt idx="7">
                  <c:v>305187</c:v>
                </c:pt>
                <c:pt idx="8">
                  <c:v>307054</c:v>
                </c:pt>
                <c:pt idx="9">
                  <c:v>296270</c:v>
                </c:pt>
                <c:pt idx="10">
                  <c:v>290512</c:v>
                </c:pt>
                <c:pt idx="11">
                  <c:v>286825</c:v>
                </c:pt>
              </c:numCache>
            </c:numRef>
          </c:val>
          <c:extLst xmlns:c16r2="http://schemas.microsoft.com/office/drawing/2015/06/chart">
            <c:ext xmlns:c16="http://schemas.microsoft.com/office/drawing/2014/chart" uri="{C3380CC4-5D6E-409C-BE32-E72D297353CC}">
              <c16:uniqueId val="{00000001-0643-4C80-A28A-DA0D4AE3FF3F}"/>
            </c:ext>
          </c:extLst>
        </c:ser>
        <c:dLbls>
          <c:showLegendKey val="0"/>
          <c:showVal val="0"/>
          <c:showCatName val="0"/>
          <c:showSerName val="0"/>
          <c:showPercent val="0"/>
          <c:showBubbleSize val="0"/>
        </c:dLbls>
        <c:gapWidth val="150"/>
        <c:axId val="216389504"/>
        <c:axId val="216391040"/>
      </c:barChart>
      <c:catAx>
        <c:axId val="216389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a:pPr>
            <a:endParaRPr lang="sk-SK"/>
          </a:p>
        </c:txPr>
        <c:crossAx val="216391040"/>
        <c:crosses val="autoZero"/>
        <c:auto val="1"/>
        <c:lblAlgn val="ctr"/>
        <c:lblOffset val="100"/>
        <c:tickMarkSkip val="1"/>
        <c:noMultiLvlLbl val="0"/>
      </c:catAx>
      <c:valAx>
        <c:axId val="216391040"/>
        <c:scaling>
          <c:orientation val="minMax"/>
          <c:max val="370000"/>
          <c:min val="250000"/>
        </c:scaling>
        <c:delete val="0"/>
        <c:axPos val="l"/>
        <c:majorGridlines>
          <c:spPr>
            <a:ln w="3175">
              <a:solidFill>
                <a:srgbClr val="000000"/>
              </a:solidFill>
              <a:prstDash val="solid"/>
            </a:ln>
          </c:spPr>
        </c:majorGridlines>
        <c:title>
          <c:tx>
            <c:rich>
              <a:bodyPr rot="-5400000" vert="horz"/>
              <a:lstStyle/>
              <a:p>
                <a:pPr algn="ctr">
                  <a:defRPr b="1"/>
                </a:pPr>
                <a:r>
                  <a:rPr lang="sk-SK" b="1"/>
                  <a:t>počet </a:t>
                </a:r>
                <a:r>
                  <a:rPr lang="sk-SK" sz="1000" b="1"/>
                  <a:t>UoZ</a:t>
                </a:r>
              </a:p>
            </c:rich>
          </c:tx>
          <c:layout>
            <c:manualLayout>
              <c:xMode val="edge"/>
              <c:yMode val="edge"/>
              <c:x val="2.0534195222596282E-3"/>
              <c:y val="0.39843368444877481"/>
            </c:manualLayout>
          </c:layout>
          <c:overlay val="0"/>
          <c:spPr>
            <a:solidFill>
              <a:srgbClr val="FFFFFF"/>
            </a:solid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a:pPr>
            <a:endParaRPr lang="sk-SK"/>
          </a:p>
        </c:txPr>
        <c:crossAx val="216389504"/>
        <c:crosses val="autoZero"/>
        <c:crossBetween val="between"/>
        <c:majorUnit val="20000"/>
        <c:minorUnit val="1000"/>
      </c:valAx>
      <c:spPr>
        <a:solidFill>
          <a:srgbClr val="FFFFFF"/>
        </a:solidFill>
        <a:ln w="6350">
          <a:solidFill>
            <a:schemeClr val="tx1"/>
          </a:solidFill>
          <a:prstDash val="solid"/>
        </a:ln>
      </c:spPr>
    </c:plotArea>
    <c:legend>
      <c:legendPos val="b"/>
      <c:layout>
        <c:manualLayout>
          <c:xMode val="edge"/>
          <c:yMode val="edge"/>
          <c:x val="0.69595690483006667"/>
          <c:y val="4.8303983336015203E-2"/>
          <c:w val="0.27409398096446602"/>
          <c:h val="0.13058311569127071"/>
        </c:manualLayout>
      </c:layout>
      <c:overlay val="0"/>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4702207731991"/>
          <c:y val="6.2380017587099483E-2"/>
          <c:w val="0.79941406166016749"/>
          <c:h val="0.82348461973226794"/>
        </c:manualLayout>
      </c:layout>
      <c:barChart>
        <c:barDir val="col"/>
        <c:grouping val="clustered"/>
        <c:varyColors val="0"/>
        <c:ser>
          <c:idx val="0"/>
          <c:order val="0"/>
          <c:tx>
            <c:strRef>
              <c:f>disponibilní!$P$18</c:f>
              <c:strCache>
                <c:ptCount val="1"/>
                <c:pt idx="0">
                  <c:v>priemer 2014</c:v>
                </c:pt>
              </c:strCache>
            </c:strRef>
          </c:tx>
          <c:spPr>
            <a:solidFill>
              <a:schemeClr val="accent1"/>
            </a:solidFill>
          </c:spPr>
          <c:invertIfNegative val="0"/>
          <c:dLbls>
            <c:spPr>
              <a:noFill/>
              <a:ln w="25400">
                <a:noFill/>
              </a:ln>
            </c:spPr>
            <c:txPr>
              <a:bodyPr/>
              <a:lstStyle/>
              <a:p>
                <a:pPr>
                  <a:defRPr sz="1050" b="0" i="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disponibilní!$Q$17:$R$17</c:f>
              <c:strCache>
                <c:ptCount val="2"/>
                <c:pt idx="0">
                  <c:v>UoZ celkom</c:v>
                </c:pt>
                <c:pt idx="1">
                  <c:v>UoZ disponibilní</c:v>
                </c:pt>
              </c:strCache>
            </c:strRef>
          </c:cat>
          <c:val>
            <c:numRef>
              <c:f>disponibilní!$Q$18:$R$18</c:f>
              <c:numCache>
                <c:formatCode>#,##0</c:formatCode>
                <c:ptCount val="2"/>
                <c:pt idx="0">
                  <c:v>385660.75</c:v>
                </c:pt>
                <c:pt idx="1">
                  <c:v>345148.66666666669</c:v>
                </c:pt>
              </c:numCache>
            </c:numRef>
          </c:val>
          <c:extLst xmlns:c16r2="http://schemas.microsoft.com/office/drawing/2015/06/chart">
            <c:ext xmlns:c16="http://schemas.microsoft.com/office/drawing/2014/chart" uri="{C3380CC4-5D6E-409C-BE32-E72D297353CC}">
              <c16:uniqueId val="{00000000-3549-4FC0-A469-D198E3109CA0}"/>
            </c:ext>
          </c:extLst>
        </c:ser>
        <c:ser>
          <c:idx val="1"/>
          <c:order val="1"/>
          <c:tx>
            <c:strRef>
              <c:f>disponibilní!$P$19</c:f>
              <c:strCache>
                <c:ptCount val="1"/>
                <c:pt idx="0">
                  <c:v>priemer 2015</c:v>
                </c:pt>
              </c:strCache>
            </c:strRef>
          </c:tx>
          <c:spPr>
            <a:solidFill>
              <a:schemeClr val="accent2"/>
            </a:solidFill>
          </c:spPr>
          <c:invertIfNegative val="0"/>
          <c:dLbls>
            <c:spPr>
              <a:noFill/>
              <a:ln w="25400">
                <a:noFill/>
              </a:ln>
            </c:spPr>
            <c:txPr>
              <a:bodyPr/>
              <a:lstStyle/>
              <a:p>
                <a:pPr>
                  <a:defRPr sz="1050" b="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disponibilní!$Q$17:$R$17</c:f>
              <c:strCache>
                <c:ptCount val="2"/>
                <c:pt idx="0">
                  <c:v>UoZ celkom</c:v>
                </c:pt>
                <c:pt idx="1">
                  <c:v>UoZ disponibilní</c:v>
                </c:pt>
              </c:strCache>
            </c:strRef>
          </c:cat>
          <c:val>
            <c:numRef>
              <c:f>disponibilní!$Q$19:$R$19</c:f>
              <c:numCache>
                <c:formatCode>#,##0</c:formatCode>
                <c:ptCount val="2"/>
                <c:pt idx="0">
                  <c:v>354581.9166666668</c:v>
                </c:pt>
                <c:pt idx="1">
                  <c:v>310219.58333333343</c:v>
                </c:pt>
              </c:numCache>
            </c:numRef>
          </c:val>
          <c:extLst xmlns:c16r2="http://schemas.microsoft.com/office/drawing/2015/06/chart">
            <c:ext xmlns:c16="http://schemas.microsoft.com/office/drawing/2014/chart" uri="{C3380CC4-5D6E-409C-BE32-E72D297353CC}">
              <c16:uniqueId val="{00000001-3549-4FC0-A469-D198E3109CA0}"/>
            </c:ext>
          </c:extLst>
        </c:ser>
        <c:dLbls>
          <c:showLegendKey val="0"/>
          <c:showVal val="0"/>
          <c:showCatName val="0"/>
          <c:showSerName val="0"/>
          <c:showPercent val="0"/>
          <c:showBubbleSize val="0"/>
        </c:dLbls>
        <c:gapWidth val="230"/>
        <c:axId val="216418176"/>
        <c:axId val="216419712"/>
      </c:barChart>
      <c:catAx>
        <c:axId val="216418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216419712"/>
        <c:crosses val="autoZero"/>
        <c:auto val="1"/>
        <c:lblAlgn val="ctr"/>
        <c:lblOffset val="100"/>
        <c:tickLblSkip val="1"/>
        <c:tickMarkSkip val="1"/>
        <c:noMultiLvlLbl val="0"/>
      </c:catAx>
      <c:valAx>
        <c:axId val="216419712"/>
        <c:scaling>
          <c:orientation val="minMax"/>
          <c:max val="390000"/>
          <c:min val="290000"/>
        </c:scaling>
        <c:delete val="0"/>
        <c:axPos val="l"/>
        <c:majorGridlines>
          <c:spPr>
            <a:ln w="3175">
              <a:solidFill>
                <a:srgbClr val="000000"/>
              </a:solidFill>
              <a:prstDash val="solid"/>
            </a:ln>
          </c:spPr>
        </c:majorGridlines>
        <c:title>
          <c:tx>
            <c:rich>
              <a:bodyPr rot="-5400000" vert="horz"/>
              <a:lstStyle/>
              <a:p>
                <a:pPr algn="ctr">
                  <a:defRPr b="1"/>
                </a:pPr>
                <a:r>
                  <a:rPr lang="sk-SK" b="1"/>
                  <a:t>Počet UoZ</a:t>
                </a:r>
              </a:p>
            </c:rich>
          </c:tx>
          <c:layout>
            <c:manualLayout>
              <c:xMode val="edge"/>
              <c:yMode val="edge"/>
              <c:x val="2.8777799721326738E-2"/>
              <c:y val="0.33689135097050932"/>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216418176"/>
        <c:crosses val="autoZero"/>
        <c:crossBetween val="between"/>
        <c:majorUnit val="20000"/>
      </c:valAx>
      <c:spPr>
        <a:solidFill>
          <a:srgbClr val="FFFFFF"/>
        </a:solidFill>
        <a:ln w="6350">
          <a:solidFill>
            <a:schemeClr val="tx1"/>
          </a:solidFill>
        </a:ln>
      </c:spPr>
    </c:plotArea>
    <c:legend>
      <c:legendPos val="t"/>
      <c:layout>
        <c:manualLayout>
          <c:xMode val="edge"/>
          <c:yMode val="edge"/>
          <c:x val="0.6358212514525976"/>
          <c:y val="0.11309897103570019"/>
          <c:w val="0.34124850778102589"/>
          <c:h val="8.3385874039317853E-2"/>
        </c:manualLayout>
      </c:layout>
      <c:overlay val="1"/>
      <c:spPr>
        <a:noFill/>
        <a:ln w="3175">
          <a:noFill/>
          <a:prstDash val="solid"/>
        </a:ln>
      </c:spPr>
      <c:txPr>
        <a:bodyPr/>
        <a:lstStyle/>
        <a:p>
          <a:pPr>
            <a:defRPr sz="1000"/>
          </a:pPr>
          <a:endParaRPr lang="sk-SK"/>
        </a:p>
      </c:txPr>
    </c:legend>
    <c:plotVisOnly val="1"/>
    <c:dispBlanksAs val="gap"/>
    <c:showDLblsOverMax val="0"/>
  </c:chart>
  <c:spPr>
    <a:noFill/>
    <a:ln w="3175">
      <a:noFill/>
      <a:prstDash val="solid"/>
    </a:ln>
  </c:spPr>
  <c:txPr>
    <a:bodyPr/>
    <a:lstStyle/>
    <a:p>
      <a:pPr>
        <a:defRPr sz="1025"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865959232972E-2"/>
          <c:y val="8.2556824448794239E-2"/>
          <c:w val="0.83400765169840574"/>
          <c:h val="0.84002303787261701"/>
        </c:manualLayout>
      </c:layout>
      <c:barChart>
        <c:barDir val="col"/>
        <c:grouping val="clustered"/>
        <c:varyColors val="0"/>
        <c:ser>
          <c:idx val="1"/>
          <c:order val="1"/>
          <c:tx>
            <c:v>Priemerný počet UoZ</c:v>
          </c:tx>
          <c:spPr>
            <a:solidFill>
              <a:srgbClr val="E88B80"/>
            </a:solidFill>
          </c:spPr>
          <c:invertIfNegative val="0"/>
          <c:dLbls>
            <c:spPr>
              <a:noFill/>
              <a:ln>
                <a:noFill/>
              </a:ln>
              <a:effectLst/>
            </c:spPr>
            <c:txPr>
              <a:bodyPr rot="-5400000" vert="horz"/>
              <a:lstStyle/>
              <a:p>
                <a:pPr>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[regiony_podklady_2015.xlsx]regiony!$C$17:$C$95</c:f>
              <c:strCache>
                <c:ptCount val="8"/>
                <c:pt idx="0">
                  <c:v>BA</c:v>
                </c:pt>
                <c:pt idx="1">
                  <c:v>TT</c:v>
                </c:pt>
                <c:pt idx="2">
                  <c:v>TN</c:v>
                </c:pt>
                <c:pt idx="3">
                  <c:v>NR</c:v>
                </c:pt>
                <c:pt idx="4">
                  <c:v>ZA</c:v>
                </c:pt>
                <c:pt idx="5">
                  <c:v>BB</c:v>
                </c:pt>
                <c:pt idx="6">
                  <c:v>PO</c:v>
                </c:pt>
                <c:pt idx="7">
                  <c:v>KE</c:v>
                </c:pt>
              </c:strCache>
            </c:strRef>
          </c:cat>
          <c:val>
            <c:numRef>
              <c:f>[regiony_podklady_2015.xlsx]regiony!$D$17:$D$95</c:f>
              <c:numCache>
                <c:formatCode>#,##0_)</c:formatCode>
                <c:ptCount val="8"/>
                <c:pt idx="0">
                  <c:v>20853</c:v>
                </c:pt>
                <c:pt idx="1">
                  <c:v>24130</c:v>
                </c:pt>
                <c:pt idx="2">
                  <c:v>28901</c:v>
                </c:pt>
                <c:pt idx="3">
                  <c:v>41667</c:v>
                </c:pt>
                <c:pt idx="4">
                  <c:v>36819</c:v>
                </c:pt>
                <c:pt idx="5">
                  <c:v>60474</c:v>
                </c:pt>
                <c:pt idx="6">
                  <c:v>75361</c:v>
                </c:pt>
                <c:pt idx="7">
                  <c:v>66378</c:v>
                </c:pt>
              </c:numCache>
            </c:numRef>
          </c:val>
          <c:extLst xmlns:c16r2="http://schemas.microsoft.com/office/drawing/2015/06/chart">
            <c:ext xmlns:c16="http://schemas.microsoft.com/office/drawing/2014/chart" uri="{C3380CC4-5D6E-409C-BE32-E72D297353CC}">
              <c16:uniqueId val="{00000000-3FAB-4A76-9E1B-54DD474C537A}"/>
            </c:ext>
          </c:extLst>
        </c:ser>
        <c:dLbls>
          <c:showLegendKey val="0"/>
          <c:showVal val="0"/>
          <c:showCatName val="0"/>
          <c:showSerName val="0"/>
          <c:showPercent val="0"/>
          <c:showBubbleSize val="0"/>
        </c:dLbls>
        <c:gapWidth val="75"/>
        <c:axId val="216480768"/>
        <c:axId val="216486656"/>
      </c:barChart>
      <c:lineChart>
        <c:grouping val="standard"/>
        <c:varyColors val="0"/>
        <c:ser>
          <c:idx val="0"/>
          <c:order val="0"/>
          <c:tx>
            <c:v>Priemerná MEN</c:v>
          </c:tx>
          <c:spPr>
            <a:ln w="34925">
              <a:noFill/>
            </a:ln>
          </c:spPr>
          <c:marker>
            <c:symbol val="square"/>
            <c:size val="7"/>
            <c:spPr>
              <a:solidFill>
                <a:schemeClr val="accent4">
                  <a:lumMod val="75000"/>
                </a:schemeClr>
              </a:solidFill>
              <a:ln>
                <a:solidFill>
                  <a:schemeClr val="accent4">
                    <a:lumMod val="75000"/>
                  </a:schemeClr>
                </a:solidFill>
              </a:ln>
            </c:spPr>
          </c:marker>
          <c:dPt>
            <c:idx val="4"/>
            <c:bubble3D val="0"/>
            <c:spPr>
              <a:ln w="28575">
                <a:noFill/>
              </a:ln>
            </c:spPr>
            <c:extLst xmlns:c16r2="http://schemas.microsoft.com/office/drawing/2015/06/chart">
              <c:ext xmlns:c16="http://schemas.microsoft.com/office/drawing/2014/chart" uri="{C3380CC4-5D6E-409C-BE32-E72D297353CC}">
                <c16:uniqueId val="{00000002-3FAB-4A76-9E1B-54DD474C537A}"/>
              </c:ext>
            </c:extLst>
          </c:dPt>
          <c:dLbls>
            <c:dLbl>
              <c:idx val="0"/>
              <c:layout>
                <c:manualLayout>
                  <c:x val="-4.7826988568577693E-2"/>
                  <c:y val="-6.0558339298496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AB-4A76-9E1B-54DD474C537A}"/>
                </c:ext>
              </c:extLst>
            </c:dLbl>
            <c:dLbl>
              <c:idx val="1"/>
              <c:layout>
                <c:manualLayout>
                  <c:x val="-5.1803648510878292E-2"/>
                  <c:y val="-8.7859863911995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AB-4A76-9E1B-54DD474C537A}"/>
                </c:ext>
              </c:extLst>
            </c:dLbl>
            <c:dLbl>
              <c:idx val="2"/>
              <c:layout>
                <c:manualLayout>
                  <c:x val="-4.5228396994498231E-2"/>
                  <c:y val="-4.8019201630989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AB-4A76-9E1B-54DD474C537A}"/>
                </c:ext>
              </c:extLst>
            </c:dLbl>
            <c:dLbl>
              <c:idx val="3"/>
              <c:layout>
                <c:manualLayout>
                  <c:x val="-5.3418884622893237E-2"/>
                  <c:y val="-4.99760570681016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AB-4A76-9E1B-54DD474C537A}"/>
                </c:ext>
              </c:extLst>
            </c:dLbl>
            <c:dLbl>
              <c:idx val="4"/>
              <c:layout>
                <c:manualLayout>
                  <c:x val="-9.203271078718463E-3"/>
                  <c:y val="-1.06369148997441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AB-4A76-9E1B-54DD474C537A}"/>
                </c:ext>
              </c:extLst>
            </c:dLbl>
            <c:dLbl>
              <c:idx val="5"/>
              <c:layout>
                <c:manualLayout>
                  <c:x val="-8.9103143098848231E-2"/>
                  <c:y val="-3.17468466911855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AB-4A76-9E1B-54DD474C537A}"/>
                </c:ext>
              </c:extLst>
            </c:dLbl>
            <c:dLbl>
              <c:idx val="6"/>
              <c:layout>
                <c:manualLayout>
                  <c:x val="-5.5806338257304633E-2"/>
                  <c:y val="-6.7939344572524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AB-4A76-9E1B-54DD474C537A}"/>
                </c:ext>
              </c:extLst>
            </c:dLbl>
            <c:dLbl>
              <c:idx val="7"/>
              <c:layout>
                <c:manualLayout>
                  <c:x val="-4.0985141320144886E-2"/>
                  <c:y val="-5.61126881083438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AB-4A76-9E1B-54DD474C537A}"/>
                </c:ext>
              </c:extLst>
            </c:dLbl>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[regiony_podklady_2015.xlsx]regiony!$C$17:$C$95</c:f>
              <c:strCache>
                <c:ptCount val="8"/>
                <c:pt idx="0">
                  <c:v>BA</c:v>
                </c:pt>
                <c:pt idx="1">
                  <c:v>TT</c:v>
                </c:pt>
                <c:pt idx="2">
                  <c:v>TN</c:v>
                </c:pt>
                <c:pt idx="3">
                  <c:v>NR</c:v>
                </c:pt>
                <c:pt idx="4">
                  <c:v>ZA</c:v>
                </c:pt>
                <c:pt idx="5">
                  <c:v>BB</c:v>
                </c:pt>
                <c:pt idx="6">
                  <c:v>PO</c:v>
                </c:pt>
                <c:pt idx="7">
                  <c:v>KE</c:v>
                </c:pt>
              </c:strCache>
            </c:strRef>
          </c:cat>
          <c:val>
            <c:numRef>
              <c:f>[regiony_podklady_2015.xlsx]regiony!$G$17:$G$95</c:f>
              <c:numCache>
                <c:formatCode>General</c:formatCode>
                <c:ptCount val="8"/>
                <c:pt idx="0">
                  <c:v>5.8500000000000003E-2</c:v>
                </c:pt>
                <c:pt idx="1">
                  <c:v>7.4800000000000033E-2</c:v>
                </c:pt>
                <c:pt idx="2">
                  <c:v>8.5400000000000018E-2</c:v>
                </c:pt>
                <c:pt idx="3">
                  <c:v>0.10500000000000002</c:v>
                </c:pt>
                <c:pt idx="4">
                  <c:v>9.7800000000000026E-2</c:v>
                </c:pt>
                <c:pt idx="5">
                  <c:v>0.16020000000000001</c:v>
                </c:pt>
                <c:pt idx="6">
                  <c:v>0.16510000000000002</c:v>
                </c:pt>
                <c:pt idx="7">
                  <c:v>0.15370000000000006</c:v>
                </c:pt>
              </c:numCache>
            </c:numRef>
          </c:val>
          <c:smooth val="0"/>
          <c:extLst xmlns:c16r2="http://schemas.microsoft.com/office/drawing/2015/06/chart">
            <c:ext xmlns:c16="http://schemas.microsoft.com/office/drawing/2014/chart" uri="{C3380CC4-5D6E-409C-BE32-E72D297353CC}">
              <c16:uniqueId val="{0000000A-3FAB-4A76-9E1B-54DD474C537A}"/>
            </c:ext>
          </c:extLst>
        </c:ser>
        <c:dLbls>
          <c:showLegendKey val="0"/>
          <c:showVal val="0"/>
          <c:showCatName val="0"/>
          <c:showSerName val="0"/>
          <c:showPercent val="0"/>
          <c:showBubbleSize val="0"/>
        </c:dLbls>
        <c:marker val="1"/>
        <c:smooth val="0"/>
        <c:axId val="216503040"/>
        <c:axId val="216488576"/>
      </c:lineChart>
      <c:catAx>
        <c:axId val="216480768"/>
        <c:scaling>
          <c:orientation val="minMax"/>
        </c:scaling>
        <c:delete val="0"/>
        <c:axPos val="b"/>
        <c:numFmt formatCode="General" sourceLinked="0"/>
        <c:majorTickMark val="out"/>
        <c:minorTickMark val="none"/>
        <c:tickLblPos val="nextTo"/>
        <c:crossAx val="216486656"/>
        <c:crosses val="autoZero"/>
        <c:auto val="1"/>
        <c:lblAlgn val="ctr"/>
        <c:lblOffset val="100"/>
        <c:noMultiLvlLbl val="0"/>
      </c:catAx>
      <c:valAx>
        <c:axId val="216486656"/>
        <c:scaling>
          <c:orientation val="minMax"/>
          <c:max val="90000"/>
        </c:scaling>
        <c:delete val="0"/>
        <c:axPos val="l"/>
        <c:majorGridlines/>
        <c:title>
          <c:tx>
            <c:rich>
              <a:bodyPr rot="0" vert="horz"/>
              <a:lstStyle/>
              <a:p>
                <a:pPr>
                  <a:defRPr sz="1000"/>
                </a:pPr>
                <a:r>
                  <a:rPr lang="sk-SK" sz="1000"/>
                  <a:t>Počet UoZ</a:t>
                </a:r>
              </a:p>
            </c:rich>
          </c:tx>
          <c:layout>
            <c:manualLayout>
              <c:xMode val="edge"/>
              <c:yMode val="edge"/>
              <c:x val="9.0197633668631788E-3"/>
              <c:y val="1.5540324408147597E-2"/>
            </c:manualLayout>
          </c:layout>
          <c:overlay val="0"/>
        </c:title>
        <c:numFmt formatCode="#,##0_)" sourceLinked="1"/>
        <c:majorTickMark val="out"/>
        <c:minorTickMark val="none"/>
        <c:tickLblPos val="nextTo"/>
        <c:crossAx val="216480768"/>
        <c:crosses val="autoZero"/>
        <c:crossBetween val="between"/>
        <c:majorUnit val="10000"/>
      </c:valAx>
      <c:valAx>
        <c:axId val="216488576"/>
        <c:scaling>
          <c:orientation val="minMax"/>
          <c:max val="0.2"/>
          <c:min val="0"/>
        </c:scaling>
        <c:delete val="0"/>
        <c:axPos val="r"/>
        <c:title>
          <c:tx>
            <c:rich>
              <a:bodyPr rot="0" vert="horz"/>
              <a:lstStyle/>
              <a:p>
                <a:pPr>
                  <a:defRPr sz="1000"/>
                </a:pPr>
                <a:r>
                  <a:rPr lang="sk-SK" sz="1000"/>
                  <a:t>Miera</a:t>
                </a:r>
              </a:p>
            </c:rich>
          </c:tx>
          <c:layout>
            <c:manualLayout>
              <c:xMode val="edge"/>
              <c:yMode val="edge"/>
              <c:x val="0.90469718026572354"/>
              <c:y val="4.3358440275834426E-3"/>
            </c:manualLayout>
          </c:layout>
          <c:overlay val="0"/>
        </c:title>
        <c:numFmt formatCode="0%" sourceLinked="0"/>
        <c:majorTickMark val="out"/>
        <c:minorTickMark val="none"/>
        <c:tickLblPos val="nextTo"/>
        <c:crossAx val="216503040"/>
        <c:crosses val="max"/>
        <c:crossBetween val="between"/>
        <c:minorUnit val="4.0000000000000022E-2"/>
      </c:valAx>
      <c:catAx>
        <c:axId val="216503040"/>
        <c:scaling>
          <c:orientation val="minMax"/>
        </c:scaling>
        <c:delete val="1"/>
        <c:axPos val="b"/>
        <c:numFmt formatCode="General" sourceLinked="1"/>
        <c:majorTickMark val="out"/>
        <c:minorTickMark val="none"/>
        <c:tickLblPos val="none"/>
        <c:crossAx val="216488576"/>
        <c:crosses val="autoZero"/>
        <c:auto val="1"/>
        <c:lblAlgn val="ctr"/>
        <c:lblOffset val="100"/>
        <c:noMultiLvlLbl val="0"/>
      </c:catAx>
      <c:spPr>
        <a:ln>
          <a:solidFill>
            <a:srgbClr val="000000"/>
          </a:solidFill>
        </a:ln>
      </c:spPr>
    </c:plotArea>
    <c:legend>
      <c:legendPos val="r"/>
      <c:layout>
        <c:manualLayout>
          <c:xMode val="edge"/>
          <c:yMode val="edge"/>
          <c:x val="9.9901401213737154E-2"/>
          <c:y val="7.6156876399058979E-2"/>
          <c:w val="0.42786326836049071"/>
          <c:h val="0.1416976222922596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1463940141934"/>
          <c:y val="5.2844394450693923E-2"/>
          <c:w val="0.84541400608506023"/>
          <c:h val="0.80888318147536309"/>
        </c:manualLayout>
      </c:layout>
      <c:barChart>
        <c:barDir val="col"/>
        <c:grouping val="clustered"/>
        <c:varyColors val="0"/>
        <c:ser>
          <c:idx val="1"/>
          <c:order val="0"/>
          <c:tx>
            <c:strRef>
              <c:f>'miera z celkového počtu'!$D$18</c:f>
              <c:strCache>
                <c:ptCount val="1"/>
                <c:pt idx="0">
                  <c:v>priemer 2014</c:v>
                </c:pt>
              </c:strCache>
            </c:strRef>
          </c:tx>
          <c:spPr>
            <a:solidFill>
              <a:schemeClr val="accent1"/>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'miera z celkového počtu'!$C$19:$C$20</c:f>
              <c:strCache>
                <c:ptCount val="2"/>
                <c:pt idx="0">
                  <c:v>MEN</c:v>
                </c:pt>
                <c:pt idx="1">
                  <c:v>Miera nezamestnanosti z celkového počtu UoZ</c:v>
                </c:pt>
              </c:strCache>
            </c:strRef>
          </c:cat>
          <c:val>
            <c:numRef>
              <c:f>'miera z celkového počtu'!$D$19:$D$20</c:f>
              <c:numCache>
                <c:formatCode>0.00</c:formatCode>
                <c:ptCount val="2"/>
                <c:pt idx="0">
                  <c:v>12.79</c:v>
                </c:pt>
                <c:pt idx="1">
                  <c:v>14.290833333333332</c:v>
                </c:pt>
              </c:numCache>
            </c:numRef>
          </c:val>
          <c:extLst xmlns:c16r2="http://schemas.microsoft.com/office/drawing/2015/06/chart">
            <c:ext xmlns:c16="http://schemas.microsoft.com/office/drawing/2014/chart" uri="{C3380CC4-5D6E-409C-BE32-E72D297353CC}">
              <c16:uniqueId val="{00000000-0E4E-4654-833E-A81AF57B0FA7}"/>
            </c:ext>
          </c:extLst>
        </c:ser>
        <c:ser>
          <c:idx val="2"/>
          <c:order val="1"/>
          <c:tx>
            <c:strRef>
              <c:f>'miera z celkového počtu'!$E$18</c:f>
              <c:strCache>
                <c:ptCount val="1"/>
                <c:pt idx="0">
                  <c:v>priemer 2015</c:v>
                </c:pt>
              </c:strCache>
            </c:strRef>
          </c:tx>
          <c:spPr>
            <a:solidFill>
              <a:schemeClr val="accent2"/>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'miera z celkového počtu'!$C$19:$C$20</c:f>
              <c:strCache>
                <c:ptCount val="2"/>
                <c:pt idx="0">
                  <c:v>MEN</c:v>
                </c:pt>
                <c:pt idx="1">
                  <c:v>Miera nezamestnanosti z celkového počtu UoZ</c:v>
                </c:pt>
              </c:strCache>
            </c:strRef>
          </c:cat>
          <c:val>
            <c:numRef>
              <c:f>'miera z celkového počtu'!$E$19:$E$20</c:f>
              <c:numCache>
                <c:formatCode>0.00</c:formatCode>
                <c:ptCount val="2"/>
                <c:pt idx="0">
                  <c:v>11.501666666666669</c:v>
                </c:pt>
                <c:pt idx="1">
                  <c:v>13.147500000000001</c:v>
                </c:pt>
              </c:numCache>
            </c:numRef>
          </c:val>
          <c:extLst xmlns:c16r2="http://schemas.microsoft.com/office/drawing/2015/06/chart">
            <c:ext xmlns:c16="http://schemas.microsoft.com/office/drawing/2014/chart" uri="{C3380CC4-5D6E-409C-BE32-E72D297353CC}">
              <c16:uniqueId val="{00000001-0E4E-4654-833E-A81AF57B0FA7}"/>
            </c:ext>
          </c:extLst>
        </c:ser>
        <c:dLbls>
          <c:showLegendKey val="0"/>
          <c:showVal val="0"/>
          <c:showCatName val="0"/>
          <c:showSerName val="0"/>
          <c:showPercent val="0"/>
          <c:showBubbleSize val="0"/>
        </c:dLbls>
        <c:gapWidth val="150"/>
        <c:axId val="216533632"/>
        <c:axId val="216535424"/>
      </c:barChart>
      <c:catAx>
        <c:axId val="216533632"/>
        <c:scaling>
          <c:orientation val="minMax"/>
        </c:scaling>
        <c:delete val="0"/>
        <c:axPos val="b"/>
        <c:numFmt formatCode="General" sourceLinked="1"/>
        <c:majorTickMark val="out"/>
        <c:minorTickMark val="none"/>
        <c:tickLblPos val="nextTo"/>
        <c:txPr>
          <a:bodyPr rot="0" vert="horz"/>
          <a:lstStyle/>
          <a:p>
            <a:pPr>
              <a:defRPr/>
            </a:pPr>
            <a:endParaRPr lang="sk-SK"/>
          </a:p>
        </c:txPr>
        <c:crossAx val="216535424"/>
        <c:crosses val="autoZero"/>
        <c:auto val="1"/>
        <c:lblAlgn val="ctr"/>
        <c:lblOffset val="100"/>
        <c:noMultiLvlLbl val="0"/>
      </c:catAx>
      <c:valAx>
        <c:axId val="216535424"/>
        <c:scaling>
          <c:orientation val="minMax"/>
          <c:max val="16"/>
          <c:min val="0"/>
        </c:scaling>
        <c:delete val="0"/>
        <c:axPos val="l"/>
        <c:majorGridlines/>
        <c:title>
          <c:tx>
            <c:rich>
              <a:bodyPr rot="-5400000" vert="horz"/>
              <a:lstStyle/>
              <a:p>
                <a:pPr algn="ctr">
                  <a:defRPr b="1"/>
                </a:pPr>
                <a:r>
                  <a:rPr lang="sk-SK" b="1"/>
                  <a:t>Miera nezamestnanosti v %</a:t>
                </a:r>
              </a:p>
            </c:rich>
          </c:tx>
          <c:layout>
            <c:manualLayout>
              <c:xMode val="edge"/>
              <c:yMode val="edge"/>
              <c:x val="1.6271745101629737E-2"/>
              <c:y val="8.5854268216474391E-2"/>
            </c:manualLayout>
          </c:layout>
          <c:overlay val="0"/>
          <c:spPr>
            <a:solidFill>
              <a:schemeClr val="bg1"/>
            </a:solidFill>
          </c:spPr>
        </c:title>
        <c:numFmt formatCode="0.0" sourceLinked="0"/>
        <c:majorTickMark val="out"/>
        <c:minorTickMark val="none"/>
        <c:tickLblPos val="nextTo"/>
        <c:txPr>
          <a:bodyPr rot="0" vert="horz"/>
          <a:lstStyle/>
          <a:p>
            <a:pPr>
              <a:defRPr/>
            </a:pPr>
            <a:endParaRPr lang="sk-SK"/>
          </a:p>
        </c:txPr>
        <c:crossAx val="216533632"/>
        <c:crosses val="autoZero"/>
        <c:crossBetween val="between"/>
      </c:valAx>
    </c:plotArea>
    <c:legend>
      <c:legendPos val="t"/>
      <c:layout>
        <c:manualLayout>
          <c:xMode val="edge"/>
          <c:yMode val="edge"/>
          <c:x val="0.12808547214010441"/>
          <c:y val="5.7938665561541723E-2"/>
          <c:w val="0.35178894290249457"/>
          <c:h val="8.9263259599493244E-2"/>
        </c:manualLayout>
      </c:layout>
      <c:overlay val="1"/>
      <c:spPr>
        <a:noFill/>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Hárok1!$U$24</c:f>
              <c:strCache>
                <c:ptCount val="1"/>
                <c:pt idx="0">
                  <c:v>st. 10 a 11</c:v>
                </c:pt>
              </c:strCache>
            </c:strRef>
          </c:tx>
          <c:invertIfNegative val="0"/>
          <c:cat>
            <c:strRef>
              <c:f>Hárok1!$V$23:$AD$23</c:f>
              <c:strCache>
                <c:ptCount val="9"/>
                <c:pt idx="0">
                  <c:v>BA</c:v>
                </c:pt>
                <c:pt idx="1">
                  <c:v>TT</c:v>
                </c:pt>
                <c:pt idx="2">
                  <c:v>TN</c:v>
                </c:pt>
                <c:pt idx="3">
                  <c:v>NR</c:v>
                </c:pt>
                <c:pt idx="4">
                  <c:v>ZA</c:v>
                </c:pt>
                <c:pt idx="5">
                  <c:v>BB</c:v>
                </c:pt>
                <c:pt idx="6">
                  <c:v>PO</c:v>
                </c:pt>
                <c:pt idx="7">
                  <c:v>KE</c:v>
                </c:pt>
                <c:pt idx="8">
                  <c:v>SR</c:v>
                </c:pt>
              </c:strCache>
            </c:strRef>
          </c:cat>
          <c:val>
            <c:numRef>
              <c:f>Hárok1!$V$24:$AD$24</c:f>
              <c:numCache>
                <c:formatCode>0.00%</c:formatCode>
                <c:ptCount val="9"/>
                <c:pt idx="0">
                  <c:v>0.13700000000000001</c:v>
                </c:pt>
                <c:pt idx="1">
                  <c:v>0.21600000000000005</c:v>
                </c:pt>
                <c:pt idx="2">
                  <c:v>0.15640000000000007</c:v>
                </c:pt>
                <c:pt idx="3">
                  <c:v>0.24510000000000001</c:v>
                </c:pt>
                <c:pt idx="4">
                  <c:v>0.16969999999999999</c:v>
                </c:pt>
                <c:pt idx="5">
                  <c:v>0.36430000000000012</c:v>
                </c:pt>
                <c:pt idx="6">
                  <c:v>0.37210000000000015</c:v>
                </c:pt>
                <c:pt idx="7">
                  <c:v>0.36700000000000016</c:v>
                </c:pt>
                <c:pt idx="8">
                  <c:v>0.29180000000000011</c:v>
                </c:pt>
              </c:numCache>
            </c:numRef>
          </c:val>
          <c:extLst xmlns:c16r2="http://schemas.microsoft.com/office/drawing/2015/06/chart">
            <c:ext xmlns:c16="http://schemas.microsoft.com/office/drawing/2014/chart" uri="{C3380CC4-5D6E-409C-BE32-E72D297353CC}">
              <c16:uniqueId val="{00000000-2772-44A2-A3B4-392859DB7E5C}"/>
            </c:ext>
          </c:extLst>
        </c:ser>
        <c:ser>
          <c:idx val="3"/>
          <c:order val="1"/>
          <c:tx>
            <c:strRef>
              <c:f>Hárok1!$U$25</c:f>
              <c:strCache>
                <c:ptCount val="1"/>
                <c:pt idx="0">
                  <c:v>st. 12 a 13</c:v>
                </c:pt>
              </c:strCache>
            </c:strRef>
          </c:tx>
          <c:invertIfNegative val="0"/>
          <c:cat>
            <c:strRef>
              <c:f>Hárok1!$V$23:$AD$23</c:f>
              <c:strCache>
                <c:ptCount val="9"/>
                <c:pt idx="0">
                  <c:v>BA</c:v>
                </c:pt>
                <c:pt idx="1">
                  <c:v>TT</c:v>
                </c:pt>
                <c:pt idx="2">
                  <c:v>TN</c:v>
                </c:pt>
                <c:pt idx="3">
                  <c:v>NR</c:v>
                </c:pt>
                <c:pt idx="4">
                  <c:v>ZA</c:v>
                </c:pt>
                <c:pt idx="5">
                  <c:v>BB</c:v>
                </c:pt>
                <c:pt idx="6">
                  <c:v>PO</c:v>
                </c:pt>
                <c:pt idx="7">
                  <c:v>KE</c:v>
                </c:pt>
                <c:pt idx="8">
                  <c:v>SR</c:v>
                </c:pt>
              </c:strCache>
            </c:strRef>
          </c:cat>
          <c:val>
            <c:numRef>
              <c:f>Hárok1!$V$25:$AD$25</c:f>
              <c:numCache>
                <c:formatCode>0.00%</c:formatCode>
                <c:ptCount val="9"/>
                <c:pt idx="0">
                  <c:v>0.21900000000000006</c:v>
                </c:pt>
                <c:pt idx="1">
                  <c:v>0.35270000000000001</c:v>
                </c:pt>
                <c:pt idx="2">
                  <c:v>0.37030000000000013</c:v>
                </c:pt>
                <c:pt idx="3">
                  <c:v>0.35550000000000009</c:v>
                </c:pt>
                <c:pt idx="4">
                  <c:v>0.38030000000000025</c:v>
                </c:pt>
                <c:pt idx="5">
                  <c:v>0.3076000000000001</c:v>
                </c:pt>
                <c:pt idx="6">
                  <c:v>0.28580000000000011</c:v>
                </c:pt>
                <c:pt idx="7">
                  <c:v>0.28470000000000001</c:v>
                </c:pt>
                <c:pt idx="8">
                  <c:v>0.31480000000000014</c:v>
                </c:pt>
              </c:numCache>
            </c:numRef>
          </c:val>
          <c:extLst xmlns:c16r2="http://schemas.microsoft.com/office/drawing/2015/06/chart">
            <c:ext xmlns:c16="http://schemas.microsoft.com/office/drawing/2014/chart" uri="{C3380CC4-5D6E-409C-BE32-E72D297353CC}">
              <c16:uniqueId val="{00000001-2772-44A2-A3B4-392859DB7E5C}"/>
            </c:ext>
          </c:extLst>
        </c:ser>
        <c:ser>
          <c:idx val="2"/>
          <c:order val="2"/>
          <c:tx>
            <c:strRef>
              <c:f>Hárok1!$U$26</c:f>
              <c:strCache>
                <c:ptCount val="1"/>
                <c:pt idx="0">
                  <c:v>st. 15</c:v>
                </c:pt>
              </c:strCache>
            </c:strRef>
          </c:tx>
          <c:invertIfNegative val="0"/>
          <c:cat>
            <c:strRef>
              <c:f>Hárok1!$V$23:$AD$23</c:f>
              <c:strCache>
                <c:ptCount val="9"/>
                <c:pt idx="0">
                  <c:v>BA</c:v>
                </c:pt>
                <c:pt idx="1">
                  <c:v>TT</c:v>
                </c:pt>
                <c:pt idx="2">
                  <c:v>TN</c:v>
                </c:pt>
                <c:pt idx="3">
                  <c:v>NR</c:v>
                </c:pt>
                <c:pt idx="4">
                  <c:v>ZA</c:v>
                </c:pt>
                <c:pt idx="5">
                  <c:v>BB</c:v>
                </c:pt>
                <c:pt idx="6">
                  <c:v>PO</c:v>
                </c:pt>
                <c:pt idx="7">
                  <c:v>KE</c:v>
                </c:pt>
                <c:pt idx="8">
                  <c:v>SR</c:v>
                </c:pt>
              </c:strCache>
            </c:strRef>
          </c:cat>
          <c:val>
            <c:numRef>
              <c:f>Hárok1!$V$26:$AD$26</c:f>
              <c:numCache>
                <c:formatCode>0.00%</c:formatCode>
                <c:ptCount val="9"/>
                <c:pt idx="0">
                  <c:v>7.7299999999999994E-2</c:v>
                </c:pt>
                <c:pt idx="1">
                  <c:v>4.5200000000000004E-2</c:v>
                </c:pt>
                <c:pt idx="2">
                  <c:v>3.7600000000000015E-2</c:v>
                </c:pt>
                <c:pt idx="3">
                  <c:v>4.3000000000000003E-2</c:v>
                </c:pt>
                <c:pt idx="4">
                  <c:v>3.8699999999999998E-2</c:v>
                </c:pt>
                <c:pt idx="5">
                  <c:v>3.0599999999999999E-2</c:v>
                </c:pt>
                <c:pt idx="6">
                  <c:v>2.5900000000000006E-2</c:v>
                </c:pt>
                <c:pt idx="7">
                  <c:v>3.5600000000000014E-2</c:v>
                </c:pt>
                <c:pt idx="8">
                  <c:v>3.7100000000000001E-2</c:v>
                </c:pt>
              </c:numCache>
            </c:numRef>
          </c:val>
          <c:extLst xmlns:c16r2="http://schemas.microsoft.com/office/drawing/2015/06/chart">
            <c:ext xmlns:c16="http://schemas.microsoft.com/office/drawing/2014/chart" uri="{C3380CC4-5D6E-409C-BE32-E72D297353CC}">
              <c16:uniqueId val="{00000002-2772-44A2-A3B4-392859DB7E5C}"/>
            </c:ext>
          </c:extLst>
        </c:ser>
        <c:ser>
          <c:idx val="1"/>
          <c:order val="3"/>
          <c:tx>
            <c:strRef>
              <c:f>Hárok1!$U$27</c:f>
              <c:strCache>
                <c:ptCount val="1"/>
                <c:pt idx="0">
                  <c:v>st. 14 a 16</c:v>
                </c:pt>
              </c:strCache>
            </c:strRef>
          </c:tx>
          <c:invertIfNegative val="0"/>
          <c:cat>
            <c:strRef>
              <c:f>Hárok1!$V$23:$AD$23</c:f>
              <c:strCache>
                <c:ptCount val="9"/>
                <c:pt idx="0">
                  <c:v>BA</c:v>
                </c:pt>
                <c:pt idx="1">
                  <c:v>TT</c:v>
                </c:pt>
                <c:pt idx="2">
                  <c:v>TN</c:v>
                </c:pt>
                <c:pt idx="3">
                  <c:v>NR</c:v>
                </c:pt>
                <c:pt idx="4">
                  <c:v>ZA</c:v>
                </c:pt>
                <c:pt idx="5">
                  <c:v>BB</c:v>
                </c:pt>
                <c:pt idx="6">
                  <c:v>PO</c:v>
                </c:pt>
                <c:pt idx="7">
                  <c:v>KE</c:v>
                </c:pt>
                <c:pt idx="8">
                  <c:v>SR</c:v>
                </c:pt>
              </c:strCache>
            </c:strRef>
          </c:cat>
          <c:val>
            <c:numRef>
              <c:f>Hárok1!$V$27:$AD$27</c:f>
              <c:numCache>
                <c:formatCode>0.00%</c:formatCode>
                <c:ptCount val="9"/>
                <c:pt idx="0">
                  <c:v>0.30400000000000016</c:v>
                </c:pt>
                <c:pt idx="1">
                  <c:v>0.27840000000000009</c:v>
                </c:pt>
                <c:pt idx="2">
                  <c:v>0.31150000000000011</c:v>
                </c:pt>
                <c:pt idx="3">
                  <c:v>0.26300000000000001</c:v>
                </c:pt>
                <c:pt idx="4">
                  <c:v>0.29760000000000009</c:v>
                </c:pt>
                <c:pt idx="5">
                  <c:v>0.2321</c:v>
                </c:pt>
                <c:pt idx="6">
                  <c:v>0.2336</c:v>
                </c:pt>
                <c:pt idx="7">
                  <c:v>0.2303</c:v>
                </c:pt>
                <c:pt idx="8">
                  <c:v>0.25640000000000002</c:v>
                </c:pt>
              </c:numCache>
            </c:numRef>
          </c:val>
          <c:extLst xmlns:c16r2="http://schemas.microsoft.com/office/drawing/2015/06/chart">
            <c:ext xmlns:c16="http://schemas.microsoft.com/office/drawing/2014/chart" uri="{C3380CC4-5D6E-409C-BE32-E72D297353CC}">
              <c16:uniqueId val="{00000003-2772-44A2-A3B4-392859DB7E5C}"/>
            </c:ext>
          </c:extLst>
        </c:ser>
        <c:ser>
          <c:idx val="0"/>
          <c:order val="4"/>
          <c:tx>
            <c:strRef>
              <c:f>Hárok1!$U$28</c:f>
              <c:strCache>
                <c:ptCount val="1"/>
                <c:pt idx="0">
                  <c:v>st. 17, 18 a 19</c:v>
                </c:pt>
              </c:strCache>
            </c:strRef>
          </c:tx>
          <c:invertIfNegative val="0"/>
          <c:cat>
            <c:strRef>
              <c:f>Hárok1!$V$23:$AD$23</c:f>
              <c:strCache>
                <c:ptCount val="9"/>
                <c:pt idx="0">
                  <c:v>BA</c:v>
                </c:pt>
                <c:pt idx="1">
                  <c:v>TT</c:v>
                </c:pt>
                <c:pt idx="2">
                  <c:v>TN</c:v>
                </c:pt>
                <c:pt idx="3">
                  <c:v>NR</c:v>
                </c:pt>
                <c:pt idx="4">
                  <c:v>ZA</c:v>
                </c:pt>
                <c:pt idx="5">
                  <c:v>BB</c:v>
                </c:pt>
                <c:pt idx="6">
                  <c:v>PO</c:v>
                </c:pt>
                <c:pt idx="7">
                  <c:v>KE</c:v>
                </c:pt>
                <c:pt idx="8">
                  <c:v>SR</c:v>
                </c:pt>
              </c:strCache>
            </c:strRef>
          </c:cat>
          <c:val>
            <c:numRef>
              <c:f>Hárok1!$V$28:$AD$28</c:f>
              <c:numCache>
                <c:formatCode>0.00%</c:formatCode>
                <c:ptCount val="9"/>
                <c:pt idx="0">
                  <c:v>0.2571</c:v>
                </c:pt>
                <c:pt idx="1">
                  <c:v>0.10690000000000002</c:v>
                </c:pt>
                <c:pt idx="2">
                  <c:v>0.12340000000000002</c:v>
                </c:pt>
                <c:pt idx="3">
                  <c:v>9.1900000000000023E-2</c:v>
                </c:pt>
                <c:pt idx="4">
                  <c:v>0.11210000000000002</c:v>
                </c:pt>
                <c:pt idx="5">
                  <c:v>6.4100000000000004E-2</c:v>
                </c:pt>
                <c:pt idx="6">
                  <c:v>8.050000000000003E-2</c:v>
                </c:pt>
                <c:pt idx="7">
                  <c:v>8.1700000000000023E-2</c:v>
                </c:pt>
                <c:pt idx="8">
                  <c:v>9.8200000000000051E-2</c:v>
                </c:pt>
              </c:numCache>
            </c:numRef>
          </c:val>
          <c:extLst xmlns:c16r2="http://schemas.microsoft.com/office/drawing/2015/06/chart">
            <c:ext xmlns:c16="http://schemas.microsoft.com/office/drawing/2014/chart" uri="{C3380CC4-5D6E-409C-BE32-E72D297353CC}">
              <c16:uniqueId val="{00000004-2772-44A2-A3B4-392859DB7E5C}"/>
            </c:ext>
          </c:extLst>
        </c:ser>
        <c:dLbls>
          <c:showLegendKey val="0"/>
          <c:showVal val="0"/>
          <c:showCatName val="0"/>
          <c:showSerName val="0"/>
          <c:showPercent val="0"/>
          <c:showBubbleSize val="0"/>
        </c:dLbls>
        <c:gapWidth val="60"/>
        <c:gapDepth val="100"/>
        <c:shape val="box"/>
        <c:axId val="216582016"/>
        <c:axId val="216583552"/>
        <c:axId val="0"/>
      </c:bar3DChart>
      <c:catAx>
        <c:axId val="216582016"/>
        <c:scaling>
          <c:orientation val="minMax"/>
        </c:scaling>
        <c:delete val="0"/>
        <c:axPos val="b"/>
        <c:numFmt formatCode="General" sourceLinked="1"/>
        <c:majorTickMark val="out"/>
        <c:minorTickMark val="none"/>
        <c:tickLblPos val="nextTo"/>
        <c:crossAx val="216583552"/>
        <c:crosses val="autoZero"/>
        <c:auto val="1"/>
        <c:lblAlgn val="ctr"/>
        <c:lblOffset val="100"/>
        <c:noMultiLvlLbl val="0"/>
      </c:catAx>
      <c:valAx>
        <c:axId val="216583552"/>
        <c:scaling>
          <c:orientation val="minMax"/>
        </c:scaling>
        <c:delete val="0"/>
        <c:axPos val="l"/>
        <c:majorGridlines/>
        <c:numFmt formatCode="0%" sourceLinked="0"/>
        <c:majorTickMark val="out"/>
        <c:minorTickMark val="none"/>
        <c:tickLblPos val="nextTo"/>
        <c:crossAx val="216582016"/>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4899387576718"/>
          <c:y val="0.2623952965886191"/>
          <c:w val="0.45555555555555555"/>
          <c:h val="0.61337064367105965"/>
        </c:manualLayout>
      </c:layout>
      <c:pieChart>
        <c:varyColors val="1"/>
        <c:ser>
          <c:idx val="0"/>
          <c:order val="0"/>
          <c:explosion val="10"/>
          <c:dPt>
            <c:idx val="0"/>
            <c:bubble3D val="0"/>
            <c:spPr>
              <a:pattFill prst="narHorz">
                <a:fgClr>
                  <a:schemeClr val="accent1"/>
                </a:fgClr>
                <a:bgClr>
                  <a:schemeClr val="bg1"/>
                </a:bgClr>
              </a:pattFill>
              <a:ln>
                <a:solidFill>
                  <a:schemeClr val="tx2"/>
                </a:solidFill>
              </a:ln>
            </c:spPr>
            <c:extLst xmlns:c16r2="http://schemas.microsoft.com/office/drawing/2015/06/chart">
              <c:ext xmlns:c16="http://schemas.microsoft.com/office/drawing/2014/chart" uri="{C3380CC4-5D6E-409C-BE32-E72D297353CC}">
                <c16:uniqueId val="{00000001-71E0-4AA3-BDBE-3BCD689587E8}"/>
              </c:ext>
            </c:extLst>
          </c:dPt>
          <c:dPt>
            <c:idx val="1"/>
            <c:bubble3D val="0"/>
            <c:spPr>
              <a:solidFill>
                <a:schemeClr val="accent1"/>
              </a:solidFill>
            </c:spPr>
            <c:extLst xmlns:c16r2="http://schemas.microsoft.com/office/drawing/2015/06/chart">
              <c:ext xmlns:c16="http://schemas.microsoft.com/office/drawing/2014/chart" uri="{C3380CC4-5D6E-409C-BE32-E72D297353CC}">
                <c16:uniqueId val="{00000003-71E0-4AA3-BDBE-3BCD689587E8}"/>
              </c:ext>
            </c:extLst>
          </c:dPt>
          <c:dPt>
            <c:idx val="2"/>
            <c:bubble3D val="0"/>
            <c:spPr>
              <a:pattFill prst="ltUp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1E0-4AA3-BDBE-3BCD689587E8}"/>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1E0-4AA3-BDBE-3BCD689587E8}"/>
              </c:ext>
            </c:extLst>
          </c:dPt>
          <c:dPt>
            <c:idx val="4"/>
            <c:bubble3D val="0"/>
            <c:spPr>
              <a:pattFill prst="pct7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1E0-4AA3-BDBE-3BCD689587E8}"/>
              </c:ext>
            </c:extLst>
          </c:dPt>
          <c:dPt>
            <c:idx val="5"/>
            <c:bubble3D val="0"/>
            <c:spPr>
              <a:pattFill prst="smGrid">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B-71E0-4AA3-BDBE-3BCD689587E8}"/>
              </c:ext>
            </c:extLst>
          </c:dPt>
          <c:dPt>
            <c:idx val="6"/>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D-71E0-4AA3-BDBE-3BCD689587E8}"/>
              </c:ext>
            </c:extLst>
          </c:dPt>
          <c:dPt>
            <c:idx val="7"/>
            <c:bubble3D val="0"/>
            <c:spPr>
              <a:pattFill prst="pct10">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1E0-4AA3-BDBE-3BCD689587E8}"/>
              </c:ext>
            </c:extLst>
          </c:dPt>
          <c:dPt>
            <c:idx val="8"/>
            <c:bubble3D val="0"/>
            <c:spPr>
              <a:pattFill prst="lgConfetti">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11-71E0-4AA3-BDBE-3BCD689587E8}"/>
              </c:ext>
            </c:extLst>
          </c:dPt>
          <c:dPt>
            <c:idx val="9"/>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3-71E0-4AA3-BDBE-3BCD689587E8}"/>
              </c:ext>
            </c:extLst>
          </c:dPt>
          <c:dPt>
            <c:idx val="10"/>
            <c:bubble3D val="0"/>
            <c:spPr>
              <a:pattFill prst="dk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5-71E0-4AA3-BDBE-3BCD689587E8}"/>
              </c:ext>
            </c:extLst>
          </c:dPt>
          <c:dLbls>
            <c:dLbl>
              <c:idx val="0"/>
              <c:layout>
                <c:manualLayout>
                  <c:x val="1.2292213473315836E-4"/>
                  <c:y val="-0.13364783254404244"/>
                </c:manualLayout>
              </c:layout>
              <c:tx>
                <c:rich>
                  <a:bodyPr/>
                  <a:lstStyle/>
                  <a:p>
                    <a:r>
                      <a:rPr lang="en-US"/>
                      <a:t>nezistené</a:t>
                    </a:r>
                  </a:p>
                  <a:p>
                    <a:r>
                      <a:rPr lang="en-US"/>
                      <a:t>0,13%</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E0-4AA3-BDBE-3BCD689587E8}"/>
                </c:ext>
              </c:extLst>
            </c:dLbl>
            <c:dLbl>
              <c:idx val="1"/>
              <c:layout>
                <c:manualLayout>
                  <c:x val="5.8858923884514434E-2"/>
                  <c:y val="-9.441278477870047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E0-4AA3-BDBE-3BCD689587E8}"/>
                </c:ext>
              </c:extLst>
            </c:dLbl>
            <c:dLbl>
              <c:idx val="2"/>
              <c:layout>
                <c:manualLayout>
                  <c:x val="0.15097615923009641"/>
                  <c:y val="-3.952365119860243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E0-4AA3-BDBE-3BCD689587E8}"/>
                </c:ext>
              </c:extLst>
            </c:dLbl>
            <c:dLbl>
              <c:idx val="3"/>
              <c:layout>
                <c:manualLayout>
                  <c:x val="0.10718503937007874"/>
                  <c:y val="4.981943143356745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E0-4AA3-BDBE-3BCD689587E8}"/>
                </c:ext>
              </c:extLst>
            </c:dLbl>
            <c:dLbl>
              <c:idx val="4"/>
              <c:layout>
                <c:manualLayout>
                  <c:x val="6.3080508503366689E-2"/>
                  <c:y val="8.441817919673984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E0-4AA3-BDBE-3BCD689587E8}"/>
                </c:ext>
              </c:extLst>
            </c:dLbl>
            <c:dLbl>
              <c:idx val="5"/>
              <c:layout>
                <c:manualLayout>
                  <c:x val="-4.1713061102970184E-2"/>
                  <c:y val="2.153663261396570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E0-4AA3-BDBE-3BCD689587E8}"/>
                </c:ext>
              </c:extLst>
            </c:dLbl>
            <c:dLbl>
              <c:idx val="6"/>
              <c:layout>
                <c:manualLayout>
                  <c:x val="-7.6715551181102362E-2"/>
                  <c:y val="-3.1207454921174612E-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1E0-4AA3-BDBE-3BCD689587E8}"/>
                </c:ext>
              </c:extLst>
            </c:dLbl>
            <c:dLbl>
              <c:idx val="7"/>
              <c:layout>
                <c:manualLayout>
                  <c:x val="-8.9681758530183744E-2"/>
                  <c:y val="3.232535148511527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1E0-4AA3-BDBE-3BCD689587E8}"/>
                </c:ext>
              </c:extLst>
            </c:dLbl>
            <c:dLbl>
              <c:idx val="8"/>
              <c:layout>
                <c:manualLayout>
                  <c:x val="-9.803871391076116E-2"/>
                  <c:y val="-3.003861101646448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1E0-4AA3-BDBE-3BCD689587E8}"/>
                </c:ext>
              </c:extLst>
            </c:dLbl>
            <c:dLbl>
              <c:idx val="9"/>
              <c:layout>
                <c:manualLayout>
                  <c:x val="-8.6332786526684149E-2"/>
                  <c:y val="-8.723480510286338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1E0-4AA3-BDBE-3BCD689587E8}"/>
                </c:ext>
              </c:extLst>
            </c:dLbl>
            <c:dLbl>
              <c:idx val="10"/>
              <c:layout>
                <c:manualLayout>
                  <c:x val="-6.9359798775153109E-2"/>
                  <c:y val="-0.14469339271888876"/>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1E0-4AA3-BDBE-3BCD689587E8}"/>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Hárok1!$T$56:$T$66</c:f>
              <c:strCache>
                <c:ptCount val="11"/>
                <c:pt idx="0">
                  <c:v>nezistené</c:v>
                </c:pt>
                <c:pt idx="1">
                  <c:v>st. 10</c:v>
                </c:pt>
                <c:pt idx="2">
                  <c:v>st. 11</c:v>
                </c:pt>
                <c:pt idx="3">
                  <c:v>st. 12</c:v>
                </c:pt>
                <c:pt idx="4">
                  <c:v>st. 13</c:v>
                </c:pt>
                <c:pt idx="5">
                  <c:v>st. 14</c:v>
                </c:pt>
                <c:pt idx="6">
                  <c:v>st. 15</c:v>
                </c:pt>
                <c:pt idx="7">
                  <c:v>st. 16</c:v>
                </c:pt>
                <c:pt idx="8">
                  <c:v>st. 17</c:v>
                </c:pt>
                <c:pt idx="9">
                  <c:v>st. 18</c:v>
                </c:pt>
                <c:pt idx="10">
                  <c:v>st. 19</c:v>
                </c:pt>
              </c:strCache>
            </c:strRef>
          </c:cat>
          <c:val>
            <c:numRef>
              <c:f>Hárok1!$U$56:$U$66</c:f>
              <c:numCache>
                <c:formatCode>0.00%</c:formatCode>
                <c:ptCount val="11"/>
                <c:pt idx="0">
                  <c:v>1.2999999999999995E-3</c:v>
                </c:pt>
                <c:pt idx="1">
                  <c:v>3.6000000000000012E-3</c:v>
                </c:pt>
                <c:pt idx="2">
                  <c:v>9.9200000000000024E-2</c:v>
                </c:pt>
                <c:pt idx="3">
                  <c:v>0.12020000000000003</c:v>
                </c:pt>
                <c:pt idx="4">
                  <c:v>0.30230000000000012</c:v>
                </c:pt>
                <c:pt idx="5">
                  <c:v>0.18910000000000005</c:v>
                </c:pt>
                <c:pt idx="6">
                  <c:v>7.4100000000000013E-2</c:v>
                </c:pt>
                <c:pt idx="7">
                  <c:v>7.1400000000000019E-2</c:v>
                </c:pt>
                <c:pt idx="8">
                  <c:v>3.6400000000000016E-2</c:v>
                </c:pt>
                <c:pt idx="9">
                  <c:v>8.0100000000000005E-2</c:v>
                </c:pt>
                <c:pt idx="10">
                  <c:v>2.240000000000001E-2</c:v>
                </c:pt>
              </c:numCache>
            </c:numRef>
          </c:val>
          <c:extLst xmlns:c16r2="http://schemas.microsoft.com/office/drawing/2015/06/chart">
            <c:ext xmlns:c16="http://schemas.microsoft.com/office/drawing/2014/chart" uri="{C3380CC4-5D6E-409C-BE32-E72D297353CC}">
              <c16:uniqueId val="{00000016-71E0-4AA3-BDBE-3BCD689587E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9221347331591"/>
          <c:y val="0.20612648080477849"/>
          <c:w val="0.39444444444444804"/>
          <c:h val="0.65740740740741144"/>
        </c:manualLayout>
      </c:layout>
      <c:pieChart>
        <c:varyColors val="1"/>
        <c:ser>
          <c:idx val="0"/>
          <c:order val="0"/>
          <c:explosion val="10"/>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7C2E-4A0C-8888-F8255E3E01A4}"/>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7C2E-4A0C-8888-F8255E3E01A4}"/>
              </c:ext>
            </c:extLst>
          </c:dPt>
          <c:dPt>
            <c:idx val="2"/>
            <c:bubble3D val="0"/>
            <c:spPr>
              <a:pattFill prst="dkDn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C2E-4A0C-8888-F8255E3E01A4}"/>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C2E-4A0C-8888-F8255E3E01A4}"/>
              </c:ext>
            </c:extLst>
          </c:dPt>
          <c:dPt>
            <c:idx val="4"/>
            <c:bubble3D val="0"/>
            <c:spPr>
              <a:pattFill prst="pct4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C2E-4A0C-8888-F8255E3E01A4}"/>
              </c:ext>
            </c:extLst>
          </c:dPt>
          <c:dPt>
            <c:idx val="5"/>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B-7C2E-4A0C-8888-F8255E3E01A4}"/>
              </c:ext>
            </c:extLst>
          </c:dPt>
          <c:dPt>
            <c:idx val="6"/>
            <c:bubble3D val="0"/>
            <c:spPr>
              <a:solidFill>
                <a:schemeClr val="accent3">
                  <a:lumMod val="40000"/>
                  <a:lumOff val="60000"/>
                </a:schemeClr>
              </a:solid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0D-7C2E-4A0C-8888-F8255E3E01A4}"/>
              </c:ext>
            </c:extLst>
          </c:dPt>
          <c:dPt>
            <c:idx val="7"/>
            <c:bubble3D val="0"/>
            <c:spPr>
              <a:pattFill prst="dashVert">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C2E-4A0C-8888-F8255E3E01A4}"/>
              </c:ext>
            </c:extLst>
          </c:dPt>
          <c:dPt>
            <c:idx val="8"/>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1-7C2E-4A0C-8888-F8255E3E01A4}"/>
              </c:ext>
            </c:extLst>
          </c:dPt>
          <c:dPt>
            <c:idx val="9"/>
            <c:bubble3D val="0"/>
            <c:spPr>
              <a:pattFill prst="nar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3-7C2E-4A0C-8888-F8255E3E01A4}"/>
              </c:ext>
            </c:extLst>
          </c:dPt>
          <c:dLbls>
            <c:dLbl>
              <c:idx val="0"/>
              <c:layout>
                <c:manualLayout>
                  <c:x val="-6.753356892533223E-2"/>
                  <c:y val="-5.876529543917813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2E-4A0C-8888-F8255E3E01A4}"/>
                </c:ext>
              </c:extLst>
            </c:dLbl>
            <c:dLbl>
              <c:idx val="1"/>
              <c:layout>
                <c:manualLayout>
                  <c:x val="4.0974628171478497E-2"/>
                  <c:y val="-7.627421677128720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2E-4A0C-8888-F8255E3E01A4}"/>
                </c:ext>
              </c:extLst>
            </c:dLbl>
            <c:dLbl>
              <c:idx val="2"/>
              <c:layout>
                <c:manualLayout>
                  <c:x val="0.10918591426071762"/>
                  <c:y val="-2.1041030112667315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2E-4A0C-8888-F8255E3E01A4}"/>
                </c:ext>
              </c:extLst>
            </c:dLbl>
            <c:dLbl>
              <c:idx val="3"/>
              <c:layout>
                <c:manualLayout>
                  <c:x val="5.4920603674540734E-2"/>
                  <c:y val="1.154409982750674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2E-4A0C-8888-F8255E3E01A4}"/>
                </c:ext>
              </c:extLst>
            </c:dLbl>
            <c:dLbl>
              <c:idx val="4"/>
              <c:layout>
                <c:manualLayout>
                  <c:x val="7.7641732283464548E-2"/>
                  <c:y val="1.298896850928755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2E-4A0C-8888-F8255E3E01A4}"/>
                </c:ext>
              </c:extLst>
            </c:dLbl>
            <c:dLbl>
              <c:idx val="5"/>
              <c:layout>
                <c:manualLayout>
                  <c:x val="4.9640966754155726E-2"/>
                  <c:y val="-2.047615031148578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C2E-4A0C-8888-F8255E3E01A4}"/>
                </c:ext>
              </c:extLst>
            </c:dLbl>
            <c:dLbl>
              <c:idx val="6"/>
              <c:layout>
                <c:manualLayout>
                  <c:x val="4.5903871391076122E-2"/>
                  <c:y val="2.327381998926104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C2E-4A0C-8888-F8255E3E01A4}"/>
                </c:ext>
              </c:extLst>
            </c:dLbl>
            <c:dLbl>
              <c:idx val="7"/>
              <c:layout>
                <c:manualLayout>
                  <c:x val="-4.0522019439641267E-2"/>
                  <c:y val="3.2336085240037518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C2E-4A0C-8888-F8255E3E01A4}"/>
                </c:ext>
              </c:extLst>
            </c:dLbl>
            <c:dLbl>
              <c:idx val="8"/>
              <c:layout>
                <c:manualLayout>
                  <c:x val="-0.11699629738586786"/>
                  <c:y val="0.15902921674264406"/>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C2E-4A0C-8888-F8255E3E01A4}"/>
                </c:ext>
              </c:extLst>
            </c:dLbl>
            <c:dLbl>
              <c:idx val="9"/>
              <c:layout>
                <c:manualLayout>
                  <c:x val="-0.11905632108486439"/>
                  <c:y val="2.539226773995808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C2E-4A0C-8888-F8255E3E01A4}"/>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Hárok1!$S$83:$S$92</c:f>
              <c:strCache>
                <c:ptCount val="10"/>
                <c:pt idx="0">
                  <c:v>ISCO 0</c:v>
                </c:pt>
                <c:pt idx="1">
                  <c:v>ISCO 1</c:v>
                </c:pt>
                <c:pt idx="2">
                  <c:v>ISCO 2</c:v>
                </c:pt>
                <c:pt idx="3">
                  <c:v>ISCO 3</c:v>
                </c:pt>
                <c:pt idx="4">
                  <c:v>ISCO 4</c:v>
                </c:pt>
                <c:pt idx="5">
                  <c:v>ISCO 5</c:v>
                </c:pt>
                <c:pt idx="6">
                  <c:v>ISCO 6</c:v>
                </c:pt>
                <c:pt idx="7">
                  <c:v>ISCO 7</c:v>
                </c:pt>
                <c:pt idx="8">
                  <c:v>ISCO 8</c:v>
                </c:pt>
                <c:pt idx="9">
                  <c:v>ISCO 9</c:v>
                </c:pt>
              </c:strCache>
            </c:strRef>
          </c:cat>
          <c:val>
            <c:numRef>
              <c:f>Hárok1!$T$83:$T$92</c:f>
              <c:numCache>
                <c:formatCode>0.00%</c:formatCode>
                <c:ptCount val="10"/>
                <c:pt idx="0">
                  <c:v>9.0000000000000052E-4</c:v>
                </c:pt>
                <c:pt idx="1">
                  <c:v>1.6500000000000008E-2</c:v>
                </c:pt>
                <c:pt idx="2">
                  <c:v>6.370000000000002E-2</c:v>
                </c:pt>
                <c:pt idx="3">
                  <c:v>7.3800000000000004E-2</c:v>
                </c:pt>
                <c:pt idx="4">
                  <c:v>7.6499999999999999E-2</c:v>
                </c:pt>
                <c:pt idx="5">
                  <c:v>0.15120000000000006</c:v>
                </c:pt>
                <c:pt idx="6">
                  <c:v>4.6000000000000017E-3</c:v>
                </c:pt>
                <c:pt idx="7">
                  <c:v>0.1958</c:v>
                </c:pt>
                <c:pt idx="8">
                  <c:v>0.2788000000000001</c:v>
                </c:pt>
                <c:pt idx="9">
                  <c:v>0.1381</c:v>
                </c:pt>
              </c:numCache>
            </c:numRef>
          </c:val>
          <c:extLst xmlns:c16r2="http://schemas.microsoft.com/office/drawing/2015/06/chart">
            <c:ext xmlns:c16="http://schemas.microsoft.com/office/drawing/2014/chart" uri="{C3380CC4-5D6E-409C-BE32-E72D297353CC}">
              <c16:uniqueId val="{00000014-7C2E-4A0C-8888-F8255E3E01A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45605860424"/>
          <c:y val="3.4384408845446045E-2"/>
          <c:w val="0.79466676706484274"/>
          <c:h val="0.7302407457688479"/>
        </c:manualLayout>
      </c:layout>
      <c:barChart>
        <c:barDir val="col"/>
        <c:grouping val="clustered"/>
        <c:varyColors val="0"/>
        <c:ser>
          <c:idx val="0"/>
          <c:order val="0"/>
          <c:tx>
            <c:strRef>
              <c:f>'UoZ dlhodobo nezamestnaný obcan'!$A$5</c:f>
              <c:strCache>
                <c:ptCount val="1"/>
                <c:pt idx="0">
                  <c:v>2014 - počet  UoZ - dlhodobo nezamestnaný občan   </c:v>
                </c:pt>
              </c:strCache>
            </c:strRef>
          </c:tx>
          <c:spPr>
            <a:solidFill>
              <a:schemeClr val="accent2">
                <a:lumMod val="50000"/>
              </a:schemeClr>
            </a:solidFill>
            <a:ln>
              <a:solidFill>
                <a:schemeClr val="accent6">
                  <a:lumMod val="50000"/>
                </a:schemeClr>
              </a:solidFill>
            </a:ln>
          </c:spPr>
          <c:invertIfNegative val="0"/>
          <c:cat>
            <c:strRef>
              <c:f>'D:\Dokumenty\Oddelenie statistiky a ZU_Ustredie prace\Správa o soviálnej situácii obyvateľstva _SR 2015\[Vierka- graf.xlsx]Hárok2'!$B$3:$M$3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'D:\Dokumenty\Oddelenie statistiky a ZU_Ustredie prace\Správa o soviálnej situácii obyvateľstva _SR 2015\[Vierka- graf.xlsx]Hárok2'!$B$4:$M$4</c:f>
              <c:numCache>
                <c:formatCode>General</c:formatCode>
                <c:ptCount val="12"/>
                <c:pt idx="0">
                  <c:v>218277</c:v>
                </c:pt>
                <c:pt idx="1">
                  <c:v>217920</c:v>
                </c:pt>
                <c:pt idx="2">
                  <c:v>215640</c:v>
                </c:pt>
                <c:pt idx="3">
                  <c:v>214180</c:v>
                </c:pt>
                <c:pt idx="4">
                  <c:v>212530</c:v>
                </c:pt>
                <c:pt idx="5">
                  <c:v>211723</c:v>
                </c:pt>
                <c:pt idx="6">
                  <c:v>209738</c:v>
                </c:pt>
                <c:pt idx="7">
                  <c:v>212356</c:v>
                </c:pt>
                <c:pt idx="8">
                  <c:v>209370</c:v>
                </c:pt>
                <c:pt idx="9">
                  <c:v>205846</c:v>
                </c:pt>
                <c:pt idx="10">
                  <c:v>204054</c:v>
                </c:pt>
                <c:pt idx="11">
                  <c:v>205429</c:v>
                </c:pt>
              </c:numCache>
            </c:numRef>
          </c:val>
        </c:ser>
        <c:ser>
          <c:idx val="1"/>
          <c:order val="1"/>
          <c:tx>
            <c:strRef>
              <c:f>'UoZ dlhodobo nezamestnaný obcan'!$A$6</c:f>
              <c:strCache>
                <c:ptCount val="1"/>
                <c:pt idx="0">
                  <c:v>2015 - počet UoZ  -  dlhodobo nezamestnaný občan   </c:v>
                </c:pt>
              </c:strCache>
            </c:strRef>
          </c:tx>
          <c:spPr>
            <a:solidFill>
              <a:srgbClr val="C00000"/>
            </a:solidFill>
          </c:spPr>
          <c:invertIfNegative val="0"/>
          <c:cat>
            <c:strRef>
              <c:f>'D:\Dokumenty\Oddelenie statistiky a ZU_Ustredie prace\Správa o soviálnej situácii obyvateľstva _SR 2015\[Vierka- graf.xlsx]Hárok2'!$B$3:$M$3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'D:\Dokumenty\Oddelenie statistiky a ZU_Ustredie prace\Správa o soviálnej situácii obyvateľstva _SR 2015\[Vierka- graf.xlsx]Hárok2'!$B$5:$M$5</c:f>
              <c:numCache>
                <c:formatCode>General</c:formatCode>
                <c:ptCount val="12"/>
                <c:pt idx="0">
                  <c:v>205185</c:v>
                </c:pt>
                <c:pt idx="1">
                  <c:v>204662</c:v>
                </c:pt>
                <c:pt idx="2">
                  <c:v>203360</c:v>
                </c:pt>
                <c:pt idx="3">
                  <c:v>197129</c:v>
                </c:pt>
                <c:pt idx="4">
                  <c:v>193173</c:v>
                </c:pt>
                <c:pt idx="5">
                  <c:v>191843</c:v>
                </c:pt>
                <c:pt idx="6">
                  <c:v>188497</c:v>
                </c:pt>
                <c:pt idx="7">
                  <c:v>188991</c:v>
                </c:pt>
                <c:pt idx="8">
                  <c:v>186993</c:v>
                </c:pt>
                <c:pt idx="9">
                  <c:v>181348</c:v>
                </c:pt>
                <c:pt idx="10">
                  <c:v>176506</c:v>
                </c:pt>
                <c:pt idx="11">
                  <c:v>174977</c:v>
                </c:pt>
              </c:numCache>
            </c:numRef>
          </c:val>
        </c:ser>
        <c:dLbls>
          <c:showLegendKey val="0"/>
          <c:showVal val="0"/>
          <c:showCatName val="0"/>
          <c:showSerName val="0"/>
          <c:showPercent val="0"/>
          <c:showBubbleSize val="0"/>
        </c:dLbls>
        <c:gapWidth val="150"/>
        <c:axId val="216265472"/>
        <c:axId val="216267392"/>
      </c:barChart>
      <c:lineChart>
        <c:grouping val="standard"/>
        <c:varyColors val="0"/>
        <c:ser>
          <c:idx val="2"/>
          <c:order val="2"/>
          <c:tx>
            <c:strRef>
              <c:f>'UoZ dlhodobo nezamestnaný obcan'!$A$7</c:f>
              <c:strCache>
                <c:ptCount val="1"/>
                <c:pt idx="0">
                  <c:v>2014 - podiel UoZ  -  dlhodobo nezamestnaný občan   </c:v>
                </c:pt>
              </c:strCache>
            </c:strRef>
          </c:tx>
          <c:spPr>
            <a:ln w="25400">
              <a:solidFill>
                <a:schemeClr val="accent2">
                  <a:lumMod val="50000"/>
                </a:schemeClr>
              </a:solidFill>
            </a:ln>
          </c:spPr>
          <c:marker>
            <c:symbol val="diamond"/>
            <c:size val="9"/>
            <c:spPr>
              <a:solidFill>
                <a:schemeClr val="bg1"/>
              </a:solidFill>
              <a:ln w="19050" cap="sq">
                <a:solidFill>
                  <a:schemeClr val="accent2">
                    <a:lumMod val="50000"/>
                  </a:schemeClr>
                </a:solidFill>
              </a:ln>
            </c:spPr>
          </c:marker>
          <c:cat>
            <c:strRef>
              <c:f>'D:\Dokumenty\Oddelenie statistiky a ZU_Ustredie prace\Správa o soviálnej situácii obyvateľstva _SR 2015\[Vierka- graf.xlsx]Hárok2'!$B$3:$M$3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'D:\Dokumenty\Oddelenie statistiky a ZU_Ustredie prace\Správa o soviálnej situácii obyvateľstva _SR 2015\[Vierka- graf.xlsx]Hárok2'!$B$6:$M$6</c:f>
              <c:numCache>
                <c:formatCode>General</c:formatCode>
                <c:ptCount val="12"/>
                <c:pt idx="0">
                  <c:v>54.281017795505861</c:v>
                </c:pt>
                <c:pt idx="1">
                  <c:v>54.225681553514015</c:v>
                </c:pt>
                <c:pt idx="2">
                  <c:v>54.287843389994364</c:v>
                </c:pt>
                <c:pt idx="3">
                  <c:v>54.879673663496234</c:v>
                </c:pt>
                <c:pt idx="4">
                  <c:v>55.177373460444059</c:v>
                </c:pt>
                <c:pt idx="5">
                  <c:v>55.01799519262002</c:v>
                </c:pt>
                <c:pt idx="6">
                  <c:v>54.618986359446041</c:v>
                </c:pt>
                <c:pt idx="7">
                  <c:v>55.785093572351762</c:v>
                </c:pt>
                <c:pt idx="8">
                  <c:v>55.385958414898681</c:v>
                </c:pt>
                <c:pt idx="9">
                  <c:v>54.749480022767294</c:v>
                </c:pt>
                <c:pt idx="10">
                  <c:v>54.557267297295851</c:v>
                </c:pt>
                <c:pt idx="11">
                  <c:v>54.963692696265454</c:v>
                </c:pt>
              </c:numCache>
            </c:numRef>
          </c:val>
          <c:smooth val="0"/>
        </c:ser>
        <c:ser>
          <c:idx val="3"/>
          <c:order val="3"/>
          <c:tx>
            <c:strRef>
              <c:f>'UoZ dlhodobo nezamestnaný obcan'!$A$8</c:f>
              <c:strCache>
                <c:ptCount val="1"/>
                <c:pt idx="0">
                  <c:v>2015 - podiel  UoZ - dlhodobo nezamestnaný občan   </c:v>
                </c:pt>
              </c:strCache>
            </c:strRef>
          </c:tx>
          <c:spPr>
            <a:ln w="22225">
              <a:solidFill>
                <a:srgbClr val="FF0000"/>
              </a:solidFill>
            </a:ln>
          </c:spPr>
          <c:marker>
            <c:symbol val="square"/>
            <c:size val="7"/>
            <c:spPr>
              <a:solidFill>
                <a:schemeClr val="bg1"/>
              </a:solidFill>
              <a:ln w="15875" cap="rnd">
                <a:solidFill>
                  <a:srgbClr val="FF0000"/>
                </a:solidFill>
              </a:ln>
            </c:spPr>
          </c:marker>
          <c:cat>
            <c:strRef>
              <c:f>'D:\Dokumenty\Oddelenie statistiky a ZU_Ustredie prace\Správa o soviálnej situácii obyvateľstva _SR 2015\[Vierka- graf.xlsx]Hárok2'!$B$3:$M$3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'D:\Dokumenty\Oddelenie statistiky a ZU_Ustredie prace\Správa o soviálnej situácii obyvateľstva _SR 2015\[Vierka- graf.xlsx]Hárok2'!$B$7:$M$7</c:f>
              <c:numCache>
                <c:formatCode>General</c:formatCode>
                <c:ptCount val="12"/>
                <c:pt idx="0">
                  <c:v>54.030603780838803</c:v>
                </c:pt>
                <c:pt idx="1">
                  <c:v>54.392324660483162</c:v>
                </c:pt>
                <c:pt idx="2">
                  <c:v>55.043239366093303</c:v>
                </c:pt>
                <c:pt idx="3">
                  <c:v>54.761554210407894</c:v>
                </c:pt>
                <c:pt idx="4">
                  <c:v>54.856563545387935</c:v>
                </c:pt>
                <c:pt idx="5">
                  <c:v>54.216830015487048</c:v>
                </c:pt>
                <c:pt idx="6">
                  <c:v>53.577529482321971</c:v>
                </c:pt>
                <c:pt idx="7">
                  <c:v>54.46881727867747</c:v>
                </c:pt>
                <c:pt idx="8">
                  <c:v>53.558631711906791</c:v>
                </c:pt>
                <c:pt idx="9">
                  <c:v>52.686963064971138</c:v>
                </c:pt>
                <c:pt idx="10">
                  <c:v>52.370850159184165</c:v>
                </c:pt>
                <c:pt idx="11">
                  <c:v>52.328944102350903</c:v>
                </c:pt>
              </c:numCache>
            </c:numRef>
          </c:val>
          <c:smooth val="0"/>
        </c:ser>
        <c:dLbls>
          <c:showLegendKey val="0"/>
          <c:showVal val="0"/>
          <c:showCatName val="0"/>
          <c:showSerName val="0"/>
          <c:showPercent val="0"/>
          <c:showBubbleSize val="0"/>
        </c:dLbls>
        <c:marker val="1"/>
        <c:smooth val="0"/>
        <c:axId val="216741760"/>
        <c:axId val="216740224"/>
      </c:lineChart>
      <c:catAx>
        <c:axId val="216265472"/>
        <c:scaling>
          <c:orientation val="minMax"/>
        </c:scaling>
        <c:delete val="0"/>
        <c:axPos val="b"/>
        <c:majorTickMark val="out"/>
        <c:minorTickMark val="none"/>
        <c:tickLblPos val="nextTo"/>
        <c:crossAx val="216267392"/>
        <c:crosses val="autoZero"/>
        <c:auto val="1"/>
        <c:lblAlgn val="ctr"/>
        <c:lblOffset val="100"/>
        <c:noMultiLvlLbl val="0"/>
      </c:catAx>
      <c:valAx>
        <c:axId val="216267392"/>
        <c:scaling>
          <c:orientation val="minMax"/>
          <c:min val="170000"/>
        </c:scaling>
        <c:delete val="0"/>
        <c:axPos val="l"/>
        <c:majorGridlines>
          <c:spPr>
            <a:ln>
              <a:solidFill>
                <a:schemeClr val="bg1">
                  <a:lumMod val="75000"/>
                </a:schemeClr>
              </a:solidFill>
            </a:ln>
          </c:spPr>
        </c:majorGridlines>
        <c:numFmt formatCode="#,##0" sourceLinked="0"/>
        <c:majorTickMark val="out"/>
        <c:minorTickMark val="none"/>
        <c:tickLblPos val="nextTo"/>
        <c:crossAx val="216265472"/>
        <c:crosses val="autoZero"/>
        <c:crossBetween val="between"/>
        <c:majorUnit val="10000"/>
      </c:valAx>
      <c:valAx>
        <c:axId val="216740224"/>
        <c:scaling>
          <c:orientation val="minMax"/>
          <c:min val="44"/>
        </c:scaling>
        <c:delete val="0"/>
        <c:axPos val="r"/>
        <c:numFmt formatCode="#,##0.00" sourceLinked="0"/>
        <c:majorTickMark val="out"/>
        <c:minorTickMark val="none"/>
        <c:tickLblPos val="nextTo"/>
        <c:crossAx val="216741760"/>
        <c:crosses val="max"/>
        <c:crossBetween val="between"/>
      </c:valAx>
      <c:catAx>
        <c:axId val="216741760"/>
        <c:scaling>
          <c:orientation val="minMax"/>
        </c:scaling>
        <c:delete val="1"/>
        <c:axPos val="b"/>
        <c:majorTickMark val="out"/>
        <c:minorTickMark val="none"/>
        <c:tickLblPos val="nextTo"/>
        <c:crossAx val="216740224"/>
        <c:crossesAt val="44"/>
        <c:auto val="1"/>
        <c:lblAlgn val="ctr"/>
        <c:lblOffset val="100"/>
        <c:noMultiLvlLbl val="0"/>
      </c:catAx>
    </c:plotArea>
    <c:legend>
      <c:legendPos val="b"/>
      <c:layout>
        <c:manualLayout>
          <c:xMode val="edge"/>
          <c:yMode val="edge"/>
          <c:x val="0"/>
          <c:y val="0.86981083948750226"/>
          <c:w val="1"/>
          <c:h val="0.13017249889284455"/>
        </c:manualLayout>
      </c:layout>
      <c:overlay val="0"/>
      <c:txPr>
        <a:bodyPr/>
        <a:lstStyle/>
        <a:p>
          <a:pPr>
            <a:defRPr sz="900"/>
          </a:pPr>
          <a:endParaRPr lang="sk-SK"/>
        </a:p>
      </c:txPr>
    </c:legend>
    <c:plotVisOnly val="1"/>
    <c:dispBlanksAs val="zero"/>
    <c:showDLblsOverMax val="0"/>
  </c:chart>
  <c:spPr>
    <a:solidFill>
      <a:schemeClr val="bg1"/>
    </a:solidFill>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18197573656837"/>
          <c:y val="4.6979865771811416E-2"/>
          <c:w val="0.83015597920277295"/>
          <c:h val="0.70134228187919467"/>
        </c:manualLayout>
      </c:layout>
      <c:lineChart>
        <c:grouping val="standard"/>
        <c:varyColors val="0"/>
        <c:ser>
          <c:idx val="0"/>
          <c:order val="0"/>
          <c:tx>
            <c:strRef>
              <c:f>mzdy!$E$20</c:f>
              <c:strCache>
                <c:ptCount val="1"/>
                <c:pt idx="0">
                  <c:v>priemerná mesačná mzda nominálna</c:v>
                </c:pt>
              </c:strCache>
            </c:strRef>
          </c:tx>
          <c:dLbls>
            <c:dLbl>
              <c:idx val="0"/>
              <c:layout>
                <c:manualLayout>
                  <c:x val="-3.8812778410675548E-2"/>
                  <c:y val="-4.92170022371370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FB-4E61-8968-45B80DC2EF88}"/>
                </c:ext>
              </c:extLst>
            </c:dLbl>
            <c:dLbl>
              <c:idx val="1"/>
              <c:layout>
                <c:manualLayout>
                  <c:x val="-5.2511406085031534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FB-4E61-8968-45B80DC2EF88}"/>
                </c:ext>
              </c:extLst>
            </c:dLbl>
            <c:dLbl>
              <c:idx val="2"/>
              <c:layout>
                <c:manualLayout>
                  <c:x val="-5.4794510697424123E-2"/>
                  <c:y val="-2.6845637583893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FB-4E61-8968-45B80DC2EF88}"/>
                </c:ext>
              </c:extLst>
            </c:dLbl>
            <c:dLbl>
              <c:idx val="3"/>
              <c:layout>
                <c:manualLayout>
                  <c:x val="-5.0228301472638417E-2"/>
                  <c:y val="-4.4742729306487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FB-4E61-8968-45B80DC2EF88}"/>
                </c:ext>
              </c:extLst>
            </c:dLbl>
            <c:dLbl>
              <c:idx val="4"/>
              <c:layout>
                <c:manualLayout>
                  <c:x val="-4.5662092247853114E-2"/>
                  <c:y val="-5.81655480984339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FB-4E61-8968-45B80DC2EF88}"/>
                </c:ext>
              </c:extLst>
            </c:dLbl>
            <c:dLbl>
              <c:idx val="5"/>
              <c:layout>
                <c:manualLayout>
                  <c:x val="-4.3378987635460463E-2"/>
                  <c:y val="-3.1319910514541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FB-4E61-8968-45B80DC2EF88}"/>
                </c:ext>
              </c:extLst>
            </c:dLbl>
            <c:dLbl>
              <c:idx val="6"/>
              <c:layout>
                <c:manualLayout>
                  <c:x val="-3.6529673798282494E-2"/>
                  <c:y val="-4.9217002237137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FB-4E61-8968-45B80DC2EF88}"/>
                </c:ext>
              </c:extLst>
            </c:dLbl>
            <c:dLbl>
              <c:idx val="7"/>
              <c:layout>
                <c:manualLayout>
                  <c:x val="-3.8812778410675638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FB-4E61-8968-45B80DC2EF88}"/>
                </c:ext>
              </c:extLst>
            </c:dLbl>
            <c:dLbl>
              <c:idx val="8"/>
              <c:layout>
                <c:manualLayout>
                  <c:x val="-4.1095883023067797E-2"/>
                  <c:y val="-4.4742729306487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7FB-4E61-8968-45B80DC2EF88}"/>
                </c:ext>
              </c:extLst>
            </c:dLbl>
            <c:dLbl>
              <c:idx val="9"/>
              <c:layout>
                <c:manualLayout>
                  <c:x val="-3.6529673798282494E-2"/>
                  <c:y val="-2.6845637583893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FB-4E61-8968-45B80DC2EF88}"/>
                </c:ext>
              </c:extLst>
            </c:dLbl>
            <c:dLbl>
              <c:idx val="10"/>
              <c:layout>
                <c:manualLayout>
                  <c:x val="-2.9680359961104592E-2"/>
                  <c:y val="-4.02684563758388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FB-4E61-8968-45B80DC2EF88}"/>
                </c:ext>
              </c:extLst>
            </c:dLbl>
            <c:dLbl>
              <c:idx val="11"/>
              <c:layout>
                <c:manualLayout>
                  <c:x val="-4.1095883023067797E-2"/>
                  <c:y val="-3.57941834451901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FB-4E61-8968-45B80DC2EF88}"/>
                </c:ext>
              </c:extLst>
            </c:dLbl>
            <c:dLbl>
              <c:idx val="12"/>
              <c:layout>
                <c:manualLayout>
                  <c:x val="-4.935563966907331E-2"/>
                  <c:y val="-4.9217466976310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7FB-4E61-8968-45B80DC2EF88}"/>
                </c:ext>
              </c:extLst>
            </c:dLbl>
            <c:dLbl>
              <c:idx val="13"/>
              <c:layout>
                <c:manualLayout>
                  <c:x val="-4.4075437019237218E-2"/>
                  <c:y val="-4.818979918275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7FB-4E61-8968-45B80DC2EF88}"/>
                </c:ext>
              </c:extLst>
            </c:dLbl>
            <c:dLbl>
              <c:idx val="14"/>
              <c:layout>
                <c:manualLayout>
                  <c:x val="-5.0686752572122767E-2"/>
                  <c:y val="-5.68782945744445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7FB-4E61-8968-45B80DC2EF88}"/>
                </c:ext>
              </c:extLst>
            </c:dLbl>
            <c:dLbl>
              <c:idx val="15"/>
              <c:layout>
                <c:manualLayout>
                  <c:x val="-1.1018859254809305E-2"/>
                  <c:y val="-5.2503041145641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7FB-4E61-8968-45B80DC2EF88}"/>
                </c:ext>
              </c:extLst>
            </c:dLbl>
            <c:spPr>
              <a:noFill/>
              <a:ln>
                <a:noFill/>
              </a:ln>
              <a:effectLst/>
            </c:spPr>
            <c:txPr>
              <a:bodyPr/>
              <a:lstStyle/>
              <a:p>
                <a:pPr>
                  <a:defRPr>
                    <a:solidFill>
                      <a:srgbClr val="C0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mzdy!$D$21:$D$36</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mzdy!$E$21:$E$36</c:f>
              <c:numCache>
                <c:formatCode>0.0</c:formatCode>
                <c:ptCount val="16"/>
                <c:pt idx="0">
                  <c:v>106.5</c:v>
                </c:pt>
                <c:pt idx="1">
                  <c:v>108.2</c:v>
                </c:pt>
                <c:pt idx="2">
                  <c:v>109.3</c:v>
                </c:pt>
                <c:pt idx="3">
                  <c:v>106.3</c:v>
                </c:pt>
                <c:pt idx="4">
                  <c:v>110.2</c:v>
                </c:pt>
                <c:pt idx="5">
                  <c:v>109.2</c:v>
                </c:pt>
                <c:pt idx="6">
                  <c:v>108</c:v>
                </c:pt>
                <c:pt idx="7">
                  <c:v>107.2</c:v>
                </c:pt>
                <c:pt idx="8">
                  <c:v>108.1</c:v>
                </c:pt>
                <c:pt idx="9">
                  <c:v>103</c:v>
                </c:pt>
                <c:pt idx="10">
                  <c:v>103.2</c:v>
                </c:pt>
                <c:pt idx="11">
                  <c:v>102.2</c:v>
                </c:pt>
                <c:pt idx="12">
                  <c:v>102.4</c:v>
                </c:pt>
                <c:pt idx="13">
                  <c:v>102.4</c:v>
                </c:pt>
                <c:pt idx="14">
                  <c:v>104.1</c:v>
                </c:pt>
                <c:pt idx="15">
                  <c:v>102.9</c:v>
                </c:pt>
              </c:numCache>
            </c:numRef>
          </c:val>
          <c:smooth val="0"/>
          <c:extLst xmlns:c16r2="http://schemas.microsoft.com/office/drawing/2015/06/chart">
            <c:ext xmlns:c16="http://schemas.microsoft.com/office/drawing/2014/chart" uri="{C3380CC4-5D6E-409C-BE32-E72D297353CC}">
              <c16:uniqueId val="{00000010-E7FB-4E61-8968-45B80DC2EF88}"/>
            </c:ext>
          </c:extLst>
        </c:ser>
        <c:ser>
          <c:idx val="1"/>
          <c:order val="1"/>
          <c:tx>
            <c:strRef>
              <c:f>mzdy!$F$20</c:f>
              <c:strCache>
                <c:ptCount val="1"/>
                <c:pt idx="0">
                  <c:v>priemerná mesačná mzda reálna</c:v>
                </c:pt>
              </c:strCache>
            </c:strRef>
          </c:tx>
          <c:dLbls>
            <c:dLbl>
              <c:idx val="0"/>
              <c:layout>
                <c:manualLayout>
                  <c:x val="-3.6529673798282494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7FB-4E61-8968-45B80DC2EF88}"/>
                </c:ext>
              </c:extLst>
            </c:dLbl>
            <c:dLbl>
              <c:idx val="1"/>
              <c:layout>
                <c:manualLayout>
                  <c:x val="-4.7945196860245773E-2"/>
                  <c:y val="-4.9217002237137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7FB-4E61-8968-45B80DC2EF88}"/>
                </c:ext>
              </c:extLst>
            </c:dLbl>
            <c:dLbl>
              <c:idx val="2"/>
              <c:layout>
                <c:manualLayout>
                  <c:x val="-5.4794510697424123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7FB-4E61-8968-45B80DC2EF88}"/>
                </c:ext>
              </c:extLst>
            </c:dLbl>
            <c:dLbl>
              <c:idx val="3"/>
              <c:layout>
                <c:manualLayout>
                  <c:x val="-5.2511406085031534E-2"/>
                  <c:y val="-3.57941834451901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7FB-4E61-8968-45B80DC2EF88}"/>
                </c:ext>
              </c:extLst>
            </c:dLbl>
            <c:dLbl>
              <c:idx val="4"/>
              <c:layout>
                <c:manualLayout>
                  <c:x val="-3.4246569185889836E-2"/>
                  <c:y val="-6.7114093959732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7FB-4E61-8968-45B80DC2EF88}"/>
                </c:ext>
              </c:extLst>
            </c:dLbl>
            <c:dLbl>
              <c:idx val="5"/>
              <c:layout>
                <c:manualLayout>
                  <c:x val="-5.4794510697424123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7FB-4E61-8968-45B80DC2EF88}"/>
                </c:ext>
              </c:extLst>
            </c:dLbl>
            <c:dLbl>
              <c:idx val="6"/>
              <c:layout>
                <c:manualLayout>
                  <c:x val="-3.8812778410675548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7FB-4E61-8968-45B80DC2EF88}"/>
                </c:ext>
              </c:extLst>
            </c:dLbl>
            <c:dLbl>
              <c:idx val="7"/>
              <c:layout>
                <c:manualLayout>
                  <c:x val="-3.8812778410675638E-2"/>
                  <c:y val="-4.4742729306487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7FB-4E61-8968-45B80DC2EF88}"/>
                </c:ext>
              </c:extLst>
            </c:dLbl>
            <c:dLbl>
              <c:idx val="8"/>
              <c:layout>
                <c:manualLayout>
                  <c:x val="-4.7945196860245773E-2"/>
                  <c:y val="-4.02684563758388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7FB-4E61-8968-45B80DC2EF88}"/>
                </c:ext>
              </c:extLst>
            </c:dLbl>
            <c:dLbl>
              <c:idx val="9"/>
              <c:layout>
                <c:manualLayout>
                  <c:x val="-3.4246569185889836E-2"/>
                  <c:y val="-4.0268456375838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7FB-4E61-8968-45B80DC2EF88}"/>
                </c:ext>
              </c:extLst>
            </c:dLbl>
            <c:dLbl>
              <c:idx val="10"/>
              <c:layout>
                <c:manualLayout>
                  <c:x val="-4.1095883023067797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7FB-4E61-8968-45B80DC2EF88}"/>
                </c:ext>
              </c:extLst>
            </c:dLbl>
            <c:dLbl>
              <c:idx val="11"/>
              <c:layout>
                <c:manualLayout>
                  <c:x val="-5.2511406085031534E-2"/>
                  <c:y val="4.9217002237137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7FB-4E61-8968-45B80DC2EF88}"/>
                </c:ext>
              </c:extLst>
            </c:dLbl>
            <c:dLbl>
              <c:idx val="12"/>
              <c:layout>
                <c:manualLayout>
                  <c:x val="-3.8812778410675548E-2"/>
                  <c:y val="5.3691275167785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7FB-4E61-8968-45B80DC2EF88}"/>
                </c:ext>
              </c:extLst>
            </c:dLbl>
            <c:dLbl>
              <c:idx val="14"/>
              <c:layout>
                <c:manualLayout>
                  <c:x val="-3.3041307534279515E-2"/>
                  <c:y val="8.39125376504337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7FB-4E61-8968-45B80DC2EF88}"/>
                </c:ext>
              </c:extLst>
            </c:dLbl>
            <c:dLbl>
              <c:idx val="15"/>
              <c:layout>
                <c:manualLayout>
                  <c:x val="-6.6021126760563362E-3"/>
                  <c:y val="8.300567933595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7FB-4E61-8968-45B80DC2EF8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mzdy!$D$21:$D$36</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mzdy!$F$21:$F$36</c:f>
              <c:numCache>
                <c:formatCode>0.0</c:formatCode>
                <c:ptCount val="16"/>
                <c:pt idx="0">
                  <c:v>95.1</c:v>
                </c:pt>
                <c:pt idx="1">
                  <c:v>101</c:v>
                </c:pt>
                <c:pt idx="2">
                  <c:v>105.8</c:v>
                </c:pt>
                <c:pt idx="3">
                  <c:v>98</c:v>
                </c:pt>
                <c:pt idx="4">
                  <c:v>102.5</c:v>
                </c:pt>
                <c:pt idx="5">
                  <c:v>106.3</c:v>
                </c:pt>
                <c:pt idx="6">
                  <c:v>103.3</c:v>
                </c:pt>
                <c:pt idx="7">
                  <c:v>104.3</c:v>
                </c:pt>
                <c:pt idx="8">
                  <c:v>103.3</c:v>
                </c:pt>
                <c:pt idx="9">
                  <c:v>101.4</c:v>
                </c:pt>
                <c:pt idx="10">
                  <c:v>102.2</c:v>
                </c:pt>
                <c:pt idx="11">
                  <c:v>98.4</c:v>
                </c:pt>
                <c:pt idx="12">
                  <c:v>98.8</c:v>
                </c:pt>
                <c:pt idx="13">
                  <c:v>101</c:v>
                </c:pt>
                <c:pt idx="14">
                  <c:v>104.2</c:v>
                </c:pt>
                <c:pt idx="15">
                  <c:v>103.2</c:v>
                </c:pt>
              </c:numCache>
            </c:numRef>
          </c:val>
          <c:smooth val="0"/>
          <c:extLst xmlns:c16r2="http://schemas.microsoft.com/office/drawing/2015/06/chart">
            <c:ext xmlns:c16="http://schemas.microsoft.com/office/drawing/2014/chart" uri="{C3380CC4-5D6E-409C-BE32-E72D297353CC}">
              <c16:uniqueId val="{00000020-E7FB-4E61-8968-45B80DC2EF88}"/>
            </c:ext>
          </c:extLst>
        </c:ser>
        <c:dLbls>
          <c:showLegendKey val="0"/>
          <c:showVal val="0"/>
          <c:showCatName val="0"/>
          <c:showSerName val="0"/>
          <c:showPercent val="0"/>
          <c:showBubbleSize val="0"/>
        </c:dLbls>
        <c:marker val="1"/>
        <c:smooth val="0"/>
        <c:axId val="216793088"/>
        <c:axId val="216794624"/>
      </c:lineChart>
      <c:catAx>
        <c:axId val="21679308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16794624"/>
        <c:crossesAt val="94"/>
        <c:auto val="0"/>
        <c:lblAlgn val="ctr"/>
        <c:lblOffset val="100"/>
        <c:noMultiLvlLbl val="0"/>
      </c:catAx>
      <c:valAx>
        <c:axId val="216794624"/>
        <c:scaling>
          <c:orientation val="minMax"/>
          <c:max val="111"/>
          <c:min val="94"/>
        </c:scaling>
        <c:delete val="0"/>
        <c:axPos val="l"/>
        <c:majorGridlines/>
        <c:title>
          <c:tx>
            <c:rich>
              <a:bodyPr/>
              <a:lstStyle/>
              <a:p>
                <a:pPr>
                  <a:defRPr/>
                </a:pPr>
                <a:r>
                  <a:rPr lang="sk-SK"/>
                  <a:t>predchádzajúci rok = 100</a:t>
                </a:r>
              </a:p>
            </c:rich>
          </c:tx>
          <c:layout>
            <c:manualLayout>
              <c:xMode val="edge"/>
              <c:yMode val="edge"/>
              <c:x val="2.7729636048526862E-2"/>
              <c:y val="0.18456411069421691"/>
            </c:manualLayout>
          </c:layout>
          <c:overlay val="0"/>
        </c:title>
        <c:numFmt formatCode="#,##0.0" sourceLinked="0"/>
        <c:majorTickMark val="out"/>
        <c:minorTickMark val="none"/>
        <c:tickLblPos val="nextTo"/>
        <c:crossAx val="216793088"/>
        <c:crosses val="autoZero"/>
        <c:crossBetween val="between"/>
        <c:majorUnit val="2"/>
      </c:valAx>
    </c:plotArea>
    <c:legend>
      <c:legendPos val="r"/>
      <c:layout>
        <c:manualLayout>
          <c:xMode val="edge"/>
          <c:yMode val="edge"/>
          <c:x val="0.12824974867743114"/>
          <c:y val="0.89933026828022256"/>
          <c:w val="0.83015670701474276"/>
          <c:h val="7.0469798657718324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8531468531469"/>
          <c:y val="2.9411764705882353E-2"/>
          <c:w val="0.83391608391608396"/>
          <c:h val="0.62032085561497419"/>
        </c:manualLayout>
      </c:layout>
      <c:barChart>
        <c:barDir val="col"/>
        <c:grouping val="clustered"/>
        <c:varyColors val="0"/>
        <c:ser>
          <c:idx val="1"/>
          <c:order val="0"/>
          <c:tx>
            <c:strRef>
              <c:f>'rast nom.mzdy-kraje_2011,2012'!$B$3</c:f>
              <c:strCache>
                <c:ptCount val="1"/>
                <c:pt idx="0">
                  <c:v>2014</c:v>
                </c:pt>
              </c:strCache>
            </c:strRef>
          </c:tx>
          <c:invertIfNegative val="0"/>
          <c:dLbls>
            <c:dLbl>
              <c:idx val="0"/>
              <c:layout>
                <c:manualLayout>
                  <c:x val="-1.9204903864346503E-2"/>
                  <c:y val="6.021774291131130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F8-4771-8604-8DB49390ACB1}"/>
                </c:ext>
              </c:extLst>
            </c:dLbl>
            <c:dLbl>
              <c:idx val="1"/>
              <c:layout>
                <c:manualLayout>
                  <c:x val="-1.5994687602753195E-2"/>
                  <c:y val="4.73173499476544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F8-4771-8604-8DB49390ACB1}"/>
                </c:ext>
              </c:extLst>
            </c:dLbl>
            <c:dLbl>
              <c:idx val="2"/>
              <c:layout>
                <c:manualLayout>
                  <c:x val="-8.1091209011236506E-3"/>
                  <c:y val="1.25036953519561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F8-4771-8604-8DB49390ACB1}"/>
                </c:ext>
              </c:extLst>
            </c:dLbl>
            <c:dLbl>
              <c:idx val="3"/>
              <c:layout>
                <c:manualLayout>
                  <c:x val="-1.5617198794240127E-2"/>
                  <c:y val="2.676375323667912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F8-4771-8604-8DB49390ACB1}"/>
                </c:ext>
              </c:extLst>
            </c:dLbl>
            <c:dLbl>
              <c:idx val="4"/>
              <c:layout>
                <c:manualLayout>
                  <c:x val="-2.2943604457858112E-2"/>
                  <c:y val="7.626813389569129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F8-4771-8604-8DB49390ACB1}"/>
                </c:ext>
              </c:extLst>
            </c:dLbl>
            <c:dLbl>
              <c:idx val="5"/>
              <c:layout>
                <c:manualLayout>
                  <c:x val="-1.0196938469939579E-2"/>
                  <c:y val="2.0679349387896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F8-4771-8604-8DB49390ACB1}"/>
                </c:ext>
              </c:extLst>
            </c:dLbl>
            <c:dLbl>
              <c:idx val="6"/>
              <c:layout>
                <c:manualLayout>
                  <c:x val="-1.1175641635399599E-2"/>
                  <c:y val="2.0679349387896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F8-4771-8604-8DB49390ACB1}"/>
                </c:ext>
              </c:extLst>
            </c:dLbl>
            <c:dLbl>
              <c:idx val="7"/>
              <c:layout>
                <c:manualLayout>
                  <c:x val="-1.1035776568197441E-2"/>
                  <c:y val="-4.623254210012069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F8-4771-8604-8DB49390ACB1}"/>
                </c:ext>
              </c:extLst>
            </c:dLbl>
            <c:spPr>
              <a:noFill/>
              <a:ln w="25400">
                <a:noFill/>
              </a:ln>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'rast nom.mzdy-kraje_2011,2012'!$A$4:$A$11</c:f>
              <c:strCache>
                <c:ptCount val="8"/>
                <c:pt idx="0">
                  <c:v>Žilinský</c:v>
                </c:pt>
                <c:pt idx="1">
                  <c:v>Nitriansky</c:v>
                </c:pt>
                <c:pt idx="2">
                  <c:v>Trenčiansky</c:v>
                </c:pt>
                <c:pt idx="3">
                  <c:v>Prešovský</c:v>
                </c:pt>
                <c:pt idx="4">
                  <c:v>Košický</c:v>
                </c:pt>
                <c:pt idx="5">
                  <c:v>Trnavský</c:v>
                </c:pt>
                <c:pt idx="6">
                  <c:v>Banskobystrický</c:v>
                </c:pt>
                <c:pt idx="7">
                  <c:v>Bratislavský</c:v>
                </c:pt>
              </c:strCache>
            </c:strRef>
          </c:cat>
          <c:val>
            <c:numRef>
              <c:f>'rast nom.mzdy-kraje_2011,2012'!$B$4:$B$11</c:f>
              <c:numCache>
                <c:formatCode>0.0__</c:formatCode>
                <c:ptCount val="8"/>
                <c:pt idx="0">
                  <c:v>102.5</c:v>
                </c:pt>
                <c:pt idx="1">
                  <c:v>103.7</c:v>
                </c:pt>
                <c:pt idx="2">
                  <c:v>103.9</c:v>
                </c:pt>
                <c:pt idx="3">
                  <c:v>103.3</c:v>
                </c:pt>
                <c:pt idx="4">
                  <c:v>102.2</c:v>
                </c:pt>
                <c:pt idx="5">
                  <c:v>103.6</c:v>
                </c:pt>
                <c:pt idx="6">
                  <c:v>103.4</c:v>
                </c:pt>
                <c:pt idx="7">
                  <c:v>105.5</c:v>
                </c:pt>
              </c:numCache>
            </c:numRef>
          </c:val>
          <c:extLst xmlns:c16r2="http://schemas.microsoft.com/office/drawing/2015/06/chart">
            <c:ext xmlns:c16="http://schemas.microsoft.com/office/drawing/2014/chart" uri="{C3380CC4-5D6E-409C-BE32-E72D297353CC}">
              <c16:uniqueId val="{00000008-61F8-4771-8604-8DB49390ACB1}"/>
            </c:ext>
          </c:extLst>
        </c:ser>
        <c:ser>
          <c:idx val="0"/>
          <c:order val="1"/>
          <c:tx>
            <c:strRef>
              <c:f>'rast nom.mzdy-kraje_2011,2012'!$C$3</c:f>
              <c:strCache>
                <c:ptCount val="1"/>
                <c:pt idx="0">
                  <c:v>2015</c:v>
                </c:pt>
              </c:strCache>
            </c:strRef>
          </c:tx>
          <c:invertIfNegative val="0"/>
          <c:dLbls>
            <c:dLbl>
              <c:idx val="0"/>
              <c:layout>
                <c:manualLayout>
                  <c:x val="1.4579410091221112E-2"/>
                  <c:y val="1.609670350839171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F8-4771-8604-8DB49390ACB1}"/>
                </c:ext>
              </c:extLst>
            </c:dLbl>
            <c:dLbl>
              <c:idx val="1"/>
              <c:layout>
                <c:manualLayout>
                  <c:x val="1.6490832002643025E-2"/>
                  <c:y val="7.20974098421185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F8-4771-8604-8DB49390ACB1}"/>
                </c:ext>
              </c:extLst>
            </c:dLbl>
            <c:dLbl>
              <c:idx val="2"/>
              <c:layout>
                <c:manualLayout>
                  <c:x val="1.2344033918837089E-2"/>
                  <c:y val="1.915769703099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F8-4771-8604-8DB49390ACB1}"/>
                </c:ext>
              </c:extLst>
            </c:dLbl>
            <c:dLbl>
              <c:idx val="3"/>
              <c:layout>
                <c:manualLayout>
                  <c:x val="3.0661100248375603E-3"/>
                  <c:y val="-6.0923041554113658E-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1F8-4771-8604-8DB49390ACB1}"/>
                </c:ext>
              </c:extLst>
            </c:dLbl>
            <c:dLbl>
              <c:idx val="4"/>
              <c:layout>
                <c:manualLayout>
                  <c:x val="9.9173844880128693E-3"/>
                  <c:y val="5.26130164328291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F8-4771-8604-8DB49390ACB1}"/>
                </c:ext>
              </c:extLst>
            </c:dLbl>
            <c:dLbl>
              <c:idx val="5"/>
              <c:layout>
                <c:manualLayout>
                  <c:x val="1.1558688947384857E-2"/>
                  <c:y val="3.284195797363605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1F8-4771-8604-8DB49390ACB1}"/>
                </c:ext>
              </c:extLst>
            </c:dLbl>
            <c:dLbl>
              <c:idx val="6"/>
              <c:layout>
                <c:manualLayout>
                  <c:x val="1.4686427118942963E-2"/>
                  <c:y val="1.764223490394330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1F8-4771-8604-8DB49390ACB1}"/>
                </c:ext>
              </c:extLst>
            </c:dLbl>
            <c:dLbl>
              <c:idx val="7"/>
              <c:layout>
                <c:manualLayout>
                  <c:x val="2.5835848394616348E-2"/>
                  <c:y val="2.372043964090021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1F8-4771-8604-8DB49390ACB1}"/>
                </c:ext>
              </c:extLst>
            </c:dLbl>
            <c:spPr>
              <a:noFill/>
              <a:ln w="25400">
                <a:noFill/>
              </a:ln>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'rast nom.mzdy-kraje_2011,2012'!$A$4:$A$11</c:f>
              <c:strCache>
                <c:ptCount val="8"/>
                <c:pt idx="0">
                  <c:v>Žilinský</c:v>
                </c:pt>
                <c:pt idx="1">
                  <c:v>Nitriansky</c:v>
                </c:pt>
                <c:pt idx="2">
                  <c:v>Trenčiansky</c:v>
                </c:pt>
                <c:pt idx="3">
                  <c:v>Prešovský</c:v>
                </c:pt>
                <c:pt idx="4">
                  <c:v>Košický</c:v>
                </c:pt>
                <c:pt idx="5">
                  <c:v>Trnavský</c:v>
                </c:pt>
                <c:pt idx="6">
                  <c:v>Banskobystrický</c:v>
                </c:pt>
                <c:pt idx="7">
                  <c:v>Bratislavský</c:v>
                </c:pt>
              </c:strCache>
            </c:strRef>
          </c:cat>
          <c:val>
            <c:numRef>
              <c:f>'rast nom.mzdy-kraje_2011,2012'!$C$4:$C$11</c:f>
              <c:numCache>
                <c:formatCode>0.0__</c:formatCode>
                <c:ptCount val="8"/>
                <c:pt idx="0">
                  <c:v>104.8</c:v>
                </c:pt>
                <c:pt idx="1">
                  <c:v>104.4</c:v>
                </c:pt>
                <c:pt idx="2">
                  <c:v>104.2</c:v>
                </c:pt>
                <c:pt idx="3">
                  <c:v>104</c:v>
                </c:pt>
                <c:pt idx="4">
                  <c:v>103.6</c:v>
                </c:pt>
                <c:pt idx="5">
                  <c:v>103.5</c:v>
                </c:pt>
                <c:pt idx="6">
                  <c:v>102.9</c:v>
                </c:pt>
                <c:pt idx="7">
                  <c:v>101.4</c:v>
                </c:pt>
              </c:numCache>
            </c:numRef>
          </c:val>
          <c:extLst xmlns:c16r2="http://schemas.microsoft.com/office/drawing/2015/06/chart">
            <c:ext xmlns:c16="http://schemas.microsoft.com/office/drawing/2014/chart" uri="{C3380CC4-5D6E-409C-BE32-E72D297353CC}">
              <c16:uniqueId val="{00000011-61F8-4771-8604-8DB49390ACB1}"/>
            </c:ext>
          </c:extLst>
        </c:ser>
        <c:dLbls>
          <c:showLegendKey val="0"/>
          <c:showVal val="1"/>
          <c:showCatName val="0"/>
          <c:showSerName val="0"/>
          <c:showPercent val="0"/>
          <c:showBubbleSize val="0"/>
        </c:dLbls>
        <c:gapWidth val="150"/>
        <c:axId val="216958464"/>
        <c:axId val="216960000"/>
      </c:barChart>
      <c:lineChart>
        <c:grouping val="standard"/>
        <c:varyColors val="0"/>
        <c:ser>
          <c:idx val="2"/>
          <c:order val="2"/>
          <c:tx>
            <c:strRef>
              <c:f>'rast nom.mzdy-kraje_2011,2012'!$D$3</c:f>
              <c:strCache>
                <c:ptCount val="1"/>
                <c:pt idx="0">
                  <c:v>Priemer za SR 2015</c:v>
                </c:pt>
              </c:strCache>
            </c:strRef>
          </c:tx>
          <c:spPr>
            <a:ln>
              <a:solidFill>
                <a:schemeClr val="accent2">
                  <a:lumMod val="40000"/>
                  <a:lumOff val="60000"/>
                </a:schemeClr>
              </a:solidFill>
            </a:ln>
          </c:spPr>
          <c:marker>
            <c:symbol val="none"/>
          </c:marker>
          <c:dLbls>
            <c:delete val="1"/>
          </c:dLbls>
          <c:cat>
            <c:strRef>
              <c:f>'rast nom.mzdy-kraje_2011,2012'!$A$4:$A$11</c:f>
              <c:strCache>
                <c:ptCount val="8"/>
                <c:pt idx="0">
                  <c:v>Žilinský</c:v>
                </c:pt>
                <c:pt idx="1">
                  <c:v>Nitriansky</c:v>
                </c:pt>
                <c:pt idx="2">
                  <c:v>Trenčiansky</c:v>
                </c:pt>
                <c:pt idx="3">
                  <c:v>Prešovský</c:v>
                </c:pt>
                <c:pt idx="4">
                  <c:v>Košický</c:v>
                </c:pt>
                <c:pt idx="5">
                  <c:v>Trnavský</c:v>
                </c:pt>
                <c:pt idx="6">
                  <c:v>Banskobystrický</c:v>
                </c:pt>
                <c:pt idx="7">
                  <c:v>Bratislavský</c:v>
                </c:pt>
              </c:strCache>
            </c:strRef>
          </c:cat>
          <c:val>
            <c:numRef>
              <c:f>'rast nom.mzdy-kraje_2011,2012'!$D$4:$D$11</c:f>
              <c:numCache>
                <c:formatCode>0.0__</c:formatCode>
                <c:ptCount val="8"/>
                <c:pt idx="0">
                  <c:v>102.9</c:v>
                </c:pt>
                <c:pt idx="1">
                  <c:v>102.9</c:v>
                </c:pt>
                <c:pt idx="2">
                  <c:v>102.9</c:v>
                </c:pt>
                <c:pt idx="3">
                  <c:v>102.9</c:v>
                </c:pt>
                <c:pt idx="4">
                  <c:v>102.9</c:v>
                </c:pt>
                <c:pt idx="5">
                  <c:v>102.9</c:v>
                </c:pt>
                <c:pt idx="6">
                  <c:v>102.9</c:v>
                </c:pt>
                <c:pt idx="7">
                  <c:v>102.9</c:v>
                </c:pt>
              </c:numCache>
            </c:numRef>
          </c:val>
          <c:smooth val="0"/>
          <c:extLst xmlns:c16r2="http://schemas.microsoft.com/office/drawing/2015/06/chart">
            <c:ext xmlns:c16="http://schemas.microsoft.com/office/drawing/2014/chart" uri="{C3380CC4-5D6E-409C-BE32-E72D297353CC}">
              <c16:uniqueId val="{00000012-61F8-4771-8604-8DB49390ACB1}"/>
            </c:ext>
          </c:extLst>
        </c:ser>
        <c:dLbls>
          <c:showLegendKey val="0"/>
          <c:showVal val="1"/>
          <c:showCatName val="0"/>
          <c:showSerName val="0"/>
          <c:showPercent val="0"/>
          <c:showBubbleSize val="0"/>
        </c:dLbls>
        <c:marker val="1"/>
        <c:smooth val="0"/>
        <c:axId val="216990848"/>
        <c:axId val="216992384"/>
      </c:lineChart>
      <c:catAx>
        <c:axId val="2169584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3480000" vert="horz"/>
          <a:lstStyle/>
          <a:p>
            <a:pPr>
              <a:defRPr sz="900" b="0" i="0" u="none" strike="noStrike" baseline="0">
                <a:solidFill>
                  <a:srgbClr val="000000"/>
                </a:solidFill>
                <a:latin typeface="Times New Roman"/>
                <a:ea typeface="Times New Roman"/>
                <a:cs typeface="Times New Roman"/>
              </a:defRPr>
            </a:pPr>
            <a:endParaRPr lang="sk-SK"/>
          </a:p>
        </c:txPr>
        <c:crossAx val="216960000"/>
        <c:crossesAt val="100"/>
        <c:auto val="0"/>
        <c:lblAlgn val="ctr"/>
        <c:lblOffset val="100"/>
        <c:tickLblSkip val="1"/>
        <c:tickMarkSkip val="1"/>
        <c:noMultiLvlLbl val="0"/>
      </c:catAx>
      <c:valAx>
        <c:axId val="216960000"/>
        <c:scaling>
          <c:orientation val="minMax"/>
          <c:min val="100"/>
        </c:scaling>
        <c:delete val="0"/>
        <c:axPos val="l"/>
        <c:title>
          <c:tx>
            <c:rich>
              <a:bodyPr/>
              <a:lstStyle/>
              <a:p>
                <a:pPr>
                  <a:defRPr sz="900" b="0" i="0" u="none" strike="noStrike" baseline="0">
                    <a:solidFill>
                      <a:srgbClr val="000000"/>
                    </a:solidFill>
                    <a:latin typeface="Times New Roman"/>
                    <a:ea typeface="Times New Roman"/>
                    <a:cs typeface="Times New Roman"/>
                  </a:defRPr>
                </a:pPr>
                <a:r>
                  <a:rPr lang="sk-SK"/>
                  <a:t>predchádzajúci rok = 100 %</a:t>
                </a:r>
                <a:r>
                  <a:rPr lang="sk-SK" sz="900" b="0" i="0" u="none" strike="noStrike" baseline="0"/>
                  <a:t> </a:t>
                </a:r>
                <a:endParaRPr lang="sk-SK"/>
              </a:p>
            </c:rich>
          </c:tx>
          <c:layout>
            <c:manualLayout>
              <c:xMode val="edge"/>
              <c:yMode val="edge"/>
              <c:x val="2.7972027972028003E-2"/>
              <c:y val="0.17112299465240641"/>
            </c:manualLayout>
          </c:layout>
          <c:overlay val="0"/>
          <c:spPr>
            <a:noFill/>
            <a:ln w="25400">
              <a:noFill/>
            </a:ln>
          </c:spPr>
        </c:title>
        <c:numFmt formatCode="0.0__" sourceLinked="1"/>
        <c:majorTickMark val="cross"/>
        <c:minorTickMark val="none"/>
        <c:tickLblPos val="nextTo"/>
        <c:spPr>
          <a:ln w="3175">
            <a:solidFill>
              <a:srgbClr val="000000"/>
            </a:solidFill>
            <a:prstDash val="solid"/>
          </a:ln>
        </c:spPr>
        <c:txPr>
          <a:bodyPr rot="0" vert="horz"/>
          <a:lstStyle/>
          <a:p>
            <a:pPr>
              <a:defRPr sz="1000"/>
            </a:pPr>
            <a:endParaRPr lang="sk-SK"/>
          </a:p>
        </c:txPr>
        <c:crossAx val="216958464"/>
        <c:crosses val="autoZero"/>
        <c:crossBetween val="between"/>
      </c:valAx>
      <c:catAx>
        <c:axId val="216990848"/>
        <c:scaling>
          <c:orientation val="minMax"/>
        </c:scaling>
        <c:delete val="1"/>
        <c:axPos val="b"/>
        <c:numFmt formatCode="General" sourceLinked="1"/>
        <c:majorTickMark val="out"/>
        <c:minorTickMark val="none"/>
        <c:tickLblPos val="none"/>
        <c:crossAx val="216992384"/>
        <c:crosses val="autoZero"/>
        <c:auto val="0"/>
        <c:lblAlgn val="ctr"/>
        <c:lblOffset val="100"/>
        <c:noMultiLvlLbl val="0"/>
      </c:catAx>
      <c:valAx>
        <c:axId val="216992384"/>
        <c:scaling>
          <c:orientation val="minMax"/>
        </c:scaling>
        <c:delete val="1"/>
        <c:axPos val="l"/>
        <c:numFmt formatCode="0.0__" sourceLinked="1"/>
        <c:majorTickMark val="out"/>
        <c:minorTickMark val="none"/>
        <c:tickLblPos val="none"/>
        <c:crossAx val="216990848"/>
        <c:crosses val="autoZero"/>
        <c:crossBetween val="between"/>
      </c:valAx>
      <c:spPr>
        <a:solidFill>
          <a:srgbClr val="FFFFFF"/>
        </a:solidFill>
        <a:ln w="25400">
          <a:noFill/>
        </a:ln>
      </c:spPr>
    </c:plotArea>
    <c:legend>
      <c:legendPos val="r"/>
      <c:layout>
        <c:manualLayout>
          <c:xMode val="edge"/>
          <c:yMode val="edge"/>
          <c:x val="0.34090909090909088"/>
          <c:y val="0.92780748663101664"/>
          <c:w val="0.44580419580419606"/>
          <c:h val="5.6149732620320858E-2"/>
        </c:manualLayout>
      </c:layout>
      <c:overlay val="1"/>
      <c:spPr>
        <a:solidFill>
          <a:srgbClr val="FFFFFF"/>
        </a:solidFill>
        <a:ln w="25400">
          <a:noFill/>
        </a:ln>
      </c:spPr>
      <c:txPr>
        <a:bodyPr/>
        <a:lstStyle/>
        <a:p>
          <a:pPr>
            <a:defRPr sz="900"/>
          </a:pPr>
          <a:endParaRPr lang="sk-SK"/>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Arial"/>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649876780803"/>
          <c:y val="5.0539857569492266E-2"/>
          <c:w val="0.8486474345387488"/>
          <c:h val="0.62848223972003481"/>
        </c:manualLayout>
      </c:layout>
      <c:lineChart>
        <c:grouping val="standard"/>
        <c:varyColors val="0"/>
        <c:ser>
          <c:idx val="0"/>
          <c:order val="0"/>
          <c:tx>
            <c:strRef>
              <c:f>'aspoň jeden deň'!$C$9</c:f>
              <c:strCache>
                <c:ptCount val="1"/>
                <c:pt idx="0">
                  <c:v>2014</c:v>
                </c:pt>
              </c:strCache>
            </c:strRef>
          </c:tx>
          <c:spPr>
            <a:ln>
              <a:solidFill>
                <a:schemeClr val="accent1"/>
              </a:solidFill>
            </a:ln>
          </c:spPr>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deň'!$C$10:$C$21</c:f>
              <c:numCache>
                <c:formatCode>#,##0</c:formatCode>
                <c:ptCount val="12"/>
                <c:pt idx="0">
                  <c:v>158266</c:v>
                </c:pt>
                <c:pt idx="1">
                  <c:v>158758</c:v>
                </c:pt>
                <c:pt idx="2">
                  <c:v>159693</c:v>
                </c:pt>
                <c:pt idx="3">
                  <c:v>160818</c:v>
                </c:pt>
                <c:pt idx="4">
                  <c:v>161916</c:v>
                </c:pt>
                <c:pt idx="5">
                  <c:v>163006</c:v>
                </c:pt>
                <c:pt idx="6">
                  <c:v>163956</c:v>
                </c:pt>
                <c:pt idx="7">
                  <c:v>164356</c:v>
                </c:pt>
                <c:pt idx="8">
                  <c:v>164841</c:v>
                </c:pt>
                <c:pt idx="9">
                  <c:v>164553</c:v>
                </c:pt>
                <c:pt idx="10">
                  <c:v>164753</c:v>
                </c:pt>
                <c:pt idx="11">
                  <c:v>164547</c:v>
                </c:pt>
              </c:numCache>
            </c:numRef>
          </c:val>
          <c:smooth val="0"/>
          <c:extLst xmlns:c16r2="http://schemas.microsoft.com/office/drawing/2015/06/chart">
            <c:ext xmlns:c16="http://schemas.microsoft.com/office/drawing/2014/chart" uri="{C3380CC4-5D6E-409C-BE32-E72D297353CC}">
              <c16:uniqueId val="{00000000-0BA9-40B2-BAEF-B3E7E0824EB5}"/>
            </c:ext>
          </c:extLst>
        </c:ser>
        <c:ser>
          <c:idx val="1"/>
          <c:order val="1"/>
          <c:tx>
            <c:strRef>
              <c:f>'aspoň jeden deň'!$D$9</c:f>
              <c:strCache>
                <c:ptCount val="1"/>
                <c:pt idx="0">
                  <c:v>2015</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deň'!$D$10:$D$21</c:f>
              <c:numCache>
                <c:formatCode>#,##0</c:formatCode>
                <c:ptCount val="12"/>
                <c:pt idx="0">
                  <c:v>162990</c:v>
                </c:pt>
                <c:pt idx="1">
                  <c:v>162662</c:v>
                </c:pt>
                <c:pt idx="2">
                  <c:v>163470</c:v>
                </c:pt>
                <c:pt idx="3">
                  <c:v>164731</c:v>
                </c:pt>
                <c:pt idx="4">
                  <c:v>166156</c:v>
                </c:pt>
                <c:pt idx="5">
                  <c:v>167237</c:v>
                </c:pt>
                <c:pt idx="6">
                  <c:v>168195</c:v>
                </c:pt>
                <c:pt idx="7">
                  <c:v>168510</c:v>
                </c:pt>
                <c:pt idx="8">
                  <c:v>169373</c:v>
                </c:pt>
                <c:pt idx="9">
                  <c:v>169582</c:v>
                </c:pt>
                <c:pt idx="10">
                  <c:v>169835</c:v>
                </c:pt>
                <c:pt idx="11">
                  <c:v>170042</c:v>
                </c:pt>
              </c:numCache>
            </c:numRef>
          </c:val>
          <c:smooth val="0"/>
          <c:extLst xmlns:c16r2="http://schemas.microsoft.com/office/drawing/2015/06/chart">
            <c:ext xmlns:c16="http://schemas.microsoft.com/office/drawing/2014/chart" uri="{C3380CC4-5D6E-409C-BE32-E72D297353CC}">
              <c16:uniqueId val="{00000001-0BA9-40B2-BAEF-B3E7E0824EB5}"/>
            </c:ext>
          </c:extLst>
        </c:ser>
        <c:dLbls>
          <c:showLegendKey val="0"/>
          <c:showVal val="0"/>
          <c:showCatName val="0"/>
          <c:showSerName val="0"/>
          <c:showPercent val="0"/>
          <c:showBubbleSize val="0"/>
        </c:dLbls>
        <c:marker val="1"/>
        <c:smooth val="0"/>
        <c:axId val="216192128"/>
        <c:axId val="216193664"/>
      </c:lineChart>
      <c:catAx>
        <c:axId val="216192128"/>
        <c:scaling>
          <c:orientation val="minMax"/>
        </c:scaling>
        <c:delete val="0"/>
        <c:axPos val="b"/>
        <c:numFmt formatCode="General" sourceLinked="1"/>
        <c:majorTickMark val="out"/>
        <c:minorTickMark val="none"/>
        <c:tickLblPos val="nextTo"/>
        <c:txPr>
          <a:bodyPr rot="-1440000" vert="horz"/>
          <a:lstStyle/>
          <a:p>
            <a:pPr>
              <a:defRPr/>
            </a:pPr>
            <a:endParaRPr lang="sk-SK"/>
          </a:p>
        </c:txPr>
        <c:crossAx val="216193664"/>
        <c:crosses val="autoZero"/>
        <c:auto val="1"/>
        <c:lblAlgn val="ctr"/>
        <c:lblOffset val="100"/>
        <c:noMultiLvlLbl val="0"/>
      </c:catAx>
      <c:valAx>
        <c:axId val="216193664"/>
        <c:scaling>
          <c:orientation val="minMax"/>
          <c:min val="156000"/>
        </c:scaling>
        <c:delete val="0"/>
        <c:axPos val="l"/>
        <c:majorGridlines/>
        <c:numFmt formatCode="#,##0" sourceLinked="1"/>
        <c:majorTickMark val="out"/>
        <c:minorTickMark val="none"/>
        <c:tickLblPos val="nextTo"/>
        <c:crossAx val="216192128"/>
        <c:crosses val="autoZero"/>
        <c:crossBetween val="between"/>
      </c:valAx>
    </c:plotArea>
    <c:legend>
      <c:legendPos val="t"/>
      <c:layout>
        <c:manualLayout>
          <c:xMode val="edge"/>
          <c:yMode val="edge"/>
          <c:x val="0.13313567534827372"/>
          <c:y val="5.0633908412892913E-2"/>
          <c:w val="0.28284451586983061"/>
          <c:h val="8.305592767856361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Dlhopisové d.f.</c:v>
                </c:pt>
              </c:strCache>
            </c:strRef>
          </c:tx>
          <c:spPr>
            <a:ln w="25400" cap="rnd">
              <a:solidFill>
                <a:srgbClr val="C00000"/>
              </a:solidFill>
              <a:round/>
            </a:ln>
            <a:effectLst/>
          </c:spPr>
          <c:marker>
            <c:symbol val="none"/>
          </c:marker>
          <c:cat>
            <c:numRef>
              <c:f>Sheet1!$A$500:$A$747</c:f>
              <c:numCache>
                <c:formatCode>m/d/yyyy</c:formatCode>
                <c:ptCount val="248"/>
                <c:pt idx="0">
                  <c:v>42006</c:v>
                </c:pt>
                <c:pt idx="1">
                  <c:v>42009</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42051</c:v>
                </c:pt>
                <c:pt idx="31">
                  <c:v>42052</c:v>
                </c:pt>
                <c:pt idx="32">
                  <c:v>42053</c:v>
                </c:pt>
                <c:pt idx="33">
                  <c:v>42054</c:v>
                </c:pt>
                <c:pt idx="34">
                  <c:v>42055</c:v>
                </c:pt>
                <c:pt idx="35">
                  <c:v>42058</c:v>
                </c:pt>
                <c:pt idx="36">
                  <c:v>42059</c:v>
                </c:pt>
                <c:pt idx="37">
                  <c:v>42060</c:v>
                </c:pt>
                <c:pt idx="38">
                  <c:v>42061</c:v>
                </c:pt>
                <c:pt idx="39">
                  <c:v>42062</c:v>
                </c:pt>
                <c:pt idx="40">
                  <c:v>42065</c:v>
                </c:pt>
                <c:pt idx="41">
                  <c:v>42066</c:v>
                </c:pt>
                <c:pt idx="42">
                  <c:v>42067</c:v>
                </c:pt>
                <c:pt idx="43">
                  <c:v>42068</c:v>
                </c:pt>
                <c:pt idx="44">
                  <c:v>42069</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42135</c:v>
                </c:pt>
                <c:pt idx="87">
                  <c:v>42136</c:v>
                </c:pt>
                <c:pt idx="88">
                  <c:v>42137</c:v>
                </c:pt>
                <c:pt idx="89">
                  <c:v>42138</c:v>
                </c:pt>
                <c:pt idx="90">
                  <c:v>42139</c:v>
                </c:pt>
                <c:pt idx="91">
                  <c:v>42142</c:v>
                </c:pt>
                <c:pt idx="92">
                  <c:v>42143</c:v>
                </c:pt>
                <c:pt idx="93">
                  <c:v>42144</c:v>
                </c:pt>
                <c:pt idx="94">
                  <c:v>42145</c:v>
                </c:pt>
                <c:pt idx="95">
                  <c:v>42146</c:v>
                </c:pt>
                <c:pt idx="96">
                  <c:v>42149</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42186</c:v>
                </c:pt>
                <c:pt idx="124">
                  <c:v>42187</c:v>
                </c:pt>
                <c:pt idx="125">
                  <c:v>42188</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42247</c:v>
                </c:pt>
                <c:pt idx="165">
                  <c:v>42249</c:v>
                </c:pt>
                <c:pt idx="166">
                  <c:v>42250</c:v>
                </c:pt>
                <c:pt idx="167">
                  <c:v>42251</c:v>
                </c:pt>
                <c:pt idx="168">
                  <c:v>42254</c:v>
                </c:pt>
                <c:pt idx="169">
                  <c:v>42255</c:v>
                </c:pt>
                <c:pt idx="170">
                  <c:v>42256</c:v>
                </c:pt>
                <c:pt idx="171">
                  <c:v>42257</c:v>
                </c:pt>
                <c:pt idx="172">
                  <c:v>42258</c:v>
                </c:pt>
                <c:pt idx="173">
                  <c:v>42261</c:v>
                </c:pt>
                <c:pt idx="174">
                  <c:v>42263</c:v>
                </c:pt>
                <c:pt idx="175">
                  <c:v>42264</c:v>
                </c:pt>
                <c:pt idx="176">
                  <c:v>42265</c:v>
                </c:pt>
                <c:pt idx="177">
                  <c:v>42268</c:v>
                </c:pt>
                <c:pt idx="178">
                  <c:v>42269</c:v>
                </c:pt>
                <c:pt idx="179">
                  <c:v>42270</c:v>
                </c:pt>
                <c:pt idx="180">
                  <c:v>42271</c:v>
                </c:pt>
                <c:pt idx="181">
                  <c:v>42272</c:v>
                </c:pt>
                <c:pt idx="182">
                  <c:v>42275</c:v>
                </c:pt>
                <c:pt idx="183">
                  <c:v>42276</c:v>
                </c:pt>
                <c:pt idx="184">
                  <c:v>42277</c:v>
                </c:pt>
                <c:pt idx="185">
                  <c:v>42278</c:v>
                </c:pt>
                <c:pt idx="186">
                  <c:v>42279</c:v>
                </c:pt>
                <c:pt idx="187">
                  <c:v>42282</c:v>
                </c:pt>
                <c:pt idx="188">
                  <c:v>42283</c:v>
                </c:pt>
                <c:pt idx="189">
                  <c:v>42284</c:v>
                </c:pt>
                <c:pt idx="190">
                  <c:v>42285</c:v>
                </c:pt>
                <c:pt idx="191">
                  <c:v>42286</c:v>
                </c:pt>
                <c:pt idx="192">
                  <c:v>42289</c:v>
                </c:pt>
                <c:pt idx="193">
                  <c:v>42290</c:v>
                </c:pt>
                <c:pt idx="194">
                  <c:v>42291</c:v>
                </c:pt>
                <c:pt idx="195">
                  <c:v>42292</c:v>
                </c:pt>
                <c:pt idx="196">
                  <c:v>42293</c:v>
                </c:pt>
                <c:pt idx="197">
                  <c:v>42296</c:v>
                </c:pt>
                <c:pt idx="198">
                  <c:v>42297</c:v>
                </c:pt>
                <c:pt idx="199">
                  <c:v>42298</c:v>
                </c:pt>
                <c:pt idx="200">
                  <c:v>42299</c:v>
                </c:pt>
                <c:pt idx="201">
                  <c:v>42300</c:v>
                </c:pt>
                <c:pt idx="202">
                  <c:v>42303</c:v>
                </c:pt>
                <c:pt idx="203">
                  <c:v>42304</c:v>
                </c:pt>
                <c:pt idx="204">
                  <c:v>42305</c:v>
                </c:pt>
                <c:pt idx="205">
                  <c:v>42306</c:v>
                </c:pt>
                <c:pt idx="206">
                  <c:v>42307</c:v>
                </c:pt>
                <c:pt idx="207">
                  <c:v>42310</c:v>
                </c:pt>
                <c:pt idx="208">
                  <c:v>42311</c:v>
                </c:pt>
                <c:pt idx="209">
                  <c:v>42312</c:v>
                </c:pt>
                <c:pt idx="210">
                  <c:v>42313</c:v>
                </c:pt>
                <c:pt idx="211">
                  <c:v>42314</c:v>
                </c:pt>
                <c:pt idx="212">
                  <c:v>42317</c:v>
                </c:pt>
                <c:pt idx="213">
                  <c:v>42318</c:v>
                </c:pt>
                <c:pt idx="214">
                  <c:v>42319</c:v>
                </c:pt>
                <c:pt idx="215">
                  <c:v>42320</c:v>
                </c:pt>
                <c:pt idx="216">
                  <c:v>42321</c:v>
                </c:pt>
                <c:pt idx="217">
                  <c:v>42324</c:v>
                </c:pt>
                <c:pt idx="218">
                  <c:v>42326</c:v>
                </c:pt>
                <c:pt idx="219">
                  <c:v>42327</c:v>
                </c:pt>
                <c:pt idx="220">
                  <c:v>42328</c:v>
                </c:pt>
                <c:pt idx="221">
                  <c:v>42331</c:v>
                </c:pt>
                <c:pt idx="222">
                  <c:v>42332</c:v>
                </c:pt>
                <c:pt idx="223">
                  <c:v>42333</c:v>
                </c:pt>
                <c:pt idx="224">
                  <c:v>42334</c:v>
                </c:pt>
                <c:pt idx="225">
                  <c:v>42335</c:v>
                </c:pt>
                <c:pt idx="226">
                  <c:v>42338</c:v>
                </c:pt>
                <c:pt idx="227">
                  <c:v>42339</c:v>
                </c:pt>
                <c:pt idx="228">
                  <c:v>42340</c:v>
                </c:pt>
                <c:pt idx="229">
                  <c:v>42341</c:v>
                </c:pt>
                <c:pt idx="230">
                  <c:v>42342</c:v>
                </c:pt>
                <c:pt idx="231">
                  <c:v>42345</c:v>
                </c:pt>
                <c:pt idx="232">
                  <c:v>42346</c:v>
                </c:pt>
                <c:pt idx="233">
                  <c:v>42347</c:v>
                </c:pt>
                <c:pt idx="234">
                  <c:v>42348</c:v>
                </c:pt>
                <c:pt idx="235">
                  <c:v>42349</c:v>
                </c:pt>
                <c:pt idx="236">
                  <c:v>42352</c:v>
                </c:pt>
                <c:pt idx="237">
                  <c:v>42353</c:v>
                </c:pt>
                <c:pt idx="238">
                  <c:v>42354</c:v>
                </c:pt>
                <c:pt idx="239">
                  <c:v>42355</c:v>
                </c:pt>
                <c:pt idx="240">
                  <c:v>42356</c:v>
                </c:pt>
                <c:pt idx="241">
                  <c:v>42359</c:v>
                </c:pt>
                <c:pt idx="242">
                  <c:v>42360</c:v>
                </c:pt>
                <c:pt idx="243">
                  <c:v>42361</c:v>
                </c:pt>
                <c:pt idx="244">
                  <c:v>42366</c:v>
                </c:pt>
                <c:pt idx="245">
                  <c:v>42367</c:v>
                </c:pt>
                <c:pt idx="246">
                  <c:v>42368</c:v>
                </c:pt>
                <c:pt idx="247">
                  <c:v>42369</c:v>
                </c:pt>
              </c:numCache>
            </c:numRef>
          </c:cat>
          <c:val>
            <c:numRef>
              <c:f>Sheet1!$B$500:$B$747</c:f>
              <c:numCache>
                <c:formatCode>General</c:formatCode>
                <c:ptCount val="248"/>
                <c:pt idx="0">
                  <c:v>4.2146117874224544E-2</c:v>
                </c:pt>
                <c:pt idx="1">
                  <c:v>4.2152149944676823E-2</c:v>
                </c:pt>
                <c:pt idx="2">
                  <c:v>4.2160635082026887E-2</c:v>
                </c:pt>
                <c:pt idx="3">
                  <c:v>4.2165068761631362E-2</c:v>
                </c:pt>
                <c:pt idx="4">
                  <c:v>4.2169083884043508E-2</c:v>
                </c:pt>
                <c:pt idx="5">
                  <c:v>4.2181621153281577E-2</c:v>
                </c:pt>
                <c:pt idx="6">
                  <c:v>4.2183927032559229E-2</c:v>
                </c:pt>
                <c:pt idx="7">
                  <c:v>4.2207076829943201E-2</c:v>
                </c:pt>
                <c:pt idx="8">
                  <c:v>4.2228029001566907E-2</c:v>
                </c:pt>
                <c:pt idx="9">
                  <c:v>4.2231453184485776E-2</c:v>
                </c:pt>
                <c:pt idx="10">
                  <c:v>4.2239115938007041E-2</c:v>
                </c:pt>
                <c:pt idx="11">
                  <c:v>4.2245230134768712E-2</c:v>
                </c:pt>
                <c:pt idx="12">
                  <c:v>4.2223584969810386E-2</c:v>
                </c:pt>
                <c:pt idx="13">
                  <c:v>4.2254037634503964E-2</c:v>
                </c:pt>
                <c:pt idx="14">
                  <c:v>4.231412226394847E-2</c:v>
                </c:pt>
                <c:pt idx="15">
                  <c:v>4.2297037198152192E-2</c:v>
                </c:pt>
                <c:pt idx="16">
                  <c:v>4.2297537321663609E-2</c:v>
                </c:pt>
                <c:pt idx="17">
                  <c:v>4.2309692361855292E-2</c:v>
                </c:pt>
                <c:pt idx="18">
                  <c:v>4.2301327339870499E-2</c:v>
                </c:pt>
                <c:pt idx="19">
                  <c:v>4.2320403451790403E-2</c:v>
                </c:pt>
                <c:pt idx="20">
                  <c:v>4.2324438902618042E-2</c:v>
                </c:pt>
                <c:pt idx="21">
                  <c:v>4.2321682587916298E-2</c:v>
                </c:pt>
                <c:pt idx="22">
                  <c:v>4.2326901066332606E-2</c:v>
                </c:pt>
                <c:pt idx="23">
                  <c:v>4.2327030016025328E-2</c:v>
                </c:pt>
                <c:pt idx="24">
                  <c:v>4.2331710215241597E-2</c:v>
                </c:pt>
                <c:pt idx="25">
                  <c:v>4.2335126168726103E-2</c:v>
                </c:pt>
                <c:pt idx="26">
                  <c:v>4.2332097663178511E-2</c:v>
                </c:pt>
                <c:pt idx="27">
                  <c:v>4.2337536625840728E-2</c:v>
                </c:pt>
                <c:pt idx="28">
                  <c:v>4.2355697121550455E-2</c:v>
                </c:pt>
                <c:pt idx="29">
                  <c:v>4.2357248205527713E-2</c:v>
                </c:pt>
                <c:pt idx="30">
                  <c:v>4.2367383633930181E-2</c:v>
                </c:pt>
                <c:pt idx="31">
                  <c:v>4.2352617005700234E-2</c:v>
                </c:pt>
                <c:pt idx="32">
                  <c:v>4.2360955360137793E-2</c:v>
                </c:pt>
                <c:pt idx="33">
                  <c:v>4.2364813429549376E-2</c:v>
                </c:pt>
                <c:pt idx="34">
                  <c:v>4.2375268955139413E-2</c:v>
                </c:pt>
                <c:pt idx="35">
                  <c:v>4.2390916949051324E-2</c:v>
                </c:pt>
                <c:pt idx="36">
                  <c:v>4.2395851604376422E-2</c:v>
                </c:pt>
                <c:pt idx="37">
                  <c:v>4.2416457140000079E-2</c:v>
                </c:pt>
                <c:pt idx="38">
                  <c:v>4.2437031729322006E-2</c:v>
                </c:pt>
                <c:pt idx="39">
                  <c:v>4.2433024992716742E-2</c:v>
                </c:pt>
                <c:pt idx="40">
                  <c:v>4.2429792462381551E-2</c:v>
                </c:pt>
                <c:pt idx="41">
                  <c:v>4.2428748256208411E-2</c:v>
                </c:pt>
                <c:pt idx="42">
                  <c:v>4.2426796422400381E-2</c:v>
                </c:pt>
                <c:pt idx="43">
                  <c:v>4.2445524966628602E-2</c:v>
                </c:pt>
                <c:pt idx="44">
                  <c:v>4.2439916691417758E-2</c:v>
                </c:pt>
                <c:pt idx="45">
                  <c:v>4.247457088618399E-2</c:v>
                </c:pt>
                <c:pt idx="46">
                  <c:v>4.2509309791082743E-2</c:v>
                </c:pt>
                <c:pt idx="47">
                  <c:v>4.2533497137392635E-2</c:v>
                </c:pt>
                <c:pt idx="48">
                  <c:v>4.251742281911499E-2</c:v>
                </c:pt>
                <c:pt idx="49">
                  <c:v>4.2512949680703287E-2</c:v>
                </c:pt>
                <c:pt idx="50">
                  <c:v>4.2499341384968997E-2</c:v>
                </c:pt>
                <c:pt idx="51">
                  <c:v>4.2482727366937326E-2</c:v>
                </c:pt>
                <c:pt idx="52">
                  <c:v>4.2508644577343609E-2</c:v>
                </c:pt>
                <c:pt idx="53">
                  <c:v>4.2510388913342238E-2</c:v>
                </c:pt>
                <c:pt idx="54">
                  <c:v>4.2507670634031623E-2</c:v>
                </c:pt>
                <c:pt idx="55">
                  <c:v>4.2483843505468362E-2</c:v>
                </c:pt>
                <c:pt idx="56">
                  <c:v>4.2479211259649825E-2</c:v>
                </c:pt>
                <c:pt idx="57">
                  <c:v>4.2487153007736797E-2</c:v>
                </c:pt>
                <c:pt idx="58">
                  <c:v>4.2487915729656982E-2</c:v>
                </c:pt>
                <c:pt idx="59">
                  <c:v>4.2493449829402591E-2</c:v>
                </c:pt>
                <c:pt idx="60">
                  <c:v>4.2499464193686866E-2</c:v>
                </c:pt>
                <c:pt idx="61">
                  <c:v>4.2523668711834363E-2</c:v>
                </c:pt>
                <c:pt idx="62">
                  <c:v>4.2531469094645023E-2</c:v>
                </c:pt>
                <c:pt idx="63">
                  <c:v>4.2515547825468888E-2</c:v>
                </c:pt>
                <c:pt idx="64">
                  <c:v>4.2528885829231318E-2</c:v>
                </c:pt>
                <c:pt idx="65">
                  <c:v>4.2556098975247987E-2</c:v>
                </c:pt>
                <c:pt idx="66">
                  <c:v>4.2563659884481082E-2</c:v>
                </c:pt>
                <c:pt idx="67">
                  <c:v>4.2571395570452669E-2</c:v>
                </c:pt>
                <c:pt idx="68">
                  <c:v>4.2581771615861942E-2</c:v>
                </c:pt>
                <c:pt idx="69">
                  <c:v>4.2589318532591736E-2</c:v>
                </c:pt>
                <c:pt idx="70">
                  <c:v>4.2607529128903511E-2</c:v>
                </c:pt>
                <c:pt idx="71">
                  <c:v>4.2600559557109806E-2</c:v>
                </c:pt>
                <c:pt idx="72">
                  <c:v>4.2592440435049402E-2</c:v>
                </c:pt>
                <c:pt idx="73">
                  <c:v>4.2592708392234432E-2</c:v>
                </c:pt>
                <c:pt idx="74">
                  <c:v>4.2582175087464876E-2</c:v>
                </c:pt>
                <c:pt idx="75">
                  <c:v>4.2559216854256697E-2</c:v>
                </c:pt>
                <c:pt idx="76">
                  <c:v>4.2563549981415767E-2</c:v>
                </c:pt>
                <c:pt idx="77">
                  <c:v>4.2568284831358716E-2</c:v>
                </c:pt>
                <c:pt idx="78">
                  <c:v>4.2576481446286764E-2</c:v>
                </c:pt>
                <c:pt idx="79">
                  <c:v>4.2575641564723717E-2</c:v>
                </c:pt>
                <c:pt idx="80">
                  <c:v>4.2503548579353546E-2</c:v>
                </c:pt>
                <c:pt idx="81">
                  <c:v>4.2453276110523942E-2</c:v>
                </c:pt>
                <c:pt idx="82">
                  <c:v>4.2415366420648415E-2</c:v>
                </c:pt>
                <c:pt idx="83">
                  <c:v>4.237520346735766E-2</c:v>
                </c:pt>
                <c:pt idx="84">
                  <c:v>4.2317403956711012E-2</c:v>
                </c:pt>
                <c:pt idx="85">
                  <c:v>4.2303526139843776E-2</c:v>
                </c:pt>
                <c:pt idx="86">
                  <c:v>4.2320232667252253E-2</c:v>
                </c:pt>
                <c:pt idx="87">
                  <c:v>4.2276832373402268E-2</c:v>
                </c:pt>
                <c:pt idx="88">
                  <c:v>4.2267060915943587E-2</c:v>
                </c:pt>
                <c:pt idx="89">
                  <c:v>4.2268809492419263E-2</c:v>
                </c:pt>
                <c:pt idx="90">
                  <c:v>4.2298686552001107E-2</c:v>
                </c:pt>
                <c:pt idx="91">
                  <c:v>4.2290487736877803E-2</c:v>
                </c:pt>
                <c:pt idx="92">
                  <c:v>4.2324047204040122E-2</c:v>
                </c:pt>
                <c:pt idx="93">
                  <c:v>4.2311787394775126E-2</c:v>
                </c:pt>
                <c:pt idx="94">
                  <c:v>4.2303071137755978E-2</c:v>
                </c:pt>
                <c:pt idx="95">
                  <c:v>4.2318604315097146E-2</c:v>
                </c:pt>
                <c:pt idx="96">
                  <c:v>4.2326409917250396E-2</c:v>
                </c:pt>
                <c:pt idx="97">
                  <c:v>4.2348296029206908E-2</c:v>
                </c:pt>
                <c:pt idx="98">
                  <c:v>4.2349767869918238E-2</c:v>
                </c:pt>
                <c:pt idx="99">
                  <c:v>4.2349049833361394E-2</c:v>
                </c:pt>
                <c:pt idx="100">
                  <c:v>4.2364059505710802E-2</c:v>
                </c:pt>
                <c:pt idx="101">
                  <c:v>4.2333731992760734E-2</c:v>
                </c:pt>
                <c:pt idx="102">
                  <c:v>4.2252523220468088E-2</c:v>
                </c:pt>
                <c:pt idx="103">
                  <c:v>4.2153093622466484E-2</c:v>
                </c:pt>
                <c:pt idx="104">
                  <c:v>4.2148122482901562E-2</c:v>
                </c:pt>
                <c:pt idx="105">
                  <c:v>4.2127003458546419E-2</c:v>
                </c:pt>
                <c:pt idx="106">
                  <c:v>4.2103804668606283E-2</c:v>
                </c:pt>
                <c:pt idx="107">
                  <c:v>4.2050309084384889E-2</c:v>
                </c:pt>
                <c:pt idx="108">
                  <c:v>4.2019112147047094E-2</c:v>
                </c:pt>
                <c:pt idx="109">
                  <c:v>4.2053505492052695E-2</c:v>
                </c:pt>
                <c:pt idx="110">
                  <c:v>4.2055920720632842E-2</c:v>
                </c:pt>
                <c:pt idx="111">
                  <c:v>4.2023015215736169E-2</c:v>
                </c:pt>
                <c:pt idx="112">
                  <c:v>4.2015355413499642E-2</c:v>
                </c:pt>
                <c:pt idx="113">
                  <c:v>4.2013878902520278E-2</c:v>
                </c:pt>
                <c:pt idx="114">
                  <c:v>4.1994760075309272E-2</c:v>
                </c:pt>
                <c:pt idx="115">
                  <c:v>4.2024986685804712E-2</c:v>
                </c:pt>
                <c:pt idx="116">
                  <c:v>4.2009911938433057E-2</c:v>
                </c:pt>
                <c:pt idx="117">
                  <c:v>4.203465534211899E-2</c:v>
                </c:pt>
                <c:pt idx="118">
                  <c:v>4.2049807148042802E-2</c:v>
                </c:pt>
                <c:pt idx="119">
                  <c:v>4.2045669680607405E-2</c:v>
                </c:pt>
                <c:pt idx="120">
                  <c:v>4.2014498886505443E-2</c:v>
                </c:pt>
                <c:pt idx="121">
                  <c:v>4.2007794619733294E-2</c:v>
                </c:pt>
                <c:pt idx="122">
                  <c:v>4.2020807513077865E-2</c:v>
                </c:pt>
                <c:pt idx="123">
                  <c:v>4.2027233786896503E-2</c:v>
                </c:pt>
                <c:pt idx="124">
                  <c:v>4.202521800904855E-2</c:v>
                </c:pt>
                <c:pt idx="125">
                  <c:v>4.2050629134351071E-2</c:v>
                </c:pt>
                <c:pt idx="126">
                  <c:v>4.205406063071427E-2</c:v>
                </c:pt>
                <c:pt idx="127">
                  <c:v>4.2090166423939278E-2</c:v>
                </c:pt>
                <c:pt idx="128">
                  <c:v>4.2073311865275992E-2</c:v>
                </c:pt>
                <c:pt idx="129">
                  <c:v>4.2069899743694704E-2</c:v>
                </c:pt>
                <c:pt idx="130">
                  <c:v>4.202399022958353E-2</c:v>
                </c:pt>
                <c:pt idx="131">
                  <c:v>4.2067207750280597E-2</c:v>
                </c:pt>
                <c:pt idx="132">
                  <c:v>4.2084867005957316E-2</c:v>
                </c:pt>
                <c:pt idx="133">
                  <c:v>4.2121126809807487E-2</c:v>
                </c:pt>
                <c:pt idx="134">
                  <c:v>4.2126093698971953E-2</c:v>
                </c:pt>
                <c:pt idx="135">
                  <c:v>4.2158024749720184E-2</c:v>
                </c:pt>
                <c:pt idx="136">
                  <c:v>4.2173797843434419E-2</c:v>
                </c:pt>
                <c:pt idx="137">
                  <c:v>4.2169680057654174E-2</c:v>
                </c:pt>
                <c:pt idx="138">
                  <c:v>4.2186961920946925E-2</c:v>
                </c:pt>
                <c:pt idx="139">
                  <c:v>4.2191054070778562E-2</c:v>
                </c:pt>
                <c:pt idx="140">
                  <c:v>4.2208958975079196E-2</c:v>
                </c:pt>
                <c:pt idx="141">
                  <c:v>4.220382580626867E-2</c:v>
                </c:pt>
                <c:pt idx="142">
                  <c:v>4.2203974883129908E-2</c:v>
                </c:pt>
                <c:pt idx="143">
                  <c:v>4.220549241960541E-2</c:v>
                </c:pt>
                <c:pt idx="144">
                  <c:v>4.2234965464458755E-2</c:v>
                </c:pt>
                <c:pt idx="145">
                  <c:v>4.2239780415568071E-2</c:v>
                </c:pt>
                <c:pt idx="146">
                  <c:v>4.2260791255511271E-2</c:v>
                </c:pt>
                <c:pt idx="147">
                  <c:v>4.2262681723210384E-2</c:v>
                </c:pt>
                <c:pt idx="148">
                  <c:v>4.2232514093939681E-2</c:v>
                </c:pt>
                <c:pt idx="149">
                  <c:v>4.2242920288919641E-2</c:v>
                </c:pt>
                <c:pt idx="150">
                  <c:v>4.2261271437924554E-2</c:v>
                </c:pt>
                <c:pt idx="151">
                  <c:v>4.225457247749273E-2</c:v>
                </c:pt>
                <c:pt idx="152">
                  <c:v>4.2280584649125354E-2</c:v>
                </c:pt>
                <c:pt idx="153">
                  <c:v>4.2282361233582394E-2</c:v>
                </c:pt>
                <c:pt idx="154">
                  <c:v>4.2273644402101823E-2</c:v>
                </c:pt>
                <c:pt idx="155">
                  <c:v>4.2264986220781821E-2</c:v>
                </c:pt>
                <c:pt idx="156">
                  <c:v>4.2284547355104452E-2</c:v>
                </c:pt>
                <c:pt idx="157">
                  <c:v>4.2276908693011976E-2</c:v>
                </c:pt>
                <c:pt idx="158">
                  <c:v>4.2281455860134896E-2</c:v>
                </c:pt>
                <c:pt idx="159">
                  <c:v>4.2284411006620649E-2</c:v>
                </c:pt>
                <c:pt idx="160">
                  <c:v>4.226991156426483E-2</c:v>
                </c:pt>
                <c:pt idx="161">
                  <c:v>4.2223691130922204E-2</c:v>
                </c:pt>
                <c:pt idx="162">
                  <c:v>4.2176911224261739E-2</c:v>
                </c:pt>
                <c:pt idx="163">
                  <c:v>4.2181588210794208E-2</c:v>
                </c:pt>
                <c:pt idx="164">
                  <c:v>4.218316055645939E-2</c:v>
                </c:pt>
                <c:pt idx="165">
                  <c:v>4.2169495858682494E-2</c:v>
                </c:pt>
                <c:pt idx="166">
                  <c:v>4.2210155844073421E-2</c:v>
                </c:pt>
                <c:pt idx="167">
                  <c:v>4.2233892507840827E-2</c:v>
                </c:pt>
                <c:pt idx="168">
                  <c:v>4.2233566985161432E-2</c:v>
                </c:pt>
                <c:pt idx="169">
                  <c:v>4.2231793636642583E-2</c:v>
                </c:pt>
                <c:pt idx="170">
                  <c:v>4.2232274352032292E-2</c:v>
                </c:pt>
                <c:pt idx="171">
                  <c:v>4.2224807957859017E-2</c:v>
                </c:pt>
                <c:pt idx="172">
                  <c:v>4.2228241906591954E-2</c:v>
                </c:pt>
                <c:pt idx="173">
                  <c:v>4.2227943131326523E-2</c:v>
                </c:pt>
                <c:pt idx="174">
                  <c:v>4.2167163177286783E-2</c:v>
                </c:pt>
                <c:pt idx="175">
                  <c:v>4.2160547000849792E-2</c:v>
                </c:pt>
                <c:pt idx="176">
                  <c:v>4.2226391534339401E-2</c:v>
                </c:pt>
                <c:pt idx="177">
                  <c:v>4.2219832729834463E-2</c:v>
                </c:pt>
                <c:pt idx="178">
                  <c:v>4.2240585273454749E-2</c:v>
                </c:pt>
                <c:pt idx="179">
                  <c:v>4.222872422833665E-2</c:v>
                </c:pt>
                <c:pt idx="180">
                  <c:v>4.2199992857382837E-2</c:v>
                </c:pt>
                <c:pt idx="181">
                  <c:v>4.2183548247893117E-2</c:v>
                </c:pt>
                <c:pt idx="182">
                  <c:v>4.2182209472603316E-2</c:v>
                </c:pt>
                <c:pt idx="183">
                  <c:v>4.2150543088216953E-2</c:v>
                </c:pt>
                <c:pt idx="184">
                  <c:v>4.2163505552483917E-2</c:v>
                </c:pt>
                <c:pt idx="185">
                  <c:v>4.2192828960633325E-2</c:v>
                </c:pt>
                <c:pt idx="186">
                  <c:v>4.2203443414981764E-2</c:v>
                </c:pt>
                <c:pt idx="187">
                  <c:v>4.2197824372240823E-2</c:v>
                </c:pt>
                <c:pt idx="188">
                  <c:v>4.2195221620600999E-2</c:v>
                </c:pt>
                <c:pt idx="189">
                  <c:v>4.2211173536836913E-2</c:v>
                </c:pt>
                <c:pt idx="190">
                  <c:v>4.2216614648473268E-2</c:v>
                </c:pt>
                <c:pt idx="191">
                  <c:v>4.2215834400782463E-2</c:v>
                </c:pt>
                <c:pt idx="192">
                  <c:v>4.2243480051698923E-2</c:v>
                </c:pt>
                <c:pt idx="193">
                  <c:v>4.2236115066703071E-2</c:v>
                </c:pt>
                <c:pt idx="194">
                  <c:v>4.2257934084353015E-2</c:v>
                </c:pt>
                <c:pt idx="195">
                  <c:v>4.2252167724960696E-2</c:v>
                </c:pt>
                <c:pt idx="196">
                  <c:v>4.2268085666672277E-2</c:v>
                </c:pt>
                <c:pt idx="197">
                  <c:v>4.2272190194292916E-2</c:v>
                </c:pt>
                <c:pt idx="198">
                  <c:v>4.2243560133070922E-2</c:v>
                </c:pt>
                <c:pt idx="199">
                  <c:v>4.2272174564924929E-2</c:v>
                </c:pt>
                <c:pt idx="200">
                  <c:v>4.2337379473254076E-2</c:v>
                </c:pt>
                <c:pt idx="201">
                  <c:v>4.2356815844826416E-2</c:v>
                </c:pt>
                <c:pt idx="202">
                  <c:v>4.2377898686021799E-2</c:v>
                </c:pt>
                <c:pt idx="203">
                  <c:v>4.2407474942930984E-2</c:v>
                </c:pt>
                <c:pt idx="204">
                  <c:v>4.2417673224169616E-2</c:v>
                </c:pt>
                <c:pt idx="205">
                  <c:v>4.2374733519837803E-2</c:v>
                </c:pt>
                <c:pt idx="206">
                  <c:v>4.2374636100304834E-2</c:v>
                </c:pt>
                <c:pt idx="207">
                  <c:v>4.2358063562342292E-2</c:v>
                </c:pt>
                <c:pt idx="208">
                  <c:v>4.2371720865088905E-2</c:v>
                </c:pt>
                <c:pt idx="209">
                  <c:v>4.2375875870628792E-2</c:v>
                </c:pt>
                <c:pt idx="210">
                  <c:v>4.2369319394177228E-2</c:v>
                </c:pt>
                <c:pt idx="211">
                  <c:v>4.2323548141219053E-2</c:v>
                </c:pt>
                <c:pt idx="212">
                  <c:v>4.23384267781131E-2</c:v>
                </c:pt>
                <c:pt idx="213">
                  <c:v>4.2368466974164104E-2</c:v>
                </c:pt>
                <c:pt idx="214">
                  <c:v>4.238048911035789E-2</c:v>
                </c:pt>
                <c:pt idx="215">
                  <c:v>4.2383063013468711E-2</c:v>
                </c:pt>
                <c:pt idx="216">
                  <c:v>4.2405104431074238E-2</c:v>
                </c:pt>
                <c:pt idx="217">
                  <c:v>4.2415073654946567E-2</c:v>
                </c:pt>
                <c:pt idx="218">
                  <c:v>4.2443988025266735E-2</c:v>
                </c:pt>
                <c:pt idx="219">
                  <c:v>4.2457098862062462E-2</c:v>
                </c:pt>
                <c:pt idx="220">
                  <c:v>4.2476840851931041E-2</c:v>
                </c:pt>
                <c:pt idx="221">
                  <c:v>4.2474817807214536E-2</c:v>
                </c:pt>
                <c:pt idx="222">
                  <c:v>4.2466862091404212E-2</c:v>
                </c:pt>
                <c:pt idx="223">
                  <c:v>4.2501027535782901E-2</c:v>
                </c:pt>
                <c:pt idx="224">
                  <c:v>4.2500583323579817E-2</c:v>
                </c:pt>
                <c:pt idx="225">
                  <c:v>4.2513309966866093E-2</c:v>
                </c:pt>
                <c:pt idx="226">
                  <c:v>4.2506132714524678E-2</c:v>
                </c:pt>
                <c:pt idx="227">
                  <c:v>4.2521503164880382E-2</c:v>
                </c:pt>
                <c:pt idx="228">
                  <c:v>4.2533041390630404E-2</c:v>
                </c:pt>
                <c:pt idx="229">
                  <c:v>4.2392142651519645E-2</c:v>
                </c:pt>
                <c:pt idx="230">
                  <c:v>4.2360414185663296E-2</c:v>
                </c:pt>
                <c:pt idx="231">
                  <c:v>4.2409312152611123E-2</c:v>
                </c:pt>
                <c:pt idx="232">
                  <c:v>4.2409278459417769E-2</c:v>
                </c:pt>
                <c:pt idx="233">
                  <c:v>4.2391302259972383E-2</c:v>
                </c:pt>
                <c:pt idx="234">
                  <c:v>4.2398674759006834E-2</c:v>
                </c:pt>
                <c:pt idx="235">
                  <c:v>4.2401577026499236E-2</c:v>
                </c:pt>
                <c:pt idx="236">
                  <c:v>4.2351876302081294E-2</c:v>
                </c:pt>
                <c:pt idx="237">
                  <c:v>4.2321158412169206E-2</c:v>
                </c:pt>
                <c:pt idx="238">
                  <c:v>4.2310949288308967E-2</c:v>
                </c:pt>
                <c:pt idx="239">
                  <c:v>4.2360511247791624E-2</c:v>
                </c:pt>
                <c:pt idx="240">
                  <c:v>4.238349060682544E-2</c:v>
                </c:pt>
                <c:pt idx="241">
                  <c:v>4.2373200723399382E-2</c:v>
                </c:pt>
                <c:pt idx="242">
                  <c:v>4.2342869833295584E-2</c:v>
                </c:pt>
                <c:pt idx="243">
                  <c:v>4.2333524443680395E-2</c:v>
                </c:pt>
                <c:pt idx="244">
                  <c:v>4.2348865399264961E-2</c:v>
                </c:pt>
                <c:pt idx="245">
                  <c:v>4.2350436364489812E-2</c:v>
                </c:pt>
                <c:pt idx="246">
                  <c:v>4.2348950472546228E-2</c:v>
                </c:pt>
                <c:pt idx="247">
                  <c:v>4.2350960865604373E-2</c:v>
                </c:pt>
              </c:numCache>
            </c:numRef>
          </c:val>
          <c:smooth val="0"/>
          <c:extLst xmlns:c16r2="http://schemas.microsoft.com/office/drawing/2015/06/chart">
            <c:ext xmlns:c16="http://schemas.microsoft.com/office/drawing/2014/chart" uri="{C3380CC4-5D6E-409C-BE32-E72D297353CC}">
              <c16:uniqueId val="{00000000-B9D3-4822-9C24-4EB936227D49}"/>
            </c:ext>
          </c:extLst>
        </c:ser>
        <c:ser>
          <c:idx val="2"/>
          <c:order val="1"/>
          <c:tx>
            <c:strRef>
              <c:f>Sheet1!$D$1</c:f>
              <c:strCache>
                <c:ptCount val="1"/>
                <c:pt idx="0">
                  <c:v>Zmiešané d.f.</c:v>
                </c:pt>
              </c:strCache>
            </c:strRef>
          </c:tx>
          <c:spPr>
            <a:ln w="25400" cap="rnd">
              <a:solidFill>
                <a:srgbClr val="FF0000"/>
              </a:solidFill>
              <a:round/>
            </a:ln>
            <a:effectLst/>
          </c:spPr>
          <c:marker>
            <c:symbol val="none"/>
          </c:marker>
          <c:cat>
            <c:numRef>
              <c:f>Sheet1!$A$500:$A$747</c:f>
              <c:numCache>
                <c:formatCode>m/d/yyyy</c:formatCode>
                <c:ptCount val="248"/>
                <c:pt idx="0">
                  <c:v>42006</c:v>
                </c:pt>
                <c:pt idx="1">
                  <c:v>42009</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42051</c:v>
                </c:pt>
                <c:pt idx="31">
                  <c:v>42052</c:v>
                </c:pt>
                <c:pt idx="32">
                  <c:v>42053</c:v>
                </c:pt>
                <c:pt idx="33">
                  <c:v>42054</c:v>
                </c:pt>
                <c:pt idx="34">
                  <c:v>42055</c:v>
                </c:pt>
                <c:pt idx="35">
                  <c:v>42058</c:v>
                </c:pt>
                <c:pt idx="36">
                  <c:v>42059</c:v>
                </c:pt>
                <c:pt idx="37">
                  <c:v>42060</c:v>
                </c:pt>
                <c:pt idx="38">
                  <c:v>42061</c:v>
                </c:pt>
                <c:pt idx="39">
                  <c:v>42062</c:v>
                </c:pt>
                <c:pt idx="40">
                  <c:v>42065</c:v>
                </c:pt>
                <c:pt idx="41">
                  <c:v>42066</c:v>
                </c:pt>
                <c:pt idx="42">
                  <c:v>42067</c:v>
                </c:pt>
                <c:pt idx="43">
                  <c:v>42068</c:v>
                </c:pt>
                <c:pt idx="44">
                  <c:v>42069</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42135</c:v>
                </c:pt>
                <c:pt idx="87">
                  <c:v>42136</c:v>
                </c:pt>
                <c:pt idx="88">
                  <c:v>42137</c:v>
                </c:pt>
                <c:pt idx="89">
                  <c:v>42138</c:v>
                </c:pt>
                <c:pt idx="90">
                  <c:v>42139</c:v>
                </c:pt>
                <c:pt idx="91">
                  <c:v>42142</c:v>
                </c:pt>
                <c:pt idx="92">
                  <c:v>42143</c:v>
                </c:pt>
                <c:pt idx="93">
                  <c:v>42144</c:v>
                </c:pt>
                <c:pt idx="94">
                  <c:v>42145</c:v>
                </c:pt>
                <c:pt idx="95">
                  <c:v>42146</c:v>
                </c:pt>
                <c:pt idx="96">
                  <c:v>42149</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42186</c:v>
                </c:pt>
                <c:pt idx="124">
                  <c:v>42187</c:v>
                </c:pt>
                <c:pt idx="125">
                  <c:v>42188</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42247</c:v>
                </c:pt>
                <c:pt idx="165">
                  <c:v>42249</c:v>
                </c:pt>
                <c:pt idx="166">
                  <c:v>42250</c:v>
                </c:pt>
                <c:pt idx="167">
                  <c:v>42251</c:v>
                </c:pt>
                <c:pt idx="168">
                  <c:v>42254</c:v>
                </c:pt>
                <c:pt idx="169">
                  <c:v>42255</c:v>
                </c:pt>
                <c:pt idx="170">
                  <c:v>42256</c:v>
                </c:pt>
                <c:pt idx="171">
                  <c:v>42257</c:v>
                </c:pt>
                <c:pt idx="172">
                  <c:v>42258</c:v>
                </c:pt>
                <c:pt idx="173">
                  <c:v>42261</c:v>
                </c:pt>
                <c:pt idx="174">
                  <c:v>42263</c:v>
                </c:pt>
                <c:pt idx="175">
                  <c:v>42264</c:v>
                </c:pt>
                <c:pt idx="176">
                  <c:v>42265</c:v>
                </c:pt>
                <c:pt idx="177">
                  <c:v>42268</c:v>
                </c:pt>
                <c:pt idx="178">
                  <c:v>42269</c:v>
                </c:pt>
                <c:pt idx="179">
                  <c:v>42270</c:v>
                </c:pt>
                <c:pt idx="180">
                  <c:v>42271</c:v>
                </c:pt>
                <c:pt idx="181">
                  <c:v>42272</c:v>
                </c:pt>
                <c:pt idx="182">
                  <c:v>42275</c:v>
                </c:pt>
                <c:pt idx="183">
                  <c:v>42276</c:v>
                </c:pt>
                <c:pt idx="184">
                  <c:v>42277</c:v>
                </c:pt>
                <c:pt idx="185">
                  <c:v>42278</c:v>
                </c:pt>
                <c:pt idx="186">
                  <c:v>42279</c:v>
                </c:pt>
                <c:pt idx="187">
                  <c:v>42282</c:v>
                </c:pt>
                <c:pt idx="188">
                  <c:v>42283</c:v>
                </c:pt>
                <c:pt idx="189">
                  <c:v>42284</c:v>
                </c:pt>
                <c:pt idx="190">
                  <c:v>42285</c:v>
                </c:pt>
                <c:pt idx="191">
                  <c:v>42286</c:v>
                </c:pt>
                <c:pt idx="192">
                  <c:v>42289</c:v>
                </c:pt>
                <c:pt idx="193">
                  <c:v>42290</c:v>
                </c:pt>
                <c:pt idx="194">
                  <c:v>42291</c:v>
                </c:pt>
                <c:pt idx="195">
                  <c:v>42292</c:v>
                </c:pt>
                <c:pt idx="196">
                  <c:v>42293</c:v>
                </c:pt>
                <c:pt idx="197">
                  <c:v>42296</c:v>
                </c:pt>
                <c:pt idx="198">
                  <c:v>42297</c:v>
                </c:pt>
                <c:pt idx="199">
                  <c:v>42298</c:v>
                </c:pt>
                <c:pt idx="200">
                  <c:v>42299</c:v>
                </c:pt>
                <c:pt idx="201">
                  <c:v>42300</c:v>
                </c:pt>
                <c:pt idx="202">
                  <c:v>42303</c:v>
                </c:pt>
                <c:pt idx="203">
                  <c:v>42304</c:v>
                </c:pt>
                <c:pt idx="204">
                  <c:v>42305</c:v>
                </c:pt>
                <c:pt idx="205">
                  <c:v>42306</c:v>
                </c:pt>
                <c:pt idx="206">
                  <c:v>42307</c:v>
                </c:pt>
                <c:pt idx="207">
                  <c:v>42310</c:v>
                </c:pt>
                <c:pt idx="208">
                  <c:v>42311</c:v>
                </c:pt>
                <c:pt idx="209">
                  <c:v>42312</c:v>
                </c:pt>
                <c:pt idx="210">
                  <c:v>42313</c:v>
                </c:pt>
                <c:pt idx="211">
                  <c:v>42314</c:v>
                </c:pt>
                <c:pt idx="212">
                  <c:v>42317</c:v>
                </c:pt>
                <c:pt idx="213">
                  <c:v>42318</c:v>
                </c:pt>
                <c:pt idx="214">
                  <c:v>42319</c:v>
                </c:pt>
                <c:pt idx="215">
                  <c:v>42320</c:v>
                </c:pt>
                <c:pt idx="216">
                  <c:v>42321</c:v>
                </c:pt>
                <c:pt idx="217">
                  <c:v>42324</c:v>
                </c:pt>
                <c:pt idx="218">
                  <c:v>42326</c:v>
                </c:pt>
                <c:pt idx="219">
                  <c:v>42327</c:v>
                </c:pt>
                <c:pt idx="220">
                  <c:v>42328</c:v>
                </c:pt>
                <c:pt idx="221">
                  <c:v>42331</c:v>
                </c:pt>
                <c:pt idx="222">
                  <c:v>42332</c:v>
                </c:pt>
                <c:pt idx="223">
                  <c:v>42333</c:v>
                </c:pt>
                <c:pt idx="224">
                  <c:v>42334</c:v>
                </c:pt>
                <c:pt idx="225">
                  <c:v>42335</c:v>
                </c:pt>
                <c:pt idx="226">
                  <c:v>42338</c:v>
                </c:pt>
                <c:pt idx="227">
                  <c:v>42339</c:v>
                </c:pt>
                <c:pt idx="228">
                  <c:v>42340</c:v>
                </c:pt>
                <c:pt idx="229">
                  <c:v>42341</c:v>
                </c:pt>
                <c:pt idx="230">
                  <c:v>42342</c:v>
                </c:pt>
                <c:pt idx="231">
                  <c:v>42345</c:v>
                </c:pt>
                <c:pt idx="232">
                  <c:v>42346</c:v>
                </c:pt>
                <c:pt idx="233">
                  <c:v>42347</c:v>
                </c:pt>
                <c:pt idx="234">
                  <c:v>42348</c:v>
                </c:pt>
                <c:pt idx="235">
                  <c:v>42349</c:v>
                </c:pt>
                <c:pt idx="236">
                  <c:v>42352</c:v>
                </c:pt>
                <c:pt idx="237">
                  <c:v>42353</c:v>
                </c:pt>
                <c:pt idx="238">
                  <c:v>42354</c:v>
                </c:pt>
                <c:pt idx="239">
                  <c:v>42355</c:v>
                </c:pt>
                <c:pt idx="240">
                  <c:v>42356</c:v>
                </c:pt>
                <c:pt idx="241">
                  <c:v>42359</c:v>
                </c:pt>
                <c:pt idx="242">
                  <c:v>42360</c:v>
                </c:pt>
                <c:pt idx="243">
                  <c:v>42361</c:v>
                </c:pt>
                <c:pt idx="244">
                  <c:v>42366</c:v>
                </c:pt>
                <c:pt idx="245">
                  <c:v>42367</c:v>
                </c:pt>
                <c:pt idx="246">
                  <c:v>42368</c:v>
                </c:pt>
                <c:pt idx="247">
                  <c:v>42369</c:v>
                </c:pt>
              </c:numCache>
            </c:numRef>
          </c:cat>
          <c:val>
            <c:numRef>
              <c:f>Sheet1!$D$500:$D$747</c:f>
              <c:numCache>
                <c:formatCode>General</c:formatCode>
                <c:ptCount val="248"/>
                <c:pt idx="0">
                  <c:v>4.2138109321723953E-2</c:v>
                </c:pt>
                <c:pt idx="1">
                  <c:v>4.2045353631301768E-2</c:v>
                </c:pt>
                <c:pt idx="2">
                  <c:v>4.2186823346701999E-2</c:v>
                </c:pt>
                <c:pt idx="3">
                  <c:v>4.2526994211516407E-2</c:v>
                </c:pt>
                <c:pt idx="4">
                  <c:v>4.2374893050930118E-2</c:v>
                </c:pt>
                <c:pt idx="5">
                  <c:v>4.2391225339285986E-2</c:v>
                </c:pt>
                <c:pt idx="6">
                  <c:v>4.2547123972605863E-2</c:v>
                </c:pt>
                <c:pt idx="7">
                  <c:v>4.2376214692846449E-2</c:v>
                </c:pt>
                <c:pt idx="8">
                  <c:v>4.2619328805725422E-2</c:v>
                </c:pt>
                <c:pt idx="9">
                  <c:v>4.2819815304354206E-2</c:v>
                </c:pt>
                <c:pt idx="10">
                  <c:v>4.2816196405067466E-2</c:v>
                </c:pt>
                <c:pt idx="11">
                  <c:v>4.2911438515038119E-2</c:v>
                </c:pt>
                <c:pt idx="12">
                  <c:v>4.2997029787713872E-2</c:v>
                </c:pt>
                <c:pt idx="13">
                  <c:v>4.3284338765653997E-2</c:v>
                </c:pt>
                <c:pt idx="14">
                  <c:v>4.3799622332459022E-2</c:v>
                </c:pt>
                <c:pt idx="15">
                  <c:v>4.3779250795403075E-2</c:v>
                </c:pt>
                <c:pt idx="16">
                  <c:v>4.3585444156174637E-2</c:v>
                </c:pt>
                <c:pt idx="17">
                  <c:v>4.3548899176708317E-2</c:v>
                </c:pt>
                <c:pt idx="18">
                  <c:v>4.3491909587546312E-2</c:v>
                </c:pt>
                <c:pt idx="19">
                  <c:v>4.3466087303040725E-2</c:v>
                </c:pt>
                <c:pt idx="20">
                  <c:v>4.3512723493267381E-2</c:v>
                </c:pt>
                <c:pt idx="21">
                  <c:v>4.3545080336120826E-2</c:v>
                </c:pt>
                <c:pt idx="22">
                  <c:v>4.3619181629142766E-2</c:v>
                </c:pt>
                <c:pt idx="23">
                  <c:v>4.3692912855493912E-2</c:v>
                </c:pt>
                <c:pt idx="24">
                  <c:v>4.367455344323553E-2</c:v>
                </c:pt>
                <c:pt idx="25">
                  <c:v>4.3679905392084349E-2</c:v>
                </c:pt>
                <c:pt idx="26">
                  <c:v>4.3683798194624986E-2</c:v>
                </c:pt>
                <c:pt idx="27">
                  <c:v>4.3654140814566325E-2</c:v>
                </c:pt>
                <c:pt idx="28">
                  <c:v>4.3776656334341392E-2</c:v>
                </c:pt>
                <c:pt idx="29">
                  <c:v>4.387922425771007E-2</c:v>
                </c:pt>
                <c:pt idx="30">
                  <c:v>4.3880972996496424E-2</c:v>
                </c:pt>
                <c:pt idx="31">
                  <c:v>4.3824445071592694E-2</c:v>
                </c:pt>
                <c:pt idx="32">
                  <c:v>4.3913779461974146E-2</c:v>
                </c:pt>
                <c:pt idx="33">
                  <c:v>4.3933545172563856E-2</c:v>
                </c:pt>
                <c:pt idx="34">
                  <c:v>4.4023588132161014E-2</c:v>
                </c:pt>
                <c:pt idx="35">
                  <c:v>4.4088607604324329E-2</c:v>
                </c:pt>
                <c:pt idx="36">
                  <c:v>4.4149932918996229E-2</c:v>
                </c:pt>
                <c:pt idx="37">
                  <c:v>4.414615338426741E-2</c:v>
                </c:pt>
                <c:pt idx="38">
                  <c:v>4.4277150921212781E-2</c:v>
                </c:pt>
                <c:pt idx="39">
                  <c:v>4.4333446616391055E-2</c:v>
                </c:pt>
                <c:pt idx="40">
                  <c:v>4.4360342769379286E-2</c:v>
                </c:pt>
                <c:pt idx="41">
                  <c:v>4.4308601844600379E-2</c:v>
                </c:pt>
                <c:pt idx="42">
                  <c:v>4.4380573083705577E-2</c:v>
                </c:pt>
                <c:pt idx="43">
                  <c:v>4.4513416173946448E-2</c:v>
                </c:pt>
                <c:pt idx="44">
                  <c:v>4.4517410444647874E-2</c:v>
                </c:pt>
                <c:pt idx="45">
                  <c:v>4.4567549346321109E-2</c:v>
                </c:pt>
                <c:pt idx="46">
                  <c:v>4.4577382790448511E-2</c:v>
                </c:pt>
                <c:pt idx="47">
                  <c:v>4.4816600791445567E-2</c:v>
                </c:pt>
                <c:pt idx="48">
                  <c:v>4.4871284766945234E-2</c:v>
                </c:pt>
                <c:pt idx="49">
                  <c:v>4.488506096949206E-2</c:v>
                </c:pt>
                <c:pt idx="50">
                  <c:v>4.4997431754304838E-2</c:v>
                </c:pt>
                <c:pt idx="51">
                  <c:v>4.4890000544200802E-2</c:v>
                </c:pt>
                <c:pt idx="52">
                  <c:v>4.4962707914713435E-2</c:v>
                </c:pt>
                <c:pt idx="53">
                  <c:v>4.5010774511345088E-2</c:v>
                </c:pt>
                <c:pt idx="54">
                  <c:v>4.5007457496774254E-2</c:v>
                </c:pt>
                <c:pt idx="55">
                  <c:v>4.4898195008430716E-2</c:v>
                </c:pt>
                <c:pt idx="56">
                  <c:v>4.4877940938620908E-2</c:v>
                </c:pt>
                <c:pt idx="57">
                  <c:v>4.4702761001960849E-2</c:v>
                </c:pt>
                <c:pt idx="58">
                  <c:v>4.4640627421031816E-2</c:v>
                </c:pt>
                <c:pt idx="59">
                  <c:v>4.4701860222994383E-2</c:v>
                </c:pt>
                <c:pt idx="60">
                  <c:v>4.4924222309296102E-2</c:v>
                </c:pt>
                <c:pt idx="61">
                  <c:v>4.4992644505217103E-2</c:v>
                </c:pt>
                <c:pt idx="62">
                  <c:v>4.5001445302967687E-2</c:v>
                </c:pt>
                <c:pt idx="63">
                  <c:v>4.4948436188678068E-2</c:v>
                </c:pt>
                <c:pt idx="64">
                  <c:v>4.51034368486335E-2</c:v>
                </c:pt>
                <c:pt idx="65">
                  <c:v>4.5199587929439393E-2</c:v>
                </c:pt>
                <c:pt idx="66">
                  <c:v>4.5373702807219238E-2</c:v>
                </c:pt>
                <c:pt idx="67">
                  <c:v>4.5657107278582375E-2</c:v>
                </c:pt>
                <c:pt idx="68">
                  <c:v>4.5664272942423909E-2</c:v>
                </c:pt>
                <c:pt idx="69">
                  <c:v>4.5575961155336436E-2</c:v>
                </c:pt>
                <c:pt idx="70">
                  <c:v>4.5668357027095256E-2</c:v>
                </c:pt>
                <c:pt idx="71">
                  <c:v>4.5498228343561584E-2</c:v>
                </c:pt>
                <c:pt idx="72">
                  <c:v>4.5241256649213621E-2</c:v>
                </c:pt>
                <c:pt idx="73">
                  <c:v>4.540947430569528E-2</c:v>
                </c:pt>
                <c:pt idx="74">
                  <c:v>4.5441800110280796E-2</c:v>
                </c:pt>
                <c:pt idx="75">
                  <c:v>4.5410996365668629E-2</c:v>
                </c:pt>
                <c:pt idx="76">
                  <c:v>4.5359850951707227E-2</c:v>
                </c:pt>
                <c:pt idx="77">
                  <c:v>4.5330870366116334E-2</c:v>
                </c:pt>
                <c:pt idx="78">
                  <c:v>4.5410274110375577E-2</c:v>
                </c:pt>
                <c:pt idx="79">
                  <c:v>4.5241503287077087E-2</c:v>
                </c:pt>
                <c:pt idx="80">
                  <c:v>4.487692013547144E-2</c:v>
                </c:pt>
                <c:pt idx="81">
                  <c:v>4.4569064748560365E-2</c:v>
                </c:pt>
                <c:pt idx="82">
                  <c:v>4.4702792756736817E-2</c:v>
                </c:pt>
                <c:pt idx="83">
                  <c:v>4.4520467742749384E-2</c:v>
                </c:pt>
                <c:pt idx="84">
                  <c:v>4.4238850408498454E-2</c:v>
                </c:pt>
                <c:pt idx="85">
                  <c:v>4.4200929906835461E-2</c:v>
                </c:pt>
                <c:pt idx="86">
                  <c:v>4.4532294397255145E-2</c:v>
                </c:pt>
                <c:pt idx="87">
                  <c:v>4.4314267534564709E-2</c:v>
                </c:pt>
                <c:pt idx="88">
                  <c:v>4.4254496581115285E-2</c:v>
                </c:pt>
                <c:pt idx="89">
                  <c:v>4.4219440749732705E-2</c:v>
                </c:pt>
                <c:pt idx="90">
                  <c:v>4.4329047731758116E-2</c:v>
                </c:pt>
                <c:pt idx="91">
                  <c:v>4.4345902298253158E-2</c:v>
                </c:pt>
                <c:pt idx="92">
                  <c:v>4.4647689089744917E-2</c:v>
                </c:pt>
                <c:pt idx="93">
                  <c:v>4.4702869724050284E-2</c:v>
                </c:pt>
                <c:pt idx="94">
                  <c:v>4.4685870320888221E-2</c:v>
                </c:pt>
                <c:pt idx="95">
                  <c:v>4.4699921273237096E-2</c:v>
                </c:pt>
                <c:pt idx="96">
                  <c:v>4.4820395166367509E-2</c:v>
                </c:pt>
                <c:pt idx="97">
                  <c:v>4.4738499090137135E-2</c:v>
                </c:pt>
                <c:pt idx="98">
                  <c:v>4.485439645156427E-2</c:v>
                </c:pt>
                <c:pt idx="99">
                  <c:v>4.4768720610012393E-2</c:v>
                </c:pt>
                <c:pt idx="100">
                  <c:v>4.4575198006342007E-2</c:v>
                </c:pt>
                <c:pt idx="101">
                  <c:v>4.460325684057042E-2</c:v>
                </c:pt>
                <c:pt idx="102">
                  <c:v>4.4334657685031996E-2</c:v>
                </c:pt>
                <c:pt idx="103">
                  <c:v>4.4115771794280507E-2</c:v>
                </c:pt>
                <c:pt idx="104">
                  <c:v>4.383551844949047E-2</c:v>
                </c:pt>
                <c:pt idx="105">
                  <c:v>4.3832886340677849E-2</c:v>
                </c:pt>
                <c:pt idx="106">
                  <c:v>4.3720564491909468E-2</c:v>
                </c:pt>
                <c:pt idx="107">
                  <c:v>4.3538991595592658E-2</c:v>
                </c:pt>
                <c:pt idx="108">
                  <c:v>4.3656365305250008E-2</c:v>
                </c:pt>
                <c:pt idx="109">
                  <c:v>4.3771127783788659E-2</c:v>
                </c:pt>
                <c:pt idx="110">
                  <c:v>4.3676493154024644E-2</c:v>
                </c:pt>
                <c:pt idx="111">
                  <c:v>4.3531341250751948E-2</c:v>
                </c:pt>
                <c:pt idx="112">
                  <c:v>4.3554553922873052E-2</c:v>
                </c:pt>
                <c:pt idx="113">
                  <c:v>4.3478914290795978E-2</c:v>
                </c:pt>
                <c:pt idx="114">
                  <c:v>4.3448021588976829E-2</c:v>
                </c:pt>
                <c:pt idx="115">
                  <c:v>4.355141483490247E-2</c:v>
                </c:pt>
                <c:pt idx="116">
                  <c:v>4.3675657639906496E-2</c:v>
                </c:pt>
                <c:pt idx="117">
                  <c:v>4.3929271687431125E-2</c:v>
                </c:pt>
                <c:pt idx="118">
                  <c:v>4.389276142343667E-2</c:v>
                </c:pt>
                <c:pt idx="119">
                  <c:v>4.3855568545784006E-2</c:v>
                </c:pt>
                <c:pt idx="120">
                  <c:v>4.3816770613994582E-2</c:v>
                </c:pt>
                <c:pt idx="121">
                  <c:v>4.3507930461859308E-2</c:v>
                </c:pt>
                <c:pt idx="122">
                  <c:v>4.3474150668862371E-2</c:v>
                </c:pt>
                <c:pt idx="123">
                  <c:v>4.3661120305076385E-2</c:v>
                </c:pt>
                <c:pt idx="124">
                  <c:v>4.3685296197510284E-2</c:v>
                </c:pt>
                <c:pt idx="125">
                  <c:v>4.3654700406624489E-2</c:v>
                </c:pt>
                <c:pt idx="126">
                  <c:v>4.362214021834037E-2</c:v>
                </c:pt>
                <c:pt idx="127">
                  <c:v>4.3660697352625587E-2</c:v>
                </c:pt>
                <c:pt idx="128">
                  <c:v>4.3460716742120709E-2</c:v>
                </c:pt>
                <c:pt idx="129">
                  <c:v>4.3560041486888683E-2</c:v>
                </c:pt>
                <c:pt idx="130">
                  <c:v>4.3602284027496087E-2</c:v>
                </c:pt>
                <c:pt idx="131">
                  <c:v>4.3936117154948516E-2</c:v>
                </c:pt>
                <c:pt idx="132">
                  <c:v>4.4036221930195837E-2</c:v>
                </c:pt>
                <c:pt idx="133">
                  <c:v>4.4103410182755334E-2</c:v>
                </c:pt>
                <c:pt idx="134">
                  <c:v>4.4361525188248076E-2</c:v>
                </c:pt>
                <c:pt idx="135">
                  <c:v>4.4386354206466423E-2</c:v>
                </c:pt>
                <c:pt idx="136">
                  <c:v>4.4397834754976516E-2</c:v>
                </c:pt>
                <c:pt idx="137">
                  <c:v>4.4294049164948113E-2</c:v>
                </c:pt>
                <c:pt idx="138">
                  <c:v>4.4240178535133852E-2</c:v>
                </c:pt>
                <c:pt idx="139">
                  <c:v>4.4101910631602396E-2</c:v>
                </c:pt>
                <c:pt idx="140">
                  <c:v>4.4046850997476059E-2</c:v>
                </c:pt>
                <c:pt idx="141">
                  <c:v>4.3732688227392381E-2</c:v>
                </c:pt>
                <c:pt idx="142">
                  <c:v>4.3891580006822382E-2</c:v>
                </c:pt>
                <c:pt idx="143">
                  <c:v>4.3994618492439179E-2</c:v>
                </c:pt>
                <c:pt idx="144">
                  <c:v>4.411455009698443E-2</c:v>
                </c:pt>
                <c:pt idx="145">
                  <c:v>4.4130285797367608E-2</c:v>
                </c:pt>
                <c:pt idx="146">
                  <c:v>4.4198713856800874E-2</c:v>
                </c:pt>
                <c:pt idx="147">
                  <c:v>4.4166936878788143E-2</c:v>
                </c:pt>
                <c:pt idx="148">
                  <c:v>4.4288552204728181E-2</c:v>
                </c:pt>
                <c:pt idx="149">
                  <c:v>4.4153459523230132E-2</c:v>
                </c:pt>
                <c:pt idx="150">
                  <c:v>4.4065486392653626E-2</c:v>
                </c:pt>
                <c:pt idx="151">
                  <c:v>4.4169443753033326E-2</c:v>
                </c:pt>
                <c:pt idx="152">
                  <c:v>4.3984050868439185E-2</c:v>
                </c:pt>
                <c:pt idx="153">
                  <c:v>4.3707778080398552E-2</c:v>
                </c:pt>
                <c:pt idx="154">
                  <c:v>4.3826185400693142E-2</c:v>
                </c:pt>
                <c:pt idx="155">
                  <c:v>4.3776933441403022E-2</c:v>
                </c:pt>
                <c:pt idx="156">
                  <c:v>4.3913689249871338E-2</c:v>
                </c:pt>
                <c:pt idx="157">
                  <c:v>4.3941508121028254E-2</c:v>
                </c:pt>
                <c:pt idx="158">
                  <c:v>4.3798863174250982E-2</c:v>
                </c:pt>
                <c:pt idx="159">
                  <c:v>4.344431233945286E-2</c:v>
                </c:pt>
                <c:pt idx="160">
                  <c:v>4.29238689897284E-2</c:v>
                </c:pt>
                <c:pt idx="161">
                  <c:v>4.1975705828551042E-2</c:v>
                </c:pt>
                <c:pt idx="162">
                  <c:v>4.2151635868765094E-2</c:v>
                </c:pt>
                <c:pt idx="163">
                  <c:v>4.2185253807123978E-2</c:v>
                </c:pt>
                <c:pt idx="164">
                  <c:v>4.2805222296741011E-2</c:v>
                </c:pt>
                <c:pt idx="165">
                  <c:v>4.2446251315988316E-2</c:v>
                </c:pt>
                <c:pt idx="166">
                  <c:v>4.2747002993735184E-2</c:v>
                </c:pt>
                <c:pt idx="167">
                  <c:v>4.259153669943639E-2</c:v>
                </c:pt>
                <c:pt idx="168">
                  <c:v>4.257540056621497E-2</c:v>
                </c:pt>
                <c:pt idx="169">
                  <c:v>4.2723082492859797E-2</c:v>
                </c:pt>
                <c:pt idx="170">
                  <c:v>4.2785589144683611E-2</c:v>
                </c:pt>
                <c:pt idx="171">
                  <c:v>4.2665922386394807E-2</c:v>
                </c:pt>
                <c:pt idx="172">
                  <c:v>4.2568689980721872E-2</c:v>
                </c:pt>
                <c:pt idx="173">
                  <c:v>4.2488069195653053E-2</c:v>
                </c:pt>
                <c:pt idx="174">
                  <c:v>4.2728715509141785E-2</c:v>
                </c:pt>
                <c:pt idx="175">
                  <c:v>4.2696123335525311E-2</c:v>
                </c:pt>
                <c:pt idx="176">
                  <c:v>4.251962337883769E-2</c:v>
                </c:pt>
                <c:pt idx="177">
                  <c:v>4.2721981355949318E-2</c:v>
                </c:pt>
                <c:pt idx="178">
                  <c:v>4.2523259078338982E-2</c:v>
                </c:pt>
                <c:pt idx="179">
                  <c:v>4.2475101835197003E-2</c:v>
                </c:pt>
                <c:pt idx="180">
                  <c:v>4.2222818064046826E-2</c:v>
                </c:pt>
                <c:pt idx="181">
                  <c:v>4.2451300899595493E-2</c:v>
                </c:pt>
                <c:pt idx="182">
                  <c:v>4.2153196608523076E-2</c:v>
                </c:pt>
                <c:pt idx="183">
                  <c:v>4.2028370503541315E-2</c:v>
                </c:pt>
                <c:pt idx="184">
                  <c:v>4.2257976338712901E-2</c:v>
                </c:pt>
                <c:pt idx="185">
                  <c:v>4.2319021406196478E-2</c:v>
                </c:pt>
                <c:pt idx="186">
                  <c:v>4.2428598330535104E-2</c:v>
                </c:pt>
                <c:pt idx="187">
                  <c:v>4.2688835770255673E-2</c:v>
                </c:pt>
                <c:pt idx="188">
                  <c:v>4.2727075180827183E-2</c:v>
                </c:pt>
                <c:pt idx="189">
                  <c:v>4.2794000160428766E-2</c:v>
                </c:pt>
                <c:pt idx="190">
                  <c:v>4.2852781868263891E-2</c:v>
                </c:pt>
                <c:pt idx="191">
                  <c:v>4.2839046939404164E-2</c:v>
                </c:pt>
                <c:pt idx="192">
                  <c:v>4.285823770053504E-2</c:v>
                </c:pt>
                <c:pt idx="193">
                  <c:v>4.2768968760162084E-2</c:v>
                </c:pt>
                <c:pt idx="194">
                  <c:v>4.2696725624467177E-2</c:v>
                </c:pt>
                <c:pt idx="195">
                  <c:v>4.2806275332655984E-2</c:v>
                </c:pt>
                <c:pt idx="196">
                  <c:v>4.2997065781363496E-2</c:v>
                </c:pt>
                <c:pt idx="197">
                  <c:v>4.3019798170110986E-2</c:v>
                </c:pt>
                <c:pt idx="198">
                  <c:v>4.2927941998307184E-2</c:v>
                </c:pt>
                <c:pt idx="199">
                  <c:v>4.2942424398508726E-2</c:v>
                </c:pt>
                <c:pt idx="200">
                  <c:v>4.3265185191786369E-2</c:v>
                </c:pt>
                <c:pt idx="201">
                  <c:v>4.3654680841139312E-2</c:v>
                </c:pt>
                <c:pt idx="202">
                  <c:v>4.369049789086922E-2</c:v>
                </c:pt>
                <c:pt idx="203">
                  <c:v>4.3610932586384626E-2</c:v>
                </c:pt>
                <c:pt idx="204">
                  <c:v>4.3702021033061346E-2</c:v>
                </c:pt>
                <c:pt idx="205">
                  <c:v>4.3751739563498801E-2</c:v>
                </c:pt>
                <c:pt idx="206">
                  <c:v>4.3668430544473974E-2</c:v>
                </c:pt>
                <c:pt idx="207">
                  <c:v>4.3702697138709147E-2</c:v>
                </c:pt>
                <c:pt idx="208">
                  <c:v>4.3794226000254691E-2</c:v>
                </c:pt>
                <c:pt idx="209">
                  <c:v>4.3848836996761925E-2</c:v>
                </c:pt>
                <c:pt idx="210">
                  <c:v>4.3816978255313992E-2</c:v>
                </c:pt>
                <c:pt idx="211">
                  <c:v>4.3778653306188783E-2</c:v>
                </c:pt>
                <c:pt idx="212">
                  <c:v>4.3644394936030992E-2</c:v>
                </c:pt>
                <c:pt idx="213">
                  <c:v>4.3770670718837994E-2</c:v>
                </c:pt>
                <c:pt idx="214">
                  <c:v>4.3802292440137787E-2</c:v>
                </c:pt>
                <c:pt idx="215">
                  <c:v>4.3652465545615304E-2</c:v>
                </c:pt>
                <c:pt idx="216">
                  <c:v>4.3525673436024398E-2</c:v>
                </c:pt>
                <c:pt idx="217">
                  <c:v>4.3609660085543657E-2</c:v>
                </c:pt>
                <c:pt idx="218">
                  <c:v>4.393091139543237E-2</c:v>
                </c:pt>
                <c:pt idx="219">
                  <c:v>4.3967003643049236E-2</c:v>
                </c:pt>
                <c:pt idx="220">
                  <c:v>4.4075563143694062E-2</c:v>
                </c:pt>
                <c:pt idx="221">
                  <c:v>4.4083922974499125E-2</c:v>
                </c:pt>
                <c:pt idx="222">
                  <c:v>4.3925333651304264E-2</c:v>
                </c:pt>
                <c:pt idx="223">
                  <c:v>4.4103763081701705E-2</c:v>
                </c:pt>
                <c:pt idx="224">
                  <c:v>4.4168016901793894E-2</c:v>
                </c:pt>
                <c:pt idx="225">
                  <c:v>4.4165062605384352E-2</c:v>
                </c:pt>
                <c:pt idx="226">
                  <c:v>4.417270172059639E-2</c:v>
                </c:pt>
                <c:pt idx="227">
                  <c:v>4.4194557431727864E-2</c:v>
                </c:pt>
                <c:pt idx="228">
                  <c:v>4.4135787740473914E-2</c:v>
                </c:pt>
                <c:pt idx="229">
                  <c:v>4.3566069969382962E-2</c:v>
                </c:pt>
                <c:pt idx="230">
                  <c:v>4.3446147742193852E-2</c:v>
                </c:pt>
                <c:pt idx="231">
                  <c:v>4.3568929369761838E-2</c:v>
                </c:pt>
                <c:pt idx="232">
                  <c:v>4.3366526175822755E-2</c:v>
                </c:pt>
                <c:pt idx="233">
                  <c:v>4.317754559462008E-2</c:v>
                </c:pt>
                <c:pt idx="234">
                  <c:v>4.3170188120318372E-2</c:v>
                </c:pt>
                <c:pt idx="235">
                  <c:v>4.2897995622833543E-2</c:v>
                </c:pt>
                <c:pt idx="236">
                  <c:v>4.2652997005900216E-2</c:v>
                </c:pt>
                <c:pt idx="237">
                  <c:v>4.2912248786856212E-2</c:v>
                </c:pt>
                <c:pt idx="238">
                  <c:v>4.3058440934341163E-2</c:v>
                </c:pt>
                <c:pt idx="239">
                  <c:v>4.3265818156513897E-2</c:v>
                </c:pt>
                <c:pt idx="240">
                  <c:v>4.3160794119843318E-2</c:v>
                </c:pt>
                <c:pt idx="241">
                  <c:v>4.3054526143789164E-2</c:v>
                </c:pt>
                <c:pt idx="242">
                  <c:v>4.3031699834804801E-2</c:v>
                </c:pt>
                <c:pt idx="243">
                  <c:v>4.3295271008764125E-2</c:v>
                </c:pt>
                <c:pt idx="244">
                  <c:v>4.3202982944296038E-2</c:v>
                </c:pt>
                <c:pt idx="245">
                  <c:v>4.3396259605373702E-2</c:v>
                </c:pt>
                <c:pt idx="246">
                  <c:v>4.3343323210210109E-2</c:v>
                </c:pt>
                <c:pt idx="247">
                  <c:v>4.3339969538396902E-2</c:v>
                </c:pt>
              </c:numCache>
            </c:numRef>
          </c:val>
          <c:smooth val="0"/>
          <c:extLst xmlns:c16r2="http://schemas.microsoft.com/office/drawing/2015/06/chart">
            <c:ext xmlns:c16="http://schemas.microsoft.com/office/drawing/2014/chart" uri="{C3380CC4-5D6E-409C-BE32-E72D297353CC}">
              <c16:uniqueId val="{00000001-B9D3-4822-9C24-4EB936227D49}"/>
            </c:ext>
          </c:extLst>
        </c:ser>
        <c:ser>
          <c:idx val="1"/>
          <c:order val="2"/>
          <c:tx>
            <c:strRef>
              <c:f>Sheet1!$C$1</c:f>
              <c:strCache>
                <c:ptCount val="1"/>
                <c:pt idx="0">
                  <c:v>Akciové d.f.</c:v>
                </c:pt>
              </c:strCache>
            </c:strRef>
          </c:tx>
          <c:spPr>
            <a:ln w="25400" cap="rnd">
              <a:solidFill>
                <a:schemeClr val="accent2">
                  <a:lumMod val="60000"/>
                  <a:lumOff val="40000"/>
                </a:schemeClr>
              </a:solidFill>
              <a:round/>
            </a:ln>
            <a:effectLst/>
          </c:spPr>
          <c:marker>
            <c:symbol val="none"/>
          </c:marker>
          <c:cat>
            <c:numRef>
              <c:f>Sheet1!$A$500:$A$747</c:f>
              <c:numCache>
                <c:formatCode>m/d/yyyy</c:formatCode>
                <c:ptCount val="248"/>
                <c:pt idx="0">
                  <c:v>42006</c:v>
                </c:pt>
                <c:pt idx="1">
                  <c:v>42009</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42051</c:v>
                </c:pt>
                <c:pt idx="31">
                  <c:v>42052</c:v>
                </c:pt>
                <c:pt idx="32">
                  <c:v>42053</c:v>
                </c:pt>
                <c:pt idx="33">
                  <c:v>42054</c:v>
                </c:pt>
                <c:pt idx="34">
                  <c:v>42055</c:v>
                </c:pt>
                <c:pt idx="35">
                  <c:v>42058</c:v>
                </c:pt>
                <c:pt idx="36">
                  <c:v>42059</c:v>
                </c:pt>
                <c:pt idx="37">
                  <c:v>42060</c:v>
                </c:pt>
                <c:pt idx="38">
                  <c:v>42061</c:v>
                </c:pt>
                <c:pt idx="39">
                  <c:v>42062</c:v>
                </c:pt>
                <c:pt idx="40">
                  <c:v>42065</c:v>
                </c:pt>
                <c:pt idx="41">
                  <c:v>42066</c:v>
                </c:pt>
                <c:pt idx="42">
                  <c:v>42067</c:v>
                </c:pt>
                <c:pt idx="43">
                  <c:v>42068</c:v>
                </c:pt>
                <c:pt idx="44">
                  <c:v>42069</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42135</c:v>
                </c:pt>
                <c:pt idx="87">
                  <c:v>42136</c:v>
                </c:pt>
                <c:pt idx="88">
                  <c:v>42137</c:v>
                </c:pt>
                <c:pt idx="89">
                  <c:v>42138</c:v>
                </c:pt>
                <c:pt idx="90">
                  <c:v>42139</c:v>
                </c:pt>
                <c:pt idx="91">
                  <c:v>42142</c:v>
                </c:pt>
                <c:pt idx="92">
                  <c:v>42143</c:v>
                </c:pt>
                <c:pt idx="93">
                  <c:v>42144</c:v>
                </c:pt>
                <c:pt idx="94">
                  <c:v>42145</c:v>
                </c:pt>
                <c:pt idx="95">
                  <c:v>42146</c:v>
                </c:pt>
                <c:pt idx="96">
                  <c:v>42149</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42186</c:v>
                </c:pt>
                <c:pt idx="124">
                  <c:v>42187</c:v>
                </c:pt>
                <c:pt idx="125">
                  <c:v>42188</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42247</c:v>
                </c:pt>
                <c:pt idx="165">
                  <c:v>42249</c:v>
                </c:pt>
                <c:pt idx="166">
                  <c:v>42250</c:v>
                </c:pt>
                <c:pt idx="167">
                  <c:v>42251</c:v>
                </c:pt>
                <c:pt idx="168">
                  <c:v>42254</c:v>
                </c:pt>
                <c:pt idx="169">
                  <c:v>42255</c:v>
                </c:pt>
                <c:pt idx="170">
                  <c:v>42256</c:v>
                </c:pt>
                <c:pt idx="171">
                  <c:v>42257</c:v>
                </c:pt>
                <c:pt idx="172">
                  <c:v>42258</c:v>
                </c:pt>
                <c:pt idx="173">
                  <c:v>42261</c:v>
                </c:pt>
                <c:pt idx="174">
                  <c:v>42263</c:v>
                </c:pt>
                <c:pt idx="175">
                  <c:v>42264</c:v>
                </c:pt>
                <c:pt idx="176">
                  <c:v>42265</c:v>
                </c:pt>
                <c:pt idx="177">
                  <c:v>42268</c:v>
                </c:pt>
                <c:pt idx="178">
                  <c:v>42269</c:v>
                </c:pt>
                <c:pt idx="179">
                  <c:v>42270</c:v>
                </c:pt>
                <c:pt idx="180">
                  <c:v>42271</c:v>
                </c:pt>
                <c:pt idx="181">
                  <c:v>42272</c:v>
                </c:pt>
                <c:pt idx="182">
                  <c:v>42275</c:v>
                </c:pt>
                <c:pt idx="183">
                  <c:v>42276</c:v>
                </c:pt>
                <c:pt idx="184">
                  <c:v>42277</c:v>
                </c:pt>
                <c:pt idx="185">
                  <c:v>42278</c:v>
                </c:pt>
                <c:pt idx="186">
                  <c:v>42279</c:v>
                </c:pt>
                <c:pt idx="187">
                  <c:v>42282</c:v>
                </c:pt>
                <c:pt idx="188">
                  <c:v>42283</c:v>
                </c:pt>
                <c:pt idx="189">
                  <c:v>42284</c:v>
                </c:pt>
                <c:pt idx="190">
                  <c:v>42285</c:v>
                </c:pt>
                <c:pt idx="191">
                  <c:v>42286</c:v>
                </c:pt>
                <c:pt idx="192">
                  <c:v>42289</c:v>
                </c:pt>
                <c:pt idx="193">
                  <c:v>42290</c:v>
                </c:pt>
                <c:pt idx="194">
                  <c:v>42291</c:v>
                </c:pt>
                <c:pt idx="195">
                  <c:v>42292</c:v>
                </c:pt>
                <c:pt idx="196">
                  <c:v>42293</c:v>
                </c:pt>
                <c:pt idx="197">
                  <c:v>42296</c:v>
                </c:pt>
                <c:pt idx="198">
                  <c:v>42297</c:v>
                </c:pt>
                <c:pt idx="199">
                  <c:v>42298</c:v>
                </c:pt>
                <c:pt idx="200">
                  <c:v>42299</c:v>
                </c:pt>
                <c:pt idx="201">
                  <c:v>42300</c:v>
                </c:pt>
                <c:pt idx="202">
                  <c:v>42303</c:v>
                </c:pt>
                <c:pt idx="203">
                  <c:v>42304</c:v>
                </c:pt>
                <c:pt idx="204">
                  <c:v>42305</c:v>
                </c:pt>
                <c:pt idx="205">
                  <c:v>42306</c:v>
                </c:pt>
                <c:pt idx="206">
                  <c:v>42307</c:v>
                </c:pt>
                <c:pt idx="207">
                  <c:v>42310</c:v>
                </c:pt>
                <c:pt idx="208">
                  <c:v>42311</c:v>
                </c:pt>
                <c:pt idx="209">
                  <c:v>42312</c:v>
                </c:pt>
                <c:pt idx="210">
                  <c:v>42313</c:v>
                </c:pt>
                <c:pt idx="211">
                  <c:v>42314</c:v>
                </c:pt>
                <c:pt idx="212">
                  <c:v>42317</c:v>
                </c:pt>
                <c:pt idx="213">
                  <c:v>42318</c:v>
                </c:pt>
                <c:pt idx="214">
                  <c:v>42319</c:v>
                </c:pt>
                <c:pt idx="215">
                  <c:v>42320</c:v>
                </c:pt>
                <c:pt idx="216">
                  <c:v>42321</c:v>
                </c:pt>
                <c:pt idx="217">
                  <c:v>42324</c:v>
                </c:pt>
                <c:pt idx="218">
                  <c:v>42326</c:v>
                </c:pt>
                <c:pt idx="219">
                  <c:v>42327</c:v>
                </c:pt>
                <c:pt idx="220">
                  <c:v>42328</c:v>
                </c:pt>
                <c:pt idx="221">
                  <c:v>42331</c:v>
                </c:pt>
                <c:pt idx="222">
                  <c:v>42332</c:v>
                </c:pt>
                <c:pt idx="223">
                  <c:v>42333</c:v>
                </c:pt>
                <c:pt idx="224">
                  <c:v>42334</c:v>
                </c:pt>
                <c:pt idx="225">
                  <c:v>42335</c:v>
                </c:pt>
                <c:pt idx="226">
                  <c:v>42338</c:v>
                </c:pt>
                <c:pt idx="227">
                  <c:v>42339</c:v>
                </c:pt>
                <c:pt idx="228">
                  <c:v>42340</c:v>
                </c:pt>
                <c:pt idx="229">
                  <c:v>42341</c:v>
                </c:pt>
                <c:pt idx="230">
                  <c:v>42342</c:v>
                </c:pt>
                <c:pt idx="231">
                  <c:v>42345</c:v>
                </c:pt>
                <c:pt idx="232">
                  <c:v>42346</c:v>
                </c:pt>
                <c:pt idx="233">
                  <c:v>42347</c:v>
                </c:pt>
                <c:pt idx="234">
                  <c:v>42348</c:v>
                </c:pt>
                <c:pt idx="235">
                  <c:v>42349</c:v>
                </c:pt>
                <c:pt idx="236">
                  <c:v>42352</c:v>
                </c:pt>
                <c:pt idx="237">
                  <c:v>42353</c:v>
                </c:pt>
                <c:pt idx="238">
                  <c:v>42354</c:v>
                </c:pt>
                <c:pt idx="239">
                  <c:v>42355</c:v>
                </c:pt>
                <c:pt idx="240">
                  <c:v>42356</c:v>
                </c:pt>
                <c:pt idx="241">
                  <c:v>42359</c:v>
                </c:pt>
                <c:pt idx="242">
                  <c:v>42360</c:v>
                </c:pt>
                <c:pt idx="243">
                  <c:v>42361</c:v>
                </c:pt>
                <c:pt idx="244">
                  <c:v>42366</c:v>
                </c:pt>
                <c:pt idx="245">
                  <c:v>42367</c:v>
                </c:pt>
                <c:pt idx="246">
                  <c:v>42368</c:v>
                </c:pt>
                <c:pt idx="247">
                  <c:v>42369</c:v>
                </c:pt>
              </c:numCache>
            </c:numRef>
          </c:cat>
          <c:val>
            <c:numRef>
              <c:f>Sheet1!$C$500:$C$747</c:f>
              <c:numCache>
                <c:formatCode>General</c:formatCode>
                <c:ptCount val="248"/>
                <c:pt idx="0">
                  <c:v>4.1946704166361787E-2</c:v>
                </c:pt>
                <c:pt idx="1">
                  <c:v>4.1729657721580167E-2</c:v>
                </c:pt>
                <c:pt idx="2">
                  <c:v>4.1865923104321884E-2</c:v>
                </c:pt>
                <c:pt idx="3">
                  <c:v>4.2341229913941798E-2</c:v>
                </c:pt>
                <c:pt idx="4">
                  <c:v>4.2109749051618864E-2</c:v>
                </c:pt>
                <c:pt idx="5">
                  <c:v>4.2058105499449314E-2</c:v>
                </c:pt>
                <c:pt idx="6">
                  <c:v>4.2228187345923464E-2</c:v>
                </c:pt>
                <c:pt idx="7">
                  <c:v>4.2002774783881966E-2</c:v>
                </c:pt>
                <c:pt idx="8">
                  <c:v>4.2282116447960087E-2</c:v>
                </c:pt>
                <c:pt idx="9">
                  <c:v>4.2580241112021827E-2</c:v>
                </c:pt>
                <c:pt idx="10">
                  <c:v>4.2586194498046785E-2</c:v>
                </c:pt>
                <c:pt idx="11">
                  <c:v>4.269347521574874E-2</c:v>
                </c:pt>
                <c:pt idx="12">
                  <c:v>4.2845807221998614E-2</c:v>
                </c:pt>
                <c:pt idx="13">
                  <c:v>4.3164563660169825E-2</c:v>
                </c:pt>
                <c:pt idx="14">
                  <c:v>4.3766121777195181E-2</c:v>
                </c:pt>
                <c:pt idx="15">
                  <c:v>4.3749550132854899E-2</c:v>
                </c:pt>
                <c:pt idx="16">
                  <c:v>4.3485677389033396E-2</c:v>
                </c:pt>
                <c:pt idx="17">
                  <c:v>4.3360299450387593E-2</c:v>
                </c:pt>
                <c:pt idx="18">
                  <c:v>4.3366361558491315E-2</c:v>
                </c:pt>
                <c:pt idx="19">
                  <c:v>4.3233440901167736E-2</c:v>
                </c:pt>
                <c:pt idx="20">
                  <c:v>4.3374127215074096E-2</c:v>
                </c:pt>
                <c:pt idx="21">
                  <c:v>4.3498316186470105E-2</c:v>
                </c:pt>
                <c:pt idx="22">
                  <c:v>4.3504145242923557E-2</c:v>
                </c:pt>
                <c:pt idx="23">
                  <c:v>4.3666800329604877E-2</c:v>
                </c:pt>
                <c:pt idx="24">
                  <c:v>4.3646724733904303E-2</c:v>
                </c:pt>
                <c:pt idx="25">
                  <c:v>4.3713496297640597E-2</c:v>
                </c:pt>
                <c:pt idx="26">
                  <c:v>4.380844527664652E-2</c:v>
                </c:pt>
                <c:pt idx="27">
                  <c:v>4.3755011029301925E-2</c:v>
                </c:pt>
                <c:pt idx="28">
                  <c:v>4.3940254789458975E-2</c:v>
                </c:pt>
                <c:pt idx="29">
                  <c:v>4.4040427971392904E-2</c:v>
                </c:pt>
                <c:pt idx="30">
                  <c:v>4.4038026450678801E-2</c:v>
                </c:pt>
                <c:pt idx="31">
                  <c:v>4.4017096034265409E-2</c:v>
                </c:pt>
                <c:pt idx="32">
                  <c:v>4.4136149890735263E-2</c:v>
                </c:pt>
                <c:pt idx="33">
                  <c:v>4.4153544602043834E-2</c:v>
                </c:pt>
                <c:pt idx="34">
                  <c:v>4.4346613177800712E-2</c:v>
                </c:pt>
                <c:pt idx="35">
                  <c:v>4.4404365766031878E-2</c:v>
                </c:pt>
                <c:pt idx="36">
                  <c:v>4.4482581993745537E-2</c:v>
                </c:pt>
                <c:pt idx="37">
                  <c:v>4.4477814152850965E-2</c:v>
                </c:pt>
                <c:pt idx="38">
                  <c:v>4.4633553602089406E-2</c:v>
                </c:pt>
                <c:pt idx="39">
                  <c:v>4.4725528718851118E-2</c:v>
                </c:pt>
                <c:pt idx="40">
                  <c:v>4.4761846193597091E-2</c:v>
                </c:pt>
                <c:pt idx="41">
                  <c:v>4.4704084563294069E-2</c:v>
                </c:pt>
                <c:pt idx="42">
                  <c:v>4.4775123494092912E-2</c:v>
                </c:pt>
                <c:pt idx="43">
                  <c:v>4.4976890818484903E-2</c:v>
                </c:pt>
                <c:pt idx="44">
                  <c:v>4.4985546831495256E-2</c:v>
                </c:pt>
                <c:pt idx="45">
                  <c:v>4.5082689774223632E-2</c:v>
                </c:pt>
                <c:pt idx="46">
                  <c:v>4.4968813168570237E-2</c:v>
                </c:pt>
                <c:pt idx="47">
                  <c:v>4.5324118273808195E-2</c:v>
                </c:pt>
                <c:pt idx="48">
                  <c:v>4.5475537417278153E-2</c:v>
                </c:pt>
                <c:pt idx="49">
                  <c:v>4.5478255138596088E-2</c:v>
                </c:pt>
                <c:pt idx="50">
                  <c:v>4.5722147405810223E-2</c:v>
                </c:pt>
                <c:pt idx="51">
                  <c:v>4.5588992720997486E-2</c:v>
                </c:pt>
                <c:pt idx="52">
                  <c:v>4.5817751201088178E-2</c:v>
                </c:pt>
                <c:pt idx="53">
                  <c:v>4.5780247287544061E-2</c:v>
                </c:pt>
                <c:pt idx="54">
                  <c:v>4.5808874768627876E-2</c:v>
                </c:pt>
                <c:pt idx="55">
                  <c:v>4.5607091237238939E-2</c:v>
                </c:pt>
                <c:pt idx="56">
                  <c:v>4.5510435717787172E-2</c:v>
                </c:pt>
                <c:pt idx="57">
                  <c:v>4.5169869118154279E-2</c:v>
                </c:pt>
                <c:pt idx="58">
                  <c:v>4.4990989402745617E-2</c:v>
                </c:pt>
                <c:pt idx="59">
                  <c:v>4.5150427340689032E-2</c:v>
                </c:pt>
                <c:pt idx="60">
                  <c:v>4.5500125042691325E-2</c:v>
                </c:pt>
                <c:pt idx="61">
                  <c:v>4.5559631154780143E-2</c:v>
                </c:pt>
                <c:pt idx="62">
                  <c:v>4.5529559117650699E-2</c:v>
                </c:pt>
                <c:pt idx="63">
                  <c:v>4.5488031993968038E-2</c:v>
                </c:pt>
                <c:pt idx="64">
                  <c:v>4.5754428214254052E-2</c:v>
                </c:pt>
                <c:pt idx="65">
                  <c:v>4.5902325331009457E-2</c:v>
                </c:pt>
                <c:pt idx="66">
                  <c:v>4.6219749955655844E-2</c:v>
                </c:pt>
                <c:pt idx="67">
                  <c:v>4.6676278747450978E-2</c:v>
                </c:pt>
                <c:pt idx="68">
                  <c:v>4.6706208362681738E-2</c:v>
                </c:pt>
                <c:pt idx="69">
                  <c:v>4.6639950298083724E-2</c:v>
                </c:pt>
                <c:pt idx="70">
                  <c:v>4.6764589637681382E-2</c:v>
                </c:pt>
                <c:pt idx="71">
                  <c:v>4.656423402318742E-2</c:v>
                </c:pt>
                <c:pt idx="72">
                  <c:v>4.6051511347137315E-2</c:v>
                </c:pt>
                <c:pt idx="73">
                  <c:v>4.6287364082426376E-2</c:v>
                </c:pt>
                <c:pt idx="74">
                  <c:v>4.6404704623421868E-2</c:v>
                </c:pt>
                <c:pt idx="75">
                  <c:v>4.6414519801734583E-2</c:v>
                </c:pt>
                <c:pt idx="76">
                  <c:v>4.6406181254534169E-2</c:v>
                </c:pt>
                <c:pt idx="77">
                  <c:v>4.6402583373147288E-2</c:v>
                </c:pt>
                <c:pt idx="78">
                  <c:v>4.6470095026097898E-2</c:v>
                </c:pt>
                <c:pt idx="79">
                  <c:v>4.6231722197339946E-2</c:v>
                </c:pt>
                <c:pt idx="80">
                  <c:v>4.571591926433085E-2</c:v>
                </c:pt>
                <c:pt idx="81">
                  <c:v>4.5114817162178883E-2</c:v>
                </c:pt>
                <c:pt idx="82">
                  <c:v>4.5326491783969289E-2</c:v>
                </c:pt>
                <c:pt idx="83">
                  <c:v>4.508961470334049E-2</c:v>
                </c:pt>
                <c:pt idx="84">
                  <c:v>4.4699196213132918E-2</c:v>
                </c:pt>
                <c:pt idx="85">
                  <c:v>4.4602625162407226E-2</c:v>
                </c:pt>
                <c:pt idx="86">
                  <c:v>4.5271698475667449E-2</c:v>
                </c:pt>
                <c:pt idx="87">
                  <c:v>4.4967865218612506E-2</c:v>
                </c:pt>
                <c:pt idx="88">
                  <c:v>4.4901485103223261E-2</c:v>
                </c:pt>
                <c:pt idx="89">
                  <c:v>4.4835897875603416E-2</c:v>
                </c:pt>
                <c:pt idx="90">
                  <c:v>4.4936675760036481E-2</c:v>
                </c:pt>
                <c:pt idx="91">
                  <c:v>4.4951173344735709E-2</c:v>
                </c:pt>
                <c:pt idx="92">
                  <c:v>4.5408559917984467E-2</c:v>
                </c:pt>
                <c:pt idx="93">
                  <c:v>4.5571911086203482E-2</c:v>
                </c:pt>
                <c:pt idx="94">
                  <c:v>4.5632248094279182E-2</c:v>
                </c:pt>
                <c:pt idx="95">
                  <c:v>4.5618696461539099E-2</c:v>
                </c:pt>
                <c:pt idx="96">
                  <c:v>4.5852955099912739E-2</c:v>
                </c:pt>
                <c:pt idx="97">
                  <c:v>4.5705945225632864E-2</c:v>
                </c:pt>
                <c:pt idx="98">
                  <c:v>4.5945372754595676E-2</c:v>
                </c:pt>
                <c:pt idx="99">
                  <c:v>4.5839760411683292E-2</c:v>
                </c:pt>
                <c:pt idx="100">
                  <c:v>4.5479220674181017E-2</c:v>
                </c:pt>
                <c:pt idx="101">
                  <c:v>4.5475013152974454E-2</c:v>
                </c:pt>
                <c:pt idx="102">
                  <c:v>4.5186144969218085E-2</c:v>
                </c:pt>
                <c:pt idx="103">
                  <c:v>4.4920045248825986E-2</c:v>
                </c:pt>
                <c:pt idx="104">
                  <c:v>4.4426261795571687E-2</c:v>
                </c:pt>
                <c:pt idx="105">
                  <c:v>4.4441859907448013E-2</c:v>
                </c:pt>
                <c:pt idx="106">
                  <c:v>4.4295184983025433E-2</c:v>
                </c:pt>
                <c:pt idx="107">
                  <c:v>4.4033222779539083E-2</c:v>
                </c:pt>
                <c:pt idx="108">
                  <c:v>4.4322158095748077E-2</c:v>
                </c:pt>
                <c:pt idx="109">
                  <c:v>4.4531430477544522E-2</c:v>
                </c:pt>
                <c:pt idx="110">
                  <c:v>4.4391918011712675E-2</c:v>
                </c:pt>
                <c:pt idx="111">
                  <c:v>4.4120376724121856E-2</c:v>
                </c:pt>
                <c:pt idx="112">
                  <c:v>4.4183634523638146E-2</c:v>
                </c:pt>
                <c:pt idx="113">
                  <c:v>4.4084725790850467E-2</c:v>
                </c:pt>
                <c:pt idx="114">
                  <c:v>4.4058679080811389E-2</c:v>
                </c:pt>
                <c:pt idx="115">
                  <c:v>4.4177598144087213E-2</c:v>
                </c:pt>
                <c:pt idx="116">
                  <c:v>4.4424400322092071E-2</c:v>
                </c:pt>
                <c:pt idx="117">
                  <c:v>4.4820570188714624E-2</c:v>
                </c:pt>
                <c:pt idx="118">
                  <c:v>4.4730375354829037E-2</c:v>
                </c:pt>
                <c:pt idx="119">
                  <c:v>4.469372360803088E-2</c:v>
                </c:pt>
                <c:pt idx="120">
                  <c:v>4.463262781736576E-2</c:v>
                </c:pt>
                <c:pt idx="121">
                  <c:v>4.4122157457730377E-2</c:v>
                </c:pt>
                <c:pt idx="122">
                  <c:v>4.3978166361438892E-2</c:v>
                </c:pt>
                <c:pt idx="123">
                  <c:v>4.4268487451715306E-2</c:v>
                </c:pt>
                <c:pt idx="124">
                  <c:v>4.4322591952689602E-2</c:v>
                </c:pt>
                <c:pt idx="125">
                  <c:v>4.4246093749704403E-2</c:v>
                </c:pt>
                <c:pt idx="126">
                  <c:v>4.4122324388663689E-2</c:v>
                </c:pt>
                <c:pt idx="127">
                  <c:v>4.4101370720871107E-2</c:v>
                </c:pt>
                <c:pt idx="128">
                  <c:v>4.3701232300233789E-2</c:v>
                </c:pt>
                <c:pt idx="129">
                  <c:v>4.3864923480035033E-2</c:v>
                </c:pt>
                <c:pt idx="130">
                  <c:v>4.40379441056113E-2</c:v>
                </c:pt>
                <c:pt idx="131">
                  <c:v>4.4623078671153366E-2</c:v>
                </c:pt>
                <c:pt idx="132">
                  <c:v>4.4861795406685862E-2</c:v>
                </c:pt>
                <c:pt idx="133">
                  <c:v>4.4948626802561321E-2</c:v>
                </c:pt>
                <c:pt idx="134">
                  <c:v>4.5407523807440869E-2</c:v>
                </c:pt>
                <c:pt idx="135">
                  <c:v>4.5437617549968577E-2</c:v>
                </c:pt>
                <c:pt idx="136">
                  <c:v>4.5510702708932003E-2</c:v>
                </c:pt>
                <c:pt idx="137">
                  <c:v>4.533024024821708E-2</c:v>
                </c:pt>
                <c:pt idx="138">
                  <c:v>4.5139336794211102E-2</c:v>
                </c:pt>
                <c:pt idx="139">
                  <c:v>4.4903947598186986E-2</c:v>
                </c:pt>
                <c:pt idx="140">
                  <c:v>4.4687641461909837E-2</c:v>
                </c:pt>
                <c:pt idx="141">
                  <c:v>4.4132476381086513E-2</c:v>
                </c:pt>
                <c:pt idx="142">
                  <c:v>4.4381348203597557E-2</c:v>
                </c:pt>
                <c:pt idx="143">
                  <c:v>4.4646798264046973E-2</c:v>
                </c:pt>
                <c:pt idx="144">
                  <c:v>4.4851948980871054E-2</c:v>
                </c:pt>
                <c:pt idx="145">
                  <c:v>4.4899695330577118E-2</c:v>
                </c:pt>
                <c:pt idx="146">
                  <c:v>4.4897996048886307E-2</c:v>
                </c:pt>
                <c:pt idx="147">
                  <c:v>4.4869135134309589E-2</c:v>
                </c:pt>
                <c:pt idx="148">
                  <c:v>4.5163939140742924E-2</c:v>
                </c:pt>
                <c:pt idx="149">
                  <c:v>4.4984427037046214E-2</c:v>
                </c:pt>
                <c:pt idx="150">
                  <c:v>4.4758223793108891E-2</c:v>
                </c:pt>
                <c:pt idx="151">
                  <c:v>4.4978236927442031E-2</c:v>
                </c:pt>
                <c:pt idx="152">
                  <c:v>4.4566848364334659E-2</c:v>
                </c:pt>
                <c:pt idx="153">
                  <c:v>4.4055822027193242E-2</c:v>
                </c:pt>
                <c:pt idx="154">
                  <c:v>4.4179592498144654E-2</c:v>
                </c:pt>
                <c:pt idx="155">
                  <c:v>4.4120063723166382E-2</c:v>
                </c:pt>
                <c:pt idx="156">
                  <c:v>4.4304446478415901E-2</c:v>
                </c:pt>
                <c:pt idx="157">
                  <c:v>4.4324686380962021E-2</c:v>
                </c:pt>
                <c:pt idx="158">
                  <c:v>4.4044062371903447E-2</c:v>
                </c:pt>
                <c:pt idx="159">
                  <c:v>4.3357088541612993E-2</c:v>
                </c:pt>
                <c:pt idx="160">
                  <c:v>4.2394888800178311E-2</c:v>
                </c:pt>
                <c:pt idx="161">
                  <c:v>4.0889213485439231E-2</c:v>
                </c:pt>
                <c:pt idx="162">
                  <c:v>4.1092704917503851E-2</c:v>
                </c:pt>
                <c:pt idx="163">
                  <c:v>4.134058797918478E-2</c:v>
                </c:pt>
                <c:pt idx="164">
                  <c:v>4.2430877886537245E-2</c:v>
                </c:pt>
                <c:pt idx="165">
                  <c:v>4.1773251261230437E-2</c:v>
                </c:pt>
                <c:pt idx="166">
                  <c:v>4.2198012888884154E-2</c:v>
                </c:pt>
                <c:pt idx="167">
                  <c:v>4.1886894893119468E-2</c:v>
                </c:pt>
                <c:pt idx="168">
                  <c:v>4.1861377810630034E-2</c:v>
                </c:pt>
                <c:pt idx="169">
                  <c:v>4.220093381638082E-2</c:v>
                </c:pt>
                <c:pt idx="170">
                  <c:v>4.2351102248176696E-2</c:v>
                </c:pt>
                <c:pt idx="171">
                  <c:v>4.214734616408039E-2</c:v>
                </c:pt>
                <c:pt idx="172">
                  <c:v>4.1961769987747567E-2</c:v>
                </c:pt>
                <c:pt idx="173">
                  <c:v>4.1809554425947699E-2</c:v>
                </c:pt>
                <c:pt idx="174">
                  <c:v>4.2376377947149567E-2</c:v>
                </c:pt>
                <c:pt idx="175">
                  <c:v>4.2301572994885198E-2</c:v>
                </c:pt>
                <c:pt idx="176">
                  <c:v>4.1842792477919395E-2</c:v>
                </c:pt>
                <c:pt idx="177">
                  <c:v>4.2096994327495085E-2</c:v>
                </c:pt>
                <c:pt idx="178">
                  <c:v>4.180197539449567E-2</c:v>
                </c:pt>
                <c:pt idx="179">
                  <c:v>4.1674576288035073E-2</c:v>
                </c:pt>
                <c:pt idx="180">
                  <c:v>4.1286333298531687E-2</c:v>
                </c:pt>
                <c:pt idx="181">
                  <c:v>4.1614285802332875E-2</c:v>
                </c:pt>
                <c:pt idx="182">
                  <c:v>4.1142083092890087E-2</c:v>
                </c:pt>
                <c:pt idx="183">
                  <c:v>4.0899496144140193E-2</c:v>
                </c:pt>
                <c:pt idx="184">
                  <c:v>4.1329245588562651E-2</c:v>
                </c:pt>
                <c:pt idx="185">
                  <c:v>4.1479854742019248E-2</c:v>
                </c:pt>
                <c:pt idx="186">
                  <c:v>4.1672525452139363E-2</c:v>
                </c:pt>
                <c:pt idx="187">
                  <c:v>4.2157356443901429E-2</c:v>
                </c:pt>
                <c:pt idx="188">
                  <c:v>4.2275191635005017E-2</c:v>
                </c:pt>
                <c:pt idx="189">
                  <c:v>4.2411135570058052E-2</c:v>
                </c:pt>
                <c:pt idx="190">
                  <c:v>4.2570141118485567E-2</c:v>
                </c:pt>
                <c:pt idx="191">
                  <c:v>4.2545110557939692E-2</c:v>
                </c:pt>
                <c:pt idx="192">
                  <c:v>4.2511123567126476E-2</c:v>
                </c:pt>
                <c:pt idx="193">
                  <c:v>4.2314592771577619E-2</c:v>
                </c:pt>
                <c:pt idx="194">
                  <c:v>4.2112886361057797E-2</c:v>
                </c:pt>
                <c:pt idx="195">
                  <c:v>4.2372401197113337E-2</c:v>
                </c:pt>
                <c:pt idx="196">
                  <c:v>4.2648493540213973E-2</c:v>
                </c:pt>
                <c:pt idx="197">
                  <c:v>4.2667731048535426E-2</c:v>
                </c:pt>
                <c:pt idx="198">
                  <c:v>4.2575368303440206E-2</c:v>
                </c:pt>
                <c:pt idx="199">
                  <c:v>4.2549382120965158E-2</c:v>
                </c:pt>
                <c:pt idx="200">
                  <c:v>4.3008353579828899E-2</c:v>
                </c:pt>
                <c:pt idx="201">
                  <c:v>4.3699442861515815E-2</c:v>
                </c:pt>
                <c:pt idx="202">
                  <c:v>4.3779443208570877E-2</c:v>
                </c:pt>
                <c:pt idx="203">
                  <c:v>4.3551227671177375E-2</c:v>
                </c:pt>
                <c:pt idx="204">
                  <c:v>4.3710264189582022E-2</c:v>
                </c:pt>
                <c:pt idx="205">
                  <c:v>4.382817496426579E-2</c:v>
                </c:pt>
                <c:pt idx="206">
                  <c:v>4.3708398209908579E-2</c:v>
                </c:pt>
                <c:pt idx="207">
                  <c:v>4.3805352147155412E-2</c:v>
                </c:pt>
                <c:pt idx="208">
                  <c:v>4.4045111806931145E-2</c:v>
                </c:pt>
                <c:pt idx="209">
                  <c:v>4.4138942969869262E-2</c:v>
                </c:pt>
                <c:pt idx="210">
                  <c:v>4.41347768560141E-2</c:v>
                </c:pt>
                <c:pt idx="211">
                  <c:v>4.4148851734320857E-2</c:v>
                </c:pt>
                <c:pt idx="212">
                  <c:v>4.4008171291830114E-2</c:v>
                </c:pt>
                <c:pt idx="213">
                  <c:v>4.41490037845692E-2</c:v>
                </c:pt>
                <c:pt idx="214">
                  <c:v>4.4164992542789043E-2</c:v>
                </c:pt>
                <c:pt idx="215">
                  <c:v>4.3825611318457393E-2</c:v>
                </c:pt>
                <c:pt idx="216">
                  <c:v>4.3494938197388727E-2</c:v>
                </c:pt>
                <c:pt idx="217">
                  <c:v>4.3695382232064248E-2</c:v>
                </c:pt>
                <c:pt idx="218">
                  <c:v>4.4248069172012648E-2</c:v>
                </c:pt>
                <c:pt idx="219">
                  <c:v>4.4322348007331404E-2</c:v>
                </c:pt>
                <c:pt idx="220">
                  <c:v>4.4450941667265383E-2</c:v>
                </c:pt>
                <c:pt idx="221">
                  <c:v>4.4499952565054665E-2</c:v>
                </c:pt>
                <c:pt idx="222">
                  <c:v>4.4360650667743293E-2</c:v>
                </c:pt>
                <c:pt idx="223">
                  <c:v>4.4566214812676377E-2</c:v>
                </c:pt>
                <c:pt idx="224">
                  <c:v>4.4668474802611817E-2</c:v>
                </c:pt>
                <c:pt idx="225">
                  <c:v>4.4632933169342838E-2</c:v>
                </c:pt>
                <c:pt idx="226">
                  <c:v>4.4616177289589831E-2</c:v>
                </c:pt>
                <c:pt idx="227">
                  <c:v>4.4695381233286334E-2</c:v>
                </c:pt>
                <c:pt idx="228">
                  <c:v>4.4574988584735839E-2</c:v>
                </c:pt>
                <c:pt idx="229">
                  <c:v>4.385528285407482E-2</c:v>
                </c:pt>
                <c:pt idx="230">
                  <c:v>4.3544622798984099E-2</c:v>
                </c:pt>
                <c:pt idx="231">
                  <c:v>4.36414381757569E-2</c:v>
                </c:pt>
                <c:pt idx="232">
                  <c:v>4.3274085271291285E-2</c:v>
                </c:pt>
                <c:pt idx="233">
                  <c:v>4.2976269380236395E-2</c:v>
                </c:pt>
                <c:pt idx="234">
                  <c:v>4.2948116293935336E-2</c:v>
                </c:pt>
                <c:pt idx="235">
                  <c:v>4.2496190633324729E-2</c:v>
                </c:pt>
                <c:pt idx="236">
                  <c:v>4.2185972036253294E-2</c:v>
                </c:pt>
                <c:pt idx="237">
                  <c:v>4.2566314249252175E-2</c:v>
                </c:pt>
                <c:pt idx="238">
                  <c:v>4.2909667078979787E-2</c:v>
                </c:pt>
                <c:pt idx="239">
                  <c:v>4.3097248553777487E-2</c:v>
                </c:pt>
                <c:pt idx="240">
                  <c:v>4.2847862248866712E-2</c:v>
                </c:pt>
                <c:pt idx="241">
                  <c:v>4.2667100657605483E-2</c:v>
                </c:pt>
                <c:pt idx="242">
                  <c:v>4.2670092365531674E-2</c:v>
                </c:pt>
                <c:pt idx="243">
                  <c:v>4.3191025051729233E-2</c:v>
                </c:pt>
                <c:pt idx="244">
                  <c:v>4.2988997083347837E-2</c:v>
                </c:pt>
                <c:pt idx="245">
                  <c:v>4.3267242507001209E-2</c:v>
                </c:pt>
                <c:pt idx="246">
                  <c:v>4.3200948750532403E-2</c:v>
                </c:pt>
                <c:pt idx="247">
                  <c:v>4.3145429847728498E-2</c:v>
                </c:pt>
              </c:numCache>
            </c:numRef>
          </c:val>
          <c:smooth val="0"/>
          <c:extLst xmlns:c16r2="http://schemas.microsoft.com/office/drawing/2015/06/chart">
            <c:ext xmlns:c16="http://schemas.microsoft.com/office/drawing/2014/chart" uri="{C3380CC4-5D6E-409C-BE32-E72D297353CC}">
              <c16:uniqueId val="{00000002-B9D3-4822-9C24-4EB936227D49}"/>
            </c:ext>
          </c:extLst>
        </c:ser>
        <c:ser>
          <c:idx val="3"/>
          <c:order val="3"/>
          <c:tx>
            <c:strRef>
              <c:f>Sheet1!$E$1</c:f>
              <c:strCache>
                <c:ptCount val="1"/>
                <c:pt idx="0">
                  <c:v>Indexové d.f.</c:v>
                </c:pt>
              </c:strCache>
            </c:strRef>
          </c:tx>
          <c:spPr>
            <a:ln w="25400" cap="rnd">
              <a:solidFill>
                <a:schemeClr val="accent6">
                  <a:lumMod val="75000"/>
                </a:schemeClr>
              </a:solidFill>
              <a:round/>
            </a:ln>
            <a:effectLst/>
          </c:spPr>
          <c:marker>
            <c:symbol val="none"/>
          </c:marker>
          <c:cat>
            <c:numRef>
              <c:f>Sheet1!$A$500:$A$747</c:f>
              <c:numCache>
                <c:formatCode>m/d/yyyy</c:formatCode>
                <c:ptCount val="248"/>
                <c:pt idx="0">
                  <c:v>42006</c:v>
                </c:pt>
                <c:pt idx="1">
                  <c:v>42009</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42051</c:v>
                </c:pt>
                <c:pt idx="31">
                  <c:v>42052</c:v>
                </c:pt>
                <c:pt idx="32">
                  <c:v>42053</c:v>
                </c:pt>
                <c:pt idx="33">
                  <c:v>42054</c:v>
                </c:pt>
                <c:pt idx="34">
                  <c:v>42055</c:v>
                </c:pt>
                <c:pt idx="35">
                  <c:v>42058</c:v>
                </c:pt>
                <c:pt idx="36">
                  <c:v>42059</c:v>
                </c:pt>
                <c:pt idx="37">
                  <c:v>42060</c:v>
                </c:pt>
                <c:pt idx="38">
                  <c:v>42061</c:v>
                </c:pt>
                <c:pt idx="39">
                  <c:v>42062</c:v>
                </c:pt>
                <c:pt idx="40">
                  <c:v>42065</c:v>
                </c:pt>
                <c:pt idx="41">
                  <c:v>42066</c:v>
                </c:pt>
                <c:pt idx="42">
                  <c:v>42067</c:v>
                </c:pt>
                <c:pt idx="43">
                  <c:v>42068</c:v>
                </c:pt>
                <c:pt idx="44">
                  <c:v>42069</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42135</c:v>
                </c:pt>
                <c:pt idx="87">
                  <c:v>42136</c:v>
                </c:pt>
                <c:pt idx="88">
                  <c:v>42137</c:v>
                </c:pt>
                <c:pt idx="89">
                  <c:v>42138</c:v>
                </c:pt>
                <c:pt idx="90">
                  <c:v>42139</c:v>
                </c:pt>
                <c:pt idx="91">
                  <c:v>42142</c:v>
                </c:pt>
                <c:pt idx="92">
                  <c:v>42143</c:v>
                </c:pt>
                <c:pt idx="93">
                  <c:v>42144</c:v>
                </c:pt>
                <c:pt idx="94">
                  <c:v>42145</c:v>
                </c:pt>
                <c:pt idx="95">
                  <c:v>42146</c:v>
                </c:pt>
                <c:pt idx="96">
                  <c:v>42149</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42186</c:v>
                </c:pt>
                <c:pt idx="124">
                  <c:v>42187</c:v>
                </c:pt>
                <c:pt idx="125">
                  <c:v>42188</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42247</c:v>
                </c:pt>
                <c:pt idx="165">
                  <c:v>42249</c:v>
                </c:pt>
                <c:pt idx="166">
                  <c:v>42250</c:v>
                </c:pt>
                <c:pt idx="167">
                  <c:v>42251</c:v>
                </c:pt>
                <c:pt idx="168">
                  <c:v>42254</c:v>
                </c:pt>
                <c:pt idx="169">
                  <c:v>42255</c:v>
                </c:pt>
                <c:pt idx="170">
                  <c:v>42256</c:v>
                </c:pt>
                <c:pt idx="171">
                  <c:v>42257</c:v>
                </c:pt>
                <c:pt idx="172">
                  <c:v>42258</c:v>
                </c:pt>
                <c:pt idx="173">
                  <c:v>42261</c:v>
                </c:pt>
                <c:pt idx="174">
                  <c:v>42263</c:v>
                </c:pt>
                <c:pt idx="175">
                  <c:v>42264</c:v>
                </c:pt>
                <c:pt idx="176">
                  <c:v>42265</c:v>
                </c:pt>
                <c:pt idx="177">
                  <c:v>42268</c:v>
                </c:pt>
                <c:pt idx="178">
                  <c:v>42269</c:v>
                </c:pt>
                <c:pt idx="179">
                  <c:v>42270</c:v>
                </c:pt>
                <c:pt idx="180">
                  <c:v>42271</c:v>
                </c:pt>
                <c:pt idx="181">
                  <c:v>42272</c:v>
                </c:pt>
                <c:pt idx="182">
                  <c:v>42275</c:v>
                </c:pt>
                <c:pt idx="183">
                  <c:v>42276</c:v>
                </c:pt>
                <c:pt idx="184">
                  <c:v>42277</c:v>
                </c:pt>
                <c:pt idx="185">
                  <c:v>42278</c:v>
                </c:pt>
                <c:pt idx="186">
                  <c:v>42279</c:v>
                </c:pt>
                <c:pt idx="187">
                  <c:v>42282</c:v>
                </c:pt>
                <c:pt idx="188">
                  <c:v>42283</c:v>
                </c:pt>
                <c:pt idx="189">
                  <c:v>42284</c:v>
                </c:pt>
                <c:pt idx="190">
                  <c:v>42285</c:v>
                </c:pt>
                <c:pt idx="191">
                  <c:v>42286</c:v>
                </c:pt>
                <c:pt idx="192">
                  <c:v>42289</c:v>
                </c:pt>
                <c:pt idx="193">
                  <c:v>42290</c:v>
                </c:pt>
                <c:pt idx="194">
                  <c:v>42291</c:v>
                </c:pt>
                <c:pt idx="195">
                  <c:v>42292</c:v>
                </c:pt>
                <c:pt idx="196">
                  <c:v>42293</c:v>
                </c:pt>
                <c:pt idx="197">
                  <c:v>42296</c:v>
                </c:pt>
                <c:pt idx="198">
                  <c:v>42297</c:v>
                </c:pt>
                <c:pt idx="199">
                  <c:v>42298</c:v>
                </c:pt>
                <c:pt idx="200">
                  <c:v>42299</c:v>
                </c:pt>
                <c:pt idx="201">
                  <c:v>42300</c:v>
                </c:pt>
                <c:pt idx="202">
                  <c:v>42303</c:v>
                </c:pt>
                <c:pt idx="203">
                  <c:v>42304</c:v>
                </c:pt>
                <c:pt idx="204">
                  <c:v>42305</c:v>
                </c:pt>
                <c:pt idx="205">
                  <c:v>42306</c:v>
                </c:pt>
                <c:pt idx="206">
                  <c:v>42307</c:v>
                </c:pt>
                <c:pt idx="207">
                  <c:v>42310</c:v>
                </c:pt>
                <c:pt idx="208">
                  <c:v>42311</c:v>
                </c:pt>
                <c:pt idx="209">
                  <c:v>42312</c:v>
                </c:pt>
                <c:pt idx="210">
                  <c:v>42313</c:v>
                </c:pt>
                <c:pt idx="211">
                  <c:v>42314</c:v>
                </c:pt>
                <c:pt idx="212">
                  <c:v>42317</c:v>
                </c:pt>
                <c:pt idx="213">
                  <c:v>42318</c:v>
                </c:pt>
                <c:pt idx="214">
                  <c:v>42319</c:v>
                </c:pt>
                <c:pt idx="215">
                  <c:v>42320</c:v>
                </c:pt>
                <c:pt idx="216">
                  <c:v>42321</c:v>
                </c:pt>
                <c:pt idx="217">
                  <c:v>42324</c:v>
                </c:pt>
                <c:pt idx="218">
                  <c:v>42326</c:v>
                </c:pt>
                <c:pt idx="219">
                  <c:v>42327</c:v>
                </c:pt>
                <c:pt idx="220">
                  <c:v>42328</c:v>
                </c:pt>
                <c:pt idx="221">
                  <c:v>42331</c:v>
                </c:pt>
                <c:pt idx="222">
                  <c:v>42332</c:v>
                </c:pt>
                <c:pt idx="223">
                  <c:v>42333</c:v>
                </c:pt>
                <c:pt idx="224">
                  <c:v>42334</c:v>
                </c:pt>
                <c:pt idx="225">
                  <c:v>42335</c:v>
                </c:pt>
                <c:pt idx="226">
                  <c:v>42338</c:v>
                </c:pt>
                <c:pt idx="227">
                  <c:v>42339</c:v>
                </c:pt>
                <c:pt idx="228">
                  <c:v>42340</c:v>
                </c:pt>
                <c:pt idx="229">
                  <c:v>42341</c:v>
                </c:pt>
                <c:pt idx="230">
                  <c:v>42342</c:v>
                </c:pt>
                <c:pt idx="231">
                  <c:v>42345</c:v>
                </c:pt>
                <c:pt idx="232">
                  <c:v>42346</c:v>
                </c:pt>
                <c:pt idx="233">
                  <c:v>42347</c:v>
                </c:pt>
                <c:pt idx="234">
                  <c:v>42348</c:v>
                </c:pt>
                <c:pt idx="235">
                  <c:v>42349</c:v>
                </c:pt>
                <c:pt idx="236">
                  <c:v>42352</c:v>
                </c:pt>
                <c:pt idx="237">
                  <c:v>42353</c:v>
                </c:pt>
                <c:pt idx="238">
                  <c:v>42354</c:v>
                </c:pt>
                <c:pt idx="239">
                  <c:v>42355</c:v>
                </c:pt>
                <c:pt idx="240">
                  <c:v>42356</c:v>
                </c:pt>
                <c:pt idx="241">
                  <c:v>42359</c:v>
                </c:pt>
                <c:pt idx="242">
                  <c:v>42360</c:v>
                </c:pt>
                <c:pt idx="243">
                  <c:v>42361</c:v>
                </c:pt>
                <c:pt idx="244">
                  <c:v>42366</c:v>
                </c:pt>
                <c:pt idx="245">
                  <c:v>42367</c:v>
                </c:pt>
                <c:pt idx="246">
                  <c:v>42368</c:v>
                </c:pt>
                <c:pt idx="247">
                  <c:v>42369</c:v>
                </c:pt>
              </c:numCache>
            </c:numRef>
          </c:cat>
          <c:val>
            <c:numRef>
              <c:f>Sheet1!$E$500:$E$747</c:f>
              <c:numCache>
                <c:formatCode>General</c:formatCode>
                <c:ptCount val="248"/>
                <c:pt idx="0">
                  <c:v>4.6895845572294495E-2</c:v>
                </c:pt>
                <c:pt idx="1">
                  <c:v>4.6153304147353615E-2</c:v>
                </c:pt>
                <c:pt idx="2">
                  <c:v>4.6330805794754973E-2</c:v>
                </c:pt>
                <c:pt idx="3">
                  <c:v>4.7288580005073064E-2</c:v>
                </c:pt>
                <c:pt idx="4">
                  <c:v>4.6723798281930226E-2</c:v>
                </c:pt>
                <c:pt idx="5">
                  <c:v>4.6751089828217796E-2</c:v>
                </c:pt>
                <c:pt idx="6">
                  <c:v>4.7293915302811719E-2</c:v>
                </c:pt>
                <c:pt idx="7">
                  <c:v>4.6515825793292255E-2</c:v>
                </c:pt>
                <c:pt idx="8">
                  <c:v>4.7502673389350873E-2</c:v>
                </c:pt>
                <c:pt idx="9">
                  <c:v>4.79955170553951E-2</c:v>
                </c:pt>
                <c:pt idx="10">
                  <c:v>4.7911440407894808E-2</c:v>
                </c:pt>
                <c:pt idx="11">
                  <c:v>4.8177361301463405E-2</c:v>
                </c:pt>
                <c:pt idx="12">
                  <c:v>4.8471422742852863E-2</c:v>
                </c:pt>
                <c:pt idx="13">
                  <c:v>4.9362723821985879E-2</c:v>
                </c:pt>
                <c:pt idx="14">
                  <c:v>5.004128108220135E-2</c:v>
                </c:pt>
                <c:pt idx="15">
                  <c:v>5.0159876991538996E-2</c:v>
                </c:pt>
                <c:pt idx="16">
                  <c:v>4.9566296647478775E-2</c:v>
                </c:pt>
                <c:pt idx="17">
                  <c:v>4.9445049905454466E-2</c:v>
                </c:pt>
                <c:pt idx="18">
                  <c:v>4.9338688314011232E-2</c:v>
                </c:pt>
                <c:pt idx="19">
                  <c:v>4.9226493274914289E-2</c:v>
                </c:pt>
                <c:pt idx="20">
                  <c:v>4.9356368864553725E-2</c:v>
                </c:pt>
                <c:pt idx="21">
                  <c:v>4.9474965351812734E-2</c:v>
                </c:pt>
                <c:pt idx="22">
                  <c:v>4.9818404646140527E-2</c:v>
                </c:pt>
                <c:pt idx="23">
                  <c:v>5.0005637614747286E-2</c:v>
                </c:pt>
                <c:pt idx="24">
                  <c:v>5.0153758692121742E-2</c:v>
                </c:pt>
                <c:pt idx="25">
                  <c:v>4.986141495797744E-2</c:v>
                </c:pt>
                <c:pt idx="26">
                  <c:v>5.0146824430149735E-2</c:v>
                </c:pt>
                <c:pt idx="27">
                  <c:v>5.0185097455362614E-2</c:v>
                </c:pt>
                <c:pt idx="28">
                  <c:v>5.0343002452256626E-2</c:v>
                </c:pt>
                <c:pt idx="29">
                  <c:v>5.0639734427791579E-2</c:v>
                </c:pt>
                <c:pt idx="30">
                  <c:v>5.0568025602719807E-2</c:v>
                </c:pt>
                <c:pt idx="31">
                  <c:v>5.0725746115605916E-2</c:v>
                </c:pt>
                <c:pt idx="32">
                  <c:v>5.0992696335006936E-2</c:v>
                </c:pt>
                <c:pt idx="33">
                  <c:v>5.100712482283782E-2</c:v>
                </c:pt>
                <c:pt idx="34">
                  <c:v>5.1231314786230685E-2</c:v>
                </c:pt>
                <c:pt idx="35">
                  <c:v>5.1399960545726903E-2</c:v>
                </c:pt>
                <c:pt idx="36">
                  <c:v>5.1678376200596864E-2</c:v>
                </c:pt>
                <c:pt idx="37">
                  <c:v>5.1554837712897296E-2</c:v>
                </c:pt>
                <c:pt idx="38">
                  <c:v>5.2115257143038302E-2</c:v>
                </c:pt>
                <c:pt idx="39">
                  <c:v>5.2135421755860882E-2</c:v>
                </c:pt>
                <c:pt idx="40">
                  <c:v>5.2265504534918968E-2</c:v>
                </c:pt>
                <c:pt idx="41">
                  <c:v>5.1838656507978302E-2</c:v>
                </c:pt>
                <c:pt idx="42">
                  <c:v>5.225794359107188E-2</c:v>
                </c:pt>
                <c:pt idx="43">
                  <c:v>5.2619287503104482E-2</c:v>
                </c:pt>
                <c:pt idx="44">
                  <c:v>5.2686628180349637E-2</c:v>
                </c:pt>
                <c:pt idx="45">
                  <c:v>5.267416146057588E-2</c:v>
                </c:pt>
                <c:pt idx="46">
                  <c:v>5.2392991330782547E-2</c:v>
                </c:pt>
                <c:pt idx="47">
                  <c:v>5.3111300875203209E-2</c:v>
                </c:pt>
                <c:pt idx="48">
                  <c:v>5.3306604034340122E-2</c:v>
                </c:pt>
                <c:pt idx="49">
                  <c:v>5.3424303018859143E-2</c:v>
                </c:pt>
                <c:pt idx="50">
                  <c:v>5.3774442865815474E-2</c:v>
                </c:pt>
                <c:pt idx="51">
                  <c:v>5.3576980149482714E-2</c:v>
                </c:pt>
                <c:pt idx="52">
                  <c:v>5.3417683215452122E-2</c:v>
                </c:pt>
                <c:pt idx="53">
                  <c:v>5.3751619133330215E-2</c:v>
                </c:pt>
                <c:pt idx="54">
                  <c:v>5.3815921616319595E-2</c:v>
                </c:pt>
                <c:pt idx="55">
                  <c:v>5.3439113792008129E-2</c:v>
                </c:pt>
                <c:pt idx="56">
                  <c:v>5.3520490940854974E-2</c:v>
                </c:pt>
                <c:pt idx="57">
                  <c:v>5.2763152069344683E-2</c:v>
                </c:pt>
                <c:pt idx="58">
                  <c:v>5.2632190722842934E-2</c:v>
                </c:pt>
                <c:pt idx="59">
                  <c:v>5.2677426987162525E-2</c:v>
                </c:pt>
                <c:pt idx="60">
                  <c:v>5.3476314222856369E-2</c:v>
                </c:pt>
                <c:pt idx="61">
                  <c:v>5.3384067514171386E-2</c:v>
                </c:pt>
                <c:pt idx="62">
                  <c:v>5.3181380715833802E-2</c:v>
                </c:pt>
                <c:pt idx="63">
                  <c:v>5.31126006633778E-2</c:v>
                </c:pt>
                <c:pt idx="64">
                  <c:v>5.3784821467781074E-2</c:v>
                </c:pt>
                <c:pt idx="65">
                  <c:v>5.3854875653602877E-2</c:v>
                </c:pt>
                <c:pt idx="66">
                  <c:v>5.4388606620236757E-2</c:v>
                </c:pt>
                <c:pt idx="67">
                  <c:v>5.4997355782250575E-2</c:v>
                </c:pt>
                <c:pt idx="68">
                  <c:v>5.5053378771810262E-2</c:v>
                </c:pt>
                <c:pt idx="69">
                  <c:v>5.4589097226790506E-2</c:v>
                </c:pt>
                <c:pt idx="70">
                  <c:v>5.5024263699760795E-2</c:v>
                </c:pt>
                <c:pt idx="71">
                  <c:v>5.4488799752501121E-2</c:v>
                </c:pt>
                <c:pt idx="72">
                  <c:v>5.3615470457986036E-2</c:v>
                </c:pt>
                <c:pt idx="73">
                  <c:v>5.4149925717946697E-2</c:v>
                </c:pt>
                <c:pt idx="74">
                  <c:v>5.42669042792688E-2</c:v>
                </c:pt>
                <c:pt idx="75">
                  <c:v>5.4390666367635253E-2</c:v>
                </c:pt>
                <c:pt idx="76">
                  <c:v>5.4195521544675634E-2</c:v>
                </c:pt>
                <c:pt idx="77">
                  <c:v>5.4237688552599958E-2</c:v>
                </c:pt>
                <c:pt idx="78">
                  <c:v>5.446155894450929E-2</c:v>
                </c:pt>
                <c:pt idx="79">
                  <c:v>5.3832163089251928E-2</c:v>
                </c:pt>
                <c:pt idx="80">
                  <c:v>5.2637800506928019E-2</c:v>
                </c:pt>
                <c:pt idx="81">
                  <c:v>5.2270552040193374E-2</c:v>
                </c:pt>
                <c:pt idx="82">
                  <c:v>5.2783149962870264E-2</c:v>
                </c:pt>
                <c:pt idx="83">
                  <c:v>5.1956835755077015E-2</c:v>
                </c:pt>
                <c:pt idx="84">
                  <c:v>5.139722448331633E-2</c:v>
                </c:pt>
                <c:pt idx="85">
                  <c:v>5.1584658717734475E-2</c:v>
                </c:pt>
                <c:pt idx="86">
                  <c:v>5.2852344296909388E-2</c:v>
                </c:pt>
                <c:pt idx="87">
                  <c:v>5.2223446396453689E-2</c:v>
                </c:pt>
                <c:pt idx="88">
                  <c:v>5.1849841317345581E-2</c:v>
                </c:pt>
                <c:pt idx="89">
                  <c:v>5.2309188632601991E-2</c:v>
                </c:pt>
                <c:pt idx="90">
                  <c:v>5.2058813616505703E-2</c:v>
                </c:pt>
                <c:pt idx="91">
                  <c:v>5.246738137492863E-2</c:v>
                </c:pt>
                <c:pt idx="92">
                  <c:v>5.3408718054716253E-2</c:v>
                </c:pt>
                <c:pt idx="93">
                  <c:v>5.3620372158690664E-2</c:v>
                </c:pt>
                <c:pt idx="94">
                  <c:v>5.3759752887332472E-2</c:v>
                </c:pt>
                <c:pt idx="95">
                  <c:v>5.388685780414311E-2</c:v>
                </c:pt>
                <c:pt idx="96">
                  <c:v>5.400679228150565E-2</c:v>
                </c:pt>
                <c:pt idx="97">
                  <c:v>5.3754682897866307E-2</c:v>
                </c:pt>
                <c:pt idx="98">
                  <c:v>5.4153558244963977E-2</c:v>
                </c:pt>
                <c:pt idx="99">
                  <c:v>5.3977343561189578E-2</c:v>
                </c:pt>
                <c:pt idx="100">
                  <c:v>5.3208224234822694E-2</c:v>
                </c:pt>
                <c:pt idx="101">
                  <c:v>5.3379551962316182E-2</c:v>
                </c:pt>
                <c:pt idx="102">
                  <c:v>5.2639395642557561E-2</c:v>
                </c:pt>
                <c:pt idx="103">
                  <c:v>5.2477184702875053E-2</c:v>
                </c:pt>
                <c:pt idx="104">
                  <c:v>5.1933987223634827E-2</c:v>
                </c:pt>
                <c:pt idx="105">
                  <c:v>5.2068277508815534E-2</c:v>
                </c:pt>
                <c:pt idx="106">
                  <c:v>5.1439557782292568E-2</c:v>
                </c:pt>
                <c:pt idx="107">
                  <c:v>5.1135537454811891E-2</c:v>
                </c:pt>
                <c:pt idx="108">
                  <c:v>5.1831698403866942E-2</c:v>
                </c:pt>
                <c:pt idx="109">
                  <c:v>5.2202380869218801E-2</c:v>
                </c:pt>
                <c:pt idx="110">
                  <c:v>5.1727645233040291E-2</c:v>
                </c:pt>
                <c:pt idx="111">
                  <c:v>5.1246390724953315E-2</c:v>
                </c:pt>
                <c:pt idx="112">
                  <c:v>5.1470511099425686E-2</c:v>
                </c:pt>
                <c:pt idx="113">
                  <c:v>5.1309416126221245E-2</c:v>
                </c:pt>
                <c:pt idx="114">
                  <c:v>5.1393414125856532E-2</c:v>
                </c:pt>
                <c:pt idx="115">
                  <c:v>5.157357616525373E-2</c:v>
                </c:pt>
                <c:pt idx="116">
                  <c:v>5.2278942911694951E-2</c:v>
                </c:pt>
                <c:pt idx="117">
                  <c:v>5.3032158803384383E-2</c:v>
                </c:pt>
                <c:pt idx="118">
                  <c:v>5.2820247836473926E-2</c:v>
                </c:pt>
                <c:pt idx="119">
                  <c:v>5.2690162366083093E-2</c:v>
                </c:pt>
                <c:pt idx="120">
                  <c:v>5.2727771745335647E-2</c:v>
                </c:pt>
                <c:pt idx="121">
                  <c:v>5.1382853034475304E-2</c:v>
                </c:pt>
                <c:pt idx="122">
                  <c:v>5.1180502006565216E-2</c:v>
                </c:pt>
                <c:pt idx="123">
                  <c:v>5.1880274100961472E-2</c:v>
                </c:pt>
                <c:pt idx="124">
                  <c:v>5.1697090288183714E-2</c:v>
                </c:pt>
                <c:pt idx="125">
                  <c:v>5.1536964862991662E-2</c:v>
                </c:pt>
                <c:pt idx="126">
                  <c:v>5.1190182102122485E-2</c:v>
                </c:pt>
                <c:pt idx="127">
                  <c:v>5.0932256140551711E-2</c:v>
                </c:pt>
                <c:pt idx="128">
                  <c:v>5.055630327964479E-2</c:v>
                </c:pt>
                <c:pt idx="129">
                  <c:v>5.1236958432267464E-2</c:v>
                </c:pt>
                <c:pt idx="130">
                  <c:v>5.1748275538546093E-2</c:v>
                </c:pt>
                <c:pt idx="131">
                  <c:v>5.2734084067239791E-2</c:v>
                </c:pt>
                <c:pt idx="132">
                  <c:v>5.3069196359800813E-2</c:v>
                </c:pt>
                <c:pt idx="133">
                  <c:v>5.3309352307726862E-2</c:v>
                </c:pt>
                <c:pt idx="134">
                  <c:v>5.3993579039029654E-2</c:v>
                </c:pt>
                <c:pt idx="135">
                  <c:v>5.4089263057486181E-2</c:v>
                </c:pt>
                <c:pt idx="136">
                  <c:v>5.4241994171253097E-2</c:v>
                </c:pt>
                <c:pt idx="137">
                  <c:v>5.3632435495606465E-2</c:v>
                </c:pt>
                <c:pt idx="138">
                  <c:v>5.3464423391834014E-2</c:v>
                </c:pt>
                <c:pt idx="139">
                  <c:v>5.3099713294501381E-2</c:v>
                </c:pt>
                <c:pt idx="140">
                  <c:v>5.2687245416665113E-2</c:v>
                </c:pt>
                <c:pt idx="141">
                  <c:v>5.1456765810820169E-2</c:v>
                </c:pt>
                <c:pt idx="142">
                  <c:v>5.2090536564488706E-2</c:v>
                </c:pt>
                <c:pt idx="143">
                  <c:v>5.2638734630976576E-2</c:v>
                </c:pt>
                <c:pt idx="144">
                  <c:v>5.3005590979138185E-2</c:v>
                </c:pt>
                <c:pt idx="145">
                  <c:v>5.288725865751983E-2</c:v>
                </c:pt>
                <c:pt idx="146">
                  <c:v>5.312285532968089E-2</c:v>
                </c:pt>
                <c:pt idx="147">
                  <c:v>5.3029983331831183E-2</c:v>
                </c:pt>
                <c:pt idx="148">
                  <c:v>5.3729231646416964E-2</c:v>
                </c:pt>
                <c:pt idx="149">
                  <c:v>5.3128815303184286E-2</c:v>
                </c:pt>
                <c:pt idx="150">
                  <c:v>5.2726957421088037E-2</c:v>
                </c:pt>
                <c:pt idx="151">
                  <c:v>5.3225235169436703E-2</c:v>
                </c:pt>
                <c:pt idx="152">
                  <c:v>5.2334600401768391E-2</c:v>
                </c:pt>
                <c:pt idx="153">
                  <c:v>5.1093656670414773E-2</c:v>
                </c:pt>
                <c:pt idx="154">
                  <c:v>5.1668885901466809E-2</c:v>
                </c:pt>
                <c:pt idx="155">
                  <c:v>5.167640184150691E-2</c:v>
                </c:pt>
                <c:pt idx="156">
                  <c:v>5.1959003948227687E-2</c:v>
                </c:pt>
                <c:pt idx="157">
                  <c:v>5.2073195035513976E-2</c:v>
                </c:pt>
                <c:pt idx="158">
                  <c:v>5.1220895510942367E-2</c:v>
                </c:pt>
                <c:pt idx="159">
                  <c:v>5.0056735457819676E-2</c:v>
                </c:pt>
                <c:pt idx="160">
                  <c:v>4.8157260519082382E-2</c:v>
                </c:pt>
                <c:pt idx="161">
                  <c:v>4.5414551014867674E-2</c:v>
                </c:pt>
                <c:pt idx="162">
                  <c:v>4.6997064892862768E-2</c:v>
                </c:pt>
                <c:pt idx="163">
                  <c:v>4.6304665708631176E-2</c:v>
                </c:pt>
                <c:pt idx="164">
                  <c:v>4.8498715195766193E-2</c:v>
                </c:pt>
                <c:pt idx="165">
                  <c:v>4.7218081887651961E-2</c:v>
                </c:pt>
                <c:pt idx="166">
                  <c:v>4.8461752843346341E-2</c:v>
                </c:pt>
                <c:pt idx="167">
                  <c:v>4.7272118644673886E-2</c:v>
                </c:pt>
                <c:pt idx="168">
                  <c:v>4.7449911764751405E-2</c:v>
                </c:pt>
                <c:pt idx="169">
                  <c:v>4.7916979409094042E-2</c:v>
                </c:pt>
                <c:pt idx="170">
                  <c:v>4.8402686383926273E-2</c:v>
                </c:pt>
                <c:pt idx="171">
                  <c:v>4.7642440536860037E-2</c:v>
                </c:pt>
                <c:pt idx="172">
                  <c:v>4.7237049773829747E-2</c:v>
                </c:pt>
                <c:pt idx="173">
                  <c:v>4.724866178140822E-2</c:v>
                </c:pt>
                <c:pt idx="174">
                  <c:v>4.8276281372613812E-2</c:v>
                </c:pt>
                <c:pt idx="175">
                  <c:v>4.8303945538944092E-2</c:v>
                </c:pt>
                <c:pt idx="176">
                  <c:v>4.7308870618510974E-2</c:v>
                </c:pt>
                <c:pt idx="177">
                  <c:v>4.7928146518594665E-2</c:v>
                </c:pt>
                <c:pt idx="178">
                  <c:v>4.6892896706912733E-2</c:v>
                </c:pt>
                <c:pt idx="179">
                  <c:v>4.6870912070808762E-2</c:v>
                </c:pt>
                <c:pt idx="180">
                  <c:v>4.5930431744853312E-2</c:v>
                </c:pt>
                <c:pt idx="181">
                  <c:v>4.7046579530888449E-2</c:v>
                </c:pt>
                <c:pt idx="182">
                  <c:v>4.5941052292334257E-2</c:v>
                </c:pt>
                <c:pt idx="183">
                  <c:v>4.5542821029287757E-2</c:v>
                </c:pt>
                <c:pt idx="184">
                  <c:v>4.6619874224638688E-2</c:v>
                </c:pt>
                <c:pt idx="185">
                  <c:v>4.6454756485272787E-2</c:v>
                </c:pt>
                <c:pt idx="186">
                  <c:v>4.6586317035780631E-2</c:v>
                </c:pt>
                <c:pt idx="187">
                  <c:v>4.8048135121878804E-2</c:v>
                </c:pt>
                <c:pt idx="188">
                  <c:v>4.810152680919489E-2</c:v>
                </c:pt>
                <c:pt idx="189">
                  <c:v>4.8262107183469821E-2</c:v>
                </c:pt>
                <c:pt idx="190">
                  <c:v>4.8402935155917905E-2</c:v>
                </c:pt>
                <c:pt idx="191">
                  <c:v>4.8587812011444922E-2</c:v>
                </c:pt>
                <c:pt idx="192">
                  <c:v>4.8525488389002253E-2</c:v>
                </c:pt>
                <c:pt idx="193">
                  <c:v>4.8304628345907125E-2</c:v>
                </c:pt>
                <c:pt idx="194">
                  <c:v>4.7678483927794821E-2</c:v>
                </c:pt>
                <c:pt idx="195">
                  <c:v>4.8231497863536185E-2</c:v>
                </c:pt>
                <c:pt idx="196">
                  <c:v>4.8814549058724475E-2</c:v>
                </c:pt>
                <c:pt idx="197">
                  <c:v>4.8947011470833614E-2</c:v>
                </c:pt>
                <c:pt idx="198">
                  <c:v>4.8756797639560881E-2</c:v>
                </c:pt>
                <c:pt idx="199">
                  <c:v>4.8859475023735423E-2</c:v>
                </c:pt>
                <c:pt idx="200">
                  <c:v>4.9997600712200198E-2</c:v>
                </c:pt>
                <c:pt idx="201">
                  <c:v>5.1049256795511373E-2</c:v>
                </c:pt>
                <c:pt idx="202">
                  <c:v>5.0928857968058558E-2</c:v>
                </c:pt>
                <c:pt idx="203">
                  <c:v>5.0558360692689097E-2</c:v>
                </c:pt>
                <c:pt idx="204">
                  <c:v>5.0981275723464295E-2</c:v>
                </c:pt>
                <c:pt idx="205">
                  <c:v>5.1261763388311156E-2</c:v>
                </c:pt>
                <c:pt idx="206">
                  <c:v>5.1080534205805432E-2</c:v>
                </c:pt>
                <c:pt idx="207">
                  <c:v>5.121486581743518E-2</c:v>
                </c:pt>
                <c:pt idx="208">
                  <c:v>5.1643591667543037E-2</c:v>
                </c:pt>
                <c:pt idx="209">
                  <c:v>5.1910990460084912E-2</c:v>
                </c:pt>
                <c:pt idx="210">
                  <c:v>5.1790857768945632E-2</c:v>
                </c:pt>
                <c:pt idx="211">
                  <c:v>5.2126544077582666E-2</c:v>
                </c:pt>
                <c:pt idx="212">
                  <c:v>5.1526780619711478E-2</c:v>
                </c:pt>
                <c:pt idx="213">
                  <c:v>5.1848385024009021E-2</c:v>
                </c:pt>
                <c:pt idx="214">
                  <c:v>5.1939632043828489E-2</c:v>
                </c:pt>
                <c:pt idx="215">
                  <c:v>5.1271709087658601E-2</c:v>
                </c:pt>
                <c:pt idx="216">
                  <c:v>5.0793592344029546E-2</c:v>
                </c:pt>
                <c:pt idx="217">
                  <c:v>5.0847953830424134E-2</c:v>
                </c:pt>
                <c:pt idx="218">
                  <c:v>5.2097753743739803E-2</c:v>
                </c:pt>
                <c:pt idx="219">
                  <c:v>5.2106254426571685E-2</c:v>
                </c:pt>
                <c:pt idx="220">
                  <c:v>5.2583241527269071E-2</c:v>
                </c:pt>
                <c:pt idx="221">
                  <c:v>5.2664717862510993E-2</c:v>
                </c:pt>
                <c:pt idx="222">
                  <c:v>5.2161426242229324E-2</c:v>
                </c:pt>
                <c:pt idx="223">
                  <c:v>5.2640123464034246E-2</c:v>
                </c:pt>
                <c:pt idx="224">
                  <c:v>5.2978358228984765E-2</c:v>
                </c:pt>
                <c:pt idx="225">
                  <c:v>5.2815484805884397E-2</c:v>
                </c:pt>
                <c:pt idx="226">
                  <c:v>5.2918082622754443E-2</c:v>
                </c:pt>
                <c:pt idx="227">
                  <c:v>5.2803400199950459E-2</c:v>
                </c:pt>
                <c:pt idx="228">
                  <c:v>5.2923337100958798E-2</c:v>
                </c:pt>
                <c:pt idx="229">
                  <c:v>5.098299858424029E-2</c:v>
                </c:pt>
                <c:pt idx="230">
                  <c:v>5.0970344338563442E-2</c:v>
                </c:pt>
                <c:pt idx="231">
                  <c:v>5.1067225720016589E-2</c:v>
                </c:pt>
                <c:pt idx="232">
                  <c:v>5.0461211711420983E-2</c:v>
                </c:pt>
                <c:pt idx="233">
                  <c:v>4.9999258916511691E-2</c:v>
                </c:pt>
                <c:pt idx="234">
                  <c:v>5.0047138745526853E-2</c:v>
                </c:pt>
                <c:pt idx="235">
                  <c:v>4.8972172943611239E-2</c:v>
                </c:pt>
                <c:pt idx="236">
                  <c:v>4.823140935894045E-2</c:v>
                </c:pt>
                <c:pt idx="237">
                  <c:v>4.9637928002139779E-2</c:v>
                </c:pt>
                <c:pt idx="238">
                  <c:v>4.9772210169263906E-2</c:v>
                </c:pt>
                <c:pt idx="239">
                  <c:v>5.0447356663203262E-2</c:v>
                </c:pt>
                <c:pt idx="240">
                  <c:v>4.9753781953267573E-2</c:v>
                </c:pt>
                <c:pt idx="241">
                  <c:v>4.9131523521152506E-2</c:v>
                </c:pt>
                <c:pt idx="242">
                  <c:v>4.9283740793823368E-2</c:v>
                </c:pt>
                <c:pt idx="243">
                  <c:v>5.0479188821905233E-2</c:v>
                </c:pt>
                <c:pt idx="244">
                  <c:v>4.9852109228567476E-2</c:v>
                </c:pt>
                <c:pt idx="245">
                  <c:v>5.0814957522912887E-2</c:v>
                </c:pt>
                <c:pt idx="246">
                  <c:v>5.0621902849011975E-2</c:v>
                </c:pt>
                <c:pt idx="247">
                  <c:v>5.0576707425632382E-2</c:v>
                </c:pt>
              </c:numCache>
            </c:numRef>
          </c:val>
          <c:smooth val="0"/>
          <c:extLst xmlns:c16r2="http://schemas.microsoft.com/office/drawing/2015/06/chart">
            <c:ext xmlns:c16="http://schemas.microsoft.com/office/drawing/2014/chart" uri="{C3380CC4-5D6E-409C-BE32-E72D297353CC}">
              <c16:uniqueId val="{00000003-B9D3-4822-9C24-4EB936227D49}"/>
            </c:ext>
          </c:extLst>
        </c:ser>
        <c:dLbls>
          <c:showLegendKey val="0"/>
          <c:showVal val="0"/>
          <c:showCatName val="0"/>
          <c:showSerName val="0"/>
          <c:showPercent val="0"/>
          <c:showBubbleSize val="0"/>
        </c:dLbls>
        <c:marker val="1"/>
        <c:smooth val="0"/>
        <c:axId val="217028864"/>
        <c:axId val="217034752"/>
      </c:lineChart>
      <c:dateAx>
        <c:axId val="217028864"/>
        <c:scaling>
          <c:orientation val="minMax"/>
        </c:scaling>
        <c:delete val="0"/>
        <c:axPos val="b"/>
        <c:numFmt formatCode="mm\/yyyy" sourceLinked="0"/>
        <c:majorTickMark val="none"/>
        <c:minorTickMark val="none"/>
        <c:tickLblPos val="nextTo"/>
        <c:spPr>
          <a:noFill/>
          <a:ln w="12700" cap="flat" cmpd="sng" algn="ctr">
            <a:solidFill>
              <a:schemeClr val="tx1">
                <a:lumMod val="15000"/>
                <a:lumOff val="85000"/>
              </a:schemeClr>
            </a:solidFill>
            <a:round/>
          </a:ln>
          <a:effectLst/>
        </c:spPr>
        <c:txPr>
          <a:bodyPr rot="-27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217034752"/>
        <c:crosses val="autoZero"/>
        <c:auto val="1"/>
        <c:lblOffset val="100"/>
        <c:baseTimeUnit val="days"/>
      </c:dateAx>
      <c:valAx>
        <c:axId val="217034752"/>
        <c:scaling>
          <c:orientation val="minMax"/>
          <c:max val="5.6000000000000008E-2"/>
          <c:min val="4.000000000000002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k-SK" sz="1000" b="1">
                    <a:solidFill>
                      <a:sysClr val="windowText" lastClr="000000"/>
                    </a:solidFill>
                    <a:latin typeface="Times New Roman" panose="02020603050405020304" pitchFamily="18" charset="0"/>
                    <a:cs typeface="Times New Roman" panose="02020603050405020304" pitchFamily="18" charset="0"/>
                  </a:rPr>
                  <a:t>Hodnota dôchodkovej jednotky</a:t>
                </a:r>
                <a:r>
                  <a:rPr lang="sk-SK" sz="1000" b="1" baseline="0">
                    <a:solidFill>
                      <a:sysClr val="windowText" lastClr="000000"/>
                    </a:solidFill>
                    <a:latin typeface="Times New Roman" panose="02020603050405020304" pitchFamily="18" charset="0"/>
                    <a:cs typeface="Times New Roman" panose="02020603050405020304" pitchFamily="18" charset="0"/>
                  </a:rPr>
                  <a:t> </a:t>
                </a:r>
              </a:p>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k-SK" sz="1000" b="1" baseline="0">
                    <a:solidFill>
                      <a:sysClr val="windowText" lastClr="000000"/>
                    </a:solidFill>
                    <a:latin typeface="Times New Roman" panose="02020603050405020304" pitchFamily="18" charset="0"/>
                    <a:cs typeface="Times New Roman" panose="02020603050405020304" pitchFamily="18" charset="0"/>
                  </a:rPr>
                  <a:t>v eur</a:t>
                </a:r>
                <a:endParaRPr lang="sk-SK"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217028864"/>
        <c:crosses val="autoZero"/>
        <c:crossBetween val="between"/>
        <c:majorUnit val="1.0000000000000007E-3"/>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priemerný mesačný počet poberateľov</c:v>
          </c:tx>
          <c:invertIfNegative val="0"/>
          <c:cat>
            <c:strRef>
              <c:f>'Prídavok na dieťa regionálne'!$J$13:$J$20</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'Prídavok na dieťa regionálne'!$S$2:$S$9</c:f>
              <c:numCache>
                <c:formatCode>#,##0</c:formatCode>
                <c:ptCount val="8"/>
                <c:pt idx="0">
                  <c:v>81600.333333333328</c:v>
                </c:pt>
                <c:pt idx="1">
                  <c:v>69191.333333333328</c:v>
                </c:pt>
                <c:pt idx="2">
                  <c:v>69922.75</c:v>
                </c:pt>
                <c:pt idx="3">
                  <c:v>81944.75</c:v>
                </c:pt>
                <c:pt idx="4">
                  <c:v>88848.416666666628</c:v>
                </c:pt>
                <c:pt idx="5">
                  <c:v>75553.75</c:v>
                </c:pt>
                <c:pt idx="6">
                  <c:v>100330.33333333333</c:v>
                </c:pt>
                <c:pt idx="7">
                  <c:v>92136</c:v>
                </c:pt>
              </c:numCache>
            </c:numRef>
          </c:val>
          <c:extLst xmlns:c16r2="http://schemas.microsoft.com/office/drawing/2015/06/chart">
            <c:ext xmlns:c16="http://schemas.microsoft.com/office/drawing/2014/chart" uri="{C3380CC4-5D6E-409C-BE32-E72D297353CC}">
              <c16:uniqueId val="{00000000-2E1A-485C-BB44-E7429087771D}"/>
            </c:ext>
          </c:extLst>
        </c:ser>
        <c:ser>
          <c:idx val="1"/>
          <c:order val="1"/>
          <c:tx>
            <c:v>priemerný mesačný počet detí</c:v>
          </c:tx>
          <c:invertIfNegative val="0"/>
          <c:cat>
            <c:strRef>
              <c:f>'Prídavok na dieťa regionálne'!$J$13:$J$20</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'Prídavok na dieťa regionálne'!$T$2:$T$9</c:f>
              <c:numCache>
                <c:formatCode>#,##0</c:formatCode>
                <c:ptCount val="8"/>
                <c:pt idx="0">
                  <c:v>125124.58333333333</c:v>
                </c:pt>
                <c:pt idx="1">
                  <c:v>107408</c:v>
                </c:pt>
                <c:pt idx="2">
                  <c:v>111108</c:v>
                </c:pt>
                <c:pt idx="3">
                  <c:v>127727.25</c:v>
                </c:pt>
                <c:pt idx="4">
                  <c:v>152306.91666666666</c:v>
                </c:pt>
                <c:pt idx="5">
                  <c:v>123768.75</c:v>
                </c:pt>
                <c:pt idx="6">
                  <c:v>190082.16666666666</c:v>
                </c:pt>
                <c:pt idx="7">
                  <c:v>162874.16666666666</c:v>
                </c:pt>
              </c:numCache>
            </c:numRef>
          </c:val>
          <c:extLst xmlns:c16r2="http://schemas.microsoft.com/office/drawing/2015/06/chart">
            <c:ext xmlns:c16="http://schemas.microsoft.com/office/drawing/2014/chart" uri="{C3380CC4-5D6E-409C-BE32-E72D297353CC}">
              <c16:uniqueId val="{00000001-2E1A-485C-BB44-E7429087771D}"/>
            </c:ext>
          </c:extLst>
        </c:ser>
        <c:dLbls>
          <c:showLegendKey val="0"/>
          <c:showVal val="0"/>
          <c:showCatName val="0"/>
          <c:showSerName val="0"/>
          <c:showPercent val="0"/>
          <c:showBubbleSize val="0"/>
        </c:dLbls>
        <c:gapWidth val="150"/>
        <c:axId val="217247104"/>
        <c:axId val="218043904"/>
      </c:barChart>
      <c:lineChart>
        <c:grouping val="standard"/>
        <c:varyColors val="0"/>
        <c:ser>
          <c:idx val="2"/>
          <c:order val="2"/>
          <c:tx>
            <c:v>celková vyplatená suma</c:v>
          </c:tx>
          <c:spPr>
            <a:ln>
              <a:noFill/>
            </a:ln>
          </c:spPr>
          <c:marker>
            <c:symbol val="circle"/>
            <c:size val="7"/>
            <c:spPr>
              <a:solidFill>
                <a:schemeClr val="bg1"/>
              </a:solidFill>
              <a:ln w="25400"/>
            </c:spPr>
          </c:marker>
          <c:cat>
            <c:strRef>
              <c:f>'Prídavok na dieťa regionálne'!$J$13:$J$20</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'Prídavok na dieťa regionálne'!$M$13:$M$20</c:f>
              <c:numCache>
                <c:formatCode>#,##0</c:formatCode>
                <c:ptCount val="8"/>
                <c:pt idx="0">
                  <c:v>35192185.710000001</c:v>
                </c:pt>
                <c:pt idx="1">
                  <c:v>30249148.110000011</c:v>
                </c:pt>
                <c:pt idx="2">
                  <c:v>31311079.200000003</c:v>
                </c:pt>
                <c:pt idx="3">
                  <c:v>35993098.670000002</c:v>
                </c:pt>
                <c:pt idx="4">
                  <c:v>42870885.450000003</c:v>
                </c:pt>
                <c:pt idx="5">
                  <c:v>34874363.650000006</c:v>
                </c:pt>
                <c:pt idx="6">
                  <c:v>53559524.040000007</c:v>
                </c:pt>
                <c:pt idx="7">
                  <c:v>45890638.879999995</c:v>
                </c:pt>
              </c:numCache>
            </c:numRef>
          </c:val>
          <c:smooth val="0"/>
          <c:extLst xmlns:c16r2="http://schemas.microsoft.com/office/drawing/2015/06/chart">
            <c:ext xmlns:c16="http://schemas.microsoft.com/office/drawing/2014/chart" uri="{C3380CC4-5D6E-409C-BE32-E72D297353CC}">
              <c16:uniqueId val="{00000002-2E1A-485C-BB44-E7429087771D}"/>
            </c:ext>
          </c:extLst>
        </c:ser>
        <c:dLbls>
          <c:showLegendKey val="0"/>
          <c:showVal val="0"/>
          <c:showCatName val="0"/>
          <c:showSerName val="0"/>
          <c:showPercent val="0"/>
          <c:showBubbleSize val="0"/>
        </c:dLbls>
        <c:marker val="1"/>
        <c:smooth val="0"/>
        <c:axId val="218045824"/>
        <c:axId val="218047616"/>
      </c:lineChart>
      <c:catAx>
        <c:axId val="217247104"/>
        <c:scaling>
          <c:orientation val="minMax"/>
        </c:scaling>
        <c:delete val="0"/>
        <c:axPos val="b"/>
        <c:numFmt formatCode="General" sourceLinked="1"/>
        <c:majorTickMark val="out"/>
        <c:minorTickMark val="none"/>
        <c:tickLblPos val="nextTo"/>
        <c:crossAx val="218043904"/>
        <c:crosses val="autoZero"/>
        <c:auto val="1"/>
        <c:lblAlgn val="ctr"/>
        <c:lblOffset val="100"/>
        <c:noMultiLvlLbl val="0"/>
      </c:catAx>
      <c:valAx>
        <c:axId val="218043904"/>
        <c:scaling>
          <c:orientation val="minMax"/>
          <c:max val="200000"/>
        </c:scaling>
        <c:delete val="0"/>
        <c:axPos val="l"/>
        <c:majorGridlines/>
        <c:title>
          <c:tx>
            <c:rich>
              <a:bodyPr rot="-5400000" vert="horz"/>
              <a:lstStyle/>
              <a:p>
                <a:pPr>
                  <a:defRPr/>
                </a:pPr>
                <a:r>
                  <a:rPr lang="en-US"/>
                  <a:t>počet detí/počet poberateľov</a:t>
                </a:r>
              </a:p>
            </c:rich>
          </c:tx>
          <c:overlay val="0"/>
        </c:title>
        <c:numFmt formatCode="#,##0" sourceLinked="0"/>
        <c:majorTickMark val="out"/>
        <c:minorTickMark val="none"/>
        <c:tickLblPos val="nextTo"/>
        <c:crossAx val="217247104"/>
        <c:crosses val="autoZero"/>
        <c:crossBetween val="between"/>
      </c:valAx>
      <c:catAx>
        <c:axId val="218045824"/>
        <c:scaling>
          <c:orientation val="minMax"/>
        </c:scaling>
        <c:delete val="1"/>
        <c:axPos val="b"/>
        <c:numFmt formatCode="General" sourceLinked="1"/>
        <c:majorTickMark val="out"/>
        <c:minorTickMark val="none"/>
        <c:tickLblPos val="none"/>
        <c:crossAx val="218047616"/>
        <c:crosses val="autoZero"/>
        <c:auto val="1"/>
        <c:lblAlgn val="ctr"/>
        <c:lblOffset val="100"/>
        <c:noMultiLvlLbl val="0"/>
      </c:catAx>
      <c:valAx>
        <c:axId val="218047616"/>
        <c:scaling>
          <c:orientation val="minMax"/>
        </c:scaling>
        <c:delete val="0"/>
        <c:axPos val="r"/>
        <c:title>
          <c:tx>
            <c:rich>
              <a:bodyPr rot="-5400000" vert="horz"/>
              <a:lstStyle/>
              <a:p>
                <a:pPr>
                  <a:defRPr/>
                </a:pPr>
                <a:r>
                  <a:rPr lang="en-US"/>
                  <a:t>vyplatená suma v €</a:t>
                </a:r>
              </a:p>
            </c:rich>
          </c:tx>
          <c:overlay val="0"/>
        </c:title>
        <c:numFmt formatCode="#,##0" sourceLinked="0"/>
        <c:majorTickMark val="out"/>
        <c:minorTickMark val="none"/>
        <c:tickLblPos val="nextTo"/>
        <c:crossAx val="218045824"/>
        <c:crosses val="max"/>
        <c:crossBetween val="between"/>
      </c:val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82138648293963257"/>
          <c:h val="0.66732502196133658"/>
        </c:manualLayout>
      </c:layout>
      <c:lineChart>
        <c:grouping val="standard"/>
        <c:varyColors val="0"/>
        <c:ser>
          <c:idx val="1"/>
          <c:order val="0"/>
          <c:tx>
            <c:v>2014</c:v>
          </c:tx>
          <c:spPr>
            <a:ln>
              <a:solidFill>
                <a:schemeClr val="accent1"/>
              </a:solidFill>
            </a:ln>
          </c:spPr>
          <c:marker>
            <c:spPr>
              <a:solidFill>
                <a:schemeClr val="accent1"/>
              </a:solidFill>
              <a:ln>
                <a:solidFill>
                  <a:schemeClr val="accent1"/>
                </a:solidFill>
              </a:ln>
            </c:spPr>
          </c:marker>
          <c:cat>
            <c:strRef>
              <c:f>'II.08a Rodičovský príspevok...'!$E$8:$E$19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'II.08a Rodičovský príspevok...'!$B$2:$B$13</c:f>
              <c:numCache>
                <c:formatCode>#,##0.00</c:formatCode>
                <c:ptCount val="12"/>
                <c:pt idx="0">
                  <c:v>142836</c:v>
                </c:pt>
                <c:pt idx="1">
                  <c:v>143290</c:v>
                </c:pt>
                <c:pt idx="2">
                  <c:v>143241</c:v>
                </c:pt>
                <c:pt idx="3">
                  <c:v>143785</c:v>
                </c:pt>
                <c:pt idx="4">
                  <c:v>143700</c:v>
                </c:pt>
                <c:pt idx="5">
                  <c:v>143875</c:v>
                </c:pt>
                <c:pt idx="6">
                  <c:v>143723</c:v>
                </c:pt>
                <c:pt idx="7">
                  <c:v>143730</c:v>
                </c:pt>
                <c:pt idx="8">
                  <c:v>143097</c:v>
                </c:pt>
                <c:pt idx="9">
                  <c:v>142670</c:v>
                </c:pt>
                <c:pt idx="10">
                  <c:v>142030</c:v>
                </c:pt>
                <c:pt idx="11">
                  <c:v>142189</c:v>
                </c:pt>
              </c:numCache>
            </c:numRef>
          </c:val>
          <c:smooth val="0"/>
          <c:extLst xmlns:c16r2="http://schemas.microsoft.com/office/drawing/2015/06/chart">
            <c:ext xmlns:c16="http://schemas.microsoft.com/office/drawing/2014/chart" uri="{C3380CC4-5D6E-409C-BE32-E72D297353CC}">
              <c16:uniqueId val="{00000000-A491-4B4D-97B6-033179C9B68D}"/>
            </c:ext>
          </c:extLst>
        </c:ser>
        <c:ser>
          <c:idx val="0"/>
          <c:order val="1"/>
          <c:tx>
            <c:v>2015</c:v>
          </c:tx>
          <c:spPr>
            <a:ln>
              <a:solidFill>
                <a:schemeClr val="accent2"/>
              </a:solidFill>
            </a:ln>
          </c:spPr>
          <c:marker>
            <c:spPr>
              <a:solidFill>
                <a:schemeClr val="accent2"/>
              </a:solidFill>
              <a:ln>
                <a:solidFill>
                  <a:schemeClr val="accent2"/>
                </a:solidFill>
              </a:ln>
            </c:spPr>
          </c:marker>
          <c:cat>
            <c:strRef>
              <c:f>'II.08a Rodičovský príspevok...'!$E$8:$E$19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'II.08a Rodičovský príspevok...'!$B$14:$B$25</c:f>
              <c:numCache>
                <c:formatCode>#,##0.00</c:formatCode>
                <c:ptCount val="12"/>
                <c:pt idx="0">
                  <c:v>141869</c:v>
                </c:pt>
                <c:pt idx="1">
                  <c:v>142437</c:v>
                </c:pt>
                <c:pt idx="2">
                  <c:v>142463</c:v>
                </c:pt>
                <c:pt idx="3">
                  <c:v>142825</c:v>
                </c:pt>
                <c:pt idx="4">
                  <c:v>142702</c:v>
                </c:pt>
                <c:pt idx="5">
                  <c:v>143128</c:v>
                </c:pt>
                <c:pt idx="6">
                  <c:v>142828</c:v>
                </c:pt>
                <c:pt idx="7">
                  <c:v>142843</c:v>
                </c:pt>
                <c:pt idx="8">
                  <c:v>142398</c:v>
                </c:pt>
                <c:pt idx="9">
                  <c:v>142173</c:v>
                </c:pt>
                <c:pt idx="10">
                  <c:v>141705</c:v>
                </c:pt>
                <c:pt idx="11">
                  <c:v>141320</c:v>
                </c:pt>
              </c:numCache>
            </c:numRef>
          </c:val>
          <c:smooth val="0"/>
          <c:extLst xmlns:c16r2="http://schemas.microsoft.com/office/drawing/2015/06/chart">
            <c:ext xmlns:c16="http://schemas.microsoft.com/office/drawing/2014/chart" uri="{C3380CC4-5D6E-409C-BE32-E72D297353CC}">
              <c16:uniqueId val="{00000001-A491-4B4D-97B6-033179C9B68D}"/>
            </c:ext>
          </c:extLst>
        </c:ser>
        <c:dLbls>
          <c:showLegendKey val="0"/>
          <c:showVal val="0"/>
          <c:showCatName val="0"/>
          <c:showSerName val="0"/>
          <c:showPercent val="0"/>
          <c:showBubbleSize val="0"/>
        </c:dLbls>
        <c:marker val="1"/>
        <c:smooth val="0"/>
        <c:axId val="218061056"/>
        <c:axId val="218063232"/>
      </c:lineChart>
      <c:catAx>
        <c:axId val="218061056"/>
        <c:scaling>
          <c:orientation val="minMax"/>
        </c:scaling>
        <c:delete val="0"/>
        <c:axPos val="b"/>
        <c:numFmt formatCode="General" sourceLinked="1"/>
        <c:majorTickMark val="out"/>
        <c:minorTickMark val="none"/>
        <c:tickLblPos val="nextTo"/>
        <c:txPr>
          <a:bodyPr rot="-1860000" vert="horz"/>
          <a:lstStyle/>
          <a:p>
            <a:pPr>
              <a:defRPr/>
            </a:pPr>
            <a:endParaRPr lang="sk-SK"/>
          </a:p>
        </c:txPr>
        <c:crossAx val="218063232"/>
        <c:crosses val="autoZero"/>
        <c:auto val="1"/>
        <c:lblAlgn val="ctr"/>
        <c:lblOffset val="100"/>
        <c:noMultiLvlLbl val="0"/>
      </c:catAx>
      <c:valAx>
        <c:axId val="218063232"/>
        <c:scaling>
          <c:orientation val="minMax"/>
          <c:max val="144000"/>
          <c:min val="141000"/>
        </c:scaling>
        <c:delete val="0"/>
        <c:axPos val="l"/>
        <c:majorGridlines/>
        <c:numFmt formatCode="#,##0" sourceLinked="0"/>
        <c:majorTickMark val="out"/>
        <c:minorTickMark val="none"/>
        <c:tickLblPos val="nextTo"/>
        <c:txPr>
          <a:bodyPr rot="0" vert="horz"/>
          <a:lstStyle/>
          <a:p>
            <a:pPr>
              <a:defRPr/>
            </a:pPr>
            <a:endParaRPr lang="sk-SK"/>
          </a:p>
        </c:txPr>
        <c:crossAx val="218061056"/>
        <c:crosses val="autoZero"/>
        <c:crossBetween val="between"/>
      </c:valAx>
    </c:plotArea>
    <c:legend>
      <c:legendPos val="r"/>
      <c:layout>
        <c:manualLayout>
          <c:xMode val="edge"/>
          <c:yMode val="edge"/>
          <c:x val="0.36799171290029431"/>
          <c:y val="0.58943887277248241"/>
          <c:w val="0.25118936404135922"/>
          <c:h val="0.16743438320210077"/>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3821377997863"/>
          <c:y val="5.7024364955935741E-2"/>
          <c:w val="0.68210232916289293"/>
          <c:h val="0.6286528177151921"/>
        </c:manualLayout>
      </c:layout>
      <c:barChart>
        <c:barDir val="col"/>
        <c:grouping val="clustered"/>
        <c:varyColors val="0"/>
        <c:ser>
          <c:idx val="0"/>
          <c:order val="0"/>
          <c:tx>
            <c:strRef>
              <c:f>'Príspevok na starostlivosť ...'!$K$2</c:f>
              <c:strCache>
                <c:ptCount val="1"/>
                <c:pt idx="0">
                  <c:v>počet detí</c:v>
                </c:pt>
              </c:strCache>
            </c:strRef>
          </c:tx>
          <c:invertIfNegative val="0"/>
          <c:cat>
            <c:strRef>
              <c:f>'Príspevok na starostlivosť ...'!$L$1:$Q$1</c:f>
              <c:strCache>
                <c:ptCount val="6"/>
                <c:pt idx="0">
                  <c:v>Iná fyzická osoba</c:v>
                </c:pt>
                <c:pt idx="1">
                  <c:v>Iná právnická osoba</c:v>
                </c:pt>
                <c:pt idx="2">
                  <c:v>Rodič</c:v>
                </c:pt>
                <c:pt idx="3">
                  <c:v>Zariadenie</c:v>
                </c:pt>
                <c:pt idx="4">
                  <c:v>Živnostník</c:v>
                </c:pt>
                <c:pt idx="5">
                  <c:v>Nezaradené</c:v>
                </c:pt>
              </c:strCache>
            </c:strRef>
          </c:cat>
          <c:val>
            <c:numRef>
              <c:f>'Príspevok na starostlivosť ...'!$L$2:$Q$2</c:f>
              <c:numCache>
                <c:formatCode>#,##0.00</c:formatCode>
                <c:ptCount val="6"/>
                <c:pt idx="0">
                  <c:v>1.4166666666666663</c:v>
                </c:pt>
                <c:pt idx="1">
                  <c:v>118.0833333333333</c:v>
                </c:pt>
                <c:pt idx="2">
                  <c:v>304.41666666666674</c:v>
                </c:pt>
                <c:pt idx="3">
                  <c:v>1465.9166666666674</c:v>
                </c:pt>
                <c:pt idx="4">
                  <c:v>195.4166666666666</c:v>
                </c:pt>
                <c:pt idx="5">
                  <c:v>4.5833333333333348</c:v>
                </c:pt>
              </c:numCache>
            </c:numRef>
          </c:val>
          <c:extLst xmlns:c16r2="http://schemas.microsoft.com/office/drawing/2015/06/chart">
            <c:ext xmlns:c16="http://schemas.microsoft.com/office/drawing/2014/chart" uri="{C3380CC4-5D6E-409C-BE32-E72D297353CC}">
              <c16:uniqueId val="{00000000-48F9-413A-ABA1-4F33D6CD0E17}"/>
            </c:ext>
          </c:extLst>
        </c:ser>
        <c:ser>
          <c:idx val="1"/>
          <c:order val="1"/>
          <c:tx>
            <c:strRef>
              <c:f>'Príspevok na starostlivosť ...'!$K$3</c:f>
              <c:strCache>
                <c:ptCount val="1"/>
                <c:pt idx="0">
                  <c:v>počet poberateľov</c:v>
                </c:pt>
              </c:strCache>
            </c:strRef>
          </c:tx>
          <c:invertIfNegative val="0"/>
          <c:cat>
            <c:strRef>
              <c:f>'Príspevok na starostlivosť ...'!$L$1:$Q$1</c:f>
              <c:strCache>
                <c:ptCount val="6"/>
                <c:pt idx="0">
                  <c:v>Iná fyzická osoba</c:v>
                </c:pt>
                <c:pt idx="1">
                  <c:v>Iná právnická osoba</c:v>
                </c:pt>
                <c:pt idx="2">
                  <c:v>Rodič</c:v>
                </c:pt>
                <c:pt idx="3">
                  <c:v>Zariadenie</c:v>
                </c:pt>
                <c:pt idx="4">
                  <c:v>Živnostník</c:v>
                </c:pt>
                <c:pt idx="5">
                  <c:v>Nezaradené</c:v>
                </c:pt>
              </c:strCache>
            </c:strRef>
          </c:cat>
          <c:val>
            <c:numRef>
              <c:f>'Príspevok na starostlivosť ...'!$L$3:$Q$3</c:f>
              <c:numCache>
                <c:formatCode>#,##0.00</c:formatCode>
                <c:ptCount val="6"/>
                <c:pt idx="0">
                  <c:v>1.4166666666666663</c:v>
                </c:pt>
                <c:pt idx="1">
                  <c:v>112.8333333333333</c:v>
                </c:pt>
                <c:pt idx="2">
                  <c:v>302.33333333333331</c:v>
                </c:pt>
                <c:pt idx="3">
                  <c:v>1407.4166666666674</c:v>
                </c:pt>
                <c:pt idx="4">
                  <c:v>181.5833333333334</c:v>
                </c:pt>
                <c:pt idx="5">
                  <c:v>4.5</c:v>
                </c:pt>
              </c:numCache>
            </c:numRef>
          </c:val>
          <c:extLst xmlns:c16r2="http://schemas.microsoft.com/office/drawing/2015/06/chart">
            <c:ext xmlns:c16="http://schemas.microsoft.com/office/drawing/2014/chart" uri="{C3380CC4-5D6E-409C-BE32-E72D297353CC}">
              <c16:uniqueId val="{00000001-48F9-413A-ABA1-4F33D6CD0E17}"/>
            </c:ext>
          </c:extLst>
        </c:ser>
        <c:dLbls>
          <c:showLegendKey val="0"/>
          <c:showVal val="0"/>
          <c:showCatName val="0"/>
          <c:showSerName val="0"/>
          <c:showPercent val="0"/>
          <c:showBubbleSize val="0"/>
        </c:dLbls>
        <c:gapWidth val="150"/>
        <c:axId val="218570112"/>
        <c:axId val="218580480"/>
      </c:barChart>
      <c:lineChart>
        <c:grouping val="standard"/>
        <c:varyColors val="0"/>
        <c:ser>
          <c:idx val="2"/>
          <c:order val="2"/>
          <c:tx>
            <c:strRef>
              <c:f>'Príspevok na starostlivosť ...'!$K$4</c:f>
              <c:strCache>
                <c:ptCount val="1"/>
                <c:pt idx="0">
                  <c:v>Vyplatená suma</c:v>
                </c:pt>
              </c:strCache>
            </c:strRef>
          </c:tx>
          <c:spPr>
            <a:ln>
              <a:noFill/>
            </a:ln>
          </c:spPr>
          <c:marker>
            <c:symbol val="triangle"/>
            <c:size val="9"/>
            <c:spPr>
              <a:solidFill>
                <a:schemeClr val="bg1"/>
              </a:solidFill>
              <a:ln w="15875"/>
            </c:spPr>
          </c:marker>
          <c:cat>
            <c:strRef>
              <c:f>'Príspevok na starostlivosť ...'!$L$1:$Q$1</c:f>
              <c:strCache>
                <c:ptCount val="6"/>
                <c:pt idx="0">
                  <c:v>Iná fyzická osoba</c:v>
                </c:pt>
                <c:pt idx="1">
                  <c:v>Iná právnická osoba</c:v>
                </c:pt>
                <c:pt idx="2">
                  <c:v>Rodič</c:v>
                </c:pt>
                <c:pt idx="3">
                  <c:v>Zariadenie</c:v>
                </c:pt>
                <c:pt idx="4">
                  <c:v>Živnostník</c:v>
                </c:pt>
                <c:pt idx="5">
                  <c:v>Nezaradené</c:v>
                </c:pt>
              </c:strCache>
            </c:strRef>
          </c:cat>
          <c:val>
            <c:numRef>
              <c:f>'Príspevok na starostlivosť ...'!$L$4:$Q$4</c:f>
              <c:numCache>
                <c:formatCode>#,##0.00</c:formatCode>
                <c:ptCount val="6"/>
                <c:pt idx="0">
                  <c:v>1150.8</c:v>
                </c:pt>
                <c:pt idx="1">
                  <c:v>345389.9200000001</c:v>
                </c:pt>
                <c:pt idx="2">
                  <c:v>275739.90000000002</c:v>
                </c:pt>
                <c:pt idx="3">
                  <c:v>4307735.95</c:v>
                </c:pt>
                <c:pt idx="4">
                  <c:v>598633.89</c:v>
                </c:pt>
                <c:pt idx="5">
                  <c:v>10541.04</c:v>
                </c:pt>
              </c:numCache>
            </c:numRef>
          </c:val>
          <c:smooth val="0"/>
          <c:extLst xmlns:c16r2="http://schemas.microsoft.com/office/drawing/2015/06/chart">
            <c:ext xmlns:c16="http://schemas.microsoft.com/office/drawing/2014/chart" uri="{C3380CC4-5D6E-409C-BE32-E72D297353CC}">
              <c16:uniqueId val="{00000002-48F9-413A-ABA1-4F33D6CD0E17}"/>
            </c:ext>
          </c:extLst>
        </c:ser>
        <c:dLbls>
          <c:showLegendKey val="0"/>
          <c:showVal val="0"/>
          <c:showCatName val="0"/>
          <c:showSerName val="0"/>
          <c:showPercent val="0"/>
          <c:showBubbleSize val="0"/>
        </c:dLbls>
        <c:marker val="1"/>
        <c:smooth val="0"/>
        <c:axId val="218584576"/>
        <c:axId val="218582400"/>
      </c:lineChart>
      <c:catAx>
        <c:axId val="218570112"/>
        <c:scaling>
          <c:orientation val="minMax"/>
        </c:scaling>
        <c:delete val="0"/>
        <c:axPos val="b"/>
        <c:numFmt formatCode="General" sourceLinked="1"/>
        <c:majorTickMark val="out"/>
        <c:minorTickMark val="none"/>
        <c:tickLblPos val="nextTo"/>
        <c:txPr>
          <a:bodyPr rot="-2100000"/>
          <a:lstStyle/>
          <a:p>
            <a:pPr>
              <a:defRPr/>
            </a:pPr>
            <a:endParaRPr lang="sk-SK"/>
          </a:p>
        </c:txPr>
        <c:crossAx val="218580480"/>
        <c:crosses val="autoZero"/>
        <c:auto val="1"/>
        <c:lblAlgn val="ctr"/>
        <c:lblOffset val="100"/>
        <c:noMultiLvlLbl val="0"/>
      </c:catAx>
      <c:valAx>
        <c:axId val="218580480"/>
        <c:scaling>
          <c:orientation val="minMax"/>
        </c:scaling>
        <c:delete val="0"/>
        <c:axPos val="l"/>
        <c:majorGridlines/>
        <c:title>
          <c:tx>
            <c:rich>
              <a:bodyPr rot="-5400000" vert="horz"/>
              <a:lstStyle/>
              <a:p>
                <a:pPr>
                  <a:defRPr/>
                </a:pPr>
                <a:r>
                  <a:rPr lang="sk-SK"/>
                  <a:t>priemerný mesačný počet poberateľov/detí</a:t>
                </a:r>
              </a:p>
            </c:rich>
          </c:tx>
          <c:overlay val="0"/>
        </c:title>
        <c:numFmt formatCode="#,##0" sourceLinked="0"/>
        <c:majorTickMark val="out"/>
        <c:minorTickMark val="none"/>
        <c:tickLblPos val="nextTo"/>
        <c:crossAx val="218570112"/>
        <c:crosses val="autoZero"/>
        <c:crossBetween val="between"/>
      </c:valAx>
      <c:valAx>
        <c:axId val="218582400"/>
        <c:scaling>
          <c:orientation val="minMax"/>
        </c:scaling>
        <c:delete val="0"/>
        <c:axPos val="r"/>
        <c:title>
          <c:tx>
            <c:rich>
              <a:bodyPr rot="-5400000" vert="horz"/>
              <a:lstStyle/>
              <a:p>
                <a:pPr>
                  <a:defRPr/>
                </a:pPr>
                <a:r>
                  <a:rPr lang="sk-SK"/>
                  <a:t>finančné prostriedky</a:t>
                </a:r>
              </a:p>
            </c:rich>
          </c:tx>
          <c:overlay val="0"/>
        </c:title>
        <c:numFmt formatCode="#,##0" sourceLinked="0"/>
        <c:majorTickMark val="out"/>
        <c:minorTickMark val="none"/>
        <c:tickLblPos val="nextTo"/>
        <c:crossAx val="218584576"/>
        <c:crosses val="max"/>
        <c:crossBetween val="between"/>
      </c:valAx>
      <c:catAx>
        <c:axId val="218584576"/>
        <c:scaling>
          <c:orientation val="minMax"/>
        </c:scaling>
        <c:delete val="1"/>
        <c:axPos val="b"/>
        <c:numFmt formatCode="General" sourceLinked="1"/>
        <c:majorTickMark val="out"/>
        <c:minorTickMark val="none"/>
        <c:tickLblPos val="none"/>
        <c:crossAx val="218582400"/>
        <c:crosses val="autoZero"/>
        <c:auto val="1"/>
        <c:lblAlgn val="ctr"/>
        <c:lblOffset val="100"/>
        <c:noMultiLvlLbl val="0"/>
      </c:catAx>
    </c:plotArea>
    <c:legend>
      <c:legendPos val="l"/>
      <c:layout>
        <c:manualLayout>
          <c:xMode val="edge"/>
          <c:yMode val="edge"/>
          <c:x val="0.19355954217063073"/>
          <c:y val="5.6418608638150403E-2"/>
          <c:w val="0.29434604040065598"/>
          <c:h val="0.23067756915001003"/>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161078504"/>
          <c:y val="5.6230699627436577E-2"/>
          <c:w val="0.85547650575413747"/>
          <c:h val="0.71688440429081679"/>
        </c:manualLayout>
      </c:layout>
      <c:lineChart>
        <c:grouping val="standard"/>
        <c:varyColors val="0"/>
        <c:ser>
          <c:idx val="0"/>
          <c:order val="0"/>
          <c:tx>
            <c:v>2014</c:v>
          </c:tx>
          <c:cat>
            <c:strRef>
              <c:f>'DHN aj peniaze'!$O$4:$O$15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'DHN aj peniaze'!$P$4:$P$15</c:f>
              <c:numCache>
                <c:formatCode>#,##0</c:formatCode>
                <c:ptCount val="12"/>
                <c:pt idx="0">
                  <c:v>182345</c:v>
                </c:pt>
                <c:pt idx="1">
                  <c:v>172766</c:v>
                </c:pt>
                <c:pt idx="2">
                  <c:v>174194</c:v>
                </c:pt>
                <c:pt idx="3">
                  <c:v>173697</c:v>
                </c:pt>
                <c:pt idx="4">
                  <c:v>170989</c:v>
                </c:pt>
                <c:pt idx="5">
                  <c:v>168058</c:v>
                </c:pt>
                <c:pt idx="6">
                  <c:v>164198</c:v>
                </c:pt>
                <c:pt idx="7">
                  <c:v>156769</c:v>
                </c:pt>
                <c:pt idx="8">
                  <c:v>152190</c:v>
                </c:pt>
                <c:pt idx="9">
                  <c:v>148988</c:v>
                </c:pt>
                <c:pt idx="10">
                  <c:v>145934</c:v>
                </c:pt>
                <c:pt idx="11">
                  <c:v>144717</c:v>
                </c:pt>
              </c:numCache>
            </c:numRef>
          </c:val>
          <c:smooth val="0"/>
          <c:extLst xmlns:c16r2="http://schemas.microsoft.com/office/drawing/2015/06/chart">
            <c:ext xmlns:c16="http://schemas.microsoft.com/office/drawing/2014/chart" uri="{C3380CC4-5D6E-409C-BE32-E72D297353CC}">
              <c16:uniqueId val="{00000000-574E-4FD8-BF9E-5759F9067377}"/>
            </c:ext>
          </c:extLst>
        </c:ser>
        <c:ser>
          <c:idx val="1"/>
          <c:order val="1"/>
          <c:tx>
            <c:v>2015</c:v>
          </c:tx>
          <c:cat>
            <c:strRef>
              <c:f>'DHN aj peniaze'!$O$4:$O$15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'DHN aj peniaze'!$Q$4:$Q$15</c:f>
              <c:numCache>
                <c:formatCode>#,##0</c:formatCode>
                <c:ptCount val="12"/>
                <c:pt idx="0">
                  <c:v>143248</c:v>
                </c:pt>
                <c:pt idx="1">
                  <c:v>138736</c:v>
                </c:pt>
                <c:pt idx="2">
                  <c:v>138880</c:v>
                </c:pt>
                <c:pt idx="3">
                  <c:v>137365</c:v>
                </c:pt>
                <c:pt idx="4">
                  <c:v>133841</c:v>
                </c:pt>
                <c:pt idx="5">
                  <c:v>128516</c:v>
                </c:pt>
                <c:pt idx="6">
                  <c:v>124814</c:v>
                </c:pt>
                <c:pt idx="7">
                  <c:v>121874</c:v>
                </c:pt>
                <c:pt idx="8">
                  <c:v>119734</c:v>
                </c:pt>
                <c:pt idx="9">
                  <c:v>118204</c:v>
                </c:pt>
                <c:pt idx="10">
                  <c:v>115034</c:v>
                </c:pt>
                <c:pt idx="11">
                  <c:v>116237</c:v>
                </c:pt>
              </c:numCache>
            </c:numRef>
          </c:val>
          <c:smooth val="0"/>
          <c:extLst xmlns:c16r2="http://schemas.microsoft.com/office/drawing/2015/06/chart">
            <c:ext xmlns:c16="http://schemas.microsoft.com/office/drawing/2014/chart" uri="{C3380CC4-5D6E-409C-BE32-E72D297353CC}">
              <c16:uniqueId val="{00000001-574E-4FD8-BF9E-5759F9067377}"/>
            </c:ext>
          </c:extLst>
        </c:ser>
        <c:dLbls>
          <c:showLegendKey val="0"/>
          <c:showVal val="0"/>
          <c:showCatName val="0"/>
          <c:showSerName val="0"/>
          <c:showPercent val="0"/>
          <c:showBubbleSize val="0"/>
        </c:dLbls>
        <c:marker val="1"/>
        <c:smooth val="0"/>
        <c:axId val="218610304"/>
        <c:axId val="218620288"/>
      </c:lineChart>
      <c:catAx>
        <c:axId val="218610304"/>
        <c:scaling>
          <c:orientation val="minMax"/>
        </c:scaling>
        <c:delete val="0"/>
        <c:axPos val="b"/>
        <c:numFmt formatCode="General" sourceLinked="1"/>
        <c:majorTickMark val="out"/>
        <c:minorTickMark val="none"/>
        <c:tickLblPos val="nextTo"/>
        <c:txPr>
          <a:bodyPr rot="-1380000" anchor="t" anchorCtr="1"/>
          <a:lstStyle/>
          <a:p>
            <a:pPr>
              <a:defRPr/>
            </a:pPr>
            <a:endParaRPr lang="sk-SK"/>
          </a:p>
        </c:txPr>
        <c:crossAx val="218620288"/>
        <c:crosses val="autoZero"/>
        <c:auto val="1"/>
        <c:lblAlgn val="ctr"/>
        <c:lblOffset val="100"/>
        <c:noMultiLvlLbl val="0"/>
      </c:catAx>
      <c:valAx>
        <c:axId val="218620288"/>
        <c:scaling>
          <c:orientation val="minMax"/>
          <c:min val="110000"/>
        </c:scaling>
        <c:delete val="0"/>
        <c:axPos val="l"/>
        <c:majorGridlines/>
        <c:numFmt formatCode="#,##0" sourceLinked="1"/>
        <c:majorTickMark val="out"/>
        <c:minorTickMark val="none"/>
        <c:tickLblPos val="nextTo"/>
        <c:crossAx val="218610304"/>
        <c:crosses val="autoZero"/>
        <c:crossBetween val="between"/>
      </c:valAx>
    </c:plotArea>
    <c:legend>
      <c:legendPos val="l"/>
      <c:layout>
        <c:manualLayout>
          <c:xMode val="edge"/>
          <c:yMode val="edge"/>
          <c:x val="0.13179784844268608"/>
          <c:y val="0.6317323264215543"/>
          <c:w val="0.2573481745186591"/>
          <c:h val="0.17349100076013696"/>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wave">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1-634C-4CA4-ADA9-498F110ED439}"/>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634C-4CA4-ADA9-498F110ED439}"/>
              </c:ext>
            </c:extLst>
          </c:dPt>
          <c:dPt>
            <c:idx val="2"/>
            <c:bubble3D val="0"/>
            <c:explosion val="25"/>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5-634C-4CA4-ADA9-498F110ED439}"/>
              </c:ext>
            </c:extLst>
          </c:dPt>
          <c:dPt>
            <c:idx val="3"/>
            <c:bubble3D val="0"/>
            <c:spPr>
              <a:pattFill prst="dkUpDiag">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7-634C-4CA4-ADA9-498F110ED439}"/>
              </c:ext>
            </c:extLst>
          </c:dPt>
          <c:dPt>
            <c:idx val="4"/>
            <c:bubble3D val="0"/>
            <c:spPr>
              <a:pattFill prst="smConfetti">
                <a:fgClr>
                  <a:schemeClr val="accent3">
                    <a:lumMod val="75000"/>
                  </a:schemeClr>
                </a:fgClr>
                <a:bgClr>
                  <a:schemeClr val="bg1"/>
                </a:bgClr>
              </a:pattFill>
              <a:ln>
                <a:solidFill>
                  <a:schemeClr val="accent3">
                    <a:lumMod val="75000"/>
                  </a:schemeClr>
                </a:solidFill>
              </a:ln>
            </c:spPr>
            <c:extLst xmlns:c16r2="http://schemas.microsoft.com/office/drawing/2015/06/chart">
              <c:ext xmlns:c16="http://schemas.microsoft.com/office/drawing/2014/chart" uri="{C3380CC4-5D6E-409C-BE32-E72D297353CC}">
                <c16:uniqueId val="{00000009-634C-4CA4-ADA9-498F110ED439}"/>
              </c:ext>
            </c:extLst>
          </c:dPt>
          <c:dPt>
            <c:idx val="5"/>
            <c:bubble3D val="0"/>
            <c:spPr>
              <a:solidFill>
                <a:schemeClr val="accent3">
                  <a:lumMod val="75000"/>
                </a:schemeClr>
              </a:solidFill>
              <a:ln>
                <a:solidFill>
                  <a:schemeClr val="accent3">
                    <a:lumMod val="75000"/>
                  </a:schemeClr>
                </a:solidFill>
              </a:ln>
            </c:spPr>
            <c:extLst xmlns:c16r2="http://schemas.microsoft.com/office/drawing/2015/06/chart">
              <c:ext xmlns:c16="http://schemas.microsoft.com/office/drawing/2014/chart" uri="{C3380CC4-5D6E-409C-BE32-E72D297353CC}">
                <c16:uniqueId val="{0000000B-634C-4CA4-ADA9-498F110ED439}"/>
              </c:ext>
            </c:extLst>
          </c:dPt>
          <c:dLbls>
            <c:dLbl>
              <c:idx val="0"/>
              <c:layout>
                <c:manualLayout>
                  <c:x val="3.5842519685039292E-2"/>
                  <c:y val="-7.963983668708078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C-4CA4-ADA9-498F110ED439}"/>
                </c:ext>
              </c:extLst>
            </c:dLbl>
            <c:dLbl>
              <c:idx val="1"/>
              <c:layout>
                <c:manualLayout>
                  <c:x val="-2.8903105861767291E-2"/>
                  <c:y val="0.1378083989501314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4C-4CA4-ADA9-498F110ED439}"/>
                </c:ext>
              </c:extLst>
            </c:dLbl>
            <c:dLbl>
              <c:idx val="2"/>
              <c:layout>
                <c:manualLayout>
                  <c:x val="-4.5348206474190716E-2"/>
                  <c:y val="-2.603419364246141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4C-4CA4-ADA9-498F110ED439}"/>
                </c:ext>
              </c:extLst>
            </c:dLbl>
            <c:dLbl>
              <c:idx val="3"/>
              <c:layout>
                <c:manualLayout>
                  <c:x val="-4.2413604549431806E-2"/>
                  <c:y val="-0.1475047389909594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4C-4CA4-ADA9-498F110ED439}"/>
                </c:ext>
              </c:extLst>
            </c:dLbl>
            <c:dLbl>
              <c:idx val="4"/>
              <c:layout>
                <c:manualLayout>
                  <c:x val="-7.652580927384077E-2"/>
                  <c:y val="-9.00627004957713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4C-4CA4-ADA9-498F110ED439}"/>
                </c:ext>
              </c:extLst>
            </c:dLbl>
            <c:dLbl>
              <c:idx val="5"/>
              <c:layout>
                <c:manualLayout>
                  <c:x val="0.30423184601924758"/>
                  <c:y val="1.388888888888895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4C-4CA4-ADA9-498F110ED439}"/>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'DHN štruktúra'!$D$21:$D$26</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'DHN štruktúra'!$E$21:$E$26</c:f>
              <c:numCache>
                <c:formatCode>#,##0.00</c:formatCode>
                <c:ptCount val="6"/>
                <c:pt idx="0">
                  <c:v>75246.916666666628</c:v>
                </c:pt>
                <c:pt idx="1">
                  <c:v>15725.33333333333</c:v>
                </c:pt>
                <c:pt idx="2">
                  <c:v>407.83333333333331</c:v>
                </c:pt>
                <c:pt idx="3">
                  <c:v>9815.0833333333303</c:v>
                </c:pt>
                <c:pt idx="4">
                  <c:v>22232.250000000004</c:v>
                </c:pt>
                <c:pt idx="5">
                  <c:v>4612.8333333333321</c:v>
                </c:pt>
              </c:numCache>
            </c:numRef>
          </c:val>
          <c:extLst xmlns:c16r2="http://schemas.microsoft.com/office/drawing/2015/06/chart">
            <c:ext xmlns:c16="http://schemas.microsoft.com/office/drawing/2014/chart" uri="{C3380CC4-5D6E-409C-BE32-E72D297353CC}">
              <c16:uniqueId val="{0000000C-634C-4CA4-ADA9-498F110ED43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'DHN Kraje ku koncu roka'!$F$1</c:f>
              <c:strCache>
                <c:ptCount val="1"/>
                <c:pt idx="0">
                  <c:v>2014</c:v>
                </c:pt>
              </c:strCache>
            </c:strRef>
          </c:tx>
          <c:invertIfNegative val="0"/>
          <c:cat>
            <c:strRef>
              <c:f>'DHN Kraje ku koncu roka'!$H$3:$H$10</c:f>
              <c:strCache>
                <c:ptCount val="8"/>
                <c:pt idx="0">
                  <c:v>BA</c:v>
                </c:pt>
                <c:pt idx="1">
                  <c:v>TT</c:v>
                </c:pt>
                <c:pt idx="2">
                  <c:v>TN</c:v>
                </c:pt>
                <c:pt idx="3">
                  <c:v>NR</c:v>
                </c:pt>
                <c:pt idx="4">
                  <c:v>ZA</c:v>
                </c:pt>
                <c:pt idx="5">
                  <c:v>BB</c:v>
                </c:pt>
                <c:pt idx="6">
                  <c:v>PO</c:v>
                </c:pt>
                <c:pt idx="7">
                  <c:v>KE</c:v>
                </c:pt>
              </c:strCache>
            </c:strRef>
          </c:cat>
          <c:val>
            <c:numRef>
              <c:f>'DHN Kraje ku koncu roka'!$F$3:$F$10</c:f>
              <c:numCache>
                <c:formatCode>0.0%</c:formatCode>
                <c:ptCount val="8"/>
                <c:pt idx="0">
                  <c:v>7.1164984716083892E-3</c:v>
                </c:pt>
                <c:pt idx="1">
                  <c:v>2.4849779031533431E-2</c:v>
                </c:pt>
                <c:pt idx="2">
                  <c:v>2.028472700272144E-2</c:v>
                </c:pt>
                <c:pt idx="3">
                  <c:v>4.496862416450343E-2</c:v>
                </c:pt>
                <c:pt idx="4">
                  <c:v>2.700706351953585E-2</c:v>
                </c:pt>
                <c:pt idx="5">
                  <c:v>9.3762350101242314E-2</c:v>
                </c:pt>
                <c:pt idx="6">
                  <c:v>9.2818457103065091E-2</c:v>
                </c:pt>
                <c:pt idx="7">
                  <c:v>9.5637691451987014E-2</c:v>
                </c:pt>
              </c:numCache>
            </c:numRef>
          </c:val>
          <c:extLst xmlns:c16r2="http://schemas.microsoft.com/office/drawing/2015/06/chart">
            <c:ext xmlns:c16="http://schemas.microsoft.com/office/drawing/2014/chart" uri="{C3380CC4-5D6E-409C-BE32-E72D297353CC}">
              <c16:uniqueId val="{00000000-0D5E-4A61-B3B9-052C5797BD9A}"/>
            </c:ext>
          </c:extLst>
        </c:ser>
        <c:ser>
          <c:idx val="1"/>
          <c:order val="1"/>
          <c:tx>
            <c:strRef>
              <c:f>'DHN Kraje ku koncu roka'!$G$1</c:f>
              <c:strCache>
                <c:ptCount val="1"/>
                <c:pt idx="0">
                  <c:v>2015</c:v>
                </c:pt>
              </c:strCache>
            </c:strRef>
          </c:tx>
          <c:invertIfNegative val="0"/>
          <c:cat>
            <c:strRef>
              <c:f>'DHN Kraje ku koncu roka'!$H$3:$H$10</c:f>
              <c:strCache>
                <c:ptCount val="8"/>
                <c:pt idx="0">
                  <c:v>BA</c:v>
                </c:pt>
                <c:pt idx="1">
                  <c:v>TT</c:v>
                </c:pt>
                <c:pt idx="2">
                  <c:v>TN</c:v>
                </c:pt>
                <c:pt idx="3">
                  <c:v>NR</c:v>
                </c:pt>
                <c:pt idx="4">
                  <c:v>ZA</c:v>
                </c:pt>
                <c:pt idx="5">
                  <c:v>BB</c:v>
                </c:pt>
                <c:pt idx="6">
                  <c:v>PO</c:v>
                </c:pt>
                <c:pt idx="7">
                  <c:v>KE</c:v>
                </c:pt>
              </c:strCache>
            </c:strRef>
          </c:cat>
          <c:val>
            <c:numRef>
              <c:f>'DHN Kraje ku koncu roka'!$G$3:$G$10</c:f>
              <c:numCache>
                <c:formatCode>0.0%</c:formatCode>
                <c:ptCount val="8"/>
                <c:pt idx="0">
                  <c:v>5.2361642728111103E-3</c:v>
                </c:pt>
                <c:pt idx="1">
                  <c:v>1.9246127815585944E-2</c:v>
                </c:pt>
                <c:pt idx="2">
                  <c:v>1.429649029130328E-2</c:v>
                </c:pt>
                <c:pt idx="3">
                  <c:v>3.6989012888867419E-2</c:v>
                </c:pt>
                <c:pt idx="4">
                  <c:v>1.9235727093393429E-2</c:v>
                </c:pt>
                <c:pt idx="5">
                  <c:v>8.0133348850884537E-2</c:v>
                </c:pt>
                <c:pt idx="6">
                  <c:v>7.8516188069409298E-2</c:v>
                </c:pt>
                <c:pt idx="7">
                  <c:v>8.4997175673131253E-2</c:v>
                </c:pt>
              </c:numCache>
            </c:numRef>
          </c:val>
          <c:extLst xmlns:c16r2="http://schemas.microsoft.com/office/drawing/2015/06/chart">
            <c:ext xmlns:c16="http://schemas.microsoft.com/office/drawing/2014/chart" uri="{C3380CC4-5D6E-409C-BE32-E72D297353CC}">
              <c16:uniqueId val="{00000001-0D5E-4A61-B3B9-052C5797BD9A}"/>
            </c:ext>
          </c:extLst>
        </c:ser>
        <c:dLbls>
          <c:showLegendKey val="0"/>
          <c:showVal val="0"/>
          <c:showCatName val="0"/>
          <c:showSerName val="0"/>
          <c:showPercent val="0"/>
          <c:showBubbleSize val="0"/>
        </c:dLbls>
        <c:gapWidth val="150"/>
        <c:shape val="box"/>
        <c:axId val="218787200"/>
        <c:axId val="218788992"/>
        <c:axId val="0"/>
      </c:bar3DChart>
      <c:catAx>
        <c:axId val="218787200"/>
        <c:scaling>
          <c:orientation val="minMax"/>
        </c:scaling>
        <c:delete val="0"/>
        <c:axPos val="b"/>
        <c:numFmt formatCode="General" sourceLinked="1"/>
        <c:majorTickMark val="out"/>
        <c:minorTickMark val="none"/>
        <c:tickLblPos val="nextTo"/>
        <c:crossAx val="218788992"/>
        <c:crosses val="autoZero"/>
        <c:auto val="1"/>
        <c:lblAlgn val="ctr"/>
        <c:lblOffset val="100"/>
        <c:noMultiLvlLbl val="0"/>
      </c:catAx>
      <c:valAx>
        <c:axId val="218788992"/>
        <c:scaling>
          <c:orientation val="minMax"/>
        </c:scaling>
        <c:delete val="0"/>
        <c:axPos val="l"/>
        <c:majorGridlines/>
        <c:numFmt formatCode="0.0%" sourceLinked="0"/>
        <c:majorTickMark val="out"/>
        <c:minorTickMark val="none"/>
        <c:tickLblPos val="nextTo"/>
        <c:crossAx val="218787200"/>
        <c:crosses val="autoZero"/>
        <c:crossBetween val="between"/>
      </c:valAx>
    </c:plotArea>
    <c:legend>
      <c:legendPos val="l"/>
      <c:layout>
        <c:manualLayout>
          <c:xMode val="edge"/>
          <c:yMode val="edge"/>
          <c:x val="0.21111111111111144"/>
          <c:y val="0.24553623505395211"/>
          <c:w val="9.9909667541557307E-2"/>
          <c:h val="0.15707567804024497"/>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'DHN Kraje ku koncu roka'!$Z$3</c:f>
              <c:strCache>
                <c:ptCount val="1"/>
                <c:pt idx="0">
                  <c:v>muži</c:v>
                </c:pt>
              </c:strCache>
            </c:strRef>
          </c:tx>
          <c:invertIfNegative val="0"/>
          <c:cat>
            <c:strRef>
              <c:f>'DHN Kraje ku koncu roka'!$AB$4:$AB$16</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'DHN Kraje ku koncu roka'!$Z$4:$Z$16</c:f>
              <c:numCache>
                <c:formatCode>#,##0</c:formatCode>
                <c:ptCount val="13"/>
                <c:pt idx="0">
                  <c:v>6808.25</c:v>
                </c:pt>
                <c:pt idx="1">
                  <c:v>14474.08333333333</c:v>
                </c:pt>
                <c:pt idx="2">
                  <c:v>15156.916666666662</c:v>
                </c:pt>
                <c:pt idx="3">
                  <c:v>13310.83333333333</c:v>
                </c:pt>
                <c:pt idx="4">
                  <c:v>6396.25</c:v>
                </c:pt>
                <c:pt idx="5">
                  <c:v>8274.4166666666624</c:v>
                </c:pt>
                <c:pt idx="6">
                  <c:v>10251.666666666662</c:v>
                </c:pt>
                <c:pt idx="7">
                  <c:v>11688.08333333333</c:v>
                </c:pt>
                <c:pt idx="8">
                  <c:v>11371.5</c:v>
                </c:pt>
                <c:pt idx="9">
                  <c:v>11248</c:v>
                </c:pt>
                <c:pt idx="10">
                  <c:v>12018.83333333333</c:v>
                </c:pt>
                <c:pt idx="11">
                  <c:v>11526.916666666662</c:v>
                </c:pt>
                <c:pt idx="12">
                  <c:v>4667.6666666666724</c:v>
                </c:pt>
              </c:numCache>
            </c:numRef>
          </c:val>
          <c:extLst xmlns:c16r2="http://schemas.microsoft.com/office/drawing/2015/06/chart">
            <c:ext xmlns:c16="http://schemas.microsoft.com/office/drawing/2014/chart" uri="{C3380CC4-5D6E-409C-BE32-E72D297353CC}">
              <c16:uniqueId val="{00000000-CEEC-4125-9D39-E9B4B7E934FA}"/>
            </c:ext>
          </c:extLst>
        </c:ser>
        <c:ser>
          <c:idx val="1"/>
          <c:order val="1"/>
          <c:tx>
            <c:strRef>
              <c:f>'DHN Kraje ku koncu roka'!$AA$3</c:f>
              <c:strCache>
                <c:ptCount val="1"/>
                <c:pt idx="0">
                  <c:v>ženy</c:v>
                </c:pt>
              </c:strCache>
            </c:strRef>
          </c:tx>
          <c:invertIfNegative val="0"/>
          <c:cat>
            <c:strRef>
              <c:f>'DHN Kraje ku koncu roka'!$AB$4:$AB$16</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'DHN Kraje ku koncu roka'!$AA$4:$AA$16</c:f>
              <c:numCache>
                <c:formatCode>#,##0</c:formatCode>
                <c:ptCount val="13"/>
                <c:pt idx="0">
                  <c:v>6487.9166666666706</c:v>
                </c:pt>
                <c:pt idx="1">
                  <c:v>13948.25</c:v>
                </c:pt>
                <c:pt idx="2">
                  <c:v>14580.416666666662</c:v>
                </c:pt>
                <c:pt idx="3">
                  <c:v>11553.75</c:v>
                </c:pt>
                <c:pt idx="4">
                  <c:v>6000.1666666666724</c:v>
                </c:pt>
                <c:pt idx="5">
                  <c:v>9155.1666666666624</c:v>
                </c:pt>
                <c:pt idx="6">
                  <c:v>10628.75</c:v>
                </c:pt>
                <c:pt idx="7">
                  <c:v>11211.916666666662</c:v>
                </c:pt>
                <c:pt idx="8">
                  <c:v>10611.33333333333</c:v>
                </c:pt>
                <c:pt idx="9">
                  <c:v>9701.4166666666624</c:v>
                </c:pt>
                <c:pt idx="10">
                  <c:v>9265.8333333333303</c:v>
                </c:pt>
                <c:pt idx="11">
                  <c:v>8054.5833333333312</c:v>
                </c:pt>
                <c:pt idx="12">
                  <c:v>7736.0833333333312</c:v>
                </c:pt>
              </c:numCache>
            </c:numRef>
          </c:val>
          <c:extLst xmlns:c16r2="http://schemas.microsoft.com/office/drawing/2015/06/chart">
            <c:ext xmlns:c16="http://schemas.microsoft.com/office/drawing/2014/chart" uri="{C3380CC4-5D6E-409C-BE32-E72D297353CC}">
              <c16:uniqueId val="{00000001-CEEC-4125-9D39-E9B4B7E934FA}"/>
            </c:ext>
          </c:extLst>
        </c:ser>
        <c:dLbls>
          <c:showLegendKey val="0"/>
          <c:showVal val="0"/>
          <c:showCatName val="0"/>
          <c:showSerName val="0"/>
          <c:showPercent val="0"/>
          <c:showBubbleSize val="0"/>
        </c:dLbls>
        <c:gapWidth val="195"/>
        <c:overlap val="-26"/>
        <c:axId val="218827008"/>
        <c:axId val="218828800"/>
      </c:barChart>
      <c:catAx>
        <c:axId val="21882700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18828800"/>
        <c:crosses val="autoZero"/>
        <c:auto val="1"/>
        <c:lblAlgn val="ctr"/>
        <c:lblOffset val="100"/>
        <c:noMultiLvlLbl val="0"/>
      </c:catAx>
      <c:valAx>
        <c:axId val="218828800"/>
        <c:scaling>
          <c:orientation val="minMax"/>
        </c:scaling>
        <c:delete val="0"/>
        <c:axPos val="l"/>
        <c:majorGridlines/>
        <c:numFmt formatCode="#,##0" sourceLinked="0"/>
        <c:majorTickMark val="out"/>
        <c:minorTickMark val="none"/>
        <c:tickLblPos val="nextTo"/>
        <c:crossAx val="218827008"/>
        <c:crosses val="autoZero"/>
        <c:crossBetween val="between"/>
      </c:valAx>
    </c:plotArea>
    <c:legend>
      <c:legendPos val="t"/>
      <c:layout>
        <c:manualLayout>
          <c:xMode val="edge"/>
          <c:yMode val="edge"/>
          <c:x val="0.80951625838436858"/>
          <c:y val="6.0185185185185147E-2"/>
          <c:w val="0.16337489063867017"/>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8076334208224"/>
          <c:y val="2.8758661724023006E-2"/>
          <c:w val="0.8513681102362205"/>
          <c:h val="0.87508429143059296"/>
        </c:manualLayout>
      </c:layout>
      <c:bar3DChart>
        <c:barDir val="col"/>
        <c:grouping val="clustered"/>
        <c:varyColors val="0"/>
        <c:ser>
          <c:idx val="0"/>
          <c:order val="0"/>
          <c:tx>
            <c:strRef>
              <c:f>'I.13a  - Dotácie na stravu ...'!$K$24</c:f>
              <c:strCache>
                <c:ptCount val="1"/>
              </c:strCache>
            </c:strRef>
          </c:tx>
          <c:invertIfNegative val="0"/>
          <c:cat>
            <c:strRef>
              <c:f>'I.13a  - Dotácie na stravu ...'!$J$25:$J$32</c:f>
              <c:strCache>
                <c:ptCount val="8"/>
                <c:pt idx="0">
                  <c:v>BA</c:v>
                </c:pt>
                <c:pt idx="1">
                  <c:v>TT</c:v>
                </c:pt>
                <c:pt idx="2">
                  <c:v>TN</c:v>
                </c:pt>
                <c:pt idx="3">
                  <c:v>NR</c:v>
                </c:pt>
                <c:pt idx="4">
                  <c:v>ZA</c:v>
                </c:pt>
                <c:pt idx="5">
                  <c:v>BB</c:v>
                </c:pt>
                <c:pt idx="6">
                  <c:v>PO</c:v>
                </c:pt>
                <c:pt idx="7">
                  <c:v>KE</c:v>
                </c:pt>
              </c:strCache>
            </c:strRef>
          </c:cat>
          <c:val>
            <c:numRef>
              <c:f>'I.13a  - Dotácie na stravu ...'!$K$25:$K$32</c:f>
              <c:numCache>
                <c:formatCode>General</c:formatCode>
                <c:ptCount val="8"/>
                <c:pt idx="0">
                  <c:v>544</c:v>
                </c:pt>
                <c:pt idx="1">
                  <c:v>1788.6</c:v>
                </c:pt>
                <c:pt idx="2">
                  <c:v>1441.5</c:v>
                </c:pt>
                <c:pt idx="3">
                  <c:v>5248.3</c:v>
                </c:pt>
                <c:pt idx="4">
                  <c:v>2927.1</c:v>
                </c:pt>
                <c:pt idx="5">
                  <c:v>14758.2</c:v>
                </c:pt>
                <c:pt idx="6">
                  <c:v>23626.400000000001</c:v>
                </c:pt>
                <c:pt idx="7">
                  <c:v>21372.6</c:v>
                </c:pt>
              </c:numCache>
            </c:numRef>
          </c:val>
          <c:extLst xmlns:c16r2="http://schemas.microsoft.com/office/drawing/2015/06/chart">
            <c:ext xmlns:c16="http://schemas.microsoft.com/office/drawing/2014/chart" uri="{C3380CC4-5D6E-409C-BE32-E72D297353CC}">
              <c16:uniqueId val="{00000000-A21C-41BE-851B-357BE67B35CF}"/>
            </c:ext>
          </c:extLst>
        </c:ser>
        <c:dLbls>
          <c:showLegendKey val="0"/>
          <c:showVal val="0"/>
          <c:showCatName val="0"/>
          <c:showSerName val="0"/>
          <c:showPercent val="0"/>
          <c:showBubbleSize val="0"/>
        </c:dLbls>
        <c:gapWidth val="150"/>
        <c:shape val="box"/>
        <c:axId val="218849664"/>
        <c:axId val="218851200"/>
        <c:axId val="0"/>
      </c:bar3DChart>
      <c:catAx>
        <c:axId val="218849664"/>
        <c:scaling>
          <c:orientation val="minMax"/>
        </c:scaling>
        <c:delete val="0"/>
        <c:axPos val="b"/>
        <c:numFmt formatCode="General" sourceLinked="0"/>
        <c:majorTickMark val="out"/>
        <c:minorTickMark val="none"/>
        <c:tickLblPos val="nextTo"/>
        <c:crossAx val="218851200"/>
        <c:crosses val="autoZero"/>
        <c:auto val="1"/>
        <c:lblAlgn val="ctr"/>
        <c:lblOffset val="100"/>
        <c:noMultiLvlLbl val="0"/>
      </c:catAx>
      <c:valAx>
        <c:axId val="218851200"/>
        <c:scaling>
          <c:orientation val="minMax"/>
        </c:scaling>
        <c:delete val="0"/>
        <c:axPos val="l"/>
        <c:majorGridlines/>
        <c:numFmt formatCode="#,##0" sourceLinked="0"/>
        <c:majorTickMark val="out"/>
        <c:minorTickMark val="none"/>
        <c:tickLblPos val="nextTo"/>
        <c:crossAx val="218849664"/>
        <c:crosses val="autoZero"/>
        <c:crossBetween val="between"/>
      </c:valAx>
      <c:spPr>
        <a:noFill/>
        <a:ln w="25400">
          <a:noFill/>
        </a:ln>
      </c:spPr>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'I.13c Dotácie na školské po...'!$O$17</c:f>
              <c:strCache>
                <c:ptCount val="1"/>
                <c:pt idx="0">
                  <c:v>I. polrok</c:v>
                </c:pt>
              </c:strCache>
            </c:strRef>
          </c:tx>
          <c:invertIfNegative val="0"/>
          <c:cat>
            <c:strRef>
              <c:f>'I.13c Dotácie na školské po...'!$N$18:$N$25</c:f>
              <c:strCache>
                <c:ptCount val="8"/>
                <c:pt idx="0">
                  <c:v>BA</c:v>
                </c:pt>
                <c:pt idx="1">
                  <c:v>TT</c:v>
                </c:pt>
                <c:pt idx="2">
                  <c:v>TN</c:v>
                </c:pt>
                <c:pt idx="3">
                  <c:v>NR</c:v>
                </c:pt>
                <c:pt idx="4">
                  <c:v>ZA</c:v>
                </c:pt>
                <c:pt idx="5">
                  <c:v>BB</c:v>
                </c:pt>
                <c:pt idx="6">
                  <c:v>PO</c:v>
                </c:pt>
                <c:pt idx="7">
                  <c:v>KE</c:v>
                </c:pt>
              </c:strCache>
            </c:strRef>
          </c:cat>
          <c:val>
            <c:numRef>
              <c:f>'I.13c Dotácie na školské po...'!$O$18:$O$25</c:f>
              <c:numCache>
                <c:formatCode>#,##0.00</c:formatCode>
                <c:ptCount val="8"/>
                <c:pt idx="0">
                  <c:v>580</c:v>
                </c:pt>
                <c:pt idx="1">
                  <c:v>1792</c:v>
                </c:pt>
                <c:pt idx="2">
                  <c:v>1501</c:v>
                </c:pt>
                <c:pt idx="3">
                  <c:v>5474</c:v>
                </c:pt>
                <c:pt idx="4">
                  <c:v>3233</c:v>
                </c:pt>
                <c:pt idx="5">
                  <c:v>15395</c:v>
                </c:pt>
                <c:pt idx="6">
                  <c:v>25423</c:v>
                </c:pt>
                <c:pt idx="7">
                  <c:v>22506</c:v>
                </c:pt>
              </c:numCache>
            </c:numRef>
          </c:val>
          <c:extLst xmlns:c16r2="http://schemas.microsoft.com/office/drawing/2015/06/chart">
            <c:ext xmlns:c16="http://schemas.microsoft.com/office/drawing/2014/chart" uri="{C3380CC4-5D6E-409C-BE32-E72D297353CC}">
              <c16:uniqueId val="{00000000-E37A-4B4E-8229-418301B0CC0A}"/>
            </c:ext>
          </c:extLst>
        </c:ser>
        <c:ser>
          <c:idx val="1"/>
          <c:order val="1"/>
          <c:tx>
            <c:strRef>
              <c:f>'I.13c Dotácie na školské po...'!$P$17</c:f>
              <c:strCache>
                <c:ptCount val="1"/>
                <c:pt idx="0">
                  <c:v>II. polrok</c:v>
                </c:pt>
              </c:strCache>
            </c:strRef>
          </c:tx>
          <c:invertIfNegative val="0"/>
          <c:cat>
            <c:strRef>
              <c:f>'I.13c Dotácie na školské po...'!$N$18:$N$25</c:f>
              <c:strCache>
                <c:ptCount val="8"/>
                <c:pt idx="0">
                  <c:v>BA</c:v>
                </c:pt>
                <c:pt idx="1">
                  <c:v>TT</c:v>
                </c:pt>
                <c:pt idx="2">
                  <c:v>TN</c:v>
                </c:pt>
                <c:pt idx="3">
                  <c:v>NR</c:v>
                </c:pt>
                <c:pt idx="4">
                  <c:v>ZA</c:v>
                </c:pt>
                <c:pt idx="5">
                  <c:v>BB</c:v>
                </c:pt>
                <c:pt idx="6">
                  <c:v>PO</c:v>
                </c:pt>
                <c:pt idx="7">
                  <c:v>KE</c:v>
                </c:pt>
              </c:strCache>
            </c:strRef>
          </c:cat>
          <c:val>
            <c:numRef>
              <c:f>'I.13c Dotácie na školské po...'!$P$18:$P$25</c:f>
              <c:numCache>
                <c:formatCode>#,##0.00</c:formatCode>
                <c:ptCount val="8"/>
                <c:pt idx="0">
                  <c:v>484</c:v>
                </c:pt>
                <c:pt idx="1">
                  <c:v>1634</c:v>
                </c:pt>
                <c:pt idx="2">
                  <c:v>1343</c:v>
                </c:pt>
                <c:pt idx="3">
                  <c:v>4792</c:v>
                </c:pt>
                <c:pt idx="4">
                  <c:v>2521</c:v>
                </c:pt>
                <c:pt idx="5">
                  <c:v>14282</c:v>
                </c:pt>
                <c:pt idx="6">
                  <c:v>23196</c:v>
                </c:pt>
                <c:pt idx="7">
                  <c:v>21997</c:v>
                </c:pt>
              </c:numCache>
            </c:numRef>
          </c:val>
          <c:extLst xmlns:c16r2="http://schemas.microsoft.com/office/drawing/2015/06/chart">
            <c:ext xmlns:c16="http://schemas.microsoft.com/office/drawing/2014/chart" uri="{C3380CC4-5D6E-409C-BE32-E72D297353CC}">
              <c16:uniqueId val="{00000001-E37A-4B4E-8229-418301B0CC0A}"/>
            </c:ext>
          </c:extLst>
        </c:ser>
        <c:dLbls>
          <c:showLegendKey val="0"/>
          <c:showVal val="0"/>
          <c:showCatName val="0"/>
          <c:showSerName val="0"/>
          <c:showPercent val="0"/>
          <c:showBubbleSize val="0"/>
        </c:dLbls>
        <c:gapWidth val="150"/>
        <c:axId val="218864256"/>
        <c:axId val="218882432"/>
      </c:barChart>
      <c:catAx>
        <c:axId val="218864256"/>
        <c:scaling>
          <c:orientation val="minMax"/>
        </c:scaling>
        <c:delete val="0"/>
        <c:axPos val="b"/>
        <c:numFmt formatCode="General" sourceLinked="0"/>
        <c:majorTickMark val="out"/>
        <c:minorTickMark val="none"/>
        <c:tickLblPos val="nextTo"/>
        <c:crossAx val="218882432"/>
        <c:crosses val="autoZero"/>
        <c:auto val="1"/>
        <c:lblAlgn val="ctr"/>
        <c:lblOffset val="100"/>
        <c:noMultiLvlLbl val="0"/>
      </c:catAx>
      <c:valAx>
        <c:axId val="218882432"/>
        <c:scaling>
          <c:orientation val="minMax"/>
        </c:scaling>
        <c:delete val="0"/>
        <c:axPos val="l"/>
        <c:majorGridlines/>
        <c:numFmt formatCode="#,##0" sourceLinked="0"/>
        <c:majorTickMark val="out"/>
        <c:minorTickMark val="none"/>
        <c:tickLblPos val="nextTo"/>
        <c:crossAx val="218864256"/>
        <c:crosses val="autoZero"/>
        <c:crossBetween val="between"/>
      </c:valAx>
    </c:plotArea>
    <c:legend>
      <c:legendPos val="t"/>
      <c:layout>
        <c:manualLayout>
          <c:xMode val="edge"/>
          <c:yMode val="edge"/>
          <c:x val="0.34642497812773587"/>
          <c:y val="5.0925925925925923E-2"/>
          <c:w val="0.30714982502187232"/>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8543399080698"/>
          <c:y val="5.1802118713341803E-2"/>
          <c:w val="0.8403161476674712"/>
          <c:h val="0.70000385754987327"/>
        </c:manualLayout>
      </c:layout>
      <c:lineChart>
        <c:grouping val="standard"/>
        <c:varyColors val="0"/>
        <c:ser>
          <c:idx val="0"/>
          <c:order val="0"/>
          <c:tx>
            <c:strRef>
              <c:f>'aspoň jeden deň'!$F$9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deň'!$F$10:$F$21</c:f>
              <c:numCache>
                <c:formatCode>#,##0</c:formatCode>
                <c:ptCount val="12"/>
                <c:pt idx="0">
                  <c:v>1722630</c:v>
                </c:pt>
                <c:pt idx="1">
                  <c:v>1725673</c:v>
                </c:pt>
                <c:pt idx="2">
                  <c:v>1735457</c:v>
                </c:pt>
                <c:pt idx="3">
                  <c:v>1742923</c:v>
                </c:pt>
                <c:pt idx="4">
                  <c:v>1747499</c:v>
                </c:pt>
                <c:pt idx="5">
                  <c:v>1754189</c:v>
                </c:pt>
                <c:pt idx="6">
                  <c:v>1746104</c:v>
                </c:pt>
                <c:pt idx="7">
                  <c:v>1748755</c:v>
                </c:pt>
                <c:pt idx="8">
                  <c:v>1768466</c:v>
                </c:pt>
                <c:pt idx="9">
                  <c:v>1773429</c:v>
                </c:pt>
                <c:pt idx="10">
                  <c:v>1773620</c:v>
                </c:pt>
                <c:pt idx="11">
                  <c:v>1769079</c:v>
                </c:pt>
              </c:numCache>
            </c:numRef>
          </c:val>
          <c:smooth val="0"/>
          <c:extLst xmlns:c16r2="http://schemas.microsoft.com/office/drawing/2015/06/chart">
            <c:ext xmlns:c16="http://schemas.microsoft.com/office/drawing/2014/chart" uri="{C3380CC4-5D6E-409C-BE32-E72D297353CC}">
              <c16:uniqueId val="{00000000-7F6F-4538-9DE1-F95168331E98}"/>
            </c:ext>
          </c:extLst>
        </c:ser>
        <c:ser>
          <c:idx val="1"/>
          <c:order val="1"/>
          <c:tx>
            <c:strRef>
              <c:f>'aspoň jeden deň'!$G$9</c:f>
              <c:strCache>
                <c:ptCount val="1"/>
                <c:pt idx="0">
                  <c:v>2015</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deň'!$G$10:$G$21</c:f>
              <c:numCache>
                <c:formatCode>#,##0</c:formatCode>
                <c:ptCount val="12"/>
                <c:pt idx="0">
                  <c:v>1761021</c:v>
                </c:pt>
                <c:pt idx="1">
                  <c:v>1766838</c:v>
                </c:pt>
                <c:pt idx="2">
                  <c:v>1781809</c:v>
                </c:pt>
                <c:pt idx="3">
                  <c:v>1793457</c:v>
                </c:pt>
                <c:pt idx="4">
                  <c:v>1800547</c:v>
                </c:pt>
                <c:pt idx="5">
                  <c:v>1809803</c:v>
                </c:pt>
                <c:pt idx="6">
                  <c:v>1804121</c:v>
                </c:pt>
                <c:pt idx="7">
                  <c:v>1807693</c:v>
                </c:pt>
                <c:pt idx="8">
                  <c:v>1826418</c:v>
                </c:pt>
                <c:pt idx="9">
                  <c:v>1826622</c:v>
                </c:pt>
                <c:pt idx="10">
                  <c:v>1825799</c:v>
                </c:pt>
                <c:pt idx="11">
                  <c:v>1816681</c:v>
                </c:pt>
              </c:numCache>
            </c:numRef>
          </c:val>
          <c:smooth val="0"/>
          <c:extLst xmlns:c16r2="http://schemas.microsoft.com/office/drawing/2015/06/chart">
            <c:ext xmlns:c16="http://schemas.microsoft.com/office/drawing/2014/chart" uri="{C3380CC4-5D6E-409C-BE32-E72D297353CC}">
              <c16:uniqueId val="{00000001-7F6F-4538-9DE1-F95168331E98}"/>
            </c:ext>
          </c:extLst>
        </c:ser>
        <c:dLbls>
          <c:showLegendKey val="0"/>
          <c:showVal val="0"/>
          <c:showCatName val="0"/>
          <c:showSerName val="0"/>
          <c:showPercent val="0"/>
          <c:showBubbleSize val="0"/>
        </c:dLbls>
        <c:marker val="1"/>
        <c:smooth val="0"/>
        <c:axId val="215617536"/>
        <c:axId val="215619072"/>
      </c:lineChart>
      <c:catAx>
        <c:axId val="215617536"/>
        <c:scaling>
          <c:orientation val="minMax"/>
        </c:scaling>
        <c:delete val="0"/>
        <c:axPos val="b"/>
        <c:numFmt formatCode="General" sourceLinked="1"/>
        <c:majorTickMark val="out"/>
        <c:minorTickMark val="none"/>
        <c:tickLblPos val="nextTo"/>
        <c:crossAx val="215619072"/>
        <c:crosses val="autoZero"/>
        <c:auto val="1"/>
        <c:lblAlgn val="ctr"/>
        <c:lblOffset val="100"/>
        <c:noMultiLvlLbl val="0"/>
      </c:catAx>
      <c:valAx>
        <c:axId val="215619072"/>
        <c:scaling>
          <c:orientation val="minMax"/>
          <c:min val="1700000"/>
        </c:scaling>
        <c:delete val="0"/>
        <c:axPos val="l"/>
        <c:majorGridlines/>
        <c:numFmt formatCode="#,##0" sourceLinked="1"/>
        <c:majorTickMark val="out"/>
        <c:minorTickMark val="none"/>
        <c:tickLblPos val="nextTo"/>
        <c:crossAx val="215617536"/>
        <c:crosses val="autoZero"/>
        <c:crossBetween val="between"/>
      </c:valAx>
    </c:plotArea>
    <c:legend>
      <c:legendPos val="t"/>
      <c:layout>
        <c:manualLayout>
          <c:xMode val="edge"/>
          <c:yMode val="edge"/>
          <c:x val="0.14845620186335384"/>
          <c:y val="5.6325986828183114E-2"/>
          <c:w val="0.26556016597510546"/>
          <c:h val="8.8102691396243063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3159865603118"/>
          <c:y val="6.0821604098354562E-2"/>
          <c:w val="0.78578070189579896"/>
          <c:h val="0.64420860435924032"/>
        </c:manualLayout>
      </c:layout>
      <c:lineChart>
        <c:grouping val="standard"/>
        <c:varyColors val="0"/>
        <c:ser>
          <c:idx val="1"/>
          <c:order val="0"/>
          <c:tx>
            <c:v>neplatené výživné (deti) 2014</c:v>
          </c:tx>
          <c:spPr>
            <a:ln>
              <a:solidFill>
                <a:schemeClr val="accent1"/>
              </a:solidFill>
            </a:ln>
          </c:spPr>
          <c:marker>
            <c:spPr>
              <a:solidFill>
                <a:schemeClr val="accent1"/>
              </a:solidFill>
              <a:ln>
                <a:solidFill>
                  <a:schemeClr val="accent1"/>
                </a:solidFill>
              </a:ln>
            </c:spPr>
          </c:marker>
          <c:cat>
            <c:strRef>
              <c:f>'náhradné výživné'!$M$10:$M$21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'náhradné výživné'!$C$2:$N$2</c:f>
              <c:numCache>
                <c:formatCode>#,##0.00</c:formatCode>
                <c:ptCount val="12"/>
                <c:pt idx="0">
                  <c:v>13322</c:v>
                </c:pt>
                <c:pt idx="1">
                  <c:v>13412</c:v>
                </c:pt>
                <c:pt idx="2">
                  <c:v>13490</c:v>
                </c:pt>
                <c:pt idx="3">
                  <c:v>13443</c:v>
                </c:pt>
                <c:pt idx="4">
                  <c:v>13394</c:v>
                </c:pt>
                <c:pt idx="5">
                  <c:v>13617</c:v>
                </c:pt>
                <c:pt idx="6">
                  <c:v>13609</c:v>
                </c:pt>
                <c:pt idx="7">
                  <c:v>13526</c:v>
                </c:pt>
                <c:pt idx="8">
                  <c:v>13523</c:v>
                </c:pt>
                <c:pt idx="9">
                  <c:v>13182</c:v>
                </c:pt>
                <c:pt idx="10">
                  <c:v>13169</c:v>
                </c:pt>
                <c:pt idx="11">
                  <c:v>13229</c:v>
                </c:pt>
              </c:numCache>
            </c:numRef>
          </c:val>
          <c:smooth val="0"/>
          <c:extLst xmlns:c16r2="http://schemas.microsoft.com/office/drawing/2015/06/chart">
            <c:ext xmlns:c16="http://schemas.microsoft.com/office/drawing/2014/chart" uri="{C3380CC4-5D6E-409C-BE32-E72D297353CC}">
              <c16:uniqueId val="{00000000-BFCD-4613-A0E6-2FFBC9CFDF18}"/>
            </c:ext>
          </c:extLst>
        </c:ser>
        <c:ser>
          <c:idx val="0"/>
          <c:order val="1"/>
          <c:tx>
            <c:v>neplatené výživné (deti) 2015</c:v>
          </c:tx>
          <c:spPr>
            <a:ln>
              <a:solidFill>
                <a:schemeClr val="accent2"/>
              </a:solidFill>
            </a:ln>
          </c:spPr>
          <c:marker>
            <c:symbol val="square"/>
            <c:size val="7"/>
            <c:spPr>
              <a:solidFill>
                <a:schemeClr val="accent2"/>
              </a:solidFill>
              <a:ln>
                <a:solidFill>
                  <a:schemeClr val="accent2"/>
                </a:solidFill>
              </a:ln>
            </c:spPr>
          </c:marker>
          <c:cat>
            <c:strRef>
              <c:f>'náhradné výživné'!$M$10:$M$21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'náhradné výživné'!$O$2:$Z$2</c:f>
              <c:numCache>
                <c:formatCode>#,##0.00</c:formatCode>
                <c:ptCount val="12"/>
                <c:pt idx="0">
                  <c:v>13083</c:v>
                </c:pt>
                <c:pt idx="1">
                  <c:v>13115</c:v>
                </c:pt>
                <c:pt idx="2">
                  <c:v>13062</c:v>
                </c:pt>
                <c:pt idx="3">
                  <c:v>12938</c:v>
                </c:pt>
                <c:pt idx="4">
                  <c:v>12692</c:v>
                </c:pt>
                <c:pt idx="5">
                  <c:v>12764</c:v>
                </c:pt>
                <c:pt idx="6">
                  <c:v>12673</c:v>
                </c:pt>
                <c:pt idx="7">
                  <c:v>12443</c:v>
                </c:pt>
                <c:pt idx="8">
                  <c:v>12339</c:v>
                </c:pt>
                <c:pt idx="9">
                  <c:v>11853</c:v>
                </c:pt>
                <c:pt idx="10">
                  <c:v>11742</c:v>
                </c:pt>
                <c:pt idx="11">
                  <c:v>11760</c:v>
                </c:pt>
              </c:numCache>
            </c:numRef>
          </c:val>
          <c:smooth val="0"/>
          <c:extLst xmlns:c16r2="http://schemas.microsoft.com/office/drawing/2015/06/chart">
            <c:ext xmlns:c16="http://schemas.microsoft.com/office/drawing/2014/chart" uri="{C3380CC4-5D6E-409C-BE32-E72D297353CC}">
              <c16:uniqueId val="{00000001-BFCD-4613-A0E6-2FFBC9CFDF18}"/>
            </c:ext>
          </c:extLst>
        </c:ser>
        <c:dLbls>
          <c:showLegendKey val="0"/>
          <c:showVal val="0"/>
          <c:showCatName val="0"/>
          <c:showSerName val="0"/>
          <c:showPercent val="0"/>
          <c:showBubbleSize val="0"/>
        </c:dLbls>
        <c:marker val="1"/>
        <c:smooth val="0"/>
        <c:axId val="218927872"/>
        <c:axId val="218929792"/>
      </c:lineChart>
      <c:lineChart>
        <c:grouping val="standard"/>
        <c:varyColors val="0"/>
        <c:ser>
          <c:idx val="2"/>
          <c:order val="2"/>
          <c:tx>
            <c:v>sirotský dôchodok (deti) 2014</c:v>
          </c:tx>
          <c:spPr>
            <a:ln>
              <a:solidFill>
                <a:schemeClr val="accent1"/>
              </a:solidFill>
            </a:ln>
          </c:spPr>
          <c:marker>
            <c:spPr>
              <a:solidFill>
                <a:schemeClr val="bg1"/>
              </a:solidFill>
              <a:ln w="19050">
                <a:solidFill>
                  <a:schemeClr val="accent1"/>
                </a:solidFill>
              </a:ln>
            </c:spPr>
          </c:marker>
          <c:cat>
            <c:numRef>
              <c:f>'NV graf'!$B$1:$M$1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'náhradné výživné'!$C$5:$N$5</c:f>
              <c:numCache>
                <c:formatCode>#,##0.00</c:formatCode>
                <c:ptCount val="12"/>
                <c:pt idx="0">
                  <c:v>1029</c:v>
                </c:pt>
                <c:pt idx="1">
                  <c:v>1041</c:v>
                </c:pt>
                <c:pt idx="2">
                  <c:v>1034</c:v>
                </c:pt>
                <c:pt idx="3">
                  <c:v>1041</c:v>
                </c:pt>
                <c:pt idx="4">
                  <c:v>1043</c:v>
                </c:pt>
                <c:pt idx="5">
                  <c:v>1037</c:v>
                </c:pt>
                <c:pt idx="6">
                  <c:v>1048</c:v>
                </c:pt>
                <c:pt idx="7">
                  <c:v>1030</c:v>
                </c:pt>
                <c:pt idx="8">
                  <c:v>1027</c:v>
                </c:pt>
                <c:pt idx="9">
                  <c:v>998</c:v>
                </c:pt>
                <c:pt idx="10">
                  <c:v>1028</c:v>
                </c:pt>
                <c:pt idx="11">
                  <c:v>1012</c:v>
                </c:pt>
              </c:numCache>
            </c:numRef>
          </c:val>
          <c:smooth val="0"/>
          <c:extLst xmlns:c16r2="http://schemas.microsoft.com/office/drawing/2015/06/chart">
            <c:ext xmlns:c16="http://schemas.microsoft.com/office/drawing/2014/chart" uri="{C3380CC4-5D6E-409C-BE32-E72D297353CC}">
              <c16:uniqueId val="{00000002-BFCD-4613-A0E6-2FFBC9CFDF18}"/>
            </c:ext>
          </c:extLst>
        </c:ser>
        <c:ser>
          <c:idx val="3"/>
          <c:order val="3"/>
          <c:tx>
            <c:v>sirotský dôchodok (deti) 2015</c:v>
          </c:tx>
          <c:spPr>
            <a:ln>
              <a:solidFill>
                <a:schemeClr val="accent2"/>
              </a:solidFill>
            </a:ln>
          </c:spPr>
          <c:marker>
            <c:symbol val="triangle"/>
            <c:size val="7"/>
            <c:spPr>
              <a:solidFill>
                <a:schemeClr val="bg1"/>
              </a:solidFill>
              <a:ln w="15875">
                <a:solidFill>
                  <a:schemeClr val="accent2"/>
                </a:solidFill>
              </a:ln>
            </c:spPr>
          </c:marker>
          <c:cat>
            <c:numRef>
              <c:f>'NV graf'!$B$1:$M$1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'náhradné výživné'!$O$5:$Z$5</c:f>
              <c:numCache>
                <c:formatCode>#,##0.00</c:formatCode>
                <c:ptCount val="12"/>
                <c:pt idx="0">
                  <c:v>1004</c:v>
                </c:pt>
                <c:pt idx="1">
                  <c:v>1005</c:v>
                </c:pt>
                <c:pt idx="2">
                  <c:v>1007</c:v>
                </c:pt>
                <c:pt idx="3">
                  <c:v>991</c:v>
                </c:pt>
                <c:pt idx="4">
                  <c:v>976</c:v>
                </c:pt>
                <c:pt idx="5">
                  <c:v>988</c:v>
                </c:pt>
                <c:pt idx="6">
                  <c:v>990</c:v>
                </c:pt>
                <c:pt idx="7">
                  <c:v>952</c:v>
                </c:pt>
                <c:pt idx="8">
                  <c:v>969</c:v>
                </c:pt>
                <c:pt idx="9">
                  <c:v>929</c:v>
                </c:pt>
                <c:pt idx="10">
                  <c:v>923</c:v>
                </c:pt>
                <c:pt idx="11">
                  <c:v>935</c:v>
                </c:pt>
              </c:numCache>
            </c:numRef>
          </c:val>
          <c:smooth val="0"/>
          <c:extLst xmlns:c16r2="http://schemas.microsoft.com/office/drawing/2015/06/chart">
            <c:ext xmlns:c16="http://schemas.microsoft.com/office/drawing/2014/chart" uri="{C3380CC4-5D6E-409C-BE32-E72D297353CC}">
              <c16:uniqueId val="{00000003-BFCD-4613-A0E6-2FFBC9CFDF18}"/>
            </c:ext>
          </c:extLst>
        </c:ser>
        <c:dLbls>
          <c:showLegendKey val="0"/>
          <c:showVal val="0"/>
          <c:showCatName val="0"/>
          <c:showSerName val="0"/>
          <c:showPercent val="0"/>
          <c:showBubbleSize val="0"/>
        </c:dLbls>
        <c:marker val="1"/>
        <c:smooth val="0"/>
        <c:axId val="218944256"/>
        <c:axId val="218945792"/>
      </c:lineChart>
      <c:catAx>
        <c:axId val="218927872"/>
        <c:scaling>
          <c:orientation val="minMax"/>
        </c:scaling>
        <c:delete val="0"/>
        <c:axPos val="b"/>
        <c:numFmt formatCode="General" sourceLinked="1"/>
        <c:majorTickMark val="out"/>
        <c:minorTickMark val="none"/>
        <c:tickLblPos val="nextTo"/>
        <c:txPr>
          <a:bodyPr rot="0" vert="horz"/>
          <a:lstStyle/>
          <a:p>
            <a:pPr>
              <a:defRPr/>
            </a:pPr>
            <a:endParaRPr lang="sk-SK"/>
          </a:p>
        </c:txPr>
        <c:crossAx val="218929792"/>
        <c:crosses val="autoZero"/>
        <c:auto val="1"/>
        <c:lblAlgn val="ctr"/>
        <c:lblOffset val="100"/>
        <c:noMultiLvlLbl val="0"/>
      </c:catAx>
      <c:valAx>
        <c:axId val="218929792"/>
        <c:scaling>
          <c:orientation val="minMax"/>
          <c:min val="11500"/>
        </c:scaling>
        <c:delete val="0"/>
        <c:axPos val="l"/>
        <c:majorGridlines/>
        <c:title>
          <c:tx>
            <c:rich>
              <a:bodyPr/>
              <a:lstStyle/>
              <a:p>
                <a:pPr>
                  <a:defRPr/>
                </a:pPr>
                <a:r>
                  <a:rPr lang="sk-SK"/>
                  <a:t>neplatené výživné</a:t>
                </a:r>
              </a:p>
            </c:rich>
          </c:tx>
          <c:layout>
            <c:manualLayout>
              <c:xMode val="edge"/>
              <c:yMode val="edge"/>
              <c:x val="5.7220715545516923E-3"/>
              <c:y val="0.20756101139531474"/>
            </c:manualLayout>
          </c:layout>
          <c:overlay val="0"/>
        </c:title>
        <c:numFmt formatCode="#,##0" sourceLinked="0"/>
        <c:majorTickMark val="out"/>
        <c:minorTickMark val="none"/>
        <c:tickLblPos val="nextTo"/>
        <c:txPr>
          <a:bodyPr rot="0" vert="horz"/>
          <a:lstStyle/>
          <a:p>
            <a:pPr>
              <a:defRPr/>
            </a:pPr>
            <a:endParaRPr lang="sk-SK"/>
          </a:p>
        </c:txPr>
        <c:crossAx val="218927872"/>
        <c:crosses val="autoZero"/>
        <c:crossBetween val="between"/>
      </c:valAx>
      <c:catAx>
        <c:axId val="218944256"/>
        <c:scaling>
          <c:orientation val="minMax"/>
        </c:scaling>
        <c:delete val="1"/>
        <c:axPos val="b"/>
        <c:numFmt formatCode="General" sourceLinked="1"/>
        <c:majorTickMark val="out"/>
        <c:minorTickMark val="none"/>
        <c:tickLblPos val="none"/>
        <c:crossAx val="218945792"/>
        <c:crosses val="autoZero"/>
        <c:auto val="1"/>
        <c:lblAlgn val="ctr"/>
        <c:lblOffset val="100"/>
        <c:noMultiLvlLbl val="0"/>
      </c:catAx>
      <c:valAx>
        <c:axId val="218945792"/>
        <c:scaling>
          <c:orientation val="minMax"/>
          <c:min val="920"/>
        </c:scaling>
        <c:delete val="0"/>
        <c:axPos val="r"/>
        <c:title>
          <c:tx>
            <c:rich>
              <a:bodyPr/>
              <a:lstStyle/>
              <a:p>
                <a:pPr>
                  <a:defRPr/>
                </a:pPr>
                <a:r>
                  <a:rPr lang="sk-SK"/>
                  <a:t>sirotský dôchodok</a:t>
                </a:r>
              </a:p>
            </c:rich>
          </c:tx>
          <c:layout>
            <c:manualLayout>
              <c:xMode val="edge"/>
              <c:yMode val="edge"/>
              <c:x val="0.96450999139414062"/>
              <c:y val="0.20923475702660921"/>
            </c:manualLayout>
          </c:layout>
          <c:overlay val="0"/>
        </c:title>
        <c:numFmt formatCode="#,##0" sourceLinked="0"/>
        <c:majorTickMark val="out"/>
        <c:minorTickMark val="none"/>
        <c:tickLblPos val="nextTo"/>
        <c:txPr>
          <a:bodyPr rot="0" vert="horz"/>
          <a:lstStyle/>
          <a:p>
            <a:pPr>
              <a:defRPr/>
            </a:pPr>
            <a:endParaRPr lang="sk-SK"/>
          </a:p>
        </c:txPr>
        <c:crossAx val="218944256"/>
        <c:crosses val="max"/>
        <c:crossBetween val="between"/>
      </c:valAx>
    </c:plotArea>
    <c:legend>
      <c:legendPos val="r"/>
      <c:layout>
        <c:manualLayout>
          <c:xMode val="edge"/>
          <c:yMode val="edge"/>
          <c:x val="0.11320882191776058"/>
          <c:y val="0.8540323763877341"/>
          <c:w val="0.73923988668083462"/>
          <c:h val="0.1438363368032985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7405538838549"/>
          <c:y val="5.9523809523809507E-2"/>
          <c:w val="0.86595296869355864"/>
          <c:h val="0.75179429494390171"/>
        </c:manualLayout>
      </c:layout>
      <c:barChart>
        <c:barDir val="col"/>
        <c:grouping val="clustered"/>
        <c:varyColors val="0"/>
        <c:ser>
          <c:idx val="0"/>
          <c:order val="0"/>
          <c:tx>
            <c:v>deti</c:v>
          </c:tx>
          <c:spPr>
            <a:solidFill>
              <a:schemeClr val="accent2"/>
            </a:solidFill>
          </c:spPr>
          <c:invertIfNegative val="0"/>
          <c:cat>
            <c:strRef>
              <c:f>'[export635957168042792923.xls]náhradná starostlivosť'!$A$3:$A$28</c:f>
              <c:strCach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strCache>
            </c:strRef>
          </c:cat>
          <c:val>
            <c:numRef>
              <c:f>'[export635957168042792923.xls]náhradná starostlivosť'!$Z$3:$Z$28</c:f>
              <c:numCache>
                <c:formatCode>#,##0.00</c:formatCode>
                <c:ptCount val="26"/>
                <c:pt idx="0">
                  <c:v>40.166666666666636</c:v>
                </c:pt>
                <c:pt idx="1">
                  <c:v>127.9166666666667</c:v>
                </c:pt>
                <c:pt idx="2">
                  <c:v>192.3333333333334</c:v>
                </c:pt>
                <c:pt idx="3">
                  <c:v>245.6666666666666</c:v>
                </c:pt>
                <c:pt idx="4">
                  <c:v>314.5</c:v>
                </c:pt>
                <c:pt idx="5">
                  <c:v>364.91666666666674</c:v>
                </c:pt>
                <c:pt idx="6">
                  <c:v>439.33333333333331</c:v>
                </c:pt>
                <c:pt idx="7">
                  <c:v>491.75</c:v>
                </c:pt>
                <c:pt idx="8">
                  <c:v>483.83333333333331</c:v>
                </c:pt>
                <c:pt idx="9">
                  <c:v>518.91666666666663</c:v>
                </c:pt>
                <c:pt idx="10">
                  <c:v>586</c:v>
                </c:pt>
                <c:pt idx="11">
                  <c:v>612.66666666666663</c:v>
                </c:pt>
                <c:pt idx="12">
                  <c:v>551.16666666666663</c:v>
                </c:pt>
                <c:pt idx="13">
                  <c:v>544.66666666666663</c:v>
                </c:pt>
                <c:pt idx="14">
                  <c:v>596.8333333333336</c:v>
                </c:pt>
                <c:pt idx="15">
                  <c:v>569.08333333333371</c:v>
                </c:pt>
                <c:pt idx="16">
                  <c:v>470.41666666666674</c:v>
                </c:pt>
                <c:pt idx="17">
                  <c:v>435.41666666666674</c:v>
                </c:pt>
                <c:pt idx="18">
                  <c:v>350.16666666666686</c:v>
                </c:pt>
                <c:pt idx="19">
                  <c:v>175.4166666666666</c:v>
                </c:pt>
                <c:pt idx="20">
                  <c:v>92.166666666666671</c:v>
                </c:pt>
                <c:pt idx="21">
                  <c:v>50.583333333333336</c:v>
                </c:pt>
                <c:pt idx="22">
                  <c:v>36.25</c:v>
                </c:pt>
                <c:pt idx="23">
                  <c:v>24.75</c:v>
                </c:pt>
                <c:pt idx="24">
                  <c:v>11.833333333333334</c:v>
                </c:pt>
                <c:pt idx="25">
                  <c:v>0.5</c:v>
                </c:pt>
              </c:numCache>
            </c:numRef>
          </c:val>
          <c:extLst xmlns:c16r2="http://schemas.microsoft.com/office/drawing/2015/06/chart">
            <c:ext xmlns:c16="http://schemas.microsoft.com/office/drawing/2014/chart" uri="{C3380CC4-5D6E-409C-BE32-E72D297353CC}">
              <c16:uniqueId val="{00000000-2BA2-4293-B059-C778FC224701}"/>
            </c:ext>
          </c:extLst>
        </c:ser>
        <c:dLbls>
          <c:showLegendKey val="0"/>
          <c:showVal val="0"/>
          <c:showCatName val="0"/>
          <c:showSerName val="0"/>
          <c:showPercent val="0"/>
          <c:showBubbleSize val="0"/>
        </c:dLbls>
        <c:gapWidth val="150"/>
        <c:axId val="219032192"/>
        <c:axId val="219038464"/>
      </c:barChart>
      <c:catAx>
        <c:axId val="219032192"/>
        <c:scaling>
          <c:orientation val="minMax"/>
        </c:scaling>
        <c:delete val="0"/>
        <c:axPos val="b"/>
        <c:title>
          <c:tx>
            <c:rich>
              <a:bodyPr/>
              <a:lstStyle/>
              <a:p>
                <a:pPr>
                  <a:defRPr/>
                </a:pPr>
                <a:r>
                  <a:rPr lang="sk-SK"/>
                  <a:t>vek</a:t>
                </a:r>
              </a:p>
            </c:rich>
          </c:tx>
          <c:overlay val="0"/>
        </c:title>
        <c:numFmt formatCode="General" sourceLinked="1"/>
        <c:majorTickMark val="out"/>
        <c:minorTickMark val="none"/>
        <c:tickLblPos val="nextTo"/>
        <c:crossAx val="219038464"/>
        <c:crosses val="autoZero"/>
        <c:auto val="1"/>
        <c:lblAlgn val="ctr"/>
        <c:lblOffset val="100"/>
        <c:noMultiLvlLbl val="0"/>
      </c:catAx>
      <c:valAx>
        <c:axId val="219038464"/>
        <c:scaling>
          <c:orientation val="minMax"/>
        </c:scaling>
        <c:delete val="0"/>
        <c:axPos val="l"/>
        <c:majorGridlines/>
        <c:title>
          <c:tx>
            <c:rich>
              <a:bodyPr rot="-5400000" vert="horz"/>
              <a:lstStyle/>
              <a:p>
                <a:pPr>
                  <a:defRPr/>
                </a:pPr>
                <a:r>
                  <a:rPr lang="sk-SK"/>
                  <a:t>počet detí</a:t>
                </a:r>
              </a:p>
            </c:rich>
          </c:tx>
          <c:overlay val="0"/>
        </c:title>
        <c:numFmt formatCode="#,##0" sourceLinked="0"/>
        <c:majorTickMark val="out"/>
        <c:minorTickMark val="none"/>
        <c:tickLblPos val="nextTo"/>
        <c:crossAx val="219032192"/>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'III.01a - Peňažné príspevky...'!$D$60</c:f>
              <c:strCache>
                <c:ptCount val="1"/>
                <c:pt idx="0">
                  <c:v>2014</c:v>
                </c:pt>
              </c:strCache>
            </c:strRef>
          </c:tx>
          <c:invertIfNegative val="0"/>
          <c:cat>
            <c:strRef>
              <c:f>'III.01a - Peňažné príspevky...'!$C$61:$C$72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príspevky...'!$D$61:$D$72</c:f>
              <c:numCache>
                <c:formatCode>#,##0.00</c:formatCode>
                <c:ptCount val="12"/>
                <c:pt idx="0">
                  <c:v>169775</c:v>
                </c:pt>
                <c:pt idx="1">
                  <c:v>170560</c:v>
                </c:pt>
                <c:pt idx="2">
                  <c:v>171039</c:v>
                </c:pt>
                <c:pt idx="3">
                  <c:v>171356</c:v>
                </c:pt>
                <c:pt idx="4">
                  <c:v>171717</c:v>
                </c:pt>
                <c:pt idx="5">
                  <c:v>172111</c:v>
                </c:pt>
                <c:pt idx="6">
                  <c:v>172674</c:v>
                </c:pt>
                <c:pt idx="7">
                  <c:v>168709</c:v>
                </c:pt>
                <c:pt idx="8">
                  <c:v>169866</c:v>
                </c:pt>
                <c:pt idx="9">
                  <c:v>170402</c:v>
                </c:pt>
                <c:pt idx="10">
                  <c:v>170650</c:v>
                </c:pt>
                <c:pt idx="11">
                  <c:v>170777</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'III.01a - Peňažné príspevky...'!$E$60</c:f>
              <c:strCache>
                <c:ptCount val="1"/>
                <c:pt idx="0">
                  <c:v>2015</c:v>
                </c:pt>
              </c:strCache>
            </c:strRef>
          </c:tx>
          <c:invertIfNegative val="0"/>
          <c:cat>
            <c:strRef>
              <c:f>'III.01a - Peňažné príspevky...'!$C$61:$C$72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príspevky...'!$E$61:$E$72</c:f>
              <c:numCache>
                <c:formatCode>#,##0.00</c:formatCode>
                <c:ptCount val="12"/>
                <c:pt idx="0">
                  <c:v>170795</c:v>
                </c:pt>
                <c:pt idx="1">
                  <c:v>170969</c:v>
                </c:pt>
                <c:pt idx="2">
                  <c:v>171061</c:v>
                </c:pt>
                <c:pt idx="3">
                  <c:v>171083</c:v>
                </c:pt>
                <c:pt idx="4">
                  <c:v>170911</c:v>
                </c:pt>
                <c:pt idx="5">
                  <c:v>171119</c:v>
                </c:pt>
                <c:pt idx="6">
                  <c:v>171178</c:v>
                </c:pt>
                <c:pt idx="7">
                  <c:v>166728</c:v>
                </c:pt>
                <c:pt idx="8">
                  <c:v>167351</c:v>
                </c:pt>
                <c:pt idx="9">
                  <c:v>167814</c:v>
                </c:pt>
                <c:pt idx="10">
                  <c:v>168036</c:v>
                </c:pt>
                <c:pt idx="11">
                  <c:v>168107</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219060096"/>
        <c:axId val="219061632"/>
      </c:barChart>
      <c:catAx>
        <c:axId val="219060096"/>
        <c:scaling>
          <c:orientation val="minMax"/>
        </c:scaling>
        <c:delete val="0"/>
        <c:axPos val="b"/>
        <c:numFmt formatCode="General" sourceLinked="1"/>
        <c:majorTickMark val="out"/>
        <c:minorTickMark val="none"/>
        <c:tickLblPos val="nextTo"/>
        <c:crossAx val="219061632"/>
        <c:crosses val="autoZero"/>
        <c:auto val="1"/>
        <c:lblAlgn val="ctr"/>
        <c:lblOffset val="100"/>
        <c:noMultiLvlLbl val="0"/>
      </c:catAx>
      <c:valAx>
        <c:axId val="219061632"/>
        <c:scaling>
          <c:orientation val="minMax"/>
          <c:max val="173000"/>
          <c:min val="163000"/>
        </c:scaling>
        <c:delete val="0"/>
        <c:axPos val="l"/>
        <c:majorGridlines/>
        <c:numFmt formatCode="#,##0" sourceLinked="0"/>
        <c:majorTickMark val="out"/>
        <c:minorTickMark val="none"/>
        <c:tickLblPos val="nextTo"/>
        <c:crossAx val="219060096"/>
        <c:crosses val="autoZero"/>
        <c:crossBetween val="between"/>
        <c:majorUnit val="2000"/>
      </c:valAx>
    </c:plotArea>
    <c:legend>
      <c:legendPos val="t"/>
      <c:layout>
        <c:manualLayout>
          <c:xMode val="edge"/>
          <c:yMode val="edge"/>
          <c:x val="0.15844181977252941"/>
          <c:y val="8.3333333333333343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'III.01a - Peňažné príspevky...'!$X$40</c:f>
              <c:strCache>
                <c:ptCount val="1"/>
                <c:pt idx="0">
                  <c:v>2014</c:v>
                </c:pt>
              </c:strCache>
            </c:strRef>
          </c:tx>
          <c:invertIfNegative val="0"/>
          <c:cat>
            <c:strRef>
              <c:f>'III.01a - Peňažné príspevky...'!$W$41:$W$52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príspevky...'!$X$41:$X$52</c:f>
              <c:numCache>
                <c:formatCode>#,##0.00</c:formatCode>
                <c:ptCount val="12"/>
                <c:pt idx="0">
                  <c:v>8139</c:v>
                </c:pt>
                <c:pt idx="1">
                  <c:v>9011</c:v>
                </c:pt>
                <c:pt idx="2">
                  <c:v>9040</c:v>
                </c:pt>
                <c:pt idx="3">
                  <c:v>9064</c:v>
                </c:pt>
                <c:pt idx="4">
                  <c:v>9079</c:v>
                </c:pt>
                <c:pt idx="5">
                  <c:v>9123</c:v>
                </c:pt>
                <c:pt idx="6">
                  <c:v>9099</c:v>
                </c:pt>
                <c:pt idx="7">
                  <c:v>8969</c:v>
                </c:pt>
                <c:pt idx="8">
                  <c:v>8965</c:v>
                </c:pt>
                <c:pt idx="9">
                  <c:v>9059</c:v>
                </c:pt>
                <c:pt idx="10">
                  <c:v>9032</c:v>
                </c:pt>
                <c:pt idx="11">
                  <c:v>8890</c:v>
                </c:pt>
              </c:numCache>
            </c:numRef>
          </c:val>
          <c:extLst xmlns:c16r2="http://schemas.microsoft.com/office/drawing/2015/06/chart">
            <c:ext xmlns:c16="http://schemas.microsoft.com/office/drawing/2014/chart" uri="{C3380CC4-5D6E-409C-BE32-E72D297353CC}">
              <c16:uniqueId val="{00000000-3135-4FAA-9BA3-7CD11A5E55DA}"/>
            </c:ext>
          </c:extLst>
        </c:ser>
        <c:ser>
          <c:idx val="1"/>
          <c:order val="1"/>
          <c:tx>
            <c:strRef>
              <c:f>'III.01a - Peňažné príspevky...'!$Y$40</c:f>
              <c:strCache>
                <c:ptCount val="1"/>
                <c:pt idx="0">
                  <c:v>2015</c:v>
                </c:pt>
              </c:strCache>
            </c:strRef>
          </c:tx>
          <c:invertIfNegative val="0"/>
          <c:cat>
            <c:strRef>
              <c:f>'III.01a - Peňažné príspevky...'!$W$41:$W$52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príspevky...'!$Y$41:$Y$52</c:f>
              <c:numCache>
                <c:formatCode>#,##0.00</c:formatCode>
                <c:ptCount val="12"/>
                <c:pt idx="0">
                  <c:v>8474</c:v>
                </c:pt>
                <c:pt idx="1">
                  <c:v>9337</c:v>
                </c:pt>
                <c:pt idx="2">
                  <c:v>9426</c:v>
                </c:pt>
                <c:pt idx="3">
                  <c:v>9419</c:v>
                </c:pt>
                <c:pt idx="4">
                  <c:v>9390</c:v>
                </c:pt>
                <c:pt idx="5">
                  <c:v>9446</c:v>
                </c:pt>
                <c:pt idx="6">
                  <c:v>9379</c:v>
                </c:pt>
                <c:pt idx="7">
                  <c:v>9231</c:v>
                </c:pt>
                <c:pt idx="8">
                  <c:v>9253</c:v>
                </c:pt>
                <c:pt idx="9">
                  <c:v>9322</c:v>
                </c:pt>
                <c:pt idx="10">
                  <c:v>9291</c:v>
                </c:pt>
                <c:pt idx="11">
                  <c:v>9211</c:v>
                </c:pt>
              </c:numCache>
            </c:numRef>
          </c:val>
          <c:extLst xmlns:c16r2="http://schemas.microsoft.com/office/drawing/2015/06/chart">
            <c:ext xmlns:c16="http://schemas.microsoft.com/office/drawing/2014/chart" uri="{C3380CC4-5D6E-409C-BE32-E72D297353CC}">
              <c16:uniqueId val="{00000001-3135-4FAA-9BA3-7CD11A5E55DA}"/>
            </c:ext>
          </c:extLst>
        </c:ser>
        <c:dLbls>
          <c:showLegendKey val="0"/>
          <c:showVal val="0"/>
          <c:showCatName val="0"/>
          <c:showSerName val="0"/>
          <c:showPercent val="0"/>
          <c:showBubbleSize val="0"/>
        </c:dLbls>
        <c:gapWidth val="150"/>
        <c:axId val="219075328"/>
        <c:axId val="219076864"/>
      </c:barChart>
      <c:catAx>
        <c:axId val="219075328"/>
        <c:scaling>
          <c:orientation val="minMax"/>
        </c:scaling>
        <c:delete val="0"/>
        <c:axPos val="b"/>
        <c:numFmt formatCode="General" sourceLinked="0"/>
        <c:majorTickMark val="out"/>
        <c:minorTickMark val="none"/>
        <c:tickLblPos val="nextTo"/>
        <c:crossAx val="219076864"/>
        <c:crosses val="autoZero"/>
        <c:auto val="1"/>
        <c:lblAlgn val="ctr"/>
        <c:lblOffset val="100"/>
        <c:noMultiLvlLbl val="0"/>
      </c:catAx>
      <c:valAx>
        <c:axId val="219076864"/>
        <c:scaling>
          <c:orientation val="minMax"/>
        </c:scaling>
        <c:delete val="0"/>
        <c:axPos val="l"/>
        <c:majorGridlines/>
        <c:numFmt formatCode="#,##0" sourceLinked="0"/>
        <c:majorTickMark val="out"/>
        <c:minorTickMark val="none"/>
        <c:tickLblPos val="nextTo"/>
        <c:crossAx val="219075328"/>
        <c:crosses val="autoZero"/>
        <c:crossBetween val="between"/>
      </c:valAx>
    </c:plotArea>
    <c:legend>
      <c:legendPos val="t"/>
      <c:layout>
        <c:manualLayout>
          <c:xMode val="edge"/>
          <c:yMode val="edge"/>
          <c:x val="0.113997375328084"/>
          <c:y val="5.5555555555555455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'III.01a - Peňažné príspevky...'!$X$25</c:f>
              <c:strCache>
                <c:ptCount val="1"/>
                <c:pt idx="0">
                  <c:v>2014</c:v>
                </c:pt>
              </c:strCache>
            </c:strRef>
          </c:tx>
          <c:invertIfNegative val="0"/>
          <c:cat>
            <c:strRef>
              <c:f>'III.01a - Peňažné príspevky...'!$W$26:$W$37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príspevky...'!$X$26:$X$37</c:f>
              <c:numCache>
                <c:formatCode>#,##0.00</c:formatCode>
                <c:ptCount val="12"/>
                <c:pt idx="0">
                  <c:v>166404</c:v>
                </c:pt>
                <c:pt idx="1">
                  <c:v>166831</c:v>
                </c:pt>
                <c:pt idx="2">
                  <c:v>167308</c:v>
                </c:pt>
                <c:pt idx="3">
                  <c:v>167649</c:v>
                </c:pt>
                <c:pt idx="4">
                  <c:v>167976</c:v>
                </c:pt>
                <c:pt idx="5">
                  <c:v>168351</c:v>
                </c:pt>
                <c:pt idx="6">
                  <c:v>168953</c:v>
                </c:pt>
                <c:pt idx="7">
                  <c:v>164915</c:v>
                </c:pt>
                <c:pt idx="8">
                  <c:v>166117</c:v>
                </c:pt>
                <c:pt idx="9">
                  <c:v>166602</c:v>
                </c:pt>
                <c:pt idx="10">
                  <c:v>166843</c:v>
                </c:pt>
                <c:pt idx="11">
                  <c:v>167051</c:v>
                </c:pt>
              </c:numCache>
            </c:numRef>
          </c:val>
          <c:extLst xmlns:c16r2="http://schemas.microsoft.com/office/drawing/2015/06/chart">
            <c:ext xmlns:c16="http://schemas.microsoft.com/office/drawing/2014/chart" uri="{C3380CC4-5D6E-409C-BE32-E72D297353CC}">
              <c16:uniqueId val="{00000000-26A6-404D-A5BC-D8402FCE46FF}"/>
            </c:ext>
          </c:extLst>
        </c:ser>
        <c:ser>
          <c:idx val="1"/>
          <c:order val="1"/>
          <c:tx>
            <c:strRef>
              <c:f>'III.01a - Peňažné príspevky...'!$Y$25</c:f>
              <c:strCache>
                <c:ptCount val="1"/>
                <c:pt idx="0">
                  <c:v>2015</c:v>
                </c:pt>
              </c:strCache>
            </c:strRef>
          </c:tx>
          <c:invertIfNegative val="0"/>
          <c:cat>
            <c:strRef>
              <c:f>'III.01a - Peňažné príspevky...'!$W$26:$W$37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'III.01a - Peňažné príspevky...'!$Y$26:$Y$37</c:f>
              <c:numCache>
                <c:formatCode>#,##0.00</c:formatCode>
                <c:ptCount val="12"/>
                <c:pt idx="0">
                  <c:v>167192</c:v>
                </c:pt>
                <c:pt idx="1">
                  <c:v>167082</c:v>
                </c:pt>
                <c:pt idx="2">
                  <c:v>167152</c:v>
                </c:pt>
                <c:pt idx="3">
                  <c:v>167164</c:v>
                </c:pt>
                <c:pt idx="4">
                  <c:v>167052</c:v>
                </c:pt>
                <c:pt idx="5">
                  <c:v>167171</c:v>
                </c:pt>
                <c:pt idx="6">
                  <c:v>167280</c:v>
                </c:pt>
                <c:pt idx="7">
                  <c:v>162772</c:v>
                </c:pt>
                <c:pt idx="8">
                  <c:v>163401</c:v>
                </c:pt>
                <c:pt idx="9">
                  <c:v>163823</c:v>
                </c:pt>
                <c:pt idx="10">
                  <c:v>164027</c:v>
                </c:pt>
                <c:pt idx="11">
                  <c:v>164187</c:v>
                </c:pt>
              </c:numCache>
            </c:numRef>
          </c:val>
          <c:extLst xmlns:c16r2="http://schemas.microsoft.com/office/drawing/2015/06/chart">
            <c:ext xmlns:c16="http://schemas.microsoft.com/office/drawing/2014/chart" uri="{C3380CC4-5D6E-409C-BE32-E72D297353CC}">
              <c16:uniqueId val="{00000001-26A6-404D-A5BC-D8402FCE46FF}"/>
            </c:ext>
          </c:extLst>
        </c:ser>
        <c:dLbls>
          <c:showLegendKey val="0"/>
          <c:showVal val="0"/>
          <c:showCatName val="0"/>
          <c:showSerName val="0"/>
          <c:showPercent val="0"/>
          <c:showBubbleSize val="0"/>
        </c:dLbls>
        <c:gapWidth val="150"/>
        <c:axId val="218193280"/>
        <c:axId val="218199168"/>
      </c:barChart>
      <c:catAx>
        <c:axId val="218193280"/>
        <c:scaling>
          <c:orientation val="minMax"/>
        </c:scaling>
        <c:delete val="0"/>
        <c:axPos val="b"/>
        <c:numFmt formatCode="General" sourceLinked="0"/>
        <c:majorTickMark val="out"/>
        <c:minorTickMark val="none"/>
        <c:tickLblPos val="nextTo"/>
        <c:crossAx val="218199168"/>
        <c:crosses val="autoZero"/>
        <c:auto val="1"/>
        <c:lblAlgn val="ctr"/>
        <c:lblOffset val="100"/>
        <c:noMultiLvlLbl val="0"/>
      </c:catAx>
      <c:valAx>
        <c:axId val="218199168"/>
        <c:scaling>
          <c:orientation val="minMax"/>
        </c:scaling>
        <c:delete val="0"/>
        <c:axPos val="l"/>
        <c:majorGridlines/>
        <c:numFmt formatCode="#,##0" sourceLinked="0"/>
        <c:majorTickMark val="out"/>
        <c:minorTickMark val="none"/>
        <c:tickLblPos val="nextTo"/>
        <c:crossAx val="218193280"/>
        <c:crosses val="autoZero"/>
        <c:crossBetween val="between"/>
      </c:valAx>
    </c:plotArea>
    <c:legend>
      <c:legendPos val="t"/>
      <c:layout>
        <c:manualLayout>
          <c:xMode val="edge"/>
          <c:yMode val="edge"/>
          <c:x val="0.13899737532808401"/>
          <c:y val="6.0185185185185147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'III.07c  - Počet opatrovaný...'!$Y$2</c:f>
              <c:strCache>
                <c:ptCount val="1"/>
                <c:pt idx="0">
                  <c:v>2014</c:v>
                </c:pt>
              </c:strCache>
            </c:strRef>
          </c:tx>
          <c:invertIfNegative val="0"/>
          <c:cat>
            <c:strRef>
              <c:f>'III.07c  - Počet opatrovaný...'!$R$3:$R$14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'III.07c  - Počet opatrovaný...'!$Y$3:$Y$14</c:f>
              <c:numCache>
                <c:formatCode>#,##0.00</c:formatCode>
                <c:ptCount val="12"/>
                <c:pt idx="0">
                  <c:v>58924</c:v>
                </c:pt>
                <c:pt idx="1">
                  <c:v>59009</c:v>
                </c:pt>
                <c:pt idx="2">
                  <c:v>59038</c:v>
                </c:pt>
                <c:pt idx="3">
                  <c:v>59209</c:v>
                </c:pt>
                <c:pt idx="4">
                  <c:v>59221</c:v>
                </c:pt>
                <c:pt idx="5">
                  <c:v>59280</c:v>
                </c:pt>
                <c:pt idx="6">
                  <c:v>59345</c:v>
                </c:pt>
                <c:pt idx="7">
                  <c:v>58956</c:v>
                </c:pt>
                <c:pt idx="8">
                  <c:v>58943</c:v>
                </c:pt>
                <c:pt idx="9">
                  <c:v>58901</c:v>
                </c:pt>
                <c:pt idx="10">
                  <c:v>58707</c:v>
                </c:pt>
                <c:pt idx="11">
                  <c:v>58370</c:v>
                </c:pt>
              </c:numCache>
            </c:numRef>
          </c:val>
          <c:extLst xmlns:c16r2="http://schemas.microsoft.com/office/drawing/2015/06/chart">
            <c:ext xmlns:c16="http://schemas.microsoft.com/office/drawing/2014/chart" uri="{C3380CC4-5D6E-409C-BE32-E72D297353CC}">
              <c16:uniqueId val="{00000000-0CA9-428F-B6D5-A4FC51EFBAA7}"/>
            </c:ext>
          </c:extLst>
        </c:ser>
        <c:ser>
          <c:idx val="1"/>
          <c:order val="1"/>
          <c:tx>
            <c:strRef>
              <c:f>'III.07c  - Počet opatrovaný...'!$Z$2</c:f>
              <c:strCache>
                <c:ptCount val="1"/>
                <c:pt idx="0">
                  <c:v>2015</c:v>
                </c:pt>
              </c:strCache>
            </c:strRef>
          </c:tx>
          <c:invertIfNegative val="0"/>
          <c:cat>
            <c:strRef>
              <c:f>'III.07c  - Počet opatrovaný...'!$R$3:$R$14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'III.07c  - Počet opatrovaný...'!$Z$3:$Z$14</c:f>
              <c:numCache>
                <c:formatCode>#,##0.00</c:formatCode>
                <c:ptCount val="12"/>
                <c:pt idx="0">
                  <c:v>57868</c:v>
                </c:pt>
                <c:pt idx="1">
                  <c:v>57673</c:v>
                </c:pt>
                <c:pt idx="2">
                  <c:v>57431</c:v>
                </c:pt>
                <c:pt idx="3">
                  <c:v>57180</c:v>
                </c:pt>
                <c:pt idx="4">
                  <c:v>56668</c:v>
                </c:pt>
                <c:pt idx="5">
                  <c:v>56661</c:v>
                </c:pt>
                <c:pt idx="6">
                  <c:v>56620</c:v>
                </c:pt>
                <c:pt idx="7">
                  <c:v>55974</c:v>
                </c:pt>
                <c:pt idx="8">
                  <c:v>55892</c:v>
                </c:pt>
                <c:pt idx="9">
                  <c:v>55694</c:v>
                </c:pt>
                <c:pt idx="10">
                  <c:v>55537</c:v>
                </c:pt>
                <c:pt idx="11">
                  <c:v>55665</c:v>
                </c:pt>
              </c:numCache>
            </c:numRef>
          </c:val>
          <c:extLst xmlns:c16r2="http://schemas.microsoft.com/office/drawing/2015/06/chart">
            <c:ext xmlns:c16="http://schemas.microsoft.com/office/drawing/2014/chart" uri="{C3380CC4-5D6E-409C-BE32-E72D297353CC}">
              <c16:uniqueId val="{00000001-0CA9-428F-B6D5-A4FC51EFBAA7}"/>
            </c:ext>
          </c:extLst>
        </c:ser>
        <c:dLbls>
          <c:showLegendKey val="0"/>
          <c:showVal val="0"/>
          <c:showCatName val="0"/>
          <c:showSerName val="0"/>
          <c:showPercent val="0"/>
          <c:showBubbleSize val="0"/>
        </c:dLbls>
        <c:gapWidth val="150"/>
        <c:axId val="218228992"/>
        <c:axId val="218234880"/>
      </c:barChart>
      <c:catAx>
        <c:axId val="218228992"/>
        <c:scaling>
          <c:orientation val="minMax"/>
        </c:scaling>
        <c:delete val="0"/>
        <c:axPos val="b"/>
        <c:numFmt formatCode="General" sourceLinked="0"/>
        <c:majorTickMark val="out"/>
        <c:minorTickMark val="none"/>
        <c:tickLblPos val="nextTo"/>
        <c:crossAx val="218234880"/>
        <c:crosses val="autoZero"/>
        <c:auto val="1"/>
        <c:lblAlgn val="ctr"/>
        <c:lblOffset val="100"/>
        <c:noMultiLvlLbl val="0"/>
      </c:catAx>
      <c:valAx>
        <c:axId val="218234880"/>
        <c:scaling>
          <c:orientation val="minMax"/>
          <c:max val="60000"/>
          <c:min val="50000"/>
        </c:scaling>
        <c:delete val="0"/>
        <c:axPos val="l"/>
        <c:majorGridlines/>
        <c:numFmt formatCode="#,##0" sourceLinked="0"/>
        <c:majorTickMark val="out"/>
        <c:minorTickMark val="none"/>
        <c:tickLblPos val="nextTo"/>
        <c:crossAx val="218228992"/>
        <c:crosses val="autoZero"/>
        <c:crossBetween val="between"/>
      </c:valAx>
    </c:plotArea>
    <c:legend>
      <c:legendPos val="tr"/>
      <c:layout>
        <c:manualLayout>
          <c:xMode val="edge"/>
          <c:yMode val="edge"/>
          <c:x val="0.77820144356955412"/>
          <c:y val="0"/>
          <c:w val="0.20513188976377952"/>
          <c:h val="0.15707567804024497"/>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Hárok3!$G$4</c:f>
              <c:strCache>
                <c:ptCount val="1"/>
                <c:pt idx="0">
                  <c:v>2011</c:v>
                </c:pt>
              </c:strCache>
            </c:strRef>
          </c:tx>
          <c:spPr>
            <a:solidFill>
              <a:schemeClr val="accent1"/>
            </a:solidFill>
          </c:spPr>
          <c:invertIfNegative val="0"/>
          <c:cat>
            <c:strRef>
              <c:f>Hárok3!$D$6:$D$17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Hárok3!$G$6:$G$17</c:f>
              <c:numCache>
                <c:formatCode>General</c:formatCode>
                <c:ptCount val="12"/>
                <c:pt idx="0">
                  <c:v>10</c:v>
                </c:pt>
                <c:pt idx="1">
                  <c:v>20</c:v>
                </c:pt>
                <c:pt idx="2">
                  <c:v>7</c:v>
                </c:pt>
                <c:pt idx="3">
                  <c:v>8</c:v>
                </c:pt>
                <c:pt idx="4">
                  <c:v>9</c:v>
                </c:pt>
                <c:pt idx="5">
                  <c:v>8</c:v>
                </c:pt>
                <c:pt idx="6">
                  <c:v>9</c:v>
                </c:pt>
                <c:pt idx="7">
                  <c:v>5</c:v>
                </c:pt>
                <c:pt idx="8">
                  <c:v>16</c:v>
                </c:pt>
                <c:pt idx="9">
                  <c:v>11</c:v>
                </c:pt>
                <c:pt idx="10">
                  <c:v>12</c:v>
                </c:pt>
                <c:pt idx="11">
                  <c:v>46</c:v>
                </c:pt>
              </c:numCache>
            </c:numRef>
          </c:val>
          <c:extLst xmlns:c16r2="http://schemas.microsoft.com/office/drawing/2015/06/chart">
            <c:ext xmlns:c16="http://schemas.microsoft.com/office/drawing/2014/chart" uri="{C3380CC4-5D6E-409C-BE32-E72D297353CC}">
              <c16:uniqueId val="{00000000-199B-4F54-B8B7-3855238BC538}"/>
            </c:ext>
          </c:extLst>
        </c:ser>
        <c:ser>
          <c:idx val="2"/>
          <c:order val="1"/>
          <c:tx>
            <c:strRef>
              <c:f>Hárok3!$H$4</c:f>
              <c:strCache>
                <c:ptCount val="1"/>
                <c:pt idx="0">
                  <c:v>2012</c:v>
                </c:pt>
              </c:strCache>
            </c:strRef>
          </c:tx>
          <c:spPr>
            <a:solidFill>
              <a:schemeClr val="accent2"/>
            </a:solidFill>
          </c:spPr>
          <c:invertIfNegative val="0"/>
          <c:cat>
            <c:strRef>
              <c:f>Hárok3!$D$6:$D$17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Hárok3!$H$6:$H$17</c:f>
              <c:numCache>
                <c:formatCode>General</c:formatCode>
                <c:ptCount val="12"/>
                <c:pt idx="0">
                  <c:v>15</c:v>
                </c:pt>
                <c:pt idx="1">
                  <c:v>19</c:v>
                </c:pt>
                <c:pt idx="2">
                  <c:v>19</c:v>
                </c:pt>
                <c:pt idx="3">
                  <c:v>11</c:v>
                </c:pt>
                <c:pt idx="4">
                  <c:v>13</c:v>
                </c:pt>
                <c:pt idx="5">
                  <c:v>30</c:v>
                </c:pt>
                <c:pt idx="6">
                  <c:v>6</c:v>
                </c:pt>
                <c:pt idx="7">
                  <c:v>22</c:v>
                </c:pt>
                <c:pt idx="8">
                  <c:v>31</c:v>
                </c:pt>
                <c:pt idx="9">
                  <c:v>19</c:v>
                </c:pt>
                <c:pt idx="10">
                  <c:v>36</c:v>
                </c:pt>
                <c:pt idx="11">
                  <c:v>7</c:v>
                </c:pt>
              </c:numCache>
            </c:numRef>
          </c:val>
          <c:extLst xmlns:c16r2="http://schemas.microsoft.com/office/drawing/2015/06/chart">
            <c:ext xmlns:c16="http://schemas.microsoft.com/office/drawing/2014/chart" uri="{C3380CC4-5D6E-409C-BE32-E72D297353CC}">
              <c16:uniqueId val="{00000001-199B-4F54-B8B7-3855238BC538}"/>
            </c:ext>
          </c:extLst>
        </c:ser>
        <c:ser>
          <c:idx val="3"/>
          <c:order val="2"/>
          <c:tx>
            <c:strRef>
              <c:f>Hárok3!$I$4</c:f>
              <c:strCache>
                <c:ptCount val="1"/>
                <c:pt idx="0">
                  <c:v>2013</c:v>
                </c:pt>
              </c:strCache>
            </c:strRef>
          </c:tx>
          <c:spPr>
            <a:solidFill>
              <a:schemeClr val="accent3">
                <a:lumMod val="60000"/>
                <a:lumOff val="40000"/>
              </a:schemeClr>
            </a:solidFill>
          </c:spPr>
          <c:invertIfNegative val="0"/>
          <c:cat>
            <c:strRef>
              <c:f>Hárok3!$D$6:$D$17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Hárok3!$I$6:$I$17</c:f>
              <c:numCache>
                <c:formatCode>General</c:formatCode>
                <c:ptCount val="12"/>
                <c:pt idx="0">
                  <c:v>14</c:v>
                </c:pt>
                <c:pt idx="1">
                  <c:v>33</c:v>
                </c:pt>
                <c:pt idx="2">
                  <c:v>40</c:v>
                </c:pt>
                <c:pt idx="3">
                  <c:v>29</c:v>
                </c:pt>
                <c:pt idx="4">
                  <c:v>45</c:v>
                </c:pt>
                <c:pt idx="5">
                  <c:v>18</c:v>
                </c:pt>
                <c:pt idx="6">
                  <c:v>33</c:v>
                </c:pt>
                <c:pt idx="7">
                  <c:v>11</c:v>
                </c:pt>
                <c:pt idx="8">
                  <c:v>13</c:v>
                </c:pt>
                <c:pt idx="9">
                  <c:v>52</c:v>
                </c:pt>
                <c:pt idx="10">
                  <c:v>13</c:v>
                </c:pt>
                <c:pt idx="11">
                  <c:v>28</c:v>
                </c:pt>
              </c:numCache>
            </c:numRef>
          </c:val>
          <c:extLst xmlns:c16r2="http://schemas.microsoft.com/office/drawing/2015/06/chart">
            <c:ext xmlns:c16="http://schemas.microsoft.com/office/drawing/2014/chart" uri="{C3380CC4-5D6E-409C-BE32-E72D297353CC}">
              <c16:uniqueId val="{00000002-199B-4F54-B8B7-3855238BC538}"/>
            </c:ext>
          </c:extLst>
        </c:ser>
        <c:ser>
          <c:idx val="4"/>
          <c:order val="3"/>
          <c:tx>
            <c:strRef>
              <c:f>Hárok3!$J$4</c:f>
              <c:strCache>
                <c:ptCount val="1"/>
                <c:pt idx="0">
                  <c:v>2014</c:v>
                </c:pt>
              </c:strCache>
            </c:strRef>
          </c:tx>
          <c:spPr>
            <a:solidFill>
              <a:schemeClr val="accent2">
                <a:lumMod val="40000"/>
                <a:lumOff val="60000"/>
              </a:schemeClr>
            </a:solidFill>
          </c:spPr>
          <c:invertIfNegative val="0"/>
          <c:cat>
            <c:strRef>
              <c:f>Hárok3!$D$6:$D$17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Hárok3!$J$6:$J$17</c:f>
              <c:numCache>
                <c:formatCode>General</c:formatCode>
                <c:ptCount val="12"/>
                <c:pt idx="0">
                  <c:v>84</c:v>
                </c:pt>
                <c:pt idx="1">
                  <c:v>26</c:v>
                </c:pt>
                <c:pt idx="2">
                  <c:v>10</c:v>
                </c:pt>
                <c:pt idx="3">
                  <c:v>6</c:v>
                </c:pt>
                <c:pt idx="4">
                  <c:v>27</c:v>
                </c:pt>
                <c:pt idx="5">
                  <c:v>21</c:v>
                </c:pt>
                <c:pt idx="6">
                  <c:v>20</c:v>
                </c:pt>
                <c:pt idx="7">
                  <c:v>28</c:v>
                </c:pt>
                <c:pt idx="8">
                  <c:v>7</c:v>
                </c:pt>
                <c:pt idx="9">
                  <c:v>14</c:v>
                </c:pt>
                <c:pt idx="10">
                  <c:v>6</c:v>
                </c:pt>
                <c:pt idx="11">
                  <c:v>71</c:v>
                </c:pt>
              </c:numCache>
            </c:numRef>
          </c:val>
          <c:extLst xmlns:c16r2="http://schemas.microsoft.com/office/drawing/2015/06/chart">
            <c:ext xmlns:c16="http://schemas.microsoft.com/office/drawing/2014/chart" uri="{C3380CC4-5D6E-409C-BE32-E72D297353CC}">
              <c16:uniqueId val="{00000003-199B-4F54-B8B7-3855238BC538}"/>
            </c:ext>
          </c:extLst>
        </c:ser>
        <c:ser>
          <c:idx val="5"/>
          <c:order val="4"/>
          <c:tx>
            <c:strRef>
              <c:f>Hárok3!$K$4</c:f>
              <c:strCache>
                <c:ptCount val="1"/>
                <c:pt idx="0">
                  <c:v>2015</c:v>
                </c:pt>
              </c:strCache>
            </c:strRef>
          </c:tx>
          <c:spPr>
            <a:solidFill>
              <a:schemeClr val="accent5">
                <a:lumMod val="40000"/>
                <a:lumOff val="60000"/>
              </a:schemeClr>
            </a:solidFill>
          </c:spPr>
          <c:invertIfNegative val="0"/>
          <c:cat>
            <c:strRef>
              <c:f>Hárok3!$D$6:$D$17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Hárok3!$K$6:$K$17</c:f>
              <c:numCache>
                <c:formatCode>General</c:formatCode>
                <c:ptCount val="12"/>
                <c:pt idx="0">
                  <c:v>13</c:v>
                </c:pt>
                <c:pt idx="1">
                  <c:v>24</c:v>
                </c:pt>
                <c:pt idx="2">
                  <c:v>32</c:v>
                </c:pt>
                <c:pt idx="3">
                  <c:v>24</c:v>
                </c:pt>
                <c:pt idx="4">
                  <c:v>22</c:v>
                </c:pt>
                <c:pt idx="5">
                  <c:v>35</c:v>
                </c:pt>
                <c:pt idx="6">
                  <c:v>37</c:v>
                </c:pt>
                <c:pt idx="7">
                  <c:v>28</c:v>
                </c:pt>
                <c:pt idx="8">
                  <c:v>27</c:v>
                </c:pt>
                <c:pt idx="9">
                  <c:v>20</c:v>
                </c:pt>
                <c:pt idx="10">
                  <c:v>32</c:v>
                </c:pt>
                <c:pt idx="11">
                  <c:v>42</c:v>
                </c:pt>
              </c:numCache>
            </c:numRef>
          </c:val>
          <c:extLst xmlns:c16r2="http://schemas.microsoft.com/office/drawing/2015/06/chart">
            <c:ext xmlns:c16="http://schemas.microsoft.com/office/drawing/2014/chart" uri="{C3380CC4-5D6E-409C-BE32-E72D297353CC}">
              <c16:uniqueId val="{00000004-199B-4F54-B8B7-3855238BC538}"/>
            </c:ext>
          </c:extLst>
        </c:ser>
        <c:dLbls>
          <c:showLegendKey val="0"/>
          <c:showVal val="0"/>
          <c:showCatName val="0"/>
          <c:showSerName val="0"/>
          <c:showPercent val="0"/>
          <c:showBubbleSize val="0"/>
        </c:dLbls>
        <c:gapWidth val="150"/>
        <c:axId val="218292992"/>
        <c:axId val="218294528"/>
      </c:barChart>
      <c:catAx>
        <c:axId val="218292992"/>
        <c:scaling>
          <c:orientation val="minMax"/>
        </c:scaling>
        <c:delete val="0"/>
        <c:axPos val="b"/>
        <c:numFmt formatCode="General" sourceLinked="0"/>
        <c:majorTickMark val="out"/>
        <c:minorTickMark val="none"/>
        <c:tickLblPos val="nextTo"/>
        <c:crossAx val="218294528"/>
        <c:crosses val="autoZero"/>
        <c:auto val="1"/>
        <c:lblAlgn val="ctr"/>
        <c:lblOffset val="100"/>
        <c:noMultiLvlLbl val="0"/>
      </c:catAx>
      <c:valAx>
        <c:axId val="218294528"/>
        <c:scaling>
          <c:orientation val="minMax"/>
        </c:scaling>
        <c:delete val="0"/>
        <c:axPos val="l"/>
        <c:majorGridlines/>
        <c:numFmt formatCode="General" sourceLinked="1"/>
        <c:majorTickMark val="out"/>
        <c:minorTickMark val="none"/>
        <c:tickLblPos val="nextTo"/>
        <c:crossAx val="218292992"/>
        <c:crosses val="autoZero"/>
        <c:crossBetween val="between"/>
      </c:valAx>
    </c:plotArea>
    <c:legend>
      <c:legendPos val="t"/>
      <c:layout>
        <c:manualLayout>
          <c:xMode val="edge"/>
          <c:yMode val="edge"/>
          <c:x val="0.17001822688830651"/>
          <c:y val="5.5555555555555455E-2"/>
          <c:w val="0.41621500437445502"/>
          <c:h val="6.7318147731533592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7.9142227618648434E-2"/>
          <c:w val="1"/>
          <c:h val="0.764376153813486"/>
        </c:manualLayout>
      </c:layout>
      <c:ofPieChart>
        <c:ofPieType val="pie"/>
        <c:varyColors val="1"/>
        <c:ser>
          <c:idx val="0"/>
          <c:order val="0"/>
          <c:dPt>
            <c:idx val="0"/>
            <c:bubble3D val="0"/>
            <c:spPr>
              <a:solidFill>
                <a:srgbClr val="D83E2C"/>
              </a:solidFill>
            </c:spPr>
            <c:extLst xmlns:c16r2="http://schemas.microsoft.com/office/drawing/2015/06/chart">
              <c:ext xmlns:c16="http://schemas.microsoft.com/office/drawing/2014/chart" uri="{C3380CC4-5D6E-409C-BE32-E72D297353CC}">
                <c16:uniqueId val="{00000001-79B2-41A1-8038-70B32F6EEE96}"/>
              </c:ext>
            </c:extLst>
          </c:dPt>
          <c:dPt>
            <c:idx val="1"/>
            <c:bubble3D val="0"/>
            <c:explosion val="4"/>
            <c:spPr>
              <a:solidFill>
                <a:srgbClr val="C0504D">
                  <a:lumMod val="75000"/>
                </a:srgbClr>
              </a:solidFill>
            </c:spPr>
            <c:extLst xmlns:c16r2="http://schemas.microsoft.com/office/drawing/2015/06/chart">
              <c:ext xmlns:c16="http://schemas.microsoft.com/office/drawing/2014/chart" uri="{C3380CC4-5D6E-409C-BE32-E72D297353CC}">
                <c16:uniqueId val="{00000003-79B2-41A1-8038-70B32F6EEE96}"/>
              </c:ext>
            </c:extLst>
          </c:dPt>
          <c:dPt>
            <c:idx val="2"/>
            <c:bubble3D val="0"/>
            <c:spPr>
              <a:solidFill>
                <a:srgbClr val="C0504D">
                  <a:lumMod val="20000"/>
                  <a:lumOff val="80000"/>
                </a:srgbClr>
              </a:solidFill>
            </c:spPr>
            <c:extLst xmlns:c16r2="http://schemas.microsoft.com/office/drawing/2015/06/chart">
              <c:ext xmlns:c16="http://schemas.microsoft.com/office/drawing/2014/chart" uri="{C3380CC4-5D6E-409C-BE32-E72D297353CC}">
                <c16:uniqueId val="{00000005-79B2-41A1-8038-70B32F6EEE96}"/>
              </c:ext>
            </c:extLst>
          </c:dPt>
          <c:dPt>
            <c:idx val="3"/>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7-79B2-41A1-8038-70B32F6EEE96}"/>
              </c:ext>
            </c:extLst>
          </c:dPt>
          <c:dPt>
            <c:idx val="4"/>
            <c:bubble3D val="0"/>
            <c:spPr>
              <a:solidFill>
                <a:srgbClr val="C00000"/>
              </a:solidFill>
            </c:spPr>
            <c:extLst xmlns:c16r2="http://schemas.microsoft.com/office/drawing/2015/06/chart">
              <c:ext xmlns:c16="http://schemas.microsoft.com/office/drawing/2014/chart" uri="{C3380CC4-5D6E-409C-BE32-E72D297353CC}">
                <c16:uniqueId val="{00000009-79B2-41A1-8038-70B32F6EEE96}"/>
              </c:ext>
            </c:extLst>
          </c:dPt>
          <c:dPt>
            <c:idx val="5"/>
            <c:bubble3D val="0"/>
            <c:explosion val="28"/>
            <c:spPr>
              <a:solidFill>
                <a:srgbClr val="C0504D">
                  <a:lumMod val="50000"/>
                </a:srgbClr>
              </a:solidFill>
            </c:spPr>
            <c:extLst xmlns:c16r2="http://schemas.microsoft.com/office/drawing/2015/06/chart">
              <c:ext xmlns:c16="http://schemas.microsoft.com/office/drawing/2014/chart" uri="{C3380CC4-5D6E-409C-BE32-E72D297353CC}">
                <c16:uniqueId val="{0000000B-79B2-41A1-8038-70B32F6EEE96}"/>
              </c:ext>
            </c:extLst>
          </c:dPt>
          <c:dPt>
            <c:idx val="6"/>
            <c:bubble3D val="0"/>
            <c:spPr>
              <a:solidFill>
                <a:srgbClr val="C0504D">
                  <a:lumMod val="40000"/>
                  <a:lumOff val="60000"/>
                </a:srgbClr>
              </a:solidFill>
            </c:spPr>
            <c:extLst xmlns:c16r2="http://schemas.microsoft.com/office/drawing/2015/06/chart">
              <c:ext xmlns:c16="http://schemas.microsoft.com/office/drawing/2014/chart" uri="{C3380CC4-5D6E-409C-BE32-E72D297353CC}">
                <c16:uniqueId val="{0000000D-79B2-41A1-8038-70B32F6EEE96}"/>
              </c:ext>
            </c:extLst>
          </c:dPt>
          <c:dLbls>
            <c:dLbl>
              <c:idx val="0"/>
              <c:layout>
                <c:manualLayout>
                  <c:x val="5.6681977252843411E-3"/>
                  <c:y val="4.3817439486730841E-3"/>
                </c:manualLayout>
              </c:layout>
              <c:numFmt formatCode="0.0%" sourceLinked="0"/>
              <c:spPr>
                <a:noFill/>
                <a:ln>
                  <a:noFill/>
                </a:ln>
                <a:effectLst/>
              </c:spPr>
              <c:txPr>
                <a:bodyPr/>
                <a:lstStyle/>
                <a:p>
                  <a:pPr>
                    <a:defRPr>
                      <a:solidFill>
                        <a:schemeClr val="bg1"/>
                      </a:solidFill>
                    </a:defRPr>
                  </a:pPr>
                  <a:endParaRPr lang="sk-SK"/>
                </a:p>
              </c:txPr>
              <c:dLblPos val="bestFit"/>
              <c:showLegendKey val="0"/>
              <c:showVal val="1"/>
              <c:showCatName val="1"/>
              <c:showSerName val="0"/>
              <c:showPercent val="0"/>
              <c:showBubbleSize val="0"/>
            </c:dLbl>
            <c:dLbl>
              <c:idx val="1"/>
              <c:layout>
                <c:manualLayout>
                  <c:x val="0"/>
                  <c:y val="-1.657990667833187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B2-41A1-8038-70B32F6EEE96}"/>
                </c:ext>
              </c:extLst>
            </c:dLbl>
            <c:dLbl>
              <c:idx val="2"/>
              <c:layout>
                <c:manualLayout>
                  <c:x val="0.13899498207885341"/>
                  <c:y val="0.24152922077922148"/>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B2-41A1-8038-70B32F6EEE96}"/>
                </c:ext>
              </c:extLst>
            </c:dLbl>
            <c:dLbl>
              <c:idx val="3"/>
              <c:layout>
                <c:manualLayout>
                  <c:x val="-2.4694881889763789E-2"/>
                  <c:y val="-0.18149934383202129"/>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B2-41A1-8038-70B32F6EEE96}"/>
                </c:ext>
              </c:extLst>
            </c:dLbl>
            <c:dLbl>
              <c:idx val="4"/>
              <c:layout>
                <c:manualLayout>
                  <c:x val="6.3417322834645726E-2"/>
                  <c:y val="7.394903762029746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B2-41A1-8038-70B32F6EEE96}"/>
                </c:ext>
              </c:extLst>
            </c:dLbl>
            <c:dLbl>
              <c:idx val="5"/>
              <c:layout>
                <c:manualLayout>
                  <c:x val="-3.5104838709677441E-2"/>
                  <c:y val="-1.374458874458885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B2-41A1-8038-70B32F6EEE96}"/>
                </c:ext>
              </c:extLst>
            </c:dLbl>
            <c:dLbl>
              <c:idx val="6"/>
              <c:layout>
                <c:manualLayout>
                  <c:x val="-0.20027025089605741"/>
                  <c:y val="0.11459559884559886"/>
                </c:manualLayout>
              </c:layout>
              <c:tx>
                <c:rich>
                  <a:bodyPr/>
                  <a:lstStyle/>
                  <a:p>
                    <a:r>
                      <a:rPr lang="sk-SK"/>
                      <a:t>Sociálne</a:t>
                    </a:r>
                    <a:r>
                      <a:rPr lang="sk-SK" baseline="0"/>
                      <a:t> príspevky</a:t>
                    </a:r>
                    <a:r>
                      <a:rPr lang="en-US"/>
                      <a:t>; 64,9%</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9B2-41A1-8038-70B32F6EEE96}"/>
                </c:ext>
              </c:extLst>
            </c:dLbl>
            <c:numFmt formatCode="0.0%" sourceLinked="0"/>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Hárok1!$D$12:$D$17</c:f>
              <c:strCache>
                <c:ptCount val="6"/>
                <c:pt idx="0">
                  <c:v>Príspevky verejnej správy</c:v>
                </c:pt>
                <c:pt idx="1">
                  <c:v>Iné príjmy</c:v>
                </c:pt>
                <c:pt idx="2">
                  <c:v>Zamestnávatelia</c:v>
                </c:pt>
                <c:pt idx="3">
                  <c:v>Zamestnanci</c:v>
                </c:pt>
                <c:pt idx="4">
                  <c:v>SZČO</c:v>
                </c:pt>
                <c:pt idx="5">
                  <c:v>Dobrovoľní platitelia</c:v>
                </c:pt>
              </c:strCache>
            </c:strRef>
          </c:cat>
          <c:val>
            <c:numRef>
              <c:f>Hárok1!$E$12:$E$17</c:f>
              <c:numCache>
                <c:formatCode>0.0%</c:formatCode>
                <c:ptCount val="6"/>
                <c:pt idx="0">
                  <c:v>0.33100000000000013</c:v>
                </c:pt>
                <c:pt idx="1">
                  <c:v>2.1000000000000008E-2</c:v>
                </c:pt>
                <c:pt idx="2">
                  <c:v>0.44400000000000001</c:v>
                </c:pt>
                <c:pt idx="3">
                  <c:v>0.16400000000000001</c:v>
                </c:pt>
                <c:pt idx="4">
                  <c:v>3.500000000000001E-2</c:v>
                </c:pt>
                <c:pt idx="5">
                  <c:v>6.0000000000000019E-3</c:v>
                </c:pt>
              </c:numCache>
            </c:numRef>
          </c:val>
          <c:extLst xmlns:c16r2="http://schemas.microsoft.com/office/drawing/2015/06/chart">
            <c:ext xmlns:c16="http://schemas.microsoft.com/office/drawing/2014/chart" uri="{C3380CC4-5D6E-409C-BE32-E72D297353CC}">
              <c16:uniqueId val="{0000000E-79B2-41A1-8038-70B32F6EEE96}"/>
            </c:ext>
          </c:extLst>
        </c:ser>
        <c:dLbls>
          <c:showLegendKey val="0"/>
          <c:showVal val="0"/>
          <c:showCatName val="0"/>
          <c:showSerName val="0"/>
          <c:showPercent val="0"/>
          <c:showBubbleSize val="0"/>
          <c:showLeaderLines val="1"/>
        </c:dLbls>
        <c:gapWidth val="64"/>
        <c:splitType val="pos"/>
        <c:splitPos val="4"/>
        <c:secondPieSize val="87"/>
        <c:serLines/>
      </c:ofPieChart>
      <c:spPr>
        <a:noFill/>
        <a:ln w="25400">
          <a:noFill/>
        </a:ln>
      </c:spPr>
    </c:plotArea>
    <c:plotVisOnly val="1"/>
    <c:dispBlanksAs val="zero"/>
    <c:showDLblsOverMax val="0"/>
  </c:chart>
  <c:spPr>
    <a:ln>
      <a:noFill/>
    </a:ln>
  </c:spPr>
  <c:txPr>
    <a:bodyPr/>
    <a:lstStyle/>
    <a:p>
      <a:pPr>
        <a:defRPr sz="950" baseline="0">
          <a:latin typeface="Times New Roman" panose="02020603050405020304" pitchFamily="18" charset="0"/>
        </a:defRPr>
      </a:pPr>
      <a:endParaRPr lang="sk-SK"/>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'[spr_rec_sumt (2).xls]Data'!$B$10</c:f>
              <c:strCache>
                <c:ptCount val="1"/>
                <c:pt idx="0">
                  <c:v>Zamestnávatelia</c:v>
                </c:pt>
              </c:strCache>
            </c:strRef>
          </c:tx>
          <c:spPr>
            <a:solidFill>
              <a:schemeClr val="accent2">
                <a:lumMod val="75000"/>
              </a:schemeClr>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(2).xls]Data'!$B$11:$B$29</c:f>
              <c:numCache>
                <c:formatCode>#,##0.00</c:formatCode>
                <c:ptCount val="19"/>
                <c:pt idx="0">
                  <c:v>1741.78</c:v>
                </c:pt>
                <c:pt idx="1">
                  <c:v>2026.21</c:v>
                </c:pt>
                <c:pt idx="2">
                  <c:v>2304.75</c:v>
                </c:pt>
                <c:pt idx="3">
                  <c:v>2559.42</c:v>
                </c:pt>
                <c:pt idx="4">
                  <c:v>2636.6</c:v>
                </c:pt>
                <c:pt idx="5">
                  <c:v>2906.07</c:v>
                </c:pt>
                <c:pt idx="6">
                  <c:v>3031.71</c:v>
                </c:pt>
                <c:pt idx="7">
                  <c:v>3293.51</c:v>
                </c:pt>
                <c:pt idx="8">
                  <c:v>3654.53</c:v>
                </c:pt>
                <c:pt idx="9">
                  <c:v>3835.12</c:v>
                </c:pt>
                <c:pt idx="10">
                  <c:v>3931.88</c:v>
                </c:pt>
                <c:pt idx="11">
                  <c:v>4274.54</c:v>
                </c:pt>
                <c:pt idx="12">
                  <c:v>4835.3500000000004</c:v>
                </c:pt>
                <c:pt idx="13">
                  <c:v>5435.26</c:v>
                </c:pt>
                <c:pt idx="14">
                  <c:v>5365.17</c:v>
                </c:pt>
                <c:pt idx="15">
                  <c:v>5394.57</c:v>
                </c:pt>
                <c:pt idx="16">
                  <c:v>5722.79</c:v>
                </c:pt>
                <c:pt idx="17">
                  <c:v>5821.81</c:v>
                </c:pt>
                <c:pt idx="18">
                  <c:v>6203.25</c:v>
                </c:pt>
              </c:numCache>
            </c:numRef>
          </c:val>
        </c:ser>
        <c:ser>
          <c:idx val="1"/>
          <c:order val="1"/>
          <c:tx>
            <c:strRef>
              <c:f>'[spr_rec_sumt (2).xls]Data'!$C$10</c:f>
              <c:strCache>
                <c:ptCount val="1"/>
                <c:pt idx="0">
                  <c:v>Zamestnanci</c:v>
                </c:pt>
              </c:strCache>
            </c:strRef>
          </c:tx>
          <c:spPr>
            <a:solidFill>
              <a:schemeClr val="accent1">
                <a:lumMod val="60000"/>
                <a:lumOff val="40000"/>
              </a:schemeClr>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(2).xls]Data'!$C$11:$C$29</c:f>
              <c:numCache>
                <c:formatCode>#,##0.00</c:formatCode>
                <c:ptCount val="19"/>
                <c:pt idx="0">
                  <c:v>509.81</c:v>
                </c:pt>
                <c:pt idx="1">
                  <c:v>629.87</c:v>
                </c:pt>
                <c:pt idx="2">
                  <c:v>704.81</c:v>
                </c:pt>
                <c:pt idx="3">
                  <c:v>768.77000000000021</c:v>
                </c:pt>
                <c:pt idx="4">
                  <c:v>801.71</c:v>
                </c:pt>
                <c:pt idx="5">
                  <c:v>905</c:v>
                </c:pt>
                <c:pt idx="6">
                  <c:v>1003.8</c:v>
                </c:pt>
                <c:pt idx="7">
                  <c:v>1109.53</c:v>
                </c:pt>
                <c:pt idx="8">
                  <c:v>1205.26</c:v>
                </c:pt>
                <c:pt idx="9">
                  <c:v>1288.44</c:v>
                </c:pt>
                <c:pt idx="10">
                  <c:v>1495.4</c:v>
                </c:pt>
                <c:pt idx="11">
                  <c:v>1620.56</c:v>
                </c:pt>
                <c:pt idx="12">
                  <c:v>1800.93</c:v>
                </c:pt>
                <c:pt idx="13">
                  <c:v>2039.84</c:v>
                </c:pt>
                <c:pt idx="14">
                  <c:v>1944.8799999999999</c:v>
                </c:pt>
                <c:pt idx="15">
                  <c:v>1983.79</c:v>
                </c:pt>
                <c:pt idx="16">
                  <c:v>2085.61</c:v>
                </c:pt>
                <c:pt idx="17">
                  <c:v>2137.2399999999998</c:v>
                </c:pt>
                <c:pt idx="18">
                  <c:v>2286.69</c:v>
                </c:pt>
              </c:numCache>
            </c:numRef>
          </c:val>
        </c:ser>
        <c:ser>
          <c:idx val="2"/>
          <c:order val="2"/>
          <c:tx>
            <c:strRef>
              <c:f>'[spr_rec_sumt (2).xls]Data'!$D$10</c:f>
              <c:strCache>
                <c:ptCount val="1"/>
                <c:pt idx="0">
                  <c:v>SZČO</c:v>
                </c:pt>
              </c:strCache>
            </c:strRef>
          </c:tx>
          <c:spPr>
            <a:solidFill>
              <a:schemeClr val="accent1">
                <a:lumMod val="40000"/>
                <a:lumOff val="60000"/>
              </a:schemeClr>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(2).xls]Data'!$D$11:$D$29</c:f>
              <c:numCache>
                <c:formatCode>#,##0.00</c:formatCode>
                <c:ptCount val="19"/>
                <c:pt idx="0">
                  <c:v>96.78</c:v>
                </c:pt>
                <c:pt idx="1">
                  <c:v>110.35</c:v>
                </c:pt>
                <c:pt idx="2">
                  <c:v>130.89000000000001</c:v>
                </c:pt>
                <c:pt idx="3">
                  <c:v>150.34</c:v>
                </c:pt>
                <c:pt idx="4">
                  <c:v>156.18</c:v>
                </c:pt>
                <c:pt idx="5">
                  <c:v>185.60999999999999</c:v>
                </c:pt>
                <c:pt idx="6">
                  <c:v>172.49</c:v>
                </c:pt>
                <c:pt idx="7">
                  <c:v>180.23</c:v>
                </c:pt>
                <c:pt idx="8">
                  <c:v>191.14</c:v>
                </c:pt>
                <c:pt idx="9">
                  <c:v>220.4</c:v>
                </c:pt>
                <c:pt idx="10">
                  <c:v>310.77</c:v>
                </c:pt>
                <c:pt idx="11">
                  <c:v>388.9899999999999</c:v>
                </c:pt>
                <c:pt idx="12">
                  <c:v>419.1400000000001</c:v>
                </c:pt>
                <c:pt idx="13">
                  <c:v>440.6400000000001</c:v>
                </c:pt>
                <c:pt idx="14">
                  <c:v>432.26</c:v>
                </c:pt>
                <c:pt idx="15">
                  <c:v>415.94</c:v>
                </c:pt>
                <c:pt idx="16">
                  <c:v>449.78999999999991</c:v>
                </c:pt>
                <c:pt idx="17">
                  <c:v>453.25</c:v>
                </c:pt>
                <c:pt idx="18">
                  <c:v>496.31</c:v>
                </c:pt>
              </c:numCache>
            </c:numRef>
          </c:val>
        </c:ser>
        <c:ser>
          <c:idx val="3"/>
          <c:order val="3"/>
          <c:tx>
            <c:strRef>
              <c:f>'[spr_rec_sumt (2).xls]Data'!$E$10</c:f>
              <c:strCache>
                <c:ptCount val="1"/>
                <c:pt idx="0">
                  <c:v>Dobrovoľní platitelia</c:v>
                </c:pt>
              </c:strCache>
            </c:strRef>
          </c:tx>
          <c:spPr>
            <a:solidFill>
              <a:srgbClr val="FF0000"/>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(2).xls]Data'!$E$11:$E$29</c:f>
              <c:numCache>
                <c:formatCode>#,##0.00</c:formatCode>
                <c:ptCount val="19"/>
                <c:pt idx="0">
                  <c:v>1.03</c:v>
                </c:pt>
                <c:pt idx="1">
                  <c:v>9.4500000000000028</c:v>
                </c:pt>
                <c:pt idx="2">
                  <c:v>7.57</c:v>
                </c:pt>
                <c:pt idx="3">
                  <c:v>13.1</c:v>
                </c:pt>
                <c:pt idx="4">
                  <c:v>17.95</c:v>
                </c:pt>
                <c:pt idx="5">
                  <c:v>22.8</c:v>
                </c:pt>
                <c:pt idx="6">
                  <c:v>26.89</c:v>
                </c:pt>
                <c:pt idx="7">
                  <c:v>31.99</c:v>
                </c:pt>
                <c:pt idx="8">
                  <c:v>33.260000000000012</c:v>
                </c:pt>
                <c:pt idx="9">
                  <c:v>59.14</c:v>
                </c:pt>
                <c:pt idx="10">
                  <c:v>37.43</c:v>
                </c:pt>
                <c:pt idx="11">
                  <c:v>60.58</c:v>
                </c:pt>
                <c:pt idx="12">
                  <c:v>62.87</c:v>
                </c:pt>
                <c:pt idx="13">
                  <c:v>54.52</c:v>
                </c:pt>
                <c:pt idx="14">
                  <c:v>64.09</c:v>
                </c:pt>
                <c:pt idx="15">
                  <c:v>75.239999999999995</c:v>
                </c:pt>
                <c:pt idx="16">
                  <c:v>97.36999999999999</c:v>
                </c:pt>
                <c:pt idx="17">
                  <c:v>87.73</c:v>
                </c:pt>
                <c:pt idx="18">
                  <c:v>86.35</c:v>
                </c:pt>
              </c:numCache>
            </c:numRef>
          </c:val>
        </c:ser>
        <c:ser>
          <c:idx val="4"/>
          <c:order val="4"/>
          <c:tx>
            <c:strRef>
              <c:f>'[spr_rec_sumt (2).xls]Data'!$F$10</c:f>
              <c:strCache>
                <c:ptCount val="1"/>
                <c:pt idx="0">
                  <c:v>Príspevky verejnej správy</c:v>
                </c:pt>
              </c:strCache>
            </c:strRef>
          </c:tx>
          <c:spPr>
            <a:solidFill>
              <a:schemeClr val="accent5">
                <a:lumMod val="75000"/>
              </a:schemeClr>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(2).xls]Data'!$F$11:$F$29</c:f>
              <c:numCache>
                <c:formatCode>#,##0.00</c:formatCode>
                <c:ptCount val="19"/>
                <c:pt idx="0">
                  <c:v>1329.58</c:v>
                </c:pt>
                <c:pt idx="1">
                  <c:v>1451.6</c:v>
                </c:pt>
                <c:pt idx="2">
                  <c:v>1435.55</c:v>
                </c:pt>
                <c:pt idx="3">
                  <c:v>1570.5</c:v>
                </c:pt>
                <c:pt idx="4">
                  <c:v>1715.96</c:v>
                </c:pt>
                <c:pt idx="5">
                  <c:v>1868.08</c:v>
                </c:pt>
                <c:pt idx="6">
                  <c:v>2113.2799999999997</c:v>
                </c:pt>
                <c:pt idx="7">
                  <c:v>2381.8200000000002</c:v>
                </c:pt>
                <c:pt idx="8">
                  <c:v>2270.2799999999997</c:v>
                </c:pt>
                <c:pt idx="9">
                  <c:v>2343.8100000000009</c:v>
                </c:pt>
                <c:pt idx="10">
                  <c:v>2561.2799999999997</c:v>
                </c:pt>
                <c:pt idx="11">
                  <c:v>2730.13</c:v>
                </c:pt>
                <c:pt idx="12">
                  <c:v>2960.77</c:v>
                </c:pt>
                <c:pt idx="13">
                  <c:v>3078.44</c:v>
                </c:pt>
                <c:pt idx="14">
                  <c:v>3422.88</c:v>
                </c:pt>
                <c:pt idx="15">
                  <c:v>3842.53</c:v>
                </c:pt>
                <c:pt idx="16">
                  <c:v>5099.74</c:v>
                </c:pt>
                <c:pt idx="17">
                  <c:v>5342.98</c:v>
                </c:pt>
                <c:pt idx="18">
                  <c:v>4625.76</c:v>
                </c:pt>
              </c:numCache>
            </c:numRef>
          </c:val>
        </c:ser>
        <c:ser>
          <c:idx val="5"/>
          <c:order val="5"/>
          <c:tx>
            <c:strRef>
              <c:f>'[spr_rec_sumt (2).xls]Data'!$G$10</c:f>
              <c:strCache>
                <c:ptCount val="1"/>
                <c:pt idx="0">
                  <c:v>Iné príjmy</c:v>
                </c:pt>
              </c:strCache>
            </c:strRef>
          </c:tx>
          <c:spPr>
            <a:solidFill>
              <a:schemeClr val="accent5">
                <a:lumMod val="60000"/>
                <a:lumOff val="40000"/>
              </a:schemeClr>
            </a:solidFill>
          </c:spPr>
          <c:invertIfNegative val="0"/>
          <c:cat>
            <c:strRef>
              <c:f>'[spr_rec_sumt (2).xls]Data'!$A$11:$A$29</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'[spr_rec_sumt (2).xls]Data'!$G$11:$G$29</c:f>
              <c:numCache>
                <c:formatCode>#,##0.00</c:formatCode>
                <c:ptCount val="19"/>
                <c:pt idx="0">
                  <c:v>71.459999999999994</c:v>
                </c:pt>
                <c:pt idx="1">
                  <c:v>103.91000000000003</c:v>
                </c:pt>
                <c:pt idx="2">
                  <c:v>134.84</c:v>
                </c:pt>
                <c:pt idx="3">
                  <c:v>129.52000000000001</c:v>
                </c:pt>
                <c:pt idx="4">
                  <c:v>172.15</c:v>
                </c:pt>
                <c:pt idx="5">
                  <c:v>133.03</c:v>
                </c:pt>
                <c:pt idx="6">
                  <c:v>161.33000000000001</c:v>
                </c:pt>
                <c:pt idx="7">
                  <c:v>131.79</c:v>
                </c:pt>
                <c:pt idx="8">
                  <c:v>96.990000000000023</c:v>
                </c:pt>
                <c:pt idx="9">
                  <c:v>112</c:v>
                </c:pt>
                <c:pt idx="10">
                  <c:v>129.16</c:v>
                </c:pt>
                <c:pt idx="11">
                  <c:v>854.32999999999981</c:v>
                </c:pt>
                <c:pt idx="12">
                  <c:v>870.16</c:v>
                </c:pt>
                <c:pt idx="13">
                  <c:v>786.53</c:v>
                </c:pt>
                <c:pt idx="14">
                  <c:v>1411.57</c:v>
                </c:pt>
                <c:pt idx="15">
                  <c:v>1794.8799999999999</c:v>
                </c:pt>
                <c:pt idx="16">
                  <c:v>292.7299999999999</c:v>
                </c:pt>
                <c:pt idx="17">
                  <c:v>406.86</c:v>
                </c:pt>
                <c:pt idx="18">
                  <c:v>286.97000000000003</c:v>
                </c:pt>
              </c:numCache>
            </c:numRef>
          </c:val>
        </c:ser>
        <c:dLbls>
          <c:showLegendKey val="0"/>
          <c:showVal val="0"/>
          <c:showCatName val="0"/>
          <c:showSerName val="0"/>
          <c:showPercent val="0"/>
          <c:showBubbleSize val="0"/>
        </c:dLbls>
        <c:gapWidth val="12"/>
        <c:overlap val="100"/>
        <c:axId val="215442560"/>
        <c:axId val="215444096"/>
      </c:barChart>
      <c:catAx>
        <c:axId val="215442560"/>
        <c:scaling>
          <c:orientation val="minMax"/>
        </c:scaling>
        <c:delete val="0"/>
        <c:axPos val="b"/>
        <c:majorTickMark val="out"/>
        <c:minorTickMark val="none"/>
        <c:tickLblPos val="nextTo"/>
        <c:crossAx val="215444096"/>
        <c:crosses val="autoZero"/>
        <c:auto val="1"/>
        <c:lblAlgn val="ctr"/>
        <c:lblOffset val="100"/>
        <c:noMultiLvlLbl val="0"/>
      </c:catAx>
      <c:valAx>
        <c:axId val="215444096"/>
        <c:scaling>
          <c:orientation val="minMax"/>
        </c:scaling>
        <c:delete val="0"/>
        <c:axPos val="l"/>
        <c:majorGridlines/>
        <c:title>
          <c:tx>
            <c:rich>
              <a:bodyPr rot="-5400000" vert="horz"/>
              <a:lstStyle/>
              <a:p>
                <a:pPr>
                  <a:defRPr/>
                </a:pPr>
                <a:r>
                  <a:rPr lang="sk-SK" b="0"/>
                  <a:t>mil.</a:t>
                </a:r>
                <a:r>
                  <a:rPr lang="sk-SK" b="0" baseline="0"/>
                  <a:t> eur</a:t>
                </a:r>
                <a:endParaRPr lang="sk-SK" b="0"/>
              </a:p>
            </c:rich>
          </c:tx>
          <c:overlay val="0"/>
        </c:title>
        <c:numFmt formatCode="#,##0" sourceLinked="0"/>
        <c:majorTickMark val="out"/>
        <c:minorTickMark val="none"/>
        <c:tickLblPos val="nextTo"/>
        <c:crossAx val="215442560"/>
        <c:crosses val="autoZero"/>
        <c:crossBetween val="between"/>
      </c:valAx>
    </c:plotArea>
    <c:legend>
      <c:legendPos val="b"/>
      <c:layout>
        <c:manualLayout>
          <c:xMode val="edge"/>
          <c:yMode val="edge"/>
          <c:x val="0.17135506209871915"/>
          <c:y val="0.85667751677734094"/>
          <c:w val="0.8030862808815562"/>
          <c:h val="0.12094486413084975"/>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6726211462373197E-2"/>
          <c:w val="0.90901387326584182"/>
          <c:h val="0.84984800407411798"/>
        </c:manualLayout>
      </c:layout>
      <c:ofPieChart>
        <c:ofPieType val="bar"/>
        <c:varyColors val="1"/>
        <c:ser>
          <c:idx val="0"/>
          <c:order val="0"/>
          <c:dPt>
            <c:idx val="0"/>
            <c:bubble3D val="0"/>
            <c:explosion val="21"/>
          </c:dPt>
          <c:dPt>
            <c:idx val="1"/>
            <c:bubble3D val="0"/>
            <c:explosion val="22"/>
          </c:dPt>
          <c:dPt>
            <c:idx val="2"/>
            <c:bubble3D val="0"/>
            <c:spPr>
              <a:pattFill prst="pct5">
                <a:fgClr>
                  <a:schemeClr val="accent2"/>
                </a:fgClr>
                <a:bgClr>
                  <a:schemeClr val="bg1"/>
                </a:bgClr>
              </a:pattFill>
              <a:ln>
                <a:solidFill>
                  <a:schemeClr val="accent1"/>
                </a:solidFill>
              </a:ln>
            </c:spPr>
          </c:dPt>
          <c:dPt>
            <c:idx val="3"/>
            <c:bubble3D val="0"/>
            <c:spPr>
              <a:pattFill prst="pct25">
                <a:fgClr>
                  <a:schemeClr val="accent3"/>
                </a:fgClr>
                <a:bgClr>
                  <a:schemeClr val="bg1"/>
                </a:bgClr>
              </a:pattFill>
              <a:ln>
                <a:solidFill>
                  <a:schemeClr val="accent2"/>
                </a:solidFill>
              </a:ln>
            </c:spPr>
          </c:dPt>
          <c:dPt>
            <c:idx val="4"/>
            <c:bubble3D val="0"/>
            <c:spPr>
              <a:solidFill>
                <a:schemeClr val="accent1">
                  <a:lumMod val="60000"/>
                  <a:lumOff val="40000"/>
                </a:schemeClr>
              </a:solidFill>
              <a:ln>
                <a:solidFill>
                  <a:schemeClr val="accent1">
                    <a:lumMod val="60000"/>
                    <a:lumOff val="40000"/>
                  </a:schemeClr>
                </a:solidFill>
              </a:ln>
            </c:spPr>
          </c:dPt>
          <c:dPt>
            <c:idx val="5"/>
            <c:bubble3D val="0"/>
            <c:spPr>
              <a:solidFill>
                <a:schemeClr val="accent3">
                  <a:lumMod val="75000"/>
                </a:schemeClr>
              </a:solidFill>
              <a:ln>
                <a:solidFill>
                  <a:schemeClr val="accent3">
                    <a:lumMod val="75000"/>
                  </a:schemeClr>
                </a:solidFill>
              </a:ln>
            </c:spPr>
          </c:dPt>
          <c:dPt>
            <c:idx val="6"/>
            <c:bubble3D val="0"/>
            <c:spPr>
              <a:pattFill prst="smCheck">
                <a:fgClr>
                  <a:schemeClr val="accent2">
                    <a:lumMod val="60000"/>
                    <a:lumOff val="40000"/>
                  </a:schemeClr>
                </a:fgClr>
                <a:bgClr>
                  <a:schemeClr val="bg1"/>
                </a:bgClr>
              </a:pattFill>
              <a:ln>
                <a:solidFill>
                  <a:schemeClr val="accent2">
                    <a:lumMod val="60000"/>
                    <a:lumOff val="40000"/>
                  </a:schemeClr>
                </a:solidFill>
              </a:ln>
            </c:spPr>
          </c:dPt>
          <c:dPt>
            <c:idx val="7"/>
            <c:bubble3D val="0"/>
            <c:spPr>
              <a:pattFill prst="pct5">
                <a:fgClr>
                  <a:schemeClr val="bg2">
                    <a:lumMod val="75000"/>
                  </a:schemeClr>
                </a:fgClr>
                <a:bgClr>
                  <a:schemeClr val="bg1"/>
                </a:bgClr>
              </a:pattFill>
              <a:ln>
                <a:solidFill>
                  <a:schemeClr val="bg2">
                    <a:lumMod val="75000"/>
                  </a:schemeClr>
                </a:solidFill>
              </a:ln>
            </c:spPr>
          </c:dPt>
          <c:dPt>
            <c:idx val="8"/>
            <c:bubble3D val="0"/>
            <c:spPr>
              <a:solidFill>
                <a:srgbClr val="FF0000"/>
              </a:solidFill>
              <a:ln>
                <a:solidFill>
                  <a:srgbClr val="FF0000"/>
                </a:solidFill>
              </a:ln>
            </c:spPr>
          </c:dPt>
          <c:dLbls>
            <c:dLbl>
              <c:idx val="0"/>
              <c:layout>
                <c:manualLayout>
                  <c:x val="2.7125180780973829E-3"/>
                  <c:y val="0.25090988626421706"/>
                </c:manualLayout>
              </c:layout>
              <c:showLegendKey val="0"/>
              <c:showVal val="1"/>
              <c:showCatName val="1"/>
              <c:showSerName val="0"/>
              <c:showPercent val="0"/>
              <c:showBubbleSize val="0"/>
            </c:dLbl>
            <c:dLbl>
              <c:idx val="1"/>
              <c:layout>
                <c:manualLayout>
                  <c:x val="1.2471655328798186E-2"/>
                  <c:y val="-0.13762604301328005"/>
                </c:manualLayout>
              </c:layout>
              <c:showLegendKey val="0"/>
              <c:showVal val="1"/>
              <c:showCatName val="1"/>
              <c:showSerName val="0"/>
              <c:showPercent val="0"/>
              <c:showBubbleSize val="0"/>
            </c:dLbl>
            <c:dLbl>
              <c:idx val="2"/>
              <c:layout>
                <c:manualLayout>
                  <c:x val="-0.15442194725659297"/>
                  <c:y val="-4.1666666666666664E-2"/>
                </c:manualLayout>
              </c:layout>
              <c:showLegendKey val="0"/>
              <c:showVal val="1"/>
              <c:showCatName val="1"/>
              <c:showSerName val="0"/>
              <c:showPercent val="0"/>
              <c:showBubbleSize val="0"/>
            </c:dLbl>
            <c:dLbl>
              <c:idx val="3"/>
              <c:layout>
                <c:manualLayout>
                  <c:x val="-0.17040834181441616"/>
                  <c:y val="-4.6299941673957398E-3"/>
                </c:manualLayout>
              </c:layout>
              <c:spPr/>
              <c:txPr>
                <a:bodyPr/>
                <a:lstStyle/>
                <a:p>
                  <a:pPr>
                    <a:defRPr>
                      <a:solidFill>
                        <a:schemeClr val="tx1"/>
                      </a:solidFill>
                    </a:defRPr>
                  </a:pPr>
                  <a:endParaRPr lang="sk-SK"/>
                </a:p>
              </c:txPr>
              <c:showLegendKey val="0"/>
              <c:showVal val="1"/>
              <c:showCatName val="1"/>
              <c:showSerName val="0"/>
              <c:showPercent val="0"/>
              <c:showBubbleSize val="0"/>
            </c:dLbl>
            <c:dLbl>
              <c:idx val="4"/>
              <c:layout>
                <c:manualLayout>
                  <c:x val="-0.16655328798185942"/>
                  <c:y val="-6.0185185185185161E-2"/>
                </c:manualLayout>
              </c:layout>
              <c:spPr/>
              <c:txPr>
                <a:bodyPr/>
                <a:lstStyle/>
                <a:p>
                  <a:pPr>
                    <a:defRPr>
                      <a:solidFill>
                        <a:schemeClr val="bg1"/>
                      </a:solidFill>
                    </a:defRPr>
                  </a:pPr>
                  <a:endParaRPr lang="sk-SK"/>
                </a:p>
              </c:txPr>
              <c:showLegendKey val="0"/>
              <c:showVal val="1"/>
              <c:showCatName val="1"/>
              <c:showSerName val="0"/>
              <c:showPercent val="0"/>
              <c:showBubbleSize val="0"/>
            </c:dLbl>
            <c:dLbl>
              <c:idx val="5"/>
              <c:layout>
                <c:manualLayout>
                  <c:x val="-0.34467120181405914"/>
                  <c:y val="-1.8518518518518445E-2"/>
                </c:manualLayout>
              </c:layout>
              <c:showLegendKey val="0"/>
              <c:showVal val="1"/>
              <c:showCatName val="1"/>
              <c:showSerName val="0"/>
              <c:showPercent val="0"/>
              <c:showBubbleSize val="0"/>
            </c:dLbl>
            <c:dLbl>
              <c:idx val="6"/>
              <c:layout>
                <c:manualLayout>
                  <c:x val="-1.319995714821362E-2"/>
                  <c:y val="9.2592592592593542E-3"/>
                </c:manualLayout>
              </c:layout>
              <c:showLegendKey val="0"/>
              <c:showVal val="1"/>
              <c:showCatName val="1"/>
              <c:showSerName val="0"/>
              <c:showPercent val="0"/>
              <c:showBubbleSize val="0"/>
            </c:dLbl>
            <c:dLbl>
              <c:idx val="7"/>
              <c:layout>
                <c:manualLayout>
                  <c:x val="-0.16780045351473924"/>
                  <c:y val="0"/>
                </c:manualLayout>
              </c:layout>
              <c:showLegendKey val="0"/>
              <c:showVal val="1"/>
              <c:showCatName val="1"/>
              <c:showSerName val="0"/>
              <c:showPercent val="0"/>
              <c:showBubbleSize val="0"/>
            </c:dLbl>
            <c:dLbl>
              <c:idx val="8"/>
              <c:layout>
                <c:manualLayout>
                  <c:x val="-0.17913832199546495"/>
                  <c:y val="7.3081802274715654E-2"/>
                </c:manualLayout>
              </c:layout>
              <c:showLegendKey val="0"/>
              <c:showVal val="1"/>
              <c:showCatName val="1"/>
              <c:showSerName val="0"/>
              <c:showPercent val="0"/>
              <c:showBubbleSize val="0"/>
            </c:dLbl>
            <c:dLbl>
              <c:idx val="9"/>
              <c:tx>
                <c:rich>
                  <a:bodyPr/>
                  <a:lstStyle/>
                  <a:p>
                    <a:r>
                      <a:rPr lang="sk-SK"/>
                      <a:t>Sociálne</a:t>
                    </a:r>
                    <a:r>
                      <a:rPr lang="sk-SK" baseline="0"/>
                      <a:t> dávky</a:t>
                    </a:r>
                    <a:r>
                      <a:rPr lang="en-US"/>
                      <a:t>; 97,3%</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Hárok1!$B$30:$B$38</c:f>
              <c:strCache>
                <c:ptCount val="9"/>
                <c:pt idx="0">
                  <c:v>Iné výdavky</c:v>
                </c:pt>
                <c:pt idx="1">
                  <c:v>Administratívne náklady</c:v>
                </c:pt>
                <c:pt idx="2">
                  <c:v>Choroba, zdravotná starostlivosť</c:v>
                </c:pt>
                <c:pt idx="3">
                  <c:v>Invalidita</c:v>
                </c:pt>
                <c:pt idx="4">
                  <c:v>Staroba</c:v>
                </c:pt>
                <c:pt idx="5">
                  <c:v>Sociálne vylúčenie a bývanie</c:v>
                </c:pt>
                <c:pt idx="6">
                  <c:v>Pozostalí</c:v>
                </c:pt>
                <c:pt idx="7">
                  <c:v>Rodina, deti</c:v>
                </c:pt>
                <c:pt idx="8">
                  <c:v>Nezamestnanosť</c:v>
                </c:pt>
              </c:strCache>
            </c:strRef>
          </c:cat>
          <c:val>
            <c:numRef>
              <c:f>Hárok1!$C$30:$C$38</c:f>
              <c:numCache>
                <c:formatCode>0.0%</c:formatCode>
                <c:ptCount val="9"/>
                <c:pt idx="0">
                  <c:v>1.0000000000000005E-3</c:v>
                </c:pt>
                <c:pt idx="1">
                  <c:v>2.5999999999999999E-2</c:v>
                </c:pt>
                <c:pt idx="2">
                  <c:v>0.3000000000000001</c:v>
                </c:pt>
                <c:pt idx="3">
                  <c:v>8.8000000000000037E-2</c:v>
                </c:pt>
                <c:pt idx="4">
                  <c:v>0.38300000000000012</c:v>
                </c:pt>
                <c:pt idx="5">
                  <c:v>2.5000000000000001E-2</c:v>
                </c:pt>
                <c:pt idx="6">
                  <c:v>0.05</c:v>
                </c:pt>
                <c:pt idx="7">
                  <c:v>9.4000000000000028E-2</c:v>
                </c:pt>
                <c:pt idx="8">
                  <c:v>3.3000000000000002E-2</c:v>
                </c:pt>
              </c:numCache>
            </c:numRef>
          </c:val>
        </c:ser>
        <c:dLbls>
          <c:showLegendKey val="0"/>
          <c:showVal val="0"/>
          <c:showCatName val="0"/>
          <c:showSerName val="0"/>
          <c:showPercent val="0"/>
          <c:showBubbleSize val="0"/>
          <c:showLeaderLines val="1"/>
        </c:dLbls>
        <c:gapWidth val="157"/>
        <c:splitType val="pos"/>
        <c:splitPos val="7"/>
        <c:secondPieSize val="98"/>
        <c:serLines/>
      </c:of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2005272743501092E-2"/>
          <c:w val="0.84517825896762899"/>
          <c:h val="0.69882735305768262"/>
        </c:manualLayout>
      </c:layout>
      <c:lineChart>
        <c:grouping val="standard"/>
        <c:varyColors val="0"/>
        <c:ser>
          <c:idx val="0"/>
          <c:order val="0"/>
          <c:tx>
            <c:strRef>
              <c:f>'aspoň jeden deň'!$I$9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deň'!$I$10:$I$21</c:f>
              <c:numCache>
                <c:formatCode>#,##0</c:formatCode>
                <c:ptCount val="12"/>
                <c:pt idx="0">
                  <c:v>369390</c:v>
                </c:pt>
                <c:pt idx="1">
                  <c:v>392731</c:v>
                </c:pt>
                <c:pt idx="2">
                  <c:v>416046</c:v>
                </c:pt>
                <c:pt idx="3">
                  <c:v>427702</c:v>
                </c:pt>
                <c:pt idx="4">
                  <c:v>445976</c:v>
                </c:pt>
                <c:pt idx="5">
                  <c:v>462241</c:v>
                </c:pt>
                <c:pt idx="6">
                  <c:v>459055</c:v>
                </c:pt>
                <c:pt idx="7">
                  <c:v>461065</c:v>
                </c:pt>
                <c:pt idx="8">
                  <c:v>458812</c:v>
                </c:pt>
                <c:pt idx="9">
                  <c:v>465965</c:v>
                </c:pt>
                <c:pt idx="10">
                  <c:v>466695</c:v>
                </c:pt>
                <c:pt idx="11">
                  <c:v>455211</c:v>
                </c:pt>
              </c:numCache>
            </c:numRef>
          </c:val>
          <c:smooth val="0"/>
          <c:extLst xmlns:c16r2="http://schemas.microsoft.com/office/drawing/2015/06/chart">
            <c:ext xmlns:c16="http://schemas.microsoft.com/office/drawing/2014/chart" uri="{C3380CC4-5D6E-409C-BE32-E72D297353CC}">
              <c16:uniqueId val="{00000000-E997-4068-8600-7770B6FD8205}"/>
            </c:ext>
          </c:extLst>
        </c:ser>
        <c:ser>
          <c:idx val="1"/>
          <c:order val="1"/>
          <c:tx>
            <c:strRef>
              <c:f>'aspoň jeden deň'!$J$9</c:f>
              <c:strCache>
                <c:ptCount val="1"/>
                <c:pt idx="0">
                  <c:v>2015</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deň'!$J$10:$J$21</c:f>
              <c:numCache>
                <c:formatCode>#,##0</c:formatCode>
                <c:ptCount val="12"/>
                <c:pt idx="0">
                  <c:v>382138</c:v>
                </c:pt>
                <c:pt idx="1">
                  <c:v>403274</c:v>
                </c:pt>
                <c:pt idx="2">
                  <c:v>420262</c:v>
                </c:pt>
                <c:pt idx="3">
                  <c:v>431713</c:v>
                </c:pt>
                <c:pt idx="4">
                  <c:v>447393</c:v>
                </c:pt>
                <c:pt idx="5">
                  <c:v>471725</c:v>
                </c:pt>
                <c:pt idx="6">
                  <c:v>468798</c:v>
                </c:pt>
                <c:pt idx="7">
                  <c:v>471362</c:v>
                </c:pt>
                <c:pt idx="8">
                  <c:v>461230</c:v>
                </c:pt>
                <c:pt idx="9">
                  <c:v>460026</c:v>
                </c:pt>
                <c:pt idx="10">
                  <c:v>462786</c:v>
                </c:pt>
                <c:pt idx="11">
                  <c:v>451196</c:v>
                </c:pt>
              </c:numCache>
            </c:numRef>
          </c:val>
          <c:smooth val="0"/>
          <c:extLst xmlns:c16r2="http://schemas.microsoft.com/office/drawing/2015/06/chart">
            <c:ext xmlns:c16="http://schemas.microsoft.com/office/drawing/2014/chart" uri="{C3380CC4-5D6E-409C-BE32-E72D297353CC}">
              <c16:uniqueId val="{00000001-E997-4068-8600-7770B6FD8205}"/>
            </c:ext>
          </c:extLst>
        </c:ser>
        <c:dLbls>
          <c:showLegendKey val="0"/>
          <c:showVal val="0"/>
          <c:showCatName val="0"/>
          <c:showSerName val="0"/>
          <c:showPercent val="0"/>
          <c:showBubbleSize val="0"/>
        </c:dLbls>
        <c:marker val="1"/>
        <c:smooth val="0"/>
        <c:axId val="215640704"/>
        <c:axId val="215642496"/>
      </c:lineChart>
      <c:catAx>
        <c:axId val="215640704"/>
        <c:scaling>
          <c:orientation val="minMax"/>
        </c:scaling>
        <c:delete val="0"/>
        <c:axPos val="b"/>
        <c:numFmt formatCode="General" sourceLinked="1"/>
        <c:majorTickMark val="out"/>
        <c:minorTickMark val="none"/>
        <c:tickLblPos val="nextTo"/>
        <c:crossAx val="215642496"/>
        <c:crosses val="autoZero"/>
        <c:auto val="1"/>
        <c:lblAlgn val="ctr"/>
        <c:lblOffset val="100"/>
        <c:noMultiLvlLbl val="0"/>
      </c:catAx>
      <c:valAx>
        <c:axId val="215642496"/>
        <c:scaling>
          <c:orientation val="minMax"/>
          <c:min val="350000"/>
        </c:scaling>
        <c:delete val="0"/>
        <c:axPos val="l"/>
        <c:majorGridlines/>
        <c:numFmt formatCode="#,##0" sourceLinked="1"/>
        <c:majorTickMark val="out"/>
        <c:minorTickMark val="none"/>
        <c:tickLblPos val="nextTo"/>
        <c:crossAx val="215640704"/>
        <c:crosses val="autoZero"/>
        <c:crossBetween val="between"/>
      </c:valAx>
    </c:plotArea>
    <c:legend>
      <c:legendPos val="t"/>
      <c:layout>
        <c:manualLayout>
          <c:xMode val="edge"/>
          <c:yMode val="edge"/>
          <c:x val="0.15333333333333451"/>
          <c:y val="7.4994141082727908E-2"/>
          <c:w val="0.29333333333333333"/>
          <c:h val="7.9461793831232419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8787635636506"/>
          <c:y val="5.0925925925925923E-2"/>
          <c:w val="0.86179980550964874"/>
          <c:h val="0.58902777777777759"/>
        </c:manualLayout>
      </c:layout>
      <c:barChart>
        <c:barDir val="col"/>
        <c:grouping val="percentStacked"/>
        <c:varyColors val="0"/>
        <c:ser>
          <c:idx val="0"/>
          <c:order val="0"/>
          <c:tx>
            <c:strRef>
              <c:f>Data!$C$34</c:f>
              <c:strCache>
                <c:ptCount val="1"/>
                <c:pt idx="0">
                  <c:v>Choroba, zdravotná starostlivosť</c:v>
                </c:pt>
              </c:strCache>
            </c:strRef>
          </c:tx>
          <c:spPr>
            <a:solidFill>
              <a:schemeClr val="bg2">
                <a:lumMod val="50000"/>
              </a:schemeClr>
            </a:solidFill>
            <a:ln>
              <a:solidFill>
                <a:schemeClr val="bg2">
                  <a:lumMod val="50000"/>
                </a:schemeClr>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Data!$C$35:$C$53</c:f>
              <c:numCache>
                <c:formatCode>#,##0.00</c:formatCode>
                <c:ptCount val="19"/>
                <c:pt idx="0">
                  <c:v>1143.5899999999999</c:v>
                </c:pt>
                <c:pt idx="1">
                  <c:v>1507.4</c:v>
                </c:pt>
                <c:pt idx="2">
                  <c:v>1660.42</c:v>
                </c:pt>
                <c:pt idx="3">
                  <c:v>1809.1799999999998</c:v>
                </c:pt>
                <c:pt idx="4">
                  <c:v>1857.24</c:v>
                </c:pt>
                <c:pt idx="5">
                  <c:v>2040.24</c:v>
                </c:pt>
                <c:pt idx="6">
                  <c:v>2175.79</c:v>
                </c:pt>
                <c:pt idx="7">
                  <c:v>2323.3100000000009</c:v>
                </c:pt>
                <c:pt idx="8">
                  <c:v>2332.09</c:v>
                </c:pt>
                <c:pt idx="9">
                  <c:v>2247.92</c:v>
                </c:pt>
                <c:pt idx="10">
                  <c:v>2343.65</c:v>
                </c:pt>
                <c:pt idx="11">
                  <c:v>2612.98</c:v>
                </c:pt>
                <c:pt idx="12">
                  <c:v>2918.08</c:v>
                </c:pt>
                <c:pt idx="13">
                  <c:v>3391.56</c:v>
                </c:pt>
                <c:pt idx="14">
                  <c:v>3611.14</c:v>
                </c:pt>
                <c:pt idx="15">
                  <c:v>3657.08</c:v>
                </c:pt>
                <c:pt idx="16">
                  <c:v>3724.9500000000007</c:v>
                </c:pt>
                <c:pt idx="17">
                  <c:v>3875.46</c:v>
                </c:pt>
                <c:pt idx="18">
                  <c:v>4070.4500000000007</c:v>
                </c:pt>
              </c:numCache>
            </c:numRef>
          </c:val>
        </c:ser>
        <c:ser>
          <c:idx val="1"/>
          <c:order val="1"/>
          <c:tx>
            <c:strRef>
              <c:f>Data!$D$34</c:f>
              <c:strCache>
                <c:ptCount val="1"/>
                <c:pt idx="0">
                  <c:v>Invalidita</c:v>
                </c:pt>
              </c:strCache>
            </c:strRef>
          </c:tx>
          <c:spPr>
            <a:pattFill prst="dkDnDiag">
              <a:fgClr>
                <a:schemeClr val="bg2">
                  <a:lumMod val="50000"/>
                </a:schemeClr>
              </a:fgClr>
              <a:bgClr>
                <a:schemeClr val="bg1"/>
              </a:bgClr>
            </a:pattFill>
            <a:ln>
              <a:solidFill>
                <a:schemeClr val="bg2">
                  <a:lumMod val="50000"/>
                </a:schemeClr>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Data!$D$35:$D$53</c:f>
              <c:numCache>
                <c:formatCode>#,##0.00</c:formatCode>
                <c:ptCount val="19"/>
                <c:pt idx="0">
                  <c:v>236.15</c:v>
                </c:pt>
                <c:pt idx="1">
                  <c:v>257.17</c:v>
                </c:pt>
                <c:pt idx="2">
                  <c:v>299.81</c:v>
                </c:pt>
                <c:pt idx="3">
                  <c:v>327.88</c:v>
                </c:pt>
                <c:pt idx="4">
                  <c:v>369.66</c:v>
                </c:pt>
                <c:pt idx="5">
                  <c:v>447.01</c:v>
                </c:pt>
                <c:pt idx="6">
                  <c:v>505.87</c:v>
                </c:pt>
                <c:pt idx="7">
                  <c:v>599.70000000000005</c:v>
                </c:pt>
                <c:pt idx="8">
                  <c:v>633.3499999999998</c:v>
                </c:pt>
                <c:pt idx="9">
                  <c:v>591.20000000000005</c:v>
                </c:pt>
                <c:pt idx="10">
                  <c:v>645.62</c:v>
                </c:pt>
                <c:pt idx="11">
                  <c:v>736.32999999999981</c:v>
                </c:pt>
                <c:pt idx="12">
                  <c:v>807.58</c:v>
                </c:pt>
                <c:pt idx="13">
                  <c:v>937.9</c:v>
                </c:pt>
                <c:pt idx="14">
                  <c:v>972.8499999999998</c:v>
                </c:pt>
                <c:pt idx="15">
                  <c:v>1035.1899999999998</c:v>
                </c:pt>
                <c:pt idx="16">
                  <c:v>1082.98</c:v>
                </c:pt>
                <c:pt idx="17">
                  <c:v>1140.8799999999999</c:v>
                </c:pt>
                <c:pt idx="18">
                  <c:v>1187.0999999999999</c:v>
                </c:pt>
              </c:numCache>
            </c:numRef>
          </c:val>
        </c:ser>
        <c:ser>
          <c:idx val="2"/>
          <c:order val="2"/>
          <c:tx>
            <c:strRef>
              <c:f>Data!$E$34</c:f>
              <c:strCache>
                <c:ptCount val="1"/>
                <c:pt idx="0">
                  <c:v>Staroba</c:v>
                </c:pt>
              </c:strCache>
            </c:strRef>
          </c:tx>
          <c:spPr>
            <a:solidFill>
              <a:schemeClr val="accent2"/>
            </a:solidFill>
            <a:ln>
              <a:solidFill>
                <a:schemeClr val="accent2"/>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Data!$E$35:$E$53</c:f>
              <c:numCache>
                <c:formatCode>#,##0.00</c:formatCode>
                <c:ptCount val="19"/>
                <c:pt idx="0">
                  <c:v>1120.47</c:v>
                </c:pt>
                <c:pt idx="1">
                  <c:v>1246.83</c:v>
                </c:pt>
                <c:pt idx="2">
                  <c:v>1396.01</c:v>
                </c:pt>
                <c:pt idx="3">
                  <c:v>1559.9</c:v>
                </c:pt>
                <c:pt idx="4">
                  <c:v>1710.41</c:v>
                </c:pt>
                <c:pt idx="5">
                  <c:v>1883.1899999999998</c:v>
                </c:pt>
                <c:pt idx="6">
                  <c:v>2066.86</c:v>
                </c:pt>
                <c:pt idx="7">
                  <c:v>2266.5300000000002</c:v>
                </c:pt>
                <c:pt idx="8">
                  <c:v>2562.2399999999998</c:v>
                </c:pt>
                <c:pt idx="9">
                  <c:v>2771.75</c:v>
                </c:pt>
                <c:pt idx="10">
                  <c:v>3063.13</c:v>
                </c:pt>
                <c:pt idx="11">
                  <c:v>3331.3300000000008</c:v>
                </c:pt>
                <c:pt idx="12">
                  <c:v>3628.74</c:v>
                </c:pt>
                <c:pt idx="13">
                  <c:v>3859.96</c:v>
                </c:pt>
                <c:pt idx="14">
                  <c:v>4270.3200000000015</c:v>
                </c:pt>
                <c:pt idx="15">
                  <c:v>4480.72</c:v>
                </c:pt>
                <c:pt idx="16">
                  <c:v>4683.88</c:v>
                </c:pt>
                <c:pt idx="17">
                  <c:v>4950.41</c:v>
                </c:pt>
                <c:pt idx="18">
                  <c:v>5184.49</c:v>
                </c:pt>
              </c:numCache>
            </c:numRef>
          </c:val>
        </c:ser>
        <c:ser>
          <c:idx val="3"/>
          <c:order val="3"/>
          <c:tx>
            <c:strRef>
              <c:f>Data!$F$34</c:f>
              <c:strCache>
                <c:ptCount val="1"/>
                <c:pt idx="0">
                  <c:v>Pozostalí</c:v>
                </c:pt>
              </c:strCache>
            </c:strRef>
          </c:tx>
          <c:spPr>
            <a:pattFill prst="narVert">
              <a:fgClr>
                <a:schemeClr val="accent2"/>
              </a:fgClr>
              <a:bgClr>
                <a:schemeClr val="bg1"/>
              </a:bgClr>
            </a:pattFill>
            <a:ln>
              <a:solidFill>
                <a:schemeClr val="accent2"/>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Data!$F$35:$F$53</c:f>
              <c:numCache>
                <c:formatCode>#,##0.00</c:formatCode>
                <c:ptCount val="19"/>
                <c:pt idx="0">
                  <c:v>199.66</c:v>
                </c:pt>
                <c:pt idx="1">
                  <c:v>219.37</c:v>
                </c:pt>
                <c:pt idx="2">
                  <c:v>239.05</c:v>
                </c:pt>
                <c:pt idx="3">
                  <c:v>262.9199999999999</c:v>
                </c:pt>
                <c:pt idx="4">
                  <c:v>280.45999999999987</c:v>
                </c:pt>
                <c:pt idx="5">
                  <c:v>295.57</c:v>
                </c:pt>
                <c:pt idx="6">
                  <c:v>314.56</c:v>
                </c:pt>
                <c:pt idx="7">
                  <c:v>347.15000000000009</c:v>
                </c:pt>
                <c:pt idx="8">
                  <c:v>356.24</c:v>
                </c:pt>
                <c:pt idx="9">
                  <c:v>396.21999999999991</c:v>
                </c:pt>
                <c:pt idx="10">
                  <c:v>432.54</c:v>
                </c:pt>
                <c:pt idx="11">
                  <c:v>470.85</c:v>
                </c:pt>
                <c:pt idx="12">
                  <c:v>523.3499999999998</c:v>
                </c:pt>
                <c:pt idx="13">
                  <c:v>558.04999999999973</c:v>
                </c:pt>
                <c:pt idx="14">
                  <c:v>606.26</c:v>
                </c:pt>
                <c:pt idx="15">
                  <c:v>628.7800000000002</c:v>
                </c:pt>
                <c:pt idx="16">
                  <c:v>637.27000000000021</c:v>
                </c:pt>
                <c:pt idx="17">
                  <c:v>660.07</c:v>
                </c:pt>
                <c:pt idx="18">
                  <c:v>681.45999999999981</c:v>
                </c:pt>
              </c:numCache>
            </c:numRef>
          </c:val>
        </c:ser>
        <c:ser>
          <c:idx val="4"/>
          <c:order val="4"/>
          <c:tx>
            <c:strRef>
              <c:f>Data!$G$34</c:f>
              <c:strCache>
                <c:ptCount val="1"/>
                <c:pt idx="0">
                  <c:v>Rodina, deti</c:v>
                </c:pt>
              </c:strCache>
            </c:strRef>
          </c:tx>
          <c:spPr>
            <a:solidFill>
              <a:schemeClr val="accent3">
                <a:lumMod val="60000"/>
                <a:lumOff val="40000"/>
              </a:schemeClr>
            </a:solidFill>
            <a:ln>
              <a:solidFill>
                <a:schemeClr val="accent3">
                  <a:lumMod val="60000"/>
                  <a:lumOff val="40000"/>
                </a:schemeClr>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Data!$G$35:$G$53</c:f>
              <c:numCache>
                <c:formatCode>#,##0.00</c:formatCode>
                <c:ptCount val="19"/>
                <c:pt idx="0">
                  <c:v>485.71</c:v>
                </c:pt>
                <c:pt idx="1">
                  <c:v>497.3</c:v>
                </c:pt>
                <c:pt idx="2">
                  <c:v>510.66</c:v>
                </c:pt>
                <c:pt idx="3">
                  <c:v>555.05999999999972</c:v>
                </c:pt>
                <c:pt idx="4">
                  <c:v>536.64</c:v>
                </c:pt>
                <c:pt idx="5">
                  <c:v>525.16</c:v>
                </c:pt>
                <c:pt idx="6">
                  <c:v>513</c:v>
                </c:pt>
                <c:pt idx="7">
                  <c:v>547.05999999999972</c:v>
                </c:pt>
                <c:pt idx="8">
                  <c:v>588.91999999999996</c:v>
                </c:pt>
                <c:pt idx="9">
                  <c:v>779.48</c:v>
                </c:pt>
                <c:pt idx="10">
                  <c:v>824.73</c:v>
                </c:pt>
                <c:pt idx="11">
                  <c:v>907.27000000000021</c:v>
                </c:pt>
                <c:pt idx="12">
                  <c:v>952.18000000000018</c:v>
                </c:pt>
                <c:pt idx="13">
                  <c:v>990.97</c:v>
                </c:pt>
                <c:pt idx="14">
                  <c:v>1078.3799999999999</c:v>
                </c:pt>
                <c:pt idx="15">
                  <c:v>1157.8599999999999</c:v>
                </c:pt>
                <c:pt idx="16">
                  <c:v>1211.8</c:v>
                </c:pt>
                <c:pt idx="17">
                  <c:v>1265.8</c:v>
                </c:pt>
                <c:pt idx="18">
                  <c:v>1278.6599999999999</c:v>
                </c:pt>
              </c:numCache>
            </c:numRef>
          </c:val>
        </c:ser>
        <c:ser>
          <c:idx val="5"/>
          <c:order val="5"/>
          <c:tx>
            <c:strRef>
              <c:f>Data!$H$34</c:f>
              <c:strCache>
                <c:ptCount val="1"/>
                <c:pt idx="0">
                  <c:v>Nezamestnanosť</c:v>
                </c:pt>
              </c:strCache>
            </c:strRef>
          </c:tx>
          <c:spPr>
            <a:pattFill prst="pct25">
              <a:fgClr>
                <a:schemeClr val="accent3">
                  <a:lumMod val="60000"/>
                  <a:lumOff val="40000"/>
                </a:schemeClr>
              </a:fgClr>
              <a:bgClr>
                <a:schemeClr val="bg1"/>
              </a:bgClr>
            </a:pattFill>
            <a:ln>
              <a:solidFill>
                <a:schemeClr val="accent3">
                  <a:lumMod val="60000"/>
                  <a:lumOff val="40000"/>
                </a:schemeClr>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Data!$H$35:$H$53</c:f>
              <c:numCache>
                <c:formatCode>#,##0.00</c:formatCode>
                <c:ptCount val="19"/>
                <c:pt idx="0">
                  <c:v>121.31</c:v>
                </c:pt>
                <c:pt idx="1">
                  <c:v>139.12</c:v>
                </c:pt>
                <c:pt idx="2">
                  <c:v>221.5</c:v>
                </c:pt>
                <c:pt idx="3">
                  <c:v>271.14999999999998</c:v>
                </c:pt>
                <c:pt idx="4">
                  <c:v>369.55</c:v>
                </c:pt>
                <c:pt idx="5">
                  <c:v>283.32</c:v>
                </c:pt>
                <c:pt idx="6">
                  <c:v>226.22</c:v>
                </c:pt>
                <c:pt idx="7">
                  <c:v>278.62</c:v>
                </c:pt>
                <c:pt idx="8">
                  <c:v>403.52</c:v>
                </c:pt>
                <c:pt idx="9">
                  <c:v>463.68</c:v>
                </c:pt>
                <c:pt idx="10">
                  <c:v>270.56</c:v>
                </c:pt>
                <c:pt idx="11">
                  <c:v>292.16000000000008</c:v>
                </c:pt>
                <c:pt idx="12">
                  <c:v>344.67</c:v>
                </c:pt>
                <c:pt idx="13">
                  <c:v>404.07</c:v>
                </c:pt>
                <c:pt idx="14">
                  <c:v>653.38</c:v>
                </c:pt>
                <c:pt idx="15">
                  <c:v>655.62</c:v>
                </c:pt>
                <c:pt idx="16">
                  <c:v>580.05999999999972</c:v>
                </c:pt>
                <c:pt idx="17">
                  <c:v>512.04</c:v>
                </c:pt>
                <c:pt idx="18">
                  <c:v>451.74</c:v>
                </c:pt>
              </c:numCache>
            </c:numRef>
          </c:val>
        </c:ser>
        <c:ser>
          <c:idx val="6"/>
          <c:order val="6"/>
          <c:tx>
            <c:strRef>
              <c:f>Data!$M$34</c:f>
              <c:strCache>
                <c:ptCount val="1"/>
                <c:pt idx="0">
                  <c:v>Bývanie a sociálne vylúčenie</c:v>
                </c:pt>
              </c:strCache>
            </c:strRef>
          </c:tx>
          <c:spPr>
            <a:solidFill>
              <a:schemeClr val="accent5">
                <a:lumMod val="60000"/>
                <a:lumOff val="40000"/>
              </a:schemeClr>
            </a:solidFill>
            <a:ln>
              <a:solidFill>
                <a:schemeClr val="accent5">
                  <a:lumMod val="60000"/>
                  <a:lumOff val="40000"/>
                </a:schemeClr>
              </a:solidFill>
            </a:ln>
          </c:spPr>
          <c:invertIfNegative val="0"/>
          <c:cat>
            <c:strRef>
              <c:f>Data!$A$35:$A$53</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Data!$M$35:$M$53</c:f>
              <c:numCache>
                <c:formatCode>#,##0.00</c:formatCode>
                <c:ptCount val="19"/>
                <c:pt idx="0">
                  <c:v>158.91999999999999</c:v>
                </c:pt>
                <c:pt idx="1">
                  <c:v>157.33000000000001</c:v>
                </c:pt>
                <c:pt idx="2">
                  <c:v>165.38000000000005</c:v>
                </c:pt>
                <c:pt idx="3">
                  <c:v>232.29</c:v>
                </c:pt>
                <c:pt idx="4">
                  <c:v>331.94</c:v>
                </c:pt>
                <c:pt idx="5">
                  <c:v>379.57</c:v>
                </c:pt>
                <c:pt idx="6">
                  <c:v>420.89</c:v>
                </c:pt>
                <c:pt idx="7">
                  <c:v>430.05</c:v>
                </c:pt>
                <c:pt idx="8">
                  <c:v>351.35</c:v>
                </c:pt>
                <c:pt idx="9">
                  <c:v>243.43</c:v>
                </c:pt>
                <c:pt idx="10">
                  <c:v>257.07</c:v>
                </c:pt>
                <c:pt idx="11">
                  <c:v>307.02999999999986</c:v>
                </c:pt>
                <c:pt idx="12">
                  <c:v>329.31</c:v>
                </c:pt>
                <c:pt idx="13">
                  <c:v>270.4799999999999</c:v>
                </c:pt>
                <c:pt idx="14">
                  <c:v>288.20999999999987</c:v>
                </c:pt>
                <c:pt idx="15">
                  <c:v>328.5</c:v>
                </c:pt>
                <c:pt idx="16">
                  <c:v>320.56</c:v>
                </c:pt>
                <c:pt idx="17">
                  <c:v>328.56</c:v>
                </c:pt>
                <c:pt idx="18">
                  <c:v>332.52</c:v>
                </c:pt>
              </c:numCache>
            </c:numRef>
          </c:val>
        </c:ser>
        <c:dLbls>
          <c:showLegendKey val="0"/>
          <c:showVal val="0"/>
          <c:showCatName val="0"/>
          <c:showSerName val="0"/>
          <c:showPercent val="0"/>
          <c:showBubbleSize val="0"/>
        </c:dLbls>
        <c:gapWidth val="27"/>
        <c:overlap val="100"/>
        <c:axId val="218658304"/>
        <c:axId val="218659840"/>
      </c:barChart>
      <c:catAx>
        <c:axId val="218658304"/>
        <c:scaling>
          <c:orientation val="minMax"/>
        </c:scaling>
        <c:delete val="0"/>
        <c:axPos val="b"/>
        <c:majorTickMark val="out"/>
        <c:minorTickMark val="none"/>
        <c:tickLblPos val="nextTo"/>
        <c:crossAx val="218659840"/>
        <c:crosses val="autoZero"/>
        <c:auto val="1"/>
        <c:lblAlgn val="ctr"/>
        <c:lblOffset val="100"/>
        <c:noMultiLvlLbl val="0"/>
      </c:catAx>
      <c:valAx>
        <c:axId val="218659840"/>
        <c:scaling>
          <c:orientation val="minMax"/>
        </c:scaling>
        <c:delete val="0"/>
        <c:axPos val="l"/>
        <c:majorGridlines/>
        <c:numFmt formatCode="0%" sourceLinked="1"/>
        <c:majorTickMark val="out"/>
        <c:minorTickMark val="none"/>
        <c:tickLblPos val="nextTo"/>
        <c:crossAx val="218658304"/>
        <c:crosses val="autoZero"/>
        <c:crossBetween val="between"/>
      </c:valAx>
    </c:plotArea>
    <c:legend>
      <c:legendPos val="b"/>
      <c:layout>
        <c:manualLayout>
          <c:xMode val="edge"/>
          <c:yMode val="edge"/>
          <c:x val="3.078744819419775E-2"/>
          <c:y val="0.77612642169728785"/>
          <c:w val="0.96507498729621499"/>
          <c:h val="0.20072543015456407"/>
        </c:manualLayout>
      </c:layout>
      <c:overlay val="0"/>
      <c:txPr>
        <a:bodyPr/>
        <a:lstStyle/>
        <a:p>
          <a:pPr>
            <a:defRPr sz="95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Data!$E$11</c:f>
              <c:strCache>
                <c:ptCount val="1"/>
                <c:pt idx="0">
                  <c:v>Testované dávky</c:v>
                </c:pt>
              </c:strCache>
            </c:strRef>
          </c:tx>
          <c:spPr>
            <a:solidFill>
              <a:srgbClr val="C00000"/>
            </a:solidFill>
          </c:spPr>
          <c:invertIfNegative val="0"/>
          <c:cat>
            <c:strRef>
              <c:f>Data!$A$12:$A$30</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Data!$E$12:$E$30</c:f>
              <c:numCache>
                <c:formatCode>0.0%</c:formatCode>
                <c:ptCount val="19"/>
                <c:pt idx="0">
                  <c:v>0.15317587179945868</c:v>
                </c:pt>
                <c:pt idx="1">
                  <c:v>0.13154147958384996</c:v>
                </c:pt>
                <c:pt idx="2">
                  <c:v>0.11281308217760298</c:v>
                </c:pt>
                <c:pt idx="3">
                  <c:v>0.12143934608509899</c:v>
                </c:pt>
                <c:pt idx="4">
                  <c:v>0.12887699554610604</c:v>
                </c:pt>
                <c:pt idx="5">
                  <c:v>0.12773549935514733</c:v>
                </c:pt>
                <c:pt idx="6">
                  <c:v>0.12982549170844584</c:v>
                </c:pt>
                <c:pt idx="7">
                  <c:v>0.10773038180795652</c:v>
                </c:pt>
                <c:pt idx="8">
                  <c:v>7.1087621234971046E-2</c:v>
                </c:pt>
                <c:pt idx="9">
                  <c:v>5.0825563442211903E-2</c:v>
                </c:pt>
                <c:pt idx="10">
                  <c:v>5.5378836306937733E-2</c:v>
                </c:pt>
                <c:pt idx="11">
                  <c:v>6.4875634532423981E-2</c:v>
                </c:pt>
                <c:pt idx="12">
                  <c:v>6.374014878102674E-2</c:v>
                </c:pt>
                <c:pt idx="13">
                  <c:v>5.0984346489964451E-2</c:v>
                </c:pt>
                <c:pt idx="14">
                  <c:v>5.0729365281916405E-2</c:v>
                </c:pt>
                <c:pt idx="15">
                  <c:v>5.370507587650445E-2</c:v>
                </c:pt>
                <c:pt idx="16">
                  <c:v>5.2581791447126609E-2</c:v>
                </c:pt>
                <c:pt idx="17">
                  <c:v>5.1540772875988947E-2</c:v>
                </c:pt>
                <c:pt idx="18">
                  <c:v>5.0719603956191343E-2</c:v>
                </c:pt>
              </c:numCache>
            </c:numRef>
          </c:val>
        </c:ser>
        <c:dLbls>
          <c:showLegendKey val="0"/>
          <c:showVal val="0"/>
          <c:showCatName val="0"/>
          <c:showSerName val="0"/>
          <c:showPercent val="0"/>
          <c:showBubbleSize val="0"/>
        </c:dLbls>
        <c:gapWidth val="42"/>
        <c:axId val="218671744"/>
        <c:axId val="218677632"/>
      </c:barChart>
      <c:catAx>
        <c:axId val="218671744"/>
        <c:scaling>
          <c:orientation val="minMax"/>
        </c:scaling>
        <c:delete val="0"/>
        <c:axPos val="b"/>
        <c:majorTickMark val="out"/>
        <c:minorTickMark val="none"/>
        <c:tickLblPos val="nextTo"/>
        <c:txPr>
          <a:bodyPr rot="-5400000" vert="horz"/>
          <a:lstStyle/>
          <a:p>
            <a:pPr>
              <a:defRPr/>
            </a:pPr>
            <a:endParaRPr lang="sk-SK"/>
          </a:p>
        </c:txPr>
        <c:crossAx val="218677632"/>
        <c:crosses val="autoZero"/>
        <c:auto val="1"/>
        <c:lblAlgn val="ctr"/>
        <c:lblOffset val="100"/>
        <c:noMultiLvlLbl val="0"/>
      </c:catAx>
      <c:valAx>
        <c:axId val="218677632"/>
        <c:scaling>
          <c:orientation val="minMax"/>
        </c:scaling>
        <c:delete val="0"/>
        <c:axPos val="l"/>
        <c:majorGridlines/>
        <c:numFmt formatCode="0%" sourceLinked="0"/>
        <c:majorTickMark val="out"/>
        <c:minorTickMark val="none"/>
        <c:tickLblPos val="nextTo"/>
        <c:crossAx val="218671744"/>
        <c:crosses val="autoZero"/>
        <c:crossBetween val="between"/>
        <c:majorUnit val="5.0000000000000024E-2"/>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'[spr_exp_pens (4).xls]Data'!$E$33</c:f>
              <c:strCache>
                <c:ptCount val="1"/>
                <c:pt idx="0">
                  <c:v>% HDP</c:v>
                </c:pt>
              </c:strCache>
            </c:strRef>
          </c:tx>
          <c:invertIfNegative val="0"/>
          <c:cat>
            <c:strRef>
              <c:f>'[spr_exp_pens (4).xls]Data'!$C$34:$C$52</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'[spr_exp_pens (4).xls]Data'!$E$34:$E$52</c:f>
              <c:numCache>
                <c:formatCode>#,##0.0</c:formatCode>
                <c:ptCount val="19"/>
                <c:pt idx="0">
                  <c:v>7.1</c:v>
                </c:pt>
                <c:pt idx="1">
                  <c:v>7.1</c:v>
                </c:pt>
                <c:pt idx="2">
                  <c:v>7.1</c:v>
                </c:pt>
                <c:pt idx="3">
                  <c:v>7.2</c:v>
                </c:pt>
                <c:pt idx="4">
                  <c:v>7.4</c:v>
                </c:pt>
                <c:pt idx="5">
                  <c:v>7.4</c:v>
                </c:pt>
                <c:pt idx="6">
                  <c:v>7.3</c:v>
                </c:pt>
                <c:pt idx="7">
                  <c:v>7.3</c:v>
                </c:pt>
                <c:pt idx="8">
                  <c:v>7.2</c:v>
                </c:pt>
                <c:pt idx="9">
                  <c:v>7.2</c:v>
                </c:pt>
                <c:pt idx="10">
                  <c:v>7.3</c:v>
                </c:pt>
                <c:pt idx="11">
                  <c:v>7.2</c:v>
                </c:pt>
                <c:pt idx="12">
                  <c:v>7.1</c:v>
                </c:pt>
                <c:pt idx="13">
                  <c:v>7</c:v>
                </c:pt>
                <c:pt idx="14">
                  <c:v>8.3000000000000007</c:v>
                </c:pt>
                <c:pt idx="15">
                  <c:v>8.2000000000000011</c:v>
                </c:pt>
                <c:pt idx="16">
                  <c:v>8.1</c:v>
                </c:pt>
                <c:pt idx="17">
                  <c:v>8.3000000000000007</c:v>
                </c:pt>
                <c:pt idx="18">
                  <c:v>8.5</c:v>
                </c:pt>
              </c:numCache>
            </c:numRef>
          </c:val>
        </c:ser>
        <c:dLbls>
          <c:showLegendKey val="0"/>
          <c:showVal val="0"/>
          <c:showCatName val="0"/>
          <c:showSerName val="0"/>
          <c:showPercent val="0"/>
          <c:showBubbleSize val="0"/>
        </c:dLbls>
        <c:gapWidth val="54"/>
        <c:axId val="218719744"/>
        <c:axId val="218721280"/>
      </c:barChart>
      <c:lineChart>
        <c:grouping val="standard"/>
        <c:varyColors val="0"/>
        <c:ser>
          <c:idx val="0"/>
          <c:order val="1"/>
          <c:tx>
            <c:strRef>
              <c:f>'[spr_exp_pens (4).xls]Data'!$D$33</c:f>
              <c:strCache>
                <c:ptCount val="1"/>
                <c:pt idx="0">
                  <c:v>v eurách na obyvateľa (stále ceny 2005)</c:v>
                </c:pt>
              </c:strCache>
            </c:strRef>
          </c:tx>
          <c:cat>
            <c:strRef>
              <c:f>'[spr_exp_pens (4).xls]Data'!$C$34:$C$52</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strCache>
            </c:strRef>
          </c:cat>
          <c:val>
            <c:numRef>
              <c:f>'[spr_exp_pens (4).xls]Data'!$D$34:$D$52</c:f>
              <c:numCache>
                <c:formatCode>#,##0.00</c:formatCode>
                <c:ptCount val="19"/>
                <c:pt idx="0">
                  <c:v>368.57</c:v>
                </c:pt>
                <c:pt idx="1">
                  <c:v>389.54</c:v>
                </c:pt>
                <c:pt idx="2">
                  <c:v>402.04</c:v>
                </c:pt>
                <c:pt idx="3">
                  <c:v>424.76</c:v>
                </c:pt>
                <c:pt idx="4">
                  <c:v>420.06</c:v>
                </c:pt>
                <c:pt idx="5">
                  <c:v>429.32</c:v>
                </c:pt>
                <c:pt idx="6">
                  <c:v>437.7</c:v>
                </c:pt>
                <c:pt idx="7">
                  <c:v>463.83</c:v>
                </c:pt>
                <c:pt idx="8">
                  <c:v>475.55</c:v>
                </c:pt>
                <c:pt idx="9">
                  <c:v>498.19</c:v>
                </c:pt>
                <c:pt idx="10">
                  <c:v>536.11</c:v>
                </c:pt>
                <c:pt idx="11">
                  <c:v>560.16</c:v>
                </c:pt>
                <c:pt idx="12">
                  <c:v>602.41999999999996</c:v>
                </c:pt>
                <c:pt idx="13">
                  <c:v>617.69000000000005</c:v>
                </c:pt>
                <c:pt idx="14">
                  <c:v>685.39</c:v>
                </c:pt>
                <c:pt idx="15">
                  <c:v>706.64</c:v>
                </c:pt>
                <c:pt idx="16">
                  <c:v>701.51</c:v>
                </c:pt>
                <c:pt idx="17">
                  <c:v>708.93</c:v>
                </c:pt>
                <c:pt idx="18">
                  <c:v>730.12</c:v>
                </c:pt>
              </c:numCache>
            </c:numRef>
          </c:val>
          <c:smooth val="0"/>
        </c:ser>
        <c:dLbls>
          <c:showLegendKey val="0"/>
          <c:showVal val="0"/>
          <c:showCatName val="0"/>
          <c:showSerName val="0"/>
          <c:showPercent val="0"/>
          <c:showBubbleSize val="0"/>
        </c:dLbls>
        <c:marker val="1"/>
        <c:smooth val="0"/>
        <c:axId val="218729472"/>
        <c:axId val="218727552"/>
      </c:lineChart>
      <c:catAx>
        <c:axId val="218719744"/>
        <c:scaling>
          <c:orientation val="minMax"/>
        </c:scaling>
        <c:delete val="0"/>
        <c:axPos val="b"/>
        <c:majorTickMark val="out"/>
        <c:minorTickMark val="none"/>
        <c:tickLblPos val="nextTo"/>
        <c:crossAx val="218721280"/>
        <c:crosses val="autoZero"/>
        <c:auto val="1"/>
        <c:lblAlgn val="ctr"/>
        <c:lblOffset val="100"/>
        <c:noMultiLvlLbl val="0"/>
      </c:catAx>
      <c:valAx>
        <c:axId val="218721280"/>
        <c:scaling>
          <c:orientation val="minMax"/>
        </c:scaling>
        <c:delete val="0"/>
        <c:axPos val="l"/>
        <c:majorGridlines/>
        <c:title>
          <c:tx>
            <c:rich>
              <a:bodyPr rot="0" vert="wordArtVert"/>
              <a:lstStyle/>
              <a:p>
                <a:pPr>
                  <a:defRPr b="0"/>
                </a:pPr>
                <a:r>
                  <a:rPr lang="en-US" b="0"/>
                  <a:t>%</a:t>
                </a:r>
              </a:p>
            </c:rich>
          </c:tx>
          <c:overlay val="0"/>
        </c:title>
        <c:numFmt formatCode="#,##0.0" sourceLinked="1"/>
        <c:majorTickMark val="out"/>
        <c:minorTickMark val="none"/>
        <c:tickLblPos val="nextTo"/>
        <c:crossAx val="218719744"/>
        <c:crosses val="autoZero"/>
        <c:crossBetween val="between"/>
      </c:valAx>
      <c:valAx>
        <c:axId val="218727552"/>
        <c:scaling>
          <c:orientation val="minMax"/>
        </c:scaling>
        <c:delete val="0"/>
        <c:axPos val="r"/>
        <c:title>
          <c:tx>
            <c:rich>
              <a:bodyPr rot="0" vert="wordArtVert"/>
              <a:lstStyle/>
              <a:p>
                <a:pPr>
                  <a:defRPr b="0"/>
                </a:pPr>
                <a:r>
                  <a:rPr lang="en-US" b="0"/>
                  <a:t>€</a:t>
                </a:r>
              </a:p>
            </c:rich>
          </c:tx>
          <c:overlay val="0"/>
        </c:title>
        <c:numFmt formatCode="#,##0" sourceLinked="0"/>
        <c:majorTickMark val="out"/>
        <c:minorTickMark val="none"/>
        <c:tickLblPos val="nextTo"/>
        <c:crossAx val="218729472"/>
        <c:crosses val="max"/>
        <c:crossBetween val="between"/>
      </c:valAx>
      <c:catAx>
        <c:axId val="218729472"/>
        <c:scaling>
          <c:orientation val="minMax"/>
        </c:scaling>
        <c:delete val="1"/>
        <c:axPos val="b"/>
        <c:majorTickMark val="out"/>
        <c:minorTickMark val="none"/>
        <c:tickLblPos val="none"/>
        <c:crossAx val="2187275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dLbl>
              <c:idx val="0"/>
              <c:layout>
                <c:manualLayout>
                  <c:x val="3.9954125231201447E-3"/>
                  <c:y val="0.343067795997977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4C-49E5-B870-832F6D7D0153}"/>
                </c:ext>
              </c:extLst>
            </c:dLbl>
            <c:dLbl>
              <c:idx val="1"/>
              <c:layout>
                <c:manualLayout>
                  <c:x val="1.5608153771197767E-3"/>
                  <c:y val="0.347255375313043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4C-49E5-B870-832F6D7D0153}"/>
                </c:ext>
              </c:extLst>
            </c:dLbl>
            <c:dLbl>
              <c:idx val="2"/>
              <c:layout>
                <c:manualLayout>
                  <c:x val="0"/>
                  <c:y val="0.35489890294141696"/>
                </c:manualLayout>
              </c:layout>
              <c:tx>
                <c:rich>
                  <a:bodyPr/>
                  <a:lstStyle/>
                  <a:p>
                    <a:r>
                      <a:rPr lang="en-US"/>
                      <a:t>94,</a:t>
                    </a:r>
                    <a:r>
                      <a:rPr lang="sk-SK"/>
                      <a:t>4</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4C-49E5-B870-832F6D7D0153}"/>
                </c:ext>
              </c:extLst>
            </c:dLbl>
            <c:dLbl>
              <c:idx val="3"/>
              <c:layout>
                <c:manualLayout>
                  <c:x val="3.9920159680638719E-3"/>
                  <c:y val="0.351108604261143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4C-49E5-B870-832F6D7D0153}"/>
                </c:ext>
              </c:extLst>
            </c:dLbl>
            <c:dLbl>
              <c:idx val="4"/>
              <c:layout>
                <c:manualLayout>
                  <c:x val="0"/>
                  <c:y val="0.347301100256450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4C-49E5-B870-832F6D7D0153}"/>
                </c:ext>
              </c:extLst>
            </c:dLbl>
            <c:dLbl>
              <c:idx val="5"/>
              <c:layout>
                <c:manualLayout>
                  <c:x val="0"/>
                  <c:y val="0.343493897073754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4C-49E5-B870-832F6D7D0153}"/>
                </c:ext>
              </c:extLst>
            </c:dLbl>
            <c:dLbl>
              <c:idx val="6"/>
              <c:layout>
                <c:manualLayout>
                  <c:x val="7.3186113962270744E-17"/>
                  <c:y val="0.34318735945972367"/>
                </c:manualLayout>
              </c:layout>
              <c:spPr/>
              <c:txPr>
                <a:bodyPr rot="-5400000" vert="horz" anchor="b" anchorCtr="1"/>
                <a:lstStyle/>
                <a:p>
                  <a:pPr>
                    <a:defRPr>
                      <a:solidFill>
                        <a:sysClr val="windowText" lastClr="000000"/>
                      </a:solidFil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4C-49E5-B870-832F6D7D0153}"/>
                </c:ext>
              </c:extLst>
            </c:dLbl>
            <c:dLbl>
              <c:idx val="7"/>
              <c:layout>
                <c:manualLayout>
                  <c:x val="1.9974224778788888E-3"/>
                  <c:y val="0.34319608329761087"/>
                </c:manualLayout>
              </c:layout>
              <c:spPr/>
              <c:txPr>
                <a:bodyPr rot="-5400000" vert="horz" anchor="b" anchorCtr="1"/>
                <a:lstStyle/>
                <a:p>
                  <a:pPr>
                    <a:defRPr>
                      <a:solidFill>
                        <a:sysClr val="windowText" lastClr="000000"/>
                      </a:solidFil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4C-49E5-B870-832F6D7D0153}"/>
                </c:ext>
              </c:extLst>
            </c:dLbl>
            <c:dLbl>
              <c:idx val="8"/>
              <c:layout>
                <c:manualLayout>
                  <c:x val="3.9920159680638719E-3"/>
                  <c:y val="0.34241033624378625"/>
                </c:manualLayout>
              </c:layout>
              <c:spPr/>
              <c:txPr>
                <a:bodyPr rot="-5400000" vert="horz" anchor="b" anchorCtr="1"/>
                <a:lstStyle/>
                <a:p>
                  <a:pPr>
                    <a:defRPr>
                      <a:solidFill>
                        <a:sysClr val="windowText" lastClr="000000"/>
                      </a:solidFil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4C-49E5-B870-832F6D7D0153}"/>
                </c:ext>
              </c:extLst>
            </c:dLbl>
            <c:dLbl>
              <c:idx val="9"/>
              <c:layout>
                <c:manualLayout>
                  <c:x val="1.9974224778788888E-3"/>
                  <c:y val="0.34212545781347531"/>
                </c:manualLayout>
              </c:layout>
              <c:spPr/>
              <c:txPr>
                <a:bodyPr rot="-5400000" vert="horz" anchor="b" anchorCtr="1"/>
                <a:lstStyle/>
                <a:p>
                  <a:pPr>
                    <a:defRPr>
                      <a:solidFill>
                        <a:sysClr val="windowText" lastClr="000000"/>
                      </a:solidFil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4C-49E5-B870-832F6D7D0153}"/>
                </c:ext>
              </c:extLst>
            </c:dLbl>
            <c:dLbl>
              <c:idx val="10"/>
              <c:layout>
                <c:manualLayout>
                  <c:x val="1.9972653118958943E-3"/>
                  <c:y val="0.32685242424926142"/>
                </c:manualLayout>
              </c:layout>
              <c:spPr/>
              <c:txPr>
                <a:bodyPr rot="-5400000" vert="horz" anchor="b" anchorCtr="1"/>
                <a:lstStyle/>
                <a:p>
                  <a:pPr>
                    <a:defRPr>
                      <a:solidFill>
                        <a:sysClr val="windowText" lastClr="000000"/>
                      </a:solidFil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4C-49E5-B870-832F6D7D0153}"/>
                </c:ext>
              </c:extLst>
            </c:dLbl>
            <c:spPr>
              <a:noFill/>
              <a:ln>
                <a:noFill/>
              </a:ln>
              <a:effectLst/>
            </c:spPr>
            <c:txPr>
              <a:bodyPr rot="-5400000" vert="horz" anchor="b" anchorCtr="1"/>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Hárok1!$C$25:$C$35</c:f>
              <c:strCache>
                <c:ptCount val="11"/>
                <c:pt idx="0">
                  <c:v>OP Doprava</c:v>
                </c:pt>
                <c:pt idx="1">
                  <c:v>OP Bratislavský kraj</c:v>
                </c:pt>
                <c:pt idx="2">
                  <c:v>OP Zamestnanosť a sociálna inklúzia</c:v>
                </c:pt>
                <c:pt idx="3">
                  <c:v>OP Veda a výskum</c:v>
                </c:pt>
                <c:pt idx="4">
                  <c:v>Regionálny OP</c:v>
                </c:pt>
                <c:pt idx="5">
                  <c:v>OP Vzdelávanie</c:v>
                </c:pt>
                <c:pt idx="6">
                  <c:v>OP Zdravotníctvo</c:v>
                </c:pt>
                <c:pt idx="7">
                  <c:v>OP Informatizácia spoločnosti</c:v>
                </c:pt>
                <c:pt idx="8">
                  <c:v>OP Technická pomoc</c:v>
                </c:pt>
                <c:pt idx="9">
                  <c:v>OP Životné prostredie</c:v>
                </c:pt>
                <c:pt idx="10">
                  <c:v>OP Konkurencieschopnosť a hospodársky rast</c:v>
                </c:pt>
              </c:strCache>
            </c:strRef>
          </c:cat>
          <c:val>
            <c:numRef>
              <c:f>Hárok1!$D$25:$D$35</c:f>
              <c:numCache>
                <c:formatCode>0.00%</c:formatCode>
                <c:ptCount val="11"/>
                <c:pt idx="0">
                  <c:v>0.98029999999999973</c:v>
                </c:pt>
                <c:pt idx="1">
                  <c:v>0.97230000000000005</c:v>
                </c:pt>
                <c:pt idx="2">
                  <c:v>0.94299999999999995</c:v>
                </c:pt>
                <c:pt idx="3">
                  <c:v>0.90500000000000003</c:v>
                </c:pt>
                <c:pt idx="4">
                  <c:v>0.90410000000000001</c:v>
                </c:pt>
                <c:pt idx="5">
                  <c:v>0.86120000000000019</c:v>
                </c:pt>
                <c:pt idx="6">
                  <c:v>0.85240000000000005</c:v>
                </c:pt>
                <c:pt idx="7">
                  <c:v>0.85140000000000005</c:v>
                </c:pt>
                <c:pt idx="8">
                  <c:v>0.82470000000000021</c:v>
                </c:pt>
                <c:pt idx="9">
                  <c:v>0.80989999999999995</c:v>
                </c:pt>
                <c:pt idx="10">
                  <c:v>0.77330000000000021</c:v>
                </c:pt>
              </c:numCache>
            </c:numRef>
          </c:val>
          <c:extLst xmlns:c16r2="http://schemas.microsoft.com/office/drawing/2015/06/chart">
            <c:ext xmlns:c16="http://schemas.microsoft.com/office/drawing/2014/chart" uri="{C3380CC4-5D6E-409C-BE32-E72D297353CC}">
              <c16:uniqueId val="{0000000B-504C-49E5-B870-832F6D7D0153}"/>
            </c:ext>
          </c:extLst>
        </c:ser>
        <c:dLbls>
          <c:showLegendKey val="0"/>
          <c:showVal val="1"/>
          <c:showCatName val="0"/>
          <c:showSerName val="0"/>
          <c:showPercent val="0"/>
          <c:showBubbleSize val="0"/>
        </c:dLbls>
        <c:gapWidth val="150"/>
        <c:shape val="box"/>
        <c:axId val="219855104"/>
        <c:axId val="219168768"/>
        <c:axId val="0"/>
      </c:bar3DChart>
      <c:catAx>
        <c:axId val="219855104"/>
        <c:scaling>
          <c:orientation val="minMax"/>
        </c:scaling>
        <c:delete val="0"/>
        <c:axPos val="b"/>
        <c:numFmt formatCode="General" sourceLinked="1"/>
        <c:majorTickMark val="out"/>
        <c:minorTickMark val="none"/>
        <c:tickLblPos val="nextTo"/>
        <c:txPr>
          <a:bodyPr rot="-2160000"/>
          <a:lstStyle/>
          <a:p>
            <a:pPr>
              <a:defRPr/>
            </a:pPr>
            <a:endParaRPr lang="sk-SK"/>
          </a:p>
        </c:txPr>
        <c:crossAx val="219168768"/>
        <c:crosses val="autoZero"/>
        <c:auto val="1"/>
        <c:lblAlgn val="ctr"/>
        <c:lblOffset val="100"/>
        <c:noMultiLvlLbl val="0"/>
      </c:catAx>
      <c:valAx>
        <c:axId val="219168768"/>
        <c:scaling>
          <c:orientation val="minMax"/>
        </c:scaling>
        <c:delete val="0"/>
        <c:axPos val="l"/>
        <c:majorGridlines/>
        <c:numFmt formatCode="0%" sourceLinked="0"/>
        <c:majorTickMark val="out"/>
        <c:minorTickMark val="none"/>
        <c:tickLblPos val="nextTo"/>
        <c:crossAx val="219855104"/>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8.8031035594235002E-2"/>
          <c:y val="3.1230769230769239E-2"/>
          <c:w val="0.91129852189528937"/>
          <c:h val="0.78864134015120624"/>
        </c:manualLayout>
      </c:layout>
      <c:bar3DChart>
        <c:barDir val="col"/>
        <c:grouping val="clustered"/>
        <c:varyColors val="0"/>
        <c:ser>
          <c:idx val="0"/>
          <c:order val="0"/>
          <c:tx>
            <c:v>miera rizika chudoby</c:v>
          </c:tx>
          <c:spPr>
            <a:solidFill>
              <a:schemeClr val="accent3">
                <a:lumMod val="75000"/>
              </a:schemeClr>
            </a:solidFill>
            <a:ln>
              <a:noFill/>
            </a:ln>
            <a:effectLst/>
            <a:sp3d/>
          </c:spPr>
          <c:invertIfNegative val="0"/>
          <c:dPt>
            <c:idx val="3"/>
            <c:invertIfNegative val="0"/>
            <c:bubble3D val="0"/>
            <c:spPr>
              <a:pattFill prst="dkUpDiag">
                <a:fgClr>
                  <a:schemeClr val="accent3">
                    <a:lumMod val="75000"/>
                  </a:schemeClr>
                </a:fgClr>
                <a:bgClr>
                  <a:schemeClr val="bg1"/>
                </a:bgClr>
              </a:pattFill>
              <a:ln>
                <a:solidFill>
                  <a:schemeClr val="accent1"/>
                </a:solidFill>
              </a:ln>
              <a:effectLst/>
              <a:sp3d/>
            </c:spPr>
            <c:extLst xmlns:c16r2="http://schemas.microsoft.com/office/drawing/2015/06/chart">
              <c:ext xmlns:c16="http://schemas.microsoft.com/office/drawing/2014/chart" uri="{C3380CC4-5D6E-409C-BE32-E72D297353CC}">
                <c16:uniqueId val="{00000001-7223-49CE-9B3B-F95414429114}"/>
              </c:ext>
            </c:extLst>
          </c:dPt>
          <c:dPt>
            <c:idx val="4"/>
            <c:invertIfNegative val="0"/>
            <c:bubble3D val="0"/>
            <c:spPr>
              <a:solidFill>
                <a:schemeClr val="accent3">
                  <a:lumMod val="75000"/>
                </a:schemeClr>
              </a:solidFill>
              <a:ln w="3175">
                <a:solidFill>
                  <a:schemeClr val="accent3">
                    <a:lumMod val="75000"/>
                  </a:schemeClr>
                </a:solidFill>
              </a:ln>
              <a:effectLst/>
              <a:sp3d/>
            </c:spPr>
            <c:extLst xmlns:c16r2="http://schemas.microsoft.com/office/drawing/2015/06/chart">
              <c:ext xmlns:c16="http://schemas.microsoft.com/office/drawing/2014/chart" uri="{C3380CC4-5D6E-409C-BE32-E72D297353CC}">
                <c16:uniqueId val="{00000003-7223-49CE-9B3B-F95414429114}"/>
              </c:ext>
            </c:extLst>
          </c:dPt>
          <c:dPt>
            <c:idx val="18"/>
            <c:invertIfNegative val="0"/>
            <c:bubble3D val="0"/>
            <c:spPr>
              <a:pattFill prst="pct60">
                <a:fgClr>
                  <a:schemeClr val="accent3">
                    <a:lumMod val="75000"/>
                  </a:schemeClr>
                </a:fgClr>
                <a:bgClr>
                  <a:schemeClr val="bg1"/>
                </a:bgClr>
              </a:pattFill>
              <a:ln>
                <a:solidFill>
                  <a:schemeClr val="accent1"/>
                </a:solidFill>
              </a:ln>
              <a:effectLst/>
              <a:sp3d/>
            </c:spPr>
            <c:extLst xmlns:c16r2="http://schemas.microsoft.com/office/drawing/2015/06/chart">
              <c:ext xmlns:c16="http://schemas.microsoft.com/office/drawing/2014/chart" uri="{C3380CC4-5D6E-409C-BE32-E72D297353CC}">
                <c16:uniqueId val="{00000005-7223-49CE-9B3B-F95414429114}"/>
              </c:ext>
            </c:extLst>
          </c:dPt>
          <c:cat>
            <c:strRef>
              <c:f>Hárok1!$B$29:$B$57</c:f>
              <c:strCache>
                <c:ptCount val="29"/>
                <c:pt idx="0">
                  <c:v>CZ</c:v>
                </c:pt>
                <c:pt idx="1">
                  <c:v>NL</c:v>
                </c:pt>
                <c:pt idx="2">
                  <c:v>DK</c:v>
                </c:pt>
                <c:pt idx="3">
                  <c:v>SK</c:v>
                </c:pt>
                <c:pt idx="4">
                  <c:v>FI</c:v>
                </c:pt>
                <c:pt idx="5">
                  <c:v>FR</c:v>
                </c:pt>
                <c:pt idx="6">
                  <c:v>AT</c:v>
                </c:pt>
                <c:pt idx="7">
                  <c:v>CY</c:v>
                </c:pt>
                <c:pt idx="8">
                  <c:v>SI</c:v>
                </c:pt>
                <c:pt idx="9">
                  <c:v>HU</c:v>
                </c:pt>
                <c:pt idx="10">
                  <c:v>SE</c:v>
                </c:pt>
                <c:pt idx="11">
                  <c:v>BE</c:v>
                </c:pt>
                <c:pt idx="12">
                  <c:v>IE</c:v>
                </c:pt>
                <c:pt idx="13">
                  <c:v>MT</c:v>
                </c:pt>
                <c:pt idx="14">
                  <c:v>LU</c:v>
                </c:pt>
                <c:pt idx="15">
                  <c:v>DE</c:v>
                </c:pt>
                <c:pt idx="16">
                  <c:v>UK</c:v>
                </c:pt>
                <c:pt idx="17">
                  <c:v>PL</c:v>
                </c:pt>
                <c:pt idx="18">
                  <c:v>EU28</c:v>
                </c:pt>
                <c:pt idx="19">
                  <c:v>LT</c:v>
                </c:pt>
                <c:pt idx="20">
                  <c:v>HR</c:v>
                </c:pt>
                <c:pt idx="21">
                  <c:v>IT</c:v>
                </c:pt>
                <c:pt idx="22">
                  <c:v>PT</c:v>
                </c:pt>
                <c:pt idx="23">
                  <c:v>LV</c:v>
                </c:pt>
                <c:pt idx="24">
                  <c:v>BG</c:v>
                </c:pt>
                <c:pt idx="25">
                  <c:v>EE</c:v>
                </c:pt>
                <c:pt idx="26">
                  <c:v>GR</c:v>
                </c:pt>
                <c:pt idx="27">
                  <c:v>ES</c:v>
                </c:pt>
                <c:pt idx="28">
                  <c:v>RO</c:v>
                </c:pt>
              </c:strCache>
            </c:strRef>
          </c:cat>
          <c:val>
            <c:numRef>
              <c:f>Hárok1!$C$29:$C$57</c:f>
              <c:numCache>
                <c:formatCode>#,##0.0</c:formatCode>
                <c:ptCount val="29"/>
                <c:pt idx="0">
                  <c:v>9.7000000000000011</c:v>
                </c:pt>
                <c:pt idx="1">
                  <c:v>11.6</c:v>
                </c:pt>
                <c:pt idx="2">
                  <c:v>12.1</c:v>
                </c:pt>
                <c:pt idx="3">
                  <c:v>12.6</c:v>
                </c:pt>
                <c:pt idx="4">
                  <c:v>12.8</c:v>
                </c:pt>
                <c:pt idx="5">
                  <c:v>13.3</c:v>
                </c:pt>
                <c:pt idx="6">
                  <c:v>14.1</c:v>
                </c:pt>
                <c:pt idx="7">
                  <c:v>14.4</c:v>
                </c:pt>
                <c:pt idx="8">
                  <c:v>14.5</c:v>
                </c:pt>
                <c:pt idx="9">
                  <c:v>15</c:v>
                </c:pt>
                <c:pt idx="10">
                  <c:v>15.1</c:v>
                </c:pt>
                <c:pt idx="11">
                  <c:v>15.5</c:v>
                </c:pt>
                <c:pt idx="12">
                  <c:v>15.6</c:v>
                </c:pt>
                <c:pt idx="13">
                  <c:v>15.9</c:v>
                </c:pt>
                <c:pt idx="14">
                  <c:v>16.399999999999999</c:v>
                </c:pt>
                <c:pt idx="15">
                  <c:v>16.7</c:v>
                </c:pt>
                <c:pt idx="16">
                  <c:v>16.8</c:v>
                </c:pt>
                <c:pt idx="17">
                  <c:v>17</c:v>
                </c:pt>
                <c:pt idx="18">
                  <c:v>17.2</c:v>
                </c:pt>
                <c:pt idx="19">
                  <c:v>19.100000000000001</c:v>
                </c:pt>
                <c:pt idx="20">
                  <c:v>19.399999999999999</c:v>
                </c:pt>
                <c:pt idx="21">
                  <c:v>19.399999999999999</c:v>
                </c:pt>
                <c:pt idx="22">
                  <c:v>19.5</c:v>
                </c:pt>
                <c:pt idx="23">
                  <c:v>21.2</c:v>
                </c:pt>
                <c:pt idx="24">
                  <c:v>21.8</c:v>
                </c:pt>
                <c:pt idx="25">
                  <c:v>21.8</c:v>
                </c:pt>
                <c:pt idx="26">
                  <c:v>22.1</c:v>
                </c:pt>
                <c:pt idx="27">
                  <c:v>22.2</c:v>
                </c:pt>
                <c:pt idx="28">
                  <c:v>25.4</c:v>
                </c:pt>
              </c:numCache>
            </c:numRef>
          </c:val>
          <c:extLst xmlns:c16r2="http://schemas.microsoft.com/office/drawing/2015/06/chart">
            <c:ext xmlns:c16="http://schemas.microsoft.com/office/drawing/2014/chart" uri="{C3380CC4-5D6E-409C-BE32-E72D297353CC}">
              <c16:uniqueId val="{00000006-7223-49CE-9B3B-F95414429114}"/>
            </c:ext>
          </c:extLst>
        </c:ser>
        <c:dLbls>
          <c:showLegendKey val="0"/>
          <c:showVal val="0"/>
          <c:showCatName val="0"/>
          <c:showSerName val="0"/>
          <c:showPercent val="0"/>
          <c:showBubbleSize val="0"/>
        </c:dLbls>
        <c:gapWidth val="150"/>
        <c:shape val="box"/>
        <c:axId val="219118976"/>
        <c:axId val="219124864"/>
        <c:axId val="0"/>
      </c:bar3DChart>
      <c:catAx>
        <c:axId val="21911897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5400000" vert="horz" anchor="ctr" anchorCtr="0"/>
          <a:lstStyle/>
          <a:p>
            <a:pPr>
              <a:defRPr/>
            </a:pPr>
            <a:endParaRPr lang="sk-SK"/>
          </a:p>
        </c:txPr>
        <c:crossAx val="219124864"/>
        <c:crosses val="autoZero"/>
        <c:auto val="0"/>
        <c:lblAlgn val="ctr"/>
        <c:lblOffset val="100"/>
        <c:tickLblSkip val="1"/>
        <c:tickMarkSkip val="1"/>
        <c:noMultiLvlLbl val="0"/>
      </c:catAx>
      <c:valAx>
        <c:axId val="219124864"/>
        <c:scaling>
          <c:orientation val="minMax"/>
        </c:scaling>
        <c:delete val="0"/>
        <c:axPos val="l"/>
        <c:majorGridlines>
          <c:spPr>
            <a:ln w="3175" cap="flat" cmpd="sng" algn="ctr">
              <a:solidFill>
                <a:srgbClr val="000000"/>
              </a:solidFill>
              <a:prstDash val="solid"/>
              <a:round/>
            </a:ln>
            <a:effectLst/>
          </c:spPr>
        </c:majorGridlines>
        <c:numFmt formatCode="#,##0.0" sourceLinked="0"/>
        <c:majorTickMark val="out"/>
        <c:minorTickMark val="none"/>
        <c:tickLblPos val="nextTo"/>
        <c:spPr>
          <a:noFill/>
          <a:ln w="3175" cap="flat" cmpd="sng" algn="ctr">
            <a:solidFill>
              <a:srgbClr val="000000"/>
            </a:solidFill>
            <a:prstDash val="solid"/>
            <a:round/>
          </a:ln>
          <a:effectLst/>
        </c:spPr>
        <c:txPr>
          <a:bodyPr rot="0"/>
          <a:lstStyle/>
          <a:p>
            <a:pPr>
              <a:defRPr/>
            </a:pPr>
            <a:endParaRPr lang="sk-SK"/>
          </a:p>
        </c:txPr>
        <c:crossAx val="219118976"/>
        <c:crosses val="autoZero"/>
        <c:crossBetween val="between"/>
      </c:valAx>
      <c:spPr>
        <a:noFill/>
        <a:ln w="25400">
          <a:noFill/>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00" b="0" i="0" u="none" strike="noStrike" baseline="0">
          <a:solidFill>
            <a:srgbClr val="000000"/>
          </a:solidFill>
          <a:latin typeface="Times New Roman" panose="02020603050405020304" pitchFamily="18" charset="0"/>
          <a:ea typeface="Arial"/>
          <a:cs typeface="Arial"/>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9.5919226312927083E-2"/>
          <c:y val="3.5004343318295196E-2"/>
          <c:w val="0.90769316001836686"/>
          <c:h val="0.72432239564360501"/>
        </c:manualLayout>
      </c:layout>
      <c:bar3DChart>
        <c:barDir val="col"/>
        <c:grouping val="clustered"/>
        <c:varyColors val="0"/>
        <c:ser>
          <c:idx val="0"/>
          <c:order val="0"/>
          <c:tx>
            <c:strRef>
              <c:f>'zdrojove data'!$A$35</c:f>
              <c:strCache>
                <c:ptCount val="1"/>
                <c:pt idx="0">
                  <c:v>celkom</c:v>
                </c:pt>
              </c:strCache>
            </c:strRef>
          </c:tx>
          <c:spPr>
            <a:solidFill>
              <a:schemeClr val="accent1"/>
            </a:solidFill>
            <a:ln>
              <a:solidFill>
                <a:schemeClr val="accent1"/>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data'!$B$35:$K$35</c:f>
              <c:numCache>
                <c:formatCode>0.0</c:formatCode>
                <c:ptCount val="10"/>
                <c:pt idx="0">
                  <c:v>13.3</c:v>
                </c:pt>
                <c:pt idx="1">
                  <c:v>11.6</c:v>
                </c:pt>
                <c:pt idx="2">
                  <c:v>10.5</c:v>
                </c:pt>
                <c:pt idx="3">
                  <c:v>10.9</c:v>
                </c:pt>
                <c:pt idx="4">
                  <c:v>11</c:v>
                </c:pt>
                <c:pt idx="5">
                  <c:v>12</c:v>
                </c:pt>
                <c:pt idx="6">
                  <c:v>13</c:v>
                </c:pt>
                <c:pt idx="7">
                  <c:v>13.2</c:v>
                </c:pt>
                <c:pt idx="8">
                  <c:v>12.8</c:v>
                </c:pt>
                <c:pt idx="9">
                  <c:v>12.6</c:v>
                </c:pt>
              </c:numCache>
            </c:numRef>
          </c:val>
          <c:extLst xmlns:c16r2="http://schemas.microsoft.com/office/drawing/2015/06/chart">
            <c:ext xmlns:c16="http://schemas.microsoft.com/office/drawing/2014/chart" uri="{C3380CC4-5D6E-409C-BE32-E72D297353CC}">
              <c16:uniqueId val="{00000000-8D5A-4516-BD7C-BB574CEBFE8D}"/>
            </c:ext>
          </c:extLst>
        </c:ser>
        <c:ser>
          <c:idx val="1"/>
          <c:order val="1"/>
          <c:tx>
            <c:strRef>
              <c:f>'zdrojove data'!$A$36</c:f>
              <c:strCache>
                <c:ptCount val="1"/>
                <c:pt idx="0">
                  <c:v>muži</c:v>
                </c:pt>
              </c:strCache>
            </c:strRef>
          </c:tx>
          <c:spPr>
            <a:solidFill>
              <a:schemeClr val="accent2"/>
            </a:solidFill>
            <a:ln>
              <a:solidFill>
                <a:schemeClr val="accent2"/>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data'!$B$36:$K$36</c:f>
              <c:numCache>
                <c:formatCode>0.0</c:formatCode>
                <c:ptCount val="10"/>
                <c:pt idx="0">
                  <c:v>13.2</c:v>
                </c:pt>
                <c:pt idx="1">
                  <c:v>11.8</c:v>
                </c:pt>
                <c:pt idx="2">
                  <c:v>9.8000000000000007</c:v>
                </c:pt>
                <c:pt idx="3">
                  <c:v>10.1</c:v>
                </c:pt>
                <c:pt idx="4">
                  <c:v>10.1</c:v>
                </c:pt>
                <c:pt idx="5">
                  <c:v>11.7</c:v>
                </c:pt>
                <c:pt idx="6">
                  <c:v>12.8</c:v>
                </c:pt>
                <c:pt idx="7">
                  <c:v>13.2</c:v>
                </c:pt>
                <c:pt idx="8">
                  <c:v>12.8</c:v>
                </c:pt>
                <c:pt idx="9" formatCode="General">
                  <c:v>12.7</c:v>
                </c:pt>
              </c:numCache>
            </c:numRef>
          </c:val>
          <c:extLst xmlns:c16r2="http://schemas.microsoft.com/office/drawing/2015/06/chart">
            <c:ext xmlns:c16="http://schemas.microsoft.com/office/drawing/2014/chart" uri="{C3380CC4-5D6E-409C-BE32-E72D297353CC}">
              <c16:uniqueId val="{00000001-8D5A-4516-BD7C-BB574CEBFE8D}"/>
            </c:ext>
          </c:extLst>
        </c:ser>
        <c:ser>
          <c:idx val="2"/>
          <c:order val="2"/>
          <c:tx>
            <c:strRef>
              <c:f>'zdrojove data'!$A$37</c:f>
              <c:strCache>
                <c:ptCount val="1"/>
                <c:pt idx="0">
                  <c:v>ženy</c:v>
                </c:pt>
              </c:strCache>
            </c:strRef>
          </c:tx>
          <c:spPr>
            <a:solidFill>
              <a:schemeClr val="accent3">
                <a:lumMod val="60000"/>
                <a:lumOff val="40000"/>
              </a:schemeClr>
            </a:solidFill>
            <a:ln>
              <a:solidFill>
                <a:schemeClr val="accent3">
                  <a:lumMod val="60000"/>
                  <a:lumOff val="40000"/>
                </a:schemeClr>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data'!$B$37:$K$37</c:f>
              <c:numCache>
                <c:formatCode>0.0</c:formatCode>
                <c:ptCount val="10"/>
                <c:pt idx="0">
                  <c:v>13.5</c:v>
                </c:pt>
                <c:pt idx="1">
                  <c:v>11.5</c:v>
                </c:pt>
                <c:pt idx="2">
                  <c:v>11.2</c:v>
                </c:pt>
                <c:pt idx="3">
                  <c:v>11.5</c:v>
                </c:pt>
                <c:pt idx="4">
                  <c:v>11.8</c:v>
                </c:pt>
                <c:pt idx="5">
                  <c:v>12.2</c:v>
                </c:pt>
                <c:pt idx="6">
                  <c:v>13.1</c:v>
                </c:pt>
                <c:pt idx="7">
                  <c:v>13.3</c:v>
                </c:pt>
                <c:pt idx="8">
                  <c:v>12.9</c:v>
                </c:pt>
                <c:pt idx="9" formatCode="General">
                  <c:v>12.6</c:v>
                </c:pt>
              </c:numCache>
            </c:numRef>
          </c:val>
          <c:extLst xmlns:c16r2="http://schemas.microsoft.com/office/drawing/2015/06/chart">
            <c:ext xmlns:c16="http://schemas.microsoft.com/office/drawing/2014/chart" uri="{C3380CC4-5D6E-409C-BE32-E72D297353CC}">
              <c16:uniqueId val="{00000002-8D5A-4516-BD7C-BB574CEBFE8D}"/>
            </c:ext>
          </c:extLst>
        </c:ser>
        <c:dLbls>
          <c:showLegendKey val="0"/>
          <c:showVal val="0"/>
          <c:showCatName val="0"/>
          <c:showSerName val="0"/>
          <c:showPercent val="0"/>
          <c:showBubbleSize val="0"/>
        </c:dLbls>
        <c:gapWidth val="150"/>
        <c:shape val="box"/>
        <c:axId val="219196416"/>
        <c:axId val="219202304"/>
        <c:axId val="0"/>
      </c:bar3DChart>
      <c:catAx>
        <c:axId val="219196416"/>
        <c:scaling>
          <c:orientation val="minMax"/>
        </c:scaling>
        <c:delete val="0"/>
        <c:axPos val="b"/>
        <c:numFmt formatCode="General" sourceLinked="1"/>
        <c:majorTickMark val="out"/>
        <c:minorTickMark val="none"/>
        <c:tickLblPos val="low"/>
        <c:txPr>
          <a:bodyPr rot="0" vert="horz"/>
          <a:lstStyle/>
          <a:p>
            <a:pPr>
              <a:defRPr/>
            </a:pPr>
            <a:endParaRPr lang="sk-SK"/>
          </a:p>
        </c:txPr>
        <c:crossAx val="219202304"/>
        <c:crosses val="autoZero"/>
        <c:auto val="1"/>
        <c:lblAlgn val="ctr"/>
        <c:lblOffset val="100"/>
        <c:tickLblSkip val="1"/>
        <c:tickMarkSkip val="1"/>
        <c:noMultiLvlLbl val="0"/>
      </c:catAx>
      <c:valAx>
        <c:axId val="219202304"/>
        <c:scaling>
          <c:orientation val="minMax"/>
        </c:scaling>
        <c:delete val="0"/>
        <c:axPos val="l"/>
        <c:majorGridlines/>
        <c:numFmt formatCode="0.0" sourceLinked="1"/>
        <c:majorTickMark val="out"/>
        <c:minorTickMark val="none"/>
        <c:tickLblPos val="nextTo"/>
        <c:txPr>
          <a:bodyPr rot="0" vert="horz"/>
          <a:lstStyle/>
          <a:p>
            <a:pPr>
              <a:defRPr/>
            </a:pPr>
            <a:endParaRPr lang="sk-SK"/>
          </a:p>
        </c:txPr>
        <c:crossAx val="219196416"/>
        <c:crosses val="autoZero"/>
        <c:crossBetween val="between"/>
      </c:valAx>
    </c:plotArea>
    <c:legend>
      <c:legendPos val="r"/>
      <c:layout>
        <c:manualLayout>
          <c:xMode val="edge"/>
          <c:yMode val="edge"/>
          <c:x val="0.28727115811895176"/>
          <c:y val="6.0741263274294105E-2"/>
          <c:w val="0.35380722754508986"/>
          <c:h val="7.0683113763321953E-2"/>
        </c:manualLayout>
      </c:layout>
      <c:overlay val="0"/>
    </c:legend>
    <c:plotVisOnly val="1"/>
    <c:dispBlanksAs val="gap"/>
    <c:showDLblsOverMax val="0"/>
  </c:chart>
  <c:spPr>
    <a:ln>
      <a:noFill/>
    </a:ln>
  </c:spPr>
  <c:txPr>
    <a:bodyPr/>
    <a:lstStyle/>
    <a:p>
      <a:pPr>
        <a:defRPr sz="900" baseline="0">
          <a:latin typeface="Times New Roman" panose="02020603050405020304"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none"/>
          </c:marker>
          <c:cat>
            <c:numRef>
              <c:f>Hárok1!$I$30:$I$36</c:f>
              <c:numCache>
                <c:formatCode>General</c:formatCode>
                <c:ptCount val="7"/>
                <c:pt idx="0">
                  <c:v>2008</c:v>
                </c:pt>
                <c:pt idx="1">
                  <c:v>2009</c:v>
                </c:pt>
                <c:pt idx="2">
                  <c:v>2010</c:v>
                </c:pt>
                <c:pt idx="3">
                  <c:v>2011</c:v>
                </c:pt>
                <c:pt idx="4">
                  <c:v>2012</c:v>
                </c:pt>
                <c:pt idx="5">
                  <c:v>2013</c:v>
                </c:pt>
                <c:pt idx="6">
                  <c:v>2014</c:v>
                </c:pt>
              </c:numCache>
            </c:numRef>
          </c:cat>
          <c:val>
            <c:numRef>
              <c:f>Hárok1!$J$30:$J$36</c:f>
              <c:numCache>
                <c:formatCode>General</c:formatCode>
                <c:ptCount val="7"/>
                <c:pt idx="0">
                  <c:v>10.9</c:v>
                </c:pt>
                <c:pt idx="1">
                  <c:v>7.8</c:v>
                </c:pt>
                <c:pt idx="2">
                  <c:v>7.3</c:v>
                </c:pt>
                <c:pt idx="3">
                  <c:v>7</c:v>
                </c:pt>
                <c:pt idx="4">
                  <c:v>6</c:v>
                </c:pt>
                <c:pt idx="5">
                  <c:v>7.4</c:v>
                </c:pt>
                <c:pt idx="6">
                  <c:v>8.1</c:v>
                </c:pt>
              </c:numCache>
            </c:numRef>
          </c:val>
          <c:smooth val="0"/>
          <c:extLst xmlns:c16r2="http://schemas.microsoft.com/office/drawing/2015/06/chart">
            <c:ext xmlns:c16="http://schemas.microsoft.com/office/drawing/2014/chart" uri="{C3380CC4-5D6E-409C-BE32-E72D297353CC}">
              <c16:uniqueId val="{00000000-342A-4CFE-BC8A-D00D282004B8}"/>
            </c:ext>
          </c:extLst>
        </c:ser>
        <c:dLbls>
          <c:showLegendKey val="0"/>
          <c:showVal val="0"/>
          <c:showCatName val="0"/>
          <c:showSerName val="0"/>
          <c:showPercent val="0"/>
          <c:showBubbleSize val="0"/>
        </c:dLbls>
        <c:marker val="1"/>
        <c:smooth val="0"/>
        <c:axId val="218104576"/>
        <c:axId val="218106112"/>
      </c:lineChart>
      <c:catAx>
        <c:axId val="218104576"/>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vert="horz"/>
          <a:lstStyle/>
          <a:p>
            <a:pPr>
              <a:defRPr/>
            </a:pPr>
            <a:endParaRPr lang="sk-SK"/>
          </a:p>
        </c:txPr>
        <c:crossAx val="218106112"/>
        <c:crosses val="autoZero"/>
        <c:auto val="1"/>
        <c:lblAlgn val="ctr"/>
        <c:lblOffset val="100"/>
        <c:noMultiLvlLbl val="0"/>
      </c:catAx>
      <c:valAx>
        <c:axId val="218106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k-SK"/>
          </a:p>
        </c:txPr>
        <c:crossAx val="218104576"/>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09667541557302E-2"/>
          <c:y val="5.0925925925925923E-2"/>
          <c:w val="0.90553477690288708"/>
          <c:h val="0.70339457567804042"/>
        </c:manualLayout>
      </c:layout>
      <c:barChart>
        <c:barDir val="col"/>
        <c:grouping val="clustered"/>
        <c:varyColors val="0"/>
        <c:ser>
          <c:idx val="0"/>
          <c:order val="0"/>
          <c:tx>
            <c:strRef>
              <c:f>'zdrojove data'!$B$63</c:f>
              <c:strCache>
                <c:ptCount val="1"/>
                <c:pt idx="0">
                  <c:v>Spolu</c:v>
                </c:pt>
              </c:strCache>
            </c:strRef>
          </c:tx>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data'!$C$63:$L$63</c:f>
              <c:numCache>
                <c:formatCode>General</c:formatCode>
                <c:ptCount val="10"/>
                <c:pt idx="0">
                  <c:v>12.6</c:v>
                </c:pt>
                <c:pt idx="1">
                  <c:v>17</c:v>
                </c:pt>
                <c:pt idx="2">
                  <c:v>20</c:v>
                </c:pt>
                <c:pt idx="3">
                  <c:v>20.8</c:v>
                </c:pt>
                <c:pt idx="4">
                  <c:v>19.2</c:v>
                </c:pt>
                <c:pt idx="5">
                  <c:v>14.7</c:v>
                </c:pt>
                <c:pt idx="6">
                  <c:v>12.1</c:v>
                </c:pt>
                <c:pt idx="7">
                  <c:v>11.2</c:v>
                </c:pt>
                <c:pt idx="8">
                  <c:v>12.3</c:v>
                </c:pt>
                <c:pt idx="9">
                  <c:v>6.2</c:v>
                </c:pt>
              </c:numCache>
            </c:numRef>
          </c:val>
          <c:extLst xmlns:c16r2="http://schemas.microsoft.com/office/drawing/2015/06/chart">
            <c:ext xmlns:c16="http://schemas.microsoft.com/office/drawing/2014/chart" uri="{C3380CC4-5D6E-409C-BE32-E72D297353CC}">
              <c16:uniqueId val="{00000000-6160-4EBC-803E-E369F260FD28}"/>
            </c:ext>
          </c:extLst>
        </c:ser>
        <c:ser>
          <c:idx val="1"/>
          <c:order val="1"/>
          <c:tx>
            <c:strRef>
              <c:f>'zdrojove data'!$B$64</c:f>
              <c:strCache>
                <c:ptCount val="1"/>
                <c:pt idx="0">
                  <c:v>Muži</c:v>
                </c:pt>
              </c:strCache>
            </c:strRef>
          </c:tx>
          <c:spPr>
            <a:solidFill>
              <a:srgbClr val="FF3300"/>
            </a:solidFill>
          </c:spPr>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data'!$C$64:$L$64</c:f>
              <c:numCache>
                <c:formatCode>General</c:formatCode>
                <c:ptCount val="10"/>
                <c:pt idx="0">
                  <c:v>12.7</c:v>
                </c:pt>
                <c:pt idx="1">
                  <c:v>14.7</c:v>
                </c:pt>
                <c:pt idx="2">
                  <c:v>18.3</c:v>
                </c:pt>
                <c:pt idx="3">
                  <c:v>23</c:v>
                </c:pt>
                <c:pt idx="4">
                  <c:v>18.7</c:v>
                </c:pt>
                <c:pt idx="5">
                  <c:v>14</c:v>
                </c:pt>
                <c:pt idx="6">
                  <c:v>12.3</c:v>
                </c:pt>
                <c:pt idx="7">
                  <c:v>12.3</c:v>
                </c:pt>
                <c:pt idx="8">
                  <c:v>12.5</c:v>
                </c:pt>
                <c:pt idx="9">
                  <c:v>4.0999999999999996</c:v>
                </c:pt>
              </c:numCache>
            </c:numRef>
          </c:val>
          <c:extLst xmlns:c16r2="http://schemas.microsoft.com/office/drawing/2015/06/chart">
            <c:ext xmlns:c16="http://schemas.microsoft.com/office/drawing/2014/chart" uri="{C3380CC4-5D6E-409C-BE32-E72D297353CC}">
              <c16:uniqueId val="{00000001-6160-4EBC-803E-E369F260FD28}"/>
            </c:ext>
          </c:extLst>
        </c:ser>
        <c:ser>
          <c:idx val="2"/>
          <c:order val="2"/>
          <c:tx>
            <c:strRef>
              <c:f>'zdrojove data'!$B$65</c:f>
              <c:strCache>
                <c:ptCount val="1"/>
                <c:pt idx="0">
                  <c:v>Ženy</c:v>
                </c:pt>
              </c:strCache>
            </c:strRef>
          </c:tx>
          <c:spPr>
            <a:solidFill>
              <a:schemeClr val="accent3">
                <a:lumMod val="60000"/>
                <a:lumOff val="40000"/>
              </a:schemeClr>
            </a:solidFill>
          </c:spPr>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data'!$C$65:$L$65</c:f>
              <c:numCache>
                <c:formatCode>General</c:formatCode>
                <c:ptCount val="10"/>
                <c:pt idx="0">
                  <c:v>12.8</c:v>
                </c:pt>
                <c:pt idx="1">
                  <c:v>19.100000000000001</c:v>
                </c:pt>
                <c:pt idx="2">
                  <c:v>21.9</c:v>
                </c:pt>
                <c:pt idx="3">
                  <c:v>18.399999999999999</c:v>
                </c:pt>
                <c:pt idx="4">
                  <c:v>19.8</c:v>
                </c:pt>
                <c:pt idx="5">
                  <c:v>15.4</c:v>
                </c:pt>
                <c:pt idx="6">
                  <c:v>12</c:v>
                </c:pt>
                <c:pt idx="7">
                  <c:v>10</c:v>
                </c:pt>
                <c:pt idx="8">
                  <c:v>12</c:v>
                </c:pt>
                <c:pt idx="9">
                  <c:v>7.5</c:v>
                </c:pt>
              </c:numCache>
            </c:numRef>
          </c:val>
          <c:extLst xmlns:c16r2="http://schemas.microsoft.com/office/drawing/2015/06/chart">
            <c:ext xmlns:c16="http://schemas.microsoft.com/office/drawing/2014/chart" uri="{C3380CC4-5D6E-409C-BE32-E72D297353CC}">
              <c16:uniqueId val="{00000002-6160-4EBC-803E-E369F260FD28}"/>
            </c:ext>
          </c:extLst>
        </c:ser>
        <c:dLbls>
          <c:showLegendKey val="0"/>
          <c:showVal val="0"/>
          <c:showCatName val="0"/>
          <c:showSerName val="0"/>
          <c:showPercent val="0"/>
          <c:showBubbleSize val="0"/>
        </c:dLbls>
        <c:gapWidth val="150"/>
        <c:overlap val="-20"/>
        <c:axId val="218145152"/>
        <c:axId val="218146688"/>
      </c:barChart>
      <c:catAx>
        <c:axId val="218145152"/>
        <c:scaling>
          <c:orientation val="minMax"/>
        </c:scaling>
        <c:delete val="0"/>
        <c:axPos val="b"/>
        <c:numFmt formatCode="General" sourceLinked="0"/>
        <c:majorTickMark val="out"/>
        <c:minorTickMark val="none"/>
        <c:tickLblPos val="nextTo"/>
        <c:crossAx val="218146688"/>
        <c:crosses val="autoZero"/>
        <c:auto val="1"/>
        <c:lblAlgn val="ctr"/>
        <c:lblOffset val="100"/>
        <c:noMultiLvlLbl val="0"/>
      </c:catAx>
      <c:valAx>
        <c:axId val="218146688"/>
        <c:scaling>
          <c:orientation val="minMax"/>
        </c:scaling>
        <c:delete val="0"/>
        <c:axPos val="l"/>
        <c:majorGridlines/>
        <c:title>
          <c:tx>
            <c:rich>
              <a:bodyPr rot="0" vert="horz"/>
              <a:lstStyle/>
              <a:p>
                <a:pPr>
                  <a:defRPr/>
                </a:pPr>
                <a:r>
                  <a:rPr lang="sk-SK"/>
                  <a:t>%</a:t>
                </a:r>
              </a:p>
            </c:rich>
          </c:tx>
          <c:layout>
            <c:manualLayout>
              <c:xMode val="edge"/>
              <c:yMode val="edge"/>
              <c:x val="0"/>
              <c:y val="0.36905839895013132"/>
            </c:manualLayout>
          </c:layout>
          <c:overlay val="0"/>
        </c:title>
        <c:numFmt formatCode="General" sourceLinked="1"/>
        <c:majorTickMark val="out"/>
        <c:minorTickMark val="none"/>
        <c:tickLblPos val="nextTo"/>
        <c:crossAx val="218145152"/>
        <c:crosses val="autoZero"/>
        <c:crossBetween val="between"/>
      </c:valAx>
    </c:plotArea>
    <c:legend>
      <c:legendPos val="t"/>
      <c:layout>
        <c:manualLayout>
          <c:xMode val="edge"/>
          <c:yMode val="edge"/>
          <c:x val="0.6609129483814522"/>
          <c:y val="8.3333333333333343E-2"/>
          <c:w val="0.31706299212598443"/>
          <c:h val="8.3717191601049901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33115305031315"/>
          <c:y val="5.4120541205412064E-2"/>
          <c:w val="0.48616194876466901"/>
          <c:h val="0.83018430814229383"/>
        </c:manualLayout>
      </c:layout>
      <c:barChart>
        <c:barDir val="bar"/>
        <c:grouping val="clustered"/>
        <c:varyColors val="0"/>
        <c:ser>
          <c:idx val="2"/>
          <c:order val="0"/>
          <c:tx>
            <c:strRef>
              <c:f>Hárok1!$E$62</c:f>
              <c:strCache>
                <c:ptCount val="1"/>
                <c:pt idx="0">
                  <c:v>2014</c:v>
                </c:pt>
              </c:strCache>
            </c:strRef>
          </c:tx>
          <c:spPr>
            <a:solidFill>
              <a:srgbClr val="FF3300"/>
            </a:solidFill>
          </c:spPr>
          <c:invertIfNegative val="0"/>
          <c:cat>
            <c:strRef>
              <c:f>Hárok1!$B$63:$B$74</c:f>
              <c:strCache>
                <c:ptCount val="12"/>
                <c:pt idx="0">
                  <c:v>          dvaja dospelí, najmenej jeden starší ako 65 rokov</c:v>
                </c:pt>
                <c:pt idx="1">
                  <c:v>          domácnosti  bez závislých detí    </c:v>
                </c:pt>
                <c:pt idx="2">
                  <c:v>          dvaja dospelí, obaja mladší ako 65 rokov</c:v>
                </c:pt>
                <c:pt idx="3">
                  <c:v>          jednotlivec starší ako 65 rokov</c:v>
                </c:pt>
                <c:pt idx="4">
                  <c:v>          dvaja dospelí s jedným závislým dieťaťom </c:v>
                </c:pt>
                <c:pt idx="5">
                  <c:v>          dvaja dospelí s dvomi závislými dieťmi  </c:v>
                </c:pt>
                <c:pt idx="6">
                  <c:v>          traja a viac dospelí so závislými deťmi   </c:v>
                </c:pt>
                <c:pt idx="7">
                  <c:v>          jednotlivec </c:v>
                </c:pt>
                <c:pt idx="8">
                  <c:v>          domácnosti so závislými deťmi   </c:v>
                </c:pt>
                <c:pt idx="9">
                  <c:v>          jednotlivec mladší ako 65 rokov</c:v>
                </c:pt>
                <c:pt idx="10">
                  <c:v>          dvaja dospelí s tromi a viac závislými deťmi  </c:v>
                </c:pt>
                <c:pt idx="11">
                  <c:v>          jednotlivec s najmenej jedným dieťaťom</c:v>
                </c:pt>
              </c:strCache>
            </c:strRef>
          </c:cat>
          <c:val>
            <c:numRef>
              <c:f>Hárok1!$E$63:$E$74</c:f>
              <c:numCache>
                <c:formatCode>General</c:formatCode>
                <c:ptCount val="12"/>
                <c:pt idx="0">
                  <c:v>4.9000000000000004</c:v>
                </c:pt>
                <c:pt idx="1">
                  <c:v>8.6</c:v>
                </c:pt>
                <c:pt idx="2">
                  <c:v>9.9</c:v>
                </c:pt>
                <c:pt idx="3">
                  <c:v>11.1</c:v>
                </c:pt>
                <c:pt idx="4">
                  <c:v>13.2</c:v>
                </c:pt>
                <c:pt idx="5">
                  <c:v>11.4</c:v>
                </c:pt>
                <c:pt idx="6">
                  <c:v>14.9</c:v>
                </c:pt>
                <c:pt idx="7">
                  <c:v>15.7</c:v>
                </c:pt>
                <c:pt idx="8">
                  <c:v>16</c:v>
                </c:pt>
                <c:pt idx="9">
                  <c:v>20.399999999999999</c:v>
                </c:pt>
                <c:pt idx="10">
                  <c:v>28.4</c:v>
                </c:pt>
                <c:pt idx="11">
                  <c:v>30.6</c:v>
                </c:pt>
              </c:numCache>
            </c:numRef>
          </c:val>
          <c:extLst xmlns:c16r2="http://schemas.microsoft.com/office/drawing/2015/06/chart">
            <c:ext xmlns:c16="http://schemas.microsoft.com/office/drawing/2014/chart" uri="{C3380CC4-5D6E-409C-BE32-E72D297353CC}">
              <c16:uniqueId val="{00000000-9F21-4E95-93E2-0DE690BF2DFE}"/>
            </c:ext>
          </c:extLst>
        </c:ser>
        <c:ser>
          <c:idx val="1"/>
          <c:order val="1"/>
          <c:tx>
            <c:strRef>
              <c:f>Hárok1!$D$62</c:f>
              <c:strCache>
                <c:ptCount val="1"/>
                <c:pt idx="0">
                  <c:v>2013</c:v>
                </c:pt>
              </c:strCache>
            </c:strRef>
          </c:tx>
          <c:spPr>
            <a:solidFill>
              <a:srgbClr val="7F2016"/>
            </a:solidFill>
          </c:spPr>
          <c:invertIfNegative val="0"/>
          <c:cat>
            <c:strRef>
              <c:f>Hárok1!$B$63:$B$74</c:f>
              <c:strCache>
                <c:ptCount val="12"/>
                <c:pt idx="0">
                  <c:v>          dvaja dospelí, najmenej jeden starší ako 65 rokov</c:v>
                </c:pt>
                <c:pt idx="1">
                  <c:v>          domácnosti  bez závislých detí    </c:v>
                </c:pt>
                <c:pt idx="2">
                  <c:v>          dvaja dospelí, obaja mladší ako 65 rokov</c:v>
                </c:pt>
                <c:pt idx="3">
                  <c:v>          jednotlivec starší ako 65 rokov</c:v>
                </c:pt>
                <c:pt idx="4">
                  <c:v>          dvaja dospelí s jedným závislým dieťaťom </c:v>
                </c:pt>
                <c:pt idx="5">
                  <c:v>          dvaja dospelí s dvomi závislými dieťmi  </c:v>
                </c:pt>
                <c:pt idx="6">
                  <c:v>          traja a viac dospelí so závislými deťmi   </c:v>
                </c:pt>
                <c:pt idx="7">
                  <c:v>          jednotlivec </c:v>
                </c:pt>
                <c:pt idx="8">
                  <c:v>          domácnosti so závislými deťmi   </c:v>
                </c:pt>
                <c:pt idx="9">
                  <c:v>          jednotlivec mladší ako 65 rokov</c:v>
                </c:pt>
                <c:pt idx="10">
                  <c:v>          dvaja dospelí s tromi a viac závislými deťmi  </c:v>
                </c:pt>
                <c:pt idx="11">
                  <c:v>          jednotlivec s najmenej jedným dieťaťom</c:v>
                </c:pt>
              </c:strCache>
            </c:strRef>
          </c:cat>
          <c:val>
            <c:numRef>
              <c:f>Hárok1!$D$63:$D$74</c:f>
              <c:numCache>
                <c:formatCode>#,##0.0</c:formatCode>
                <c:ptCount val="12"/>
                <c:pt idx="0">
                  <c:v>3.8</c:v>
                </c:pt>
                <c:pt idx="1">
                  <c:v>7.5</c:v>
                </c:pt>
                <c:pt idx="2">
                  <c:v>8.8000000000000007</c:v>
                </c:pt>
                <c:pt idx="3">
                  <c:v>10</c:v>
                </c:pt>
                <c:pt idx="4">
                  <c:v>10</c:v>
                </c:pt>
                <c:pt idx="5">
                  <c:v>13.2</c:v>
                </c:pt>
                <c:pt idx="6">
                  <c:v>14.9</c:v>
                </c:pt>
                <c:pt idx="7">
                  <c:v>15.5</c:v>
                </c:pt>
                <c:pt idx="8">
                  <c:v>16.3</c:v>
                </c:pt>
                <c:pt idx="9">
                  <c:v>21.3</c:v>
                </c:pt>
                <c:pt idx="10">
                  <c:v>29.9</c:v>
                </c:pt>
                <c:pt idx="11">
                  <c:v>30.1</c:v>
                </c:pt>
              </c:numCache>
            </c:numRef>
          </c:val>
          <c:extLst xmlns:c16r2="http://schemas.microsoft.com/office/drawing/2015/06/chart">
            <c:ext xmlns:c16="http://schemas.microsoft.com/office/drawing/2014/chart" uri="{C3380CC4-5D6E-409C-BE32-E72D297353CC}">
              <c16:uniqueId val="{00000001-9F21-4E95-93E2-0DE690BF2DFE}"/>
            </c:ext>
          </c:extLst>
        </c:ser>
        <c:dLbls>
          <c:showLegendKey val="0"/>
          <c:showVal val="0"/>
          <c:showCatName val="0"/>
          <c:showSerName val="0"/>
          <c:showPercent val="0"/>
          <c:showBubbleSize val="0"/>
        </c:dLbls>
        <c:gapWidth val="182"/>
        <c:axId val="220110208"/>
        <c:axId val="220124288"/>
      </c:barChart>
      <c:catAx>
        <c:axId val="22011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nchor="t" anchorCtr="0"/>
          <a:lstStyle/>
          <a:p>
            <a:pPr>
              <a:defRPr/>
            </a:pPr>
            <a:endParaRPr lang="sk-SK"/>
          </a:p>
        </c:txPr>
        <c:crossAx val="220124288"/>
        <c:crosses val="autoZero"/>
        <c:auto val="1"/>
        <c:lblAlgn val="r"/>
        <c:lblOffset val="100"/>
        <c:noMultiLvlLbl val="0"/>
      </c:catAx>
      <c:valAx>
        <c:axId val="2201242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k-SK"/>
          </a:p>
        </c:txPr>
        <c:crossAx val="220110208"/>
        <c:crosses val="autoZero"/>
        <c:crossBetween val="between"/>
      </c:valAx>
      <c:spPr>
        <a:noFill/>
        <a:ln>
          <a:solidFill>
            <a:schemeClr val="tx1">
              <a:lumMod val="15000"/>
              <a:lumOff val="85000"/>
            </a:schemeClr>
          </a:solidFill>
        </a:ln>
        <a:effectLst/>
      </c:spPr>
    </c:plotArea>
    <c:legend>
      <c:legendPos val="r"/>
      <c:layout>
        <c:manualLayout>
          <c:xMode val="edge"/>
          <c:yMode val="edge"/>
          <c:x val="0.86343255027005916"/>
          <c:y val="0.58578884324148595"/>
          <c:w val="7.9267174247847141E-2"/>
          <c:h val="0.2503937007874017"/>
        </c:manualLayout>
      </c:layout>
      <c:overlay val="1"/>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MD!$A$5</c:f>
              <c:strCache>
                <c:ptCount val="1"/>
                <c:pt idx="0">
                  <c:v>2014</c:v>
                </c:pt>
              </c:strCache>
            </c:strRef>
          </c:tx>
          <c:spPr>
            <a:solidFill>
              <a:schemeClr val="accent2"/>
            </a:solidFill>
          </c:spPr>
          <c:invertIfNegative val="0"/>
          <c:cat>
            <c:numRef>
              <c:f>'Hárok1 (2)'!$B$19:$J$19</c:f>
              <c:numCache>
                <c:formatCode>General</c:formatCode>
                <c:ptCount val="9"/>
                <c:pt idx="0">
                  <c:v>0</c:v>
                </c:pt>
                <c:pt idx="1">
                  <c:v>0</c:v>
                </c:pt>
                <c:pt idx="2">
                  <c:v>0</c:v>
                </c:pt>
                <c:pt idx="3">
                  <c:v>0</c:v>
                </c:pt>
                <c:pt idx="4">
                  <c:v>0</c:v>
                </c:pt>
                <c:pt idx="5">
                  <c:v>0</c:v>
                </c:pt>
                <c:pt idx="6">
                  <c:v>0</c:v>
                </c:pt>
                <c:pt idx="7">
                  <c:v>0</c:v>
                </c:pt>
                <c:pt idx="8">
                  <c:v>0</c:v>
                </c:pt>
              </c:numCache>
            </c:numRef>
          </c:cat>
          <c:val>
            <c:numRef>
              <c:f>MD!$B$5:$J$5</c:f>
              <c:numCache>
                <c:formatCode>General</c:formatCode>
                <c:ptCount val="9"/>
                <c:pt idx="0">
                  <c:v>48.8</c:v>
                </c:pt>
                <c:pt idx="1">
                  <c:v>38.9</c:v>
                </c:pt>
                <c:pt idx="2">
                  <c:v>21.5</c:v>
                </c:pt>
                <c:pt idx="3">
                  <c:v>8.3000000000000007</c:v>
                </c:pt>
                <c:pt idx="4">
                  <c:v>6.1</c:v>
                </c:pt>
                <c:pt idx="5">
                  <c:v>14.3</c:v>
                </c:pt>
                <c:pt idx="6">
                  <c:v>1.3</c:v>
                </c:pt>
                <c:pt idx="7">
                  <c:v>0.9</c:v>
                </c:pt>
                <c:pt idx="8">
                  <c:v>0.4</c:v>
                </c:pt>
              </c:numCache>
            </c:numRef>
          </c:val>
          <c:extLst xmlns:c16r2="http://schemas.microsoft.com/office/drawing/2015/06/chart">
            <c:ext xmlns:c16="http://schemas.microsoft.com/office/drawing/2014/chart" uri="{C3380CC4-5D6E-409C-BE32-E72D297353CC}">
              <c16:uniqueId val="{00000000-DCB2-435A-819D-5C59E1741DB3}"/>
            </c:ext>
          </c:extLst>
        </c:ser>
        <c:dLbls>
          <c:showLegendKey val="0"/>
          <c:showVal val="0"/>
          <c:showCatName val="0"/>
          <c:showSerName val="0"/>
          <c:showPercent val="0"/>
          <c:showBubbleSize val="0"/>
        </c:dLbls>
        <c:gapWidth val="21"/>
        <c:axId val="219762048"/>
        <c:axId val="219768320"/>
      </c:barChart>
      <c:lineChart>
        <c:grouping val="standard"/>
        <c:varyColors val="0"/>
        <c:ser>
          <c:idx val="1"/>
          <c:order val="0"/>
          <c:tx>
            <c:strRef>
              <c:f>MD!$A$6</c:f>
              <c:strCache>
                <c:ptCount val="1"/>
                <c:pt idx="0">
                  <c:v>2009</c:v>
                </c:pt>
              </c:strCache>
            </c:strRef>
          </c:tx>
          <c:spPr>
            <a:ln>
              <a:noFill/>
            </a:ln>
          </c:spPr>
          <c:marker>
            <c:symbol val="square"/>
            <c:size val="8"/>
            <c:spPr>
              <a:solidFill>
                <a:schemeClr val="bg1"/>
              </a:solidFill>
              <a:ln w="19050">
                <a:solidFill>
                  <a:schemeClr val="accent1"/>
                </a:solidFill>
              </a:ln>
            </c:spPr>
          </c:marker>
          <c:cat>
            <c:strRef>
              <c:f>MD!$B$4:$J$4</c:f>
              <c:strCache>
                <c:ptCount val="9"/>
                <c:pt idx="0">
                  <c:v>Dovolenka </c:v>
                </c:pt>
                <c:pt idx="1">
                  <c:v>Výdavky</c:v>
                </c:pt>
                <c:pt idx="2">
                  <c:v>Jedlo</c:v>
                </c:pt>
                <c:pt idx="3">
                  <c:v>Nedoplatky</c:v>
                </c:pt>
                <c:pt idx="4">
                  <c:v>Teplo</c:v>
                </c:pt>
                <c:pt idx="5">
                  <c:v>Auto</c:v>
                </c:pt>
                <c:pt idx="6">
                  <c:v>Telefón</c:v>
                </c:pt>
                <c:pt idx="7">
                  <c:v>Práčka </c:v>
                </c:pt>
                <c:pt idx="8">
                  <c:v>TV</c:v>
                </c:pt>
              </c:strCache>
            </c:strRef>
          </c:cat>
          <c:val>
            <c:numRef>
              <c:f>MD!$B$6:$J$6</c:f>
              <c:numCache>
                <c:formatCode>0.0</c:formatCode>
                <c:ptCount val="9"/>
                <c:pt idx="0" formatCode="General">
                  <c:v>53.5</c:v>
                </c:pt>
                <c:pt idx="1">
                  <c:v>36</c:v>
                </c:pt>
                <c:pt idx="2" formatCode="General">
                  <c:v>23.8</c:v>
                </c:pt>
                <c:pt idx="3" formatCode="General">
                  <c:v>13.4</c:v>
                </c:pt>
                <c:pt idx="4" formatCode="General">
                  <c:v>3.6</c:v>
                </c:pt>
                <c:pt idx="5" formatCode="General">
                  <c:v>18.7</c:v>
                </c:pt>
                <c:pt idx="6">
                  <c:v>1</c:v>
                </c:pt>
                <c:pt idx="7" formatCode="General">
                  <c:v>0.6</c:v>
                </c:pt>
                <c:pt idx="8" formatCode="General">
                  <c:v>0.3</c:v>
                </c:pt>
              </c:numCache>
            </c:numRef>
          </c:val>
          <c:smooth val="0"/>
          <c:extLst xmlns:c16r2="http://schemas.microsoft.com/office/drawing/2015/06/chart">
            <c:ext xmlns:c16="http://schemas.microsoft.com/office/drawing/2014/chart" uri="{C3380CC4-5D6E-409C-BE32-E72D297353CC}">
              <c16:uniqueId val="{00000002-DCB2-435A-819D-5C59E1741DB3}"/>
            </c:ext>
          </c:extLst>
        </c:ser>
        <c:ser>
          <c:idx val="0"/>
          <c:order val="1"/>
          <c:tx>
            <c:strRef>
              <c:f>MD!$A$7</c:f>
              <c:strCache>
                <c:ptCount val="1"/>
                <c:pt idx="0">
                  <c:v>2005</c:v>
                </c:pt>
              </c:strCache>
            </c:strRef>
          </c:tx>
          <c:spPr>
            <a:ln>
              <a:noFill/>
            </a:ln>
          </c:spPr>
          <c:marker>
            <c:symbol val="triangle"/>
            <c:size val="9"/>
            <c:spPr>
              <a:solidFill>
                <a:schemeClr val="bg1"/>
              </a:solidFill>
              <a:ln w="19050">
                <a:solidFill>
                  <a:schemeClr val="accent2"/>
                </a:solidFill>
              </a:ln>
            </c:spPr>
          </c:marker>
          <c:cat>
            <c:strRef>
              <c:f>MD!$B$4:$J$4</c:f>
              <c:strCache>
                <c:ptCount val="9"/>
                <c:pt idx="0">
                  <c:v>Dovolenka </c:v>
                </c:pt>
                <c:pt idx="1">
                  <c:v>Výdavky</c:v>
                </c:pt>
                <c:pt idx="2">
                  <c:v>Jedlo</c:v>
                </c:pt>
                <c:pt idx="3">
                  <c:v>Nedoplatky</c:v>
                </c:pt>
                <c:pt idx="4">
                  <c:v>Teplo</c:v>
                </c:pt>
                <c:pt idx="5">
                  <c:v>Auto</c:v>
                </c:pt>
                <c:pt idx="6">
                  <c:v>Telefón</c:v>
                </c:pt>
                <c:pt idx="7">
                  <c:v>Práčka </c:v>
                </c:pt>
                <c:pt idx="8">
                  <c:v>TV</c:v>
                </c:pt>
              </c:strCache>
            </c:strRef>
          </c:cat>
          <c:val>
            <c:numRef>
              <c:f>MD!$B$7:$J$7</c:f>
              <c:numCache>
                <c:formatCode>General</c:formatCode>
                <c:ptCount val="9"/>
                <c:pt idx="0">
                  <c:v>59.2</c:v>
                </c:pt>
                <c:pt idx="1">
                  <c:v>58.3</c:v>
                </c:pt>
                <c:pt idx="2">
                  <c:v>41.4</c:v>
                </c:pt>
                <c:pt idx="3">
                  <c:v>11.5</c:v>
                </c:pt>
                <c:pt idx="4">
                  <c:v>13.6</c:v>
                </c:pt>
                <c:pt idx="5">
                  <c:v>28.5</c:v>
                </c:pt>
                <c:pt idx="6">
                  <c:v>2.1</c:v>
                </c:pt>
                <c:pt idx="7">
                  <c:v>1.1000000000000001</c:v>
                </c:pt>
                <c:pt idx="8">
                  <c:v>0.9</c:v>
                </c:pt>
              </c:numCache>
            </c:numRef>
          </c:val>
          <c:smooth val="0"/>
          <c:extLst xmlns:c16r2="http://schemas.microsoft.com/office/drawing/2015/06/chart">
            <c:ext xmlns:c16="http://schemas.microsoft.com/office/drawing/2014/chart" uri="{C3380CC4-5D6E-409C-BE32-E72D297353CC}">
              <c16:uniqueId val="{00000001-DCB2-435A-819D-5C59E1741DB3}"/>
            </c:ext>
          </c:extLst>
        </c:ser>
        <c:dLbls>
          <c:showLegendKey val="0"/>
          <c:showVal val="0"/>
          <c:showCatName val="0"/>
          <c:showSerName val="0"/>
          <c:showPercent val="0"/>
          <c:showBubbleSize val="0"/>
        </c:dLbls>
        <c:marker val="1"/>
        <c:smooth val="0"/>
        <c:axId val="219762048"/>
        <c:axId val="219768320"/>
      </c:lineChart>
      <c:catAx>
        <c:axId val="219762048"/>
        <c:scaling>
          <c:orientation val="minMax"/>
        </c:scaling>
        <c:delete val="0"/>
        <c:axPos val="b"/>
        <c:numFmt formatCode="General" sourceLinked="0"/>
        <c:majorTickMark val="out"/>
        <c:minorTickMark val="none"/>
        <c:tickLblPos val="nextTo"/>
        <c:crossAx val="219768320"/>
        <c:crosses val="autoZero"/>
        <c:auto val="1"/>
        <c:lblAlgn val="ctr"/>
        <c:lblOffset val="100"/>
        <c:noMultiLvlLbl val="0"/>
      </c:catAx>
      <c:valAx>
        <c:axId val="219768320"/>
        <c:scaling>
          <c:orientation val="minMax"/>
        </c:scaling>
        <c:delete val="0"/>
        <c:axPos val="l"/>
        <c:majorGridlines/>
        <c:numFmt formatCode="General" sourceLinked="1"/>
        <c:majorTickMark val="out"/>
        <c:minorTickMark val="none"/>
        <c:tickLblPos val="nextTo"/>
        <c:crossAx val="219762048"/>
        <c:crosses val="autoZero"/>
        <c:crossBetween val="between"/>
      </c:valAx>
    </c:plotArea>
    <c:legend>
      <c:legendPos val="t"/>
      <c:layout>
        <c:manualLayout>
          <c:xMode val="edge"/>
          <c:yMode val="edge"/>
          <c:x val="0.35016251093613299"/>
          <c:y val="4.6296296296296516E-2"/>
          <c:w val="0.29967475940507438"/>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'aspoň jeden deň'!$L$9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deň'!$L$10:$L$21</c:f>
              <c:numCache>
                <c:formatCode>#,##0</c:formatCode>
                <c:ptCount val="12"/>
                <c:pt idx="0">
                  <c:v>227328</c:v>
                </c:pt>
                <c:pt idx="1">
                  <c:v>224507</c:v>
                </c:pt>
                <c:pt idx="2">
                  <c:v>222559</c:v>
                </c:pt>
                <c:pt idx="3">
                  <c:v>220799</c:v>
                </c:pt>
                <c:pt idx="4">
                  <c:v>219422</c:v>
                </c:pt>
                <c:pt idx="5">
                  <c:v>218215</c:v>
                </c:pt>
                <c:pt idx="6">
                  <c:v>226511</c:v>
                </c:pt>
                <c:pt idx="7">
                  <c:v>226313</c:v>
                </c:pt>
                <c:pt idx="8">
                  <c:v>225853</c:v>
                </c:pt>
                <c:pt idx="9">
                  <c:v>226922</c:v>
                </c:pt>
                <c:pt idx="10">
                  <c:v>226469</c:v>
                </c:pt>
                <c:pt idx="11">
                  <c:v>224758</c:v>
                </c:pt>
              </c:numCache>
            </c:numRef>
          </c:val>
          <c:smooth val="0"/>
          <c:extLst xmlns:c16r2="http://schemas.microsoft.com/office/drawing/2015/06/chart">
            <c:ext xmlns:c16="http://schemas.microsoft.com/office/drawing/2014/chart" uri="{C3380CC4-5D6E-409C-BE32-E72D297353CC}">
              <c16:uniqueId val="{00000000-6B5C-448C-8CA1-BE48A472FEC4}"/>
            </c:ext>
          </c:extLst>
        </c:ser>
        <c:ser>
          <c:idx val="1"/>
          <c:order val="1"/>
          <c:tx>
            <c:strRef>
              <c:f>'aspoň jeden deň'!$M$9</c:f>
              <c:strCache>
                <c:ptCount val="1"/>
                <c:pt idx="0">
                  <c:v>2015</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deň'!$M$10:$M$21</c:f>
              <c:numCache>
                <c:formatCode>#,##0</c:formatCode>
                <c:ptCount val="12"/>
                <c:pt idx="0">
                  <c:v>222156</c:v>
                </c:pt>
                <c:pt idx="1">
                  <c:v>220603</c:v>
                </c:pt>
                <c:pt idx="2">
                  <c:v>219400</c:v>
                </c:pt>
                <c:pt idx="3">
                  <c:v>218115</c:v>
                </c:pt>
                <c:pt idx="4">
                  <c:v>217050</c:v>
                </c:pt>
                <c:pt idx="5">
                  <c:v>215941</c:v>
                </c:pt>
                <c:pt idx="6">
                  <c:v>223930</c:v>
                </c:pt>
                <c:pt idx="7">
                  <c:v>224651</c:v>
                </c:pt>
                <c:pt idx="8">
                  <c:v>223885</c:v>
                </c:pt>
                <c:pt idx="9">
                  <c:v>225348</c:v>
                </c:pt>
                <c:pt idx="10">
                  <c:v>221496</c:v>
                </c:pt>
                <c:pt idx="11">
                  <c:v>219391</c:v>
                </c:pt>
              </c:numCache>
            </c:numRef>
          </c:val>
          <c:smooth val="0"/>
          <c:extLst xmlns:c16r2="http://schemas.microsoft.com/office/drawing/2015/06/chart">
            <c:ext xmlns:c16="http://schemas.microsoft.com/office/drawing/2014/chart" uri="{C3380CC4-5D6E-409C-BE32-E72D297353CC}">
              <c16:uniqueId val="{00000001-6B5C-448C-8CA1-BE48A472FEC4}"/>
            </c:ext>
          </c:extLst>
        </c:ser>
        <c:dLbls>
          <c:showLegendKey val="0"/>
          <c:showVal val="0"/>
          <c:showCatName val="0"/>
          <c:showSerName val="0"/>
          <c:showPercent val="0"/>
          <c:showBubbleSize val="0"/>
        </c:dLbls>
        <c:marker val="1"/>
        <c:smooth val="0"/>
        <c:axId val="216147456"/>
        <c:axId val="216148992"/>
      </c:lineChart>
      <c:catAx>
        <c:axId val="216147456"/>
        <c:scaling>
          <c:orientation val="minMax"/>
        </c:scaling>
        <c:delete val="0"/>
        <c:axPos val="b"/>
        <c:numFmt formatCode="General" sourceLinked="1"/>
        <c:majorTickMark val="none"/>
        <c:minorTickMark val="none"/>
        <c:tickLblPos val="nextTo"/>
        <c:crossAx val="216148992"/>
        <c:crosses val="autoZero"/>
        <c:auto val="1"/>
        <c:lblAlgn val="ctr"/>
        <c:lblOffset val="100"/>
        <c:noMultiLvlLbl val="0"/>
      </c:catAx>
      <c:valAx>
        <c:axId val="216148992"/>
        <c:scaling>
          <c:orientation val="minMax"/>
          <c:min val="214000"/>
        </c:scaling>
        <c:delete val="0"/>
        <c:axPos val="l"/>
        <c:majorGridlines/>
        <c:numFmt formatCode="#,##0" sourceLinked="1"/>
        <c:majorTickMark val="none"/>
        <c:minorTickMark val="none"/>
        <c:tickLblPos val="nextTo"/>
        <c:crossAx val="216147456"/>
        <c:crosses val="autoZero"/>
        <c:crossBetween val="between"/>
      </c:valAx>
    </c:plotArea>
    <c:legend>
      <c:legendPos val="t"/>
      <c:layout>
        <c:manualLayout>
          <c:xMode val="edge"/>
          <c:yMode val="edge"/>
          <c:x val="0.18334609039588795"/>
          <c:y val="6.0836501901141281E-2"/>
          <c:w val="0.25961686998598338"/>
          <c:h val="8.598216701640344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9937593806777821E-2"/>
          <c:y val="0.11177064405410862"/>
          <c:w val="0.92173049898507753"/>
          <c:h val="0.80695098633032869"/>
        </c:manualLayout>
      </c:layout>
      <c:pie3DChart>
        <c:varyColors val="1"/>
        <c:ser>
          <c:idx val="0"/>
          <c:order val="0"/>
          <c:tx>
            <c:strRef>
              <c:f>Hárok1!$B$1</c:f>
              <c:strCache>
                <c:ptCount val="1"/>
                <c:pt idx="0">
                  <c:v>Veková štruktúra sporiteľov</c:v>
                </c:pt>
              </c:strCache>
            </c:strRef>
          </c:tx>
          <c:spPr>
            <a:ln>
              <a:solidFill>
                <a:schemeClr val="bg1"/>
              </a:solidFill>
            </a:ln>
          </c:spPr>
          <c:explosion val="25"/>
          <c:dLbls>
            <c:dLbl>
              <c:idx val="1"/>
              <c:layout>
                <c:manualLayout>
                  <c:x val="0.12274921818004389"/>
                  <c:y val="7.465278705519609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DD-456A-91CC-766EA691FBBE}"/>
                </c:ext>
              </c:extLst>
            </c:dLbl>
            <c:dLbl>
              <c:idx val="2"/>
              <c:layout>
                <c:manualLayout>
                  <c:x val="0.1321914657323551"/>
                  <c:y val="-2.714646802007129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DD-456A-91CC-766EA691FBBE}"/>
                </c:ext>
              </c:extLst>
            </c:dLbl>
            <c:dLbl>
              <c:idx val="3"/>
              <c:layout>
                <c:manualLayout>
                  <c:x val="-2.3605618880777695E-3"/>
                  <c:y val="-0.1025533358096868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DD-456A-91CC-766EA691FBBE}"/>
                </c:ext>
              </c:extLst>
            </c:dLbl>
            <c:dLbl>
              <c:idx val="4"/>
              <c:layout>
                <c:manualLayout>
                  <c:x val="-4.9571799649633159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DD-456A-91CC-766EA691FBBE}"/>
                </c:ext>
              </c:extLst>
            </c:dLbl>
            <c:numFmt formatCode="0.0%" sourceLinked="0"/>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Hárok1!$A$2:$A$6</c:f>
              <c:strCache>
                <c:ptCount val="5"/>
                <c:pt idx="0">
                  <c:v>do 20 rokov</c:v>
                </c:pt>
                <c:pt idx="1">
                  <c:v>od 21 do 30 rokov</c:v>
                </c:pt>
                <c:pt idx="2">
                  <c:v>od 31 do 40 rokov</c:v>
                </c:pt>
                <c:pt idx="3">
                  <c:v>od 41 do 50 rokov</c:v>
                </c:pt>
                <c:pt idx="4">
                  <c:v>od 51 rokov</c:v>
                </c:pt>
              </c:strCache>
            </c:strRef>
          </c:cat>
          <c:val>
            <c:numRef>
              <c:f>Hárok1!$B$2:$B$6</c:f>
              <c:numCache>
                <c:formatCode>0.0%</c:formatCode>
                <c:ptCount val="5"/>
                <c:pt idx="0">
                  <c:v>3.5065322942835638E-3</c:v>
                </c:pt>
                <c:pt idx="1">
                  <c:v>0.18810743335689403</c:v>
                </c:pt>
                <c:pt idx="2">
                  <c:v>0.42051798066044677</c:v>
                </c:pt>
                <c:pt idx="3">
                  <c:v>0.29139149300965211</c:v>
                </c:pt>
                <c:pt idx="4">
                  <c:v>9.6476560678724038E-2</c:v>
                </c:pt>
              </c:numCache>
            </c:numRef>
          </c:val>
          <c:extLst xmlns:c16r2="http://schemas.microsoft.com/office/drawing/2015/06/chart">
            <c:ext xmlns:c16="http://schemas.microsoft.com/office/drawing/2014/chart" uri="{C3380CC4-5D6E-409C-BE32-E72D297353CC}">
              <c16:uniqueId val="{00000004-07DD-456A-91CC-766EA691FBBE}"/>
            </c:ext>
          </c:extLst>
        </c:ser>
        <c:dLbls>
          <c:showLegendKey val="0"/>
          <c:showVal val="0"/>
          <c:showCatName val="0"/>
          <c:showSerName val="0"/>
          <c:showPercent val="0"/>
          <c:showBubbleSize val="0"/>
          <c:showLeaderLines val="1"/>
        </c:dLbls>
      </c:pie3DChart>
    </c:plotArea>
    <c:legend>
      <c:legendPos val="r"/>
      <c:layout>
        <c:manualLayout>
          <c:xMode val="edge"/>
          <c:yMode val="edge"/>
          <c:x val="0"/>
          <c:y val="0.58653222645811809"/>
          <c:w val="0.23119101499514411"/>
          <c:h val="0.41283251458499387"/>
        </c:manualLayout>
      </c:layout>
      <c:overlay val="0"/>
      <c:spPr>
        <a:noFill/>
        <a:ln>
          <a:noFill/>
        </a:ln>
        <a:effectLst/>
      </c:spPr>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681056833457"/>
          <c:y val="6.1959010078928664E-2"/>
          <c:w val="0.84313833121212622"/>
          <c:h val="0.72170209973753296"/>
        </c:manualLayout>
      </c:layout>
      <c:barChart>
        <c:barDir val="bar"/>
        <c:grouping val="clustered"/>
        <c:varyColors val="0"/>
        <c:ser>
          <c:idx val="3"/>
          <c:order val="0"/>
          <c:invertIfNegative val="0"/>
          <c:cat>
            <c:numRef>
              <c:f>'[Graf vek sporitelov.xls]veková štruktúra'!$B$3:$B$73</c:f>
              <c:numCache>
                <c:formatCode>0</c:formatCode>
                <c:ptCount val="71"/>
                <c:pt idx="0">
                  <c:v>90</c:v>
                </c:pt>
                <c:pt idx="1">
                  <c:v>86</c:v>
                </c:pt>
                <c:pt idx="2">
                  <c:v>84</c:v>
                </c:pt>
                <c:pt idx="3">
                  <c:v>83</c:v>
                </c:pt>
                <c:pt idx="4">
                  <c:v>82</c:v>
                </c:pt>
                <c:pt idx="5">
                  <c:v>81</c:v>
                </c:pt>
                <c:pt idx="6">
                  <c:v>80</c:v>
                </c:pt>
                <c:pt idx="7">
                  <c:v>79</c:v>
                </c:pt>
                <c:pt idx="8">
                  <c:v>78</c:v>
                </c:pt>
                <c:pt idx="9">
                  <c:v>77</c:v>
                </c:pt>
                <c:pt idx="10">
                  <c:v>76</c:v>
                </c:pt>
                <c:pt idx="11">
                  <c:v>75</c:v>
                </c:pt>
                <c:pt idx="12">
                  <c:v>74</c:v>
                </c:pt>
                <c:pt idx="13">
                  <c:v>73</c:v>
                </c:pt>
                <c:pt idx="14">
                  <c:v>72</c:v>
                </c:pt>
                <c:pt idx="15">
                  <c:v>71</c:v>
                </c:pt>
                <c:pt idx="16">
                  <c:v>70</c:v>
                </c:pt>
                <c:pt idx="17">
                  <c:v>69</c:v>
                </c:pt>
                <c:pt idx="18">
                  <c:v>68</c:v>
                </c:pt>
                <c:pt idx="19">
                  <c:v>67</c:v>
                </c:pt>
                <c:pt idx="20">
                  <c:v>66</c:v>
                </c:pt>
                <c:pt idx="21">
                  <c:v>65</c:v>
                </c:pt>
                <c:pt idx="22">
                  <c:v>64</c:v>
                </c:pt>
                <c:pt idx="23">
                  <c:v>63</c:v>
                </c:pt>
                <c:pt idx="24">
                  <c:v>62</c:v>
                </c:pt>
                <c:pt idx="25">
                  <c:v>61</c:v>
                </c:pt>
                <c:pt idx="26">
                  <c:v>60</c:v>
                </c:pt>
                <c:pt idx="27">
                  <c:v>59</c:v>
                </c:pt>
                <c:pt idx="28">
                  <c:v>58</c:v>
                </c:pt>
                <c:pt idx="29">
                  <c:v>57</c:v>
                </c:pt>
                <c:pt idx="30">
                  <c:v>56</c:v>
                </c:pt>
                <c:pt idx="31">
                  <c:v>55</c:v>
                </c:pt>
                <c:pt idx="32">
                  <c:v>54</c:v>
                </c:pt>
                <c:pt idx="33">
                  <c:v>53</c:v>
                </c:pt>
                <c:pt idx="34">
                  <c:v>52</c:v>
                </c:pt>
                <c:pt idx="35">
                  <c:v>51</c:v>
                </c:pt>
                <c:pt idx="36">
                  <c:v>50</c:v>
                </c:pt>
                <c:pt idx="37">
                  <c:v>49</c:v>
                </c:pt>
                <c:pt idx="38">
                  <c:v>48</c:v>
                </c:pt>
                <c:pt idx="39">
                  <c:v>47</c:v>
                </c:pt>
                <c:pt idx="40">
                  <c:v>46</c:v>
                </c:pt>
                <c:pt idx="41">
                  <c:v>45</c:v>
                </c:pt>
                <c:pt idx="42">
                  <c:v>44</c:v>
                </c:pt>
                <c:pt idx="43">
                  <c:v>43</c:v>
                </c:pt>
                <c:pt idx="44">
                  <c:v>42</c:v>
                </c:pt>
                <c:pt idx="45">
                  <c:v>41</c:v>
                </c:pt>
                <c:pt idx="46">
                  <c:v>40</c:v>
                </c:pt>
                <c:pt idx="47">
                  <c:v>39</c:v>
                </c:pt>
                <c:pt idx="48">
                  <c:v>38</c:v>
                </c:pt>
                <c:pt idx="49">
                  <c:v>37</c:v>
                </c:pt>
                <c:pt idx="50">
                  <c:v>36</c:v>
                </c:pt>
                <c:pt idx="51">
                  <c:v>35</c:v>
                </c:pt>
                <c:pt idx="52">
                  <c:v>34</c:v>
                </c:pt>
                <c:pt idx="53">
                  <c:v>33</c:v>
                </c:pt>
                <c:pt idx="54">
                  <c:v>32</c:v>
                </c:pt>
                <c:pt idx="55">
                  <c:v>31</c:v>
                </c:pt>
                <c:pt idx="56">
                  <c:v>30</c:v>
                </c:pt>
                <c:pt idx="57">
                  <c:v>29</c:v>
                </c:pt>
                <c:pt idx="58">
                  <c:v>28</c:v>
                </c:pt>
                <c:pt idx="59">
                  <c:v>27</c:v>
                </c:pt>
                <c:pt idx="60">
                  <c:v>26</c:v>
                </c:pt>
                <c:pt idx="61">
                  <c:v>25</c:v>
                </c:pt>
                <c:pt idx="62">
                  <c:v>24</c:v>
                </c:pt>
                <c:pt idx="63">
                  <c:v>23</c:v>
                </c:pt>
                <c:pt idx="64">
                  <c:v>22</c:v>
                </c:pt>
                <c:pt idx="65">
                  <c:v>21</c:v>
                </c:pt>
                <c:pt idx="66">
                  <c:v>20</c:v>
                </c:pt>
                <c:pt idx="67">
                  <c:v>19</c:v>
                </c:pt>
                <c:pt idx="68">
                  <c:v>18</c:v>
                </c:pt>
                <c:pt idx="69">
                  <c:v>17</c:v>
                </c:pt>
                <c:pt idx="70">
                  <c:v>16</c:v>
                </c:pt>
              </c:numCache>
            </c:numRef>
          </c:cat>
          <c:val>
            <c:numRef>
              <c:f>'[Graf vek sporitelov.xls]veková štruktúra'!$B$3:$B$73</c:f>
              <c:numCache>
                <c:formatCode>0</c:formatCode>
                <c:ptCount val="71"/>
                <c:pt idx="0">
                  <c:v>90</c:v>
                </c:pt>
                <c:pt idx="1">
                  <c:v>86</c:v>
                </c:pt>
                <c:pt idx="2">
                  <c:v>84</c:v>
                </c:pt>
                <c:pt idx="3">
                  <c:v>83</c:v>
                </c:pt>
                <c:pt idx="4">
                  <c:v>82</c:v>
                </c:pt>
                <c:pt idx="5">
                  <c:v>81</c:v>
                </c:pt>
                <c:pt idx="6">
                  <c:v>80</c:v>
                </c:pt>
                <c:pt idx="7">
                  <c:v>79</c:v>
                </c:pt>
                <c:pt idx="8">
                  <c:v>78</c:v>
                </c:pt>
                <c:pt idx="9">
                  <c:v>77</c:v>
                </c:pt>
                <c:pt idx="10">
                  <c:v>76</c:v>
                </c:pt>
                <c:pt idx="11">
                  <c:v>75</c:v>
                </c:pt>
                <c:pt idx="12">
                  <c:v>74</c:v>
                </c:pt>
                <c:pt idx="13">
                  <c:v>73</c:v>
                </c:pt>
                <c:pt idx="14">
                  <c:v>72</c:v>
                </c:pt>
                <c:pt idx="15">
                  <c:v>71</c:v>
                </c:pt>
                <c:pt idx="16">
                  <c:v>70</c:v>
                </c:pt>
                <c:pt idx="17">
                  <c:v>69</c:v>
                </c:pt>
                <c:pt idx="18">
                  <c:v>68</c:v>
                </c:pt>
                <c:pt idx="19">
                  <c:v>67</c:v>
                </c:pt>
                <c:pt idx="20">
                  <c:v>66</c:v>
                </c:pt>
                <c:pt idx="21">
                  <c:v>65</c:v>
                </c:pt>
                <c:pt idx="22">
                  <c:v>64</c:v>
                </c:pt>
                <c:pt idx="23">
                  <c:v>63</c:v>
                </c:pt>
                <c:pt idx="24">
                  <c:v>62</c:v>
                </c:pt>
                <c:pt idx="25">
                  <c:v>61</c:v>
                </c:pt>
                <c:pt idx="26">
                  <c:v>60</c:v>
                </c:pt>
                <c:pt idx="27">
                  <c:v>59</c:v>
                </c:pt>
                <c:pt idx="28">
                  <c:v>58</c:v>
                </c:pt>
                <c:pt idx="29">
                  <c:v>57</c:v>
                </c:pt>
                <c:pt idx="30">
                  <c:v>56</c:v>
                </c:pt>
                <c:pt idx="31">
                  <c:v>55</c:v>
                </c:pt>
                <c:pt idx="32">
                  <c:v>54</c:v>
                </c:pt>
                <c:pt idx="33">
                  <c:v>53</c:v>
                </c:pt>
                <c:pt idx="34">
                  <c:v>52</c:v>
                </c:pt>
                <c:pt idx="35">
                  <c:v>51</c:v>
                </c:pt>
                <c:pt idx="36">
                  <c:v>50</c:v>
                </c:pt>
                <c:pt idx="37">
                  <c:v>49</c:v>
                </c:pt>
                <c:pt idx="38">
                  <c:v>48</c:v>
                </c:pt>
                <c:pt idx="39">
                  <c:v>47</c:v>
                </c:pt>
                <c:pt idx="40">
                  <c:v>46</c:v>
                </c:pt>
                <c:pt idx="41">
                  <c:v>45</c:v>
                </c:pt>
                <c:pt idx="42">
                  <c:v>44</c:v>
                </c:pt>
                <c:pt idx="43">
                  <c:v>43</c:v>
                </c:pt>
                <c:pt idx="44">
                  <c:v>42</c:v>
                </c:pt>
                <c:pt idx="45">
                  <c:v>41</c:v>
                </c:pt>
                <c:pt idx="46">
                  <c:v>40</c:v>
                </c:pt>
                <c:pt idx="47">
                  <c:v>39</c:v>
                </c:pt>
                <c:pt idx="48">
                  <c:v>38</c:v>
                </c:pt>
                <c:pt idx="49">
                  <c:v>37</c:v>
                </c:pt>
                <c:pt idx="50">
                  <c:v>36</c:v>
                </c:pt>
                <c:pt idx="51">
                  <c:v>35</c:v>
                </c:pt>
                <c:pt idx="52">
                  <c:v>34</c:v>
                </c:pt>
                <c:pt idx="53">
                  <c:v>33</c:v>
                </c:pt>
                <c:pt idx="54">
                  <c:v>32</c:v>
                </c:pt>
                <c:pt idx="55">
                  <c:v>31</c:v>
                </c:pt>
                <c:pt idx="56">
                  <c:v>30</c:v>
                </c:pt>
                <c:pt idx="57">
                  <c:v>29</c:v>
                </c:pt>
                <c:pt idx="58">
                  <c:v>28</c:v>
                </c:pt>
                <c:pt idx="59">
                  <c:v>27</c:v>
                </c:pt>
                <c:pt idx="60">
                  <c:v>26</c:v>
                </c:pt>
                <c:pt idx="61">
                  <c:v>25</c:v>
                </c:pt>
                <c:pt idx="62">
                  <c:v>24</c:v>
                </c:pt>
                <c:pt idx="63">
                  <c:v>23</c:v>
                </c:pt>
                <c:pt idx="64">
                  <c:v>22</c:v>
                </c:pt>
                <c:pt idx="65">
                  <c:v>21</c:v>
                </c:pt>
                <c:pt idx="66">
                  <c:v>20</c:v>
                </c:pt>
                <c:pt idx="67">
                  <c:v>19</c:v>
                </c:pt>
                <c:pt idx="68">
                  <c:v>18</c:v>
                </c:pt>
                <c:pt idx="69">
                  <c:v>17</c:v>
                </c:pt>
                <c:pt idx="70">
                  <c:v>16</c:v>
                </c:pt>
              </c:numCache>
            </c:numRef>
          </c:val>
          <c:extLst xmlns:c16r2="http://schemas.microsoft.com/office/drawing/2015/06/chart">
            <c:ext xmlns:c16="http://schemas.microsoft.com/office/drawing/2014/chart" uri="{C3380CC4-5D6E-409C-BE32-E72D297353CC}">
              <c16:uniqueId val="{00000000-047F-4AC8-AC19-0EB7C7AC1216}"/>
            </c:ext>
          </c:extLst>
        </c:ser>
        <c:ser>
          <c:idx val="0"/>
          <c:order val="1"/>
          <c:spPr>
            <a:solidFill>
              <a:srgbClr val="FF0000"/>
            </a:solidFill>
          </c:spPr>
          <c:invertIfNegative val="0"/>
          <c:cat>
            <c:numRef>
              <c:f>'[Graf vek sporitelov.xls]veková štruktúra'!$B$3:$B$73</c:f>
              <c:numCache>
                <c:formatCode>0</c:formatCode>
                <c:ptCount val="71"/>
                <c:pt idx="0">
                  <c:v>90</c:v>
                </c:pt>
                <c:pt idx="1">
                  <c:v>86</c:v>
                </c:pt>
                <c:pt idx="2">
                  <c:v>84</c:v>
                </c:pt>
                <c:pt idx="3">
                  <c:v>83</c:v>
                </c:pt>
                <c:pt idx="4">
                  <c:v>82</c:v>
                </c:pt>
                <c:pt idx="5">
                  <c:v>81</c:v>
                </c:pt>
                <c:pt idx="6">
                  <c:v>80</c:v>
                </c:pt>
                <c:pt idx="7">
                  <c:v>79</c:v>
                </c:pt>
                <c:pt idx="8">
                  <c:v>78</c:v>
                </c:pt>
                <c:pt idx="9">
                  <c:v>77</c:v>
                </c:pt>
                <c:pt idx="10">
                  <c:v>76</c:v>
                </c:pt>
                <c:pt idx="11">
                  <c:v>75</c:v>
                </c:pt>
                <c:pt idx="12">
                  <c:v>74</c:v>
                </c:pt>
                <c:pt idx="13">
                  <c:v>73</c:v>
                </c:pt>
                <c:pt idx="14">
                  <c:v>72</c:v>
                </c:pt>
                <c:pt idx="15">
                  <c:v>71</c:v>
                </c:pt>
                <c:pt idx="16">
                  <c:v>70</c:v>
                </c:pt>
                <c:pt idx="17">
                  <c:v>69</c:v>
                </c:pt>
                <c:pt idx="18">
                  <c:v>68</c:v>
                </c:pt>
                <c:pt idx="19">
                  <c:v>67</c:v>
                </c:pt>
                <c:pt idx="20">
                  <c:v>66</c:v>
                </c:pt>
                <c:pt idx="21">
                  <c:v>65</c:v>
                </c:pt>
                <c:pt idx="22">
                  <c:v>64</c:v>
                </c:pt>
                <c:pt idx="23">
                  <c:v>63</c:v>
                </c:pt>
                <c:pt idx="24">
                  <c:v>62</c:v>
                </c:pt>
                <c:pt idx="25">
                  <c:v>61</c:v>
                </c:pt>
                <c:pt idx="26">
                  <c:v>60</c:v>
                </c:pt>
                <c:pt idx="27">
                  <c:v>59</c:v>
                </c:pt>
                <c:pt idx="28">
                  <c:v>58</c:v>
                </c:pt>
                <c:pt idx="29">
                  <c:v>57</c:v>
                </c:pt>
                <c:pt idx="30">
                  <c:v>56</c:v>
                </c:pt>
                <c:pt idx="31">
                  <c:v>55</c:v>
                </c:pt>
                <c:pt idx="32">
                  <c:v>54</c:v>
                </c:pt>
                <c:pt idx="33">
                  <c:v>53</c:v>
                </c:pt>
                <c:pt idx="34">
                  <c:v>52</c:v>
                </c:pt>
                <c:pt idx="35">
                  <c:v>51</c:v>
                </c:pt>
                <c:pt idx="36">
                  <c:v>50</c:v>
                </c:pt>
                <c:pt idx="37">
                  <c:v>49</c:v>
                </c:pt>
                <c:pt idx="38">
                  <c:v>48</c:v>
                </c:pt>
                <c:pt idx="39">
                  <c:v>47</c:v>
                </c:pt>
                <c:pt idx="40">
                  <c:v>46</c:v>
                </c:pt>
                <c:pt idx="41">
                  <c:v>45</c:v>
                </c:pt>
                <c:pt idx="42">
                  <c:v>44</c:v>
                </c:pt>
                <c:pt idx="43">
                  <c:v>43</c:v>
                </c:pt>
                <c:pt idx="44">
                  <c:v>42</c:v>
                </c:pt>
                <c:pt idx="45">
                  <c:v>41</c:v>
                </c:pt>
                <c:pt idx="46">
                  <c:v>40</c:v>
                </c:pt>
                <c:pt idx="47">
                  <c:v>39</c:v>
                </c:pt>
                <c:pt idx="48">
                  <c:v>38</c:v>
                </c:pt>
                <c:pt idx="49">
                  <c:v>37</c:v>
                </c:pt>
                <c:pt idx="50">
                  <c:v>36</c:v>
                </c:pt>
                <c:pt idx="51">
                  <c:v>35</c:v>
                </c:pt>
                <c:pt idx="52">
                  <c:v>34</c:v>
                </c:pt>
                <c:pt idx="53">
                  <c:v>33</c:v>
                </c:pt>
                <c:pt idx="54">
                  <c:v>32</c:v>
                </c:pt>
                <c:pt idx="55">
                  <c:v>31</c:v>
                </c:pt>
                <c:pt idx="56">
                  <c:v>30</c:v>
                </c:pt>
                <c:pt idx="57">
                  <c:v>29</c:v>
                </c:pt>
                <c:pt idx="58">
                  <c:v>28</c:v>
                </c:pt>
                <c:pt idx="59">
                  <c:v>27</c:v>
                </c:pt>
                <c:pt idx="60">
                  <c:v>26</c:v>
                </c:pt>
                <c:pt idx="61">
                  <c:v>25</c:v>
                </c:pt>
                <c:pt idx="62">
                  <c:v>24</c:v>
                </c:pt>
                <c:pt idx="63">
                  <c:v>23</c:v>
                </c:pt>
                <c:pt idx="64">
                  <c:v>22</c:v>
                </c:pt>
                <c:pt idx="65">
                  <c:v>21</c:v>
                </c:pt>
                <c:pt idx="66">
                  <c:v>20</c:v>
                </c:pt>
                <c:pt idx="67">
                  <c:v>19</c:v>
                </c:pt>
                <c:pt idx="68">
                  <c:v>18</c:v>
                </c:pt>
                <c:pt idx="69">
                  <c:v>17</c:v>
                </c:pt>
                <c:pt idx="70">
                  <c:v>16</c:v>
                </c:pt>
              </c:numCache>
            </c:numRef>
          </c:cat>
          <c:val>
            <c:numRef>
              <c:f>'[Graf vek sporitelov.xls]veková štruktúra'!$E$3:$E$73</c:f>
              <c:numCache>
                <c:formatCode>#,##0</c:formatCode>
                <c:ptCount val="71"/>
                <c:pt idx="0">
                  <c:v>0</c:v>
                </c:pt>
                <c:pt idx="1">
                  <c:v>1</c:v>
                </c:pt>
                <c:pt idx="2">
                  <c:v>1</c:v>
                </c:pt>
                <c:pt idx="3">
                  <c:v>1</c:v>
                </c:pt>
                <c:pt idx="4">
                  <c:v>2</c:v>
                </c:pt>
                <c:pt idx="5">
                  <c:v>3</c:v>
                </c:pt>
                <c:pt idx="6">
                  <c:v>4</c:v>
                </c:pt>
                <c:pt idx="7">
                  <c:v>6</c:v>
                </c:pt>
                <c:pt idx="8">
                  <c:v>5</c:v>
                </c:pt>
                <c:pt idx="9">
                  <c:v>5</c:v>
                </c:pt>
                <c:pt idx="10">
                  <c:v>13</c:v>
                </c:pt>
                <c:pt idx="11">
                  <c:v>17</c:v>
                </c:pt>
                <c:pt idx="12">
                  <c:v>26</c:v>
                </c:pt>
                <c:pt idx="13">
                  <c:v>26</c:v>
                </c:pt>
                <c:pt idx="14">
                  <c:v>33</c:v>
                </c:pt>
                <c:pt idx="15">
                  <c:v>29</c:v>
                </c:pt>
                <c:pt idx="16">
                  <c:v>32</c:v>
                </c:pt>
                <c:pt idx="17">
                  <c:v>48</c:v>
                </c:pt>
                <c:pt idx="18">
                  <c:v>57</c:v>
                </c:pt>
                <c:pt idx="19">
                  <c:v>58</c:v>
                </c:pt>
                <c:pt idx="20">
                  <c:v>87</c:v>
                </c:pt>
                <c:pt idx="21">
                  <c:v>109</c:v>
                </c:pt>
                <c:pt idx="22">
                  <c:v>136</c:v>
                </c:pt>
                <c:pt idx="23">
                  <c:v>249</c:v>
                </c:pt>
                <c:pt idx="24">
                  <c:v>425</c:v>
                </c:pt>
                <c:pt idx="25">
                  <c:v>906</c:v>
                </c:pt>
                <c:pt idx="26">
                  <c:v>1662</c:v>
                </c:pt>
                <c:pt idx="27">
                  <c:v>2915</c:v>
                </c:pt>
                <c:pt idx="28">
                  <c:v>4676</c:v>
                </c:pt>
                <c:pt idx="29">
                  <c:v>6783</c:v>
                </c:pt>
                <c:pt idx="30">
                  <c:v>9451</c:v>
                </c:pt>
                <c:pt idx="31">
                  <c:v>13435</c:v>
                </c:pt>
                <c:pt idx="32">
                  <c:v>17366</c:v>
                </c:pt>
                <c:pt idx="33">
                  <c:v>19940</c:v>
                </c:pt>
                <c:pt idx="34">
                  <c:v>23971</c:v>
                </c:pt>
                <c:pt idx="35">
                  <c:v>27055</c:v>
                </c:pt>
                <c:pt idx="36">
                  <c:v>28523</c:v>
                </c:pt>
                <c:pt idx="37">
                  <c:v>30437</c:v>
                </c:pt>
                <c:pt idx="38">
                  <c:v>31341</c:v>
                </c:pt>
                <c:pt idx="39">
                  <c:v>32960</c:v>
                </c:pt>
                <c:pt idx="40">
                  <c:v>36301</c:v>
                </c:pt>
                <c:pt idx="41">
                  <c:v>38932</c:v>
                </c:pt>
                <c:pt idx="42">
                  <c:v>42404</c:v>
                </c:pt>
                <c:pt idx="43">
                  <c:v>45867</c:v>
                </c:pt>
                <c:pt idx="44">
                  <c:v>50212</c:v>
                </c:pt>
                <c:pt idx="45">
                  <c:v>54256</c:v>
                </c:pt>
                <c:pt idx="46">
                  <c:v>55425</c:v>
                </c:pt>
                <c:pt idx="47">
                  <c:v>57486</c:v>
                </c:pt>
                <c:pt idx="48">
                  <c:v>58438</c:v>
                </c:pt>
                <c:pt idx="49">
                  <c:v>59312</c:v>
                </c:pt>
                <c:pt idx="50">
                  <c:v>60095</c:v>
                </c:pt>
                <c:pt idx="51">
                  <c:v>57510</c:v>
                </c:pt>
                <c:pt idx="52">
                  <c:v>56362</c:v>
                </c:pt>
                <c:pt idx="53">
                  <c:v>55444</c:v>
                </c:pt>
                <c:pt idx="54">
                  <c:v>53711</c:v>
                </c:pt>
                <c:pt idx="55">
                  <c:v>50820</c:v>
                </c:pt>
                <c:pt idx="56">
                  <c:v>47112</c:v>
                </c:pt>
                <c:pt idx="57">
                  <c:v>41084</c:v>
                </c:pt>
                <c:pt idx="58">
                  <c:v>34958</c:v>
                </c:pt>
                <c:pt idx="59">
                  <c:v>36052</c:v>
                </c:pt>
                <c:pt idx="60">
                  <c:v>25748</c:v>
                </c:pt>
                <c:pt idx="61">
                  <c:v>20062</c:v>
                </c:pt>
                <c:pt idx="62">
                  <c:v>16622</c:v>
                </c:pt>
                <c:pt idx="63">
                  <c:v>14351</c:v>
                </c:pt>
                <c:pt idx="64">
                  <c:v>10739</c:v>
                </c:pt>
                <c:pt idx="65">
                  <c:v>5832</c:v>
                </c:pt>
                <c:pt idx="66">
                  <c:v>2965</c:v>
                </c:pt>
                <c:pt idx="67">
                  <c:v>1348</c:v>
                </c:pt>
                <c:pt idx="68">
                  <c:v>357</c:v>
                </c:pt>
                <c:pt idx="69">
                  <c:v>31</c:v>
                </c:pt>
                <c:pt idx="70">
                  <c:v>7</c:v>
                </c:pt>
              </c:numCache>
            </c:numRef>
          </c:val>
          <c:extLst xmlns:c16r2="http://schemas.microsoft.com/office/drawing/2015/06/chart">
            <c:ext xmlns:c16="http://schemas.microsoft.com/office/drawing/2014/chart" uri="{C3380CC4-5D6E-409C-BE32-E72D297353CC}">
              <c16:uniqueId val="{00000001-047F-4AC8-AC19-0EB7C7AC1216}"/>
            </c:ext>
          </c:extLst>
        </c:ser>
        <c:dLbls>
          <c:showLegendKey val="0"/>
          <c:showVal val="0"/>
          <c:showCatName val="0"/>
          <c:showSerName val="0"/>
          <c:showPercent val="0"/>
          <c:showBubbleSize val="0"/>
        </c:dLbls>
        <c:gapWidth val="150"/>
        <c:axId val="219970560"/>
        <c:axId val="219972736"/>
      </c:barChart>
      <c:catAx>
        <c:axId val="219970560"/>
        <c:scaling>
          <c:orientation val="maxMin"/>
        </c:scaling>
        <c:delete val="0"/>
        <c:axPos val="l"/>
        <c:title>
          <c:tx>
            <c:rich>
              <a:bodyPr/>
              <a:lstStyle/>
              <a:p>
                <a:pPr>
                  <a:defRPr sz="1000" b="1" i="0" u="none" strike="noStrike" baseline="0">
                    <a:solidFill>
                      <a:srgbClr val="000000"/>
                    </a:solidFill>
                    <a:latin typeface="Times New Roman" pitchFamily="18" charset="0"/>
                    <a:ea typeface="Calibri"/>
                    <a:cs typeface="Times New Roman" pitchFamily="18" charset="0"/>
                  </a:defRPr>
                </a:pPr>
                <a:r>
                  <a:rPr lang="sk-SK">
                    <a:latin typeface="Times New Roman" pitchFamily="18" charset="0"/>
                    <a:cs typeface="Times New Roman" pitchFamily="18" charset="0"/>
                  </a:rPr>
                  <a:t>Vek</a:t>
                </a:r>
              </a:p>
            </c:rich>
          </c:tx>
          <c:layout>
            <c:manualLayout>
              <c:xMode val="edge"/>
              <c:yMode val="edge"/>
              <c:x val="2.0914806073643988E-2"/>
              <c:y val="0.44575539568345335"/>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219972736"/>
        <c:crosses val="autoZero"/>
        <c:auto val="1"/>
        <c:lblAlgn val="ctr"/>
        <c:lblOffset val="100"/>
        <c:tickLblSkip val="10"/>
        <c:tickMarkSkip val="1"/>
        <c:noMultiLvlLbl val="0"/>
      </c:catAx>
      <c:valAx>
        <c:axId val="219972736"/>
        <c:scaling>
          <c:orientation val="minMax"/>
          <c:max val="70000"/>
        </c:scaling>
        <c:delete val="0"/>
        <c:axPos val="b"/>
        <c:majorGridlines/>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sk-SK" b="0">
                    <a:latin typeface="Times New Roman" pitchFamily="18" charset="0"/>
                    <a:cs typeface="Times New Roman" pitchFamily="18" charset="0"/>
                  </a:rPr>
                  <a:t>Počet sporiteľov</a:t>
                </a:r>
              </a:p>
            </c:rich>
          </c:tx>
          <c:layout>
            <c:manualLayout>
              <c:xMode val="edge"/>
              <c:yMode val="edge"/>
              <c:x val="0.43790917382011613"/>
              <c:y val="0.89622789957010762"/>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219970560"/>
        <c:crosses val="max"/>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3"/>
            <c:bubble3D val="0"/>
            <c:spPr>
              <a:solidFill>
                <a:schemeClr val="accent1">
                  <a:lumMod val="75000"/>
                </a:schemeClr>
              </a:solidFill>
              <a:ln>
                <a:solidFill>
                  <a:schemeClr val="accent1">
                    <a:lumMod val="75000"/>
                  </a:schemeClr>
                </a:solidFill>
              </a:ln>
            </c:spPr>
            <c:extLst xmlns:c16r2="http://schemas.microsoft.com/office/drawing/2015/06/chart">
              <c:ext xmlns:c16="http://schemas.microsoft.com/office/drawing/2014/chart" uri="{C3380CC4-5D6E-409C-BE32-E72D297353CC}">
                <c16:uniqueId val="{00000001-9014-441D-BB35-9DC92B430D52}"/>
              </c:ext>
            </c:extLst>
          </c:dPt>
          <c:dPt>
            <c:idx val="4"/>
            <c:bubble3D val="0"/>
            <c:spPr>
              <a:pattFill prst="pct25">
                <a:fgClr>
                  <a:schemeClr val="accent1">
                    <a:lumMod val="75000"/>
                  </a:schemeClr>
                </a:fgClr>
                <a:bgClr>
                  <a:schemeClr val="bg1"/>
                </a:bgClr>
              </a:pattFill>
              <a:ln>
                <a:solidFill>
                  <a:schemeClr val="accent1">
                    <a:shade val="50000"/>
                  </a:schemeClr>
                </a:solidFill>
              </a:ln>
            </c:spPr>
            <c:extLst xmlns:c16r2="http://schemas.microsoft.com/office/drawing/2015/06/chart">
              <c:ext xmlns:c16="http://schemas.microsoft.com/office/drawing/2014/chart" uri="{C3380CC4-5D6E-409C-BE32-E72D297353CC}">
                <c16:uniqueId val="{00000003-9014-441D-BB35-9DC92B430D52}"/>
              </c:ext>
            </c:extLst>
          </c:dPt>
          <c:dPt>
            <c:idx val="5"/>
            <c:bubble3D val="0"/>
            <c:spPr>
              <a:solidFill>
                <a:schemeClr val="accent2">
                  <a:lumMod val="75000"/>
                </a:schemeClr>
              </a:solidFill>
              <a:ln>
                <a:solidFill>
                  <a:schemeClr val="accent2">
                    <a:lumMod val="75000"/>
                  </a:schemeClr>
                </a:solidFill>
              </a:ln>
            </c:spPr>
            <c:extLst xmlns:c16r2="http://schemas.microsoft.com/office/drawing/2015/06/chart">
              <c:ext xmlns:c16="http://schemas.microsoft.com/office/drawing/2014/chart" uri="{C3380CC4-5D6E-409C-BE32-E72D297353CC}">
                <c16:uniqueId val="{00000005-9014-441D-BB35-9DC92B430D52}"/>
              </c:ext>
            </c:extLst>
          </c:dPt>
          <c:dPt>
            <c:idx val="6"/>
            <c:bubble3D val="0"/>
            <c:spPr>
              <a:pattFill prst="pct40">
                <a:fgClr>
                  <a:schemeClr val="accent2">
                    <a:lumMod val="75000"/>
                  </a:schemeClr>
                </a:fgClr>
                <a:bgClr>
                  <a:schemeClr val="bg1"/>
                </a:bgClr>
              </a:pattFill>
              <a:ln>
                <a:solidFill>
                  <a:schemeClr val="accent2">
                    <a:lumMod val="75000"/>
                  </a:schemeClr>
                </a:solidFill>
              </a:ln>
            </c:spPr>
            <c:extLst xmlns:c16r2="http://schemas.microsoft.com/office/drawing/2015/06/chart">
              <c:ext xmlns:c16="http://schemas.microsoft.com/office/drawing/2014/chart" uri="{C3380CC4-5D6E-409C-BE32-E72D297353CC}">
                <c16:uniqueId val="{00000007-9014-441D-BB35-9DC92B430D52}"/>
              </c:ext>
            </c:extLst>
          </c:dPt>
          <c:dPt>
            <c:idx val="7"/>
            <c:bubble3D val="0"/>
            <c:spPr>
              <a:solidFill>
                <a:schemeClr val="accent3">
                  <a:lumMod val="75000"/>
                </a:schemeClr>
              </a:solidFill>
              <a:ln>
                <a:solidFill>
                  <a:schemeClr val="accent3">
                    <a:lumMod val="75000"/>
                  </a:schemeClr>
                </a:solidFill>
              </a:ln>
            </c:spPr>
            <c:extLst xmlns:c16r2="http://schemas.microsoft.com/office/drawing/2015/06/chart">
              <c:ext xmlns:c16="http://schemas.microsoft.com/office/drawing/2014/chart" uri="{C3380CC4-5D6E-409C-BE32-E72D297353CC}">
                <c16:uniqueId val="{00000009-9014-441D-BB35-9DC92B430D52}"/>
              </c:ext>
            </c:extLst>
          </c:dPt>
          <c:dPt>
            <c:idx val="8"/>
            <c:bubble3D val="0"/>
            <c:spPr>
              <a:pattFill prst="smCheck">
                <a:fgClr>
                  <a:schemeClr val="accent3">
                    <a:lumMod val="75000"/>
                  </a:schemeClr>
                </a:fgClr>
                <a:bgClr>
                  <a:schemeClr val="bg1"/>
                </a:bgClr>
              </a:pattFill>
              <a:ln>
                <a:solidFill>
                  <a:schemeClr val="accent3">
                    <a:lumMod val="75000"/>
                  </a:schemeClr>
                </a:solidFill>
              </a:ln>
            </c:spPr>
            <c:extLst xmlns:c16r2="http://schemas.microsoft.com/office/drawing/2015/06/chart">
              <c:ext xmlns:c16="http://schemas.microsoft.com/office/drawing/2014/chart" uri="{C3380CC4-5D6E-409C-BE32-E72D297353CC}">
                <c16:uniqueId val="{0000000B-9014-441D-BB35-9DC92B430D52}"/>
              </c:ext>
            </c:extLst>
          </c:dPt>
          <c:dPt>
            <c:idx val="9"/>
            <c:bubble3D val="0"/>
            <c:spPr>
              <a:solidFill>
                <a:schemeClr val="accent1">
                  <a:lumMod val="60000"/>
                  <a:lumOff val="40000"/>
                </a:schemeClr>
              </a:solidFill>
              <a:ln>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D-9014-441D-BB35-9DC92B430D52}"/>
              </c:ext>
            </c:extLst>
          </c:dPt>
          <c:dPt>
            <c:idx val="10"/>
            <c:bubble3D val="0"/>
            <c:spPr>
              <a:pattFill prst="pct50">
                <a:fgClr>
                  <a:schemeClr val="accent1">
                    <a:lumMod val="60000"/>
                    <a:lumOff val="40000"/>
                  </a:schemeClr>
                </a:fgClr>
                <a:bgClr>
                  <a:schemeClr val="bg1"/>
                </a:bgClr>
              </a:pattFill>
              <a:ln>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F-9014-441D-BB35-9DC92B430D52}"/>
              </c:ext>
            </c:extLst>
          </c:dPt>
          <c:dPt>
            <c:idx val="11"/>
            <c:bubble3D val="0"/>
            <c:spPr>
              <a:solidFill>
                <a:schemeClr val="accent2">
                  <a:lumMod val="60000"/>
                  <a:lumOff val="40000"/>
                </a:schemeClr>
              </a:solid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11-9014-441D-BB35-9DC92B430D52}"/>
              </c:ext>
            </c:extLst>
          </c:dPt>
          <c:dPt>
            <c:idx val="12"/>
            <c:bubble3D val="0"/>
            <c:spPr>
              <a:pattFill prst="ltUpDiag">
                <a:fgClr>
                  <a:schemeClr val="accent2">
                    <a:lumMod val="60000"/>
                    <a:lumOff val="40000"/>
                  </a:schemeClr>
                </a:fgClr>
                <a:bgClr>
                  <a:schemeClr val="bg1"/>
                </a:bgClr>
              </a:patt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13-9014-441D-BB35-9DC92B430D52}"/>
              </c:ext>
            </c:extLst>
          </c:dPt>
          <c:dPt>
            <c:idx val="13"/>
            <c:bubble3D val="0"/>
            <c:spPr>
              <a:solidFill>
                <a:schemeClr val="accent3">
                  <a:lumMod val="60000"/>
                  <a:lumOff val="40000"/>
                </a:schemeClr>
              </a:solidFill>
              <a:ln>
                <a:solidFill>
                  <a:schemeClr val="accent3">
                    <a:lumMod val="60000"/>
                    <a:lumOff val="40000"/>
                  </a:schemeClr>
                </a:solidFill>
              </a:ln>
            </c:spPr>
            <c:extLst xmlns:c16r2="http://schemas.microsoft.com/office/drawing/2015/06/chart">
              <c:ext xmlns:c16="http://schemas.microsoft.com/office/drawing/2014/chart" uri="{C3380CC4-5D6E-409C-BE32-E72D297353CC}">
                <c16:uniqueId val="{00000015-9014-441D-BB35-9DC92B430D52}"/>
              </c:ext>
            </c:extLst>
          </c:dPt>
          <c:dPt>
            <c:idx val="14"/>
            <c:bubble3D val="0"/>
            <c:spPr>
              <a:pattFill prst="pct10">
                <a:fgClr>
                  <a:schemeClr val="accent3">
                    <a:lumMod val="60000"/>
                    <a:lumOff val="40000"/>
                  </a:schemeClr>
                </a:fgClr>
                <a:bgClr>
                  <a:schemeClr val="bg1"/>
                </a:bgClr>
              </a:pattFill>
              <a:ln>
                <a:solidFill>
                  <a:schemeClr val="accent3">
                    <a:lumMod val="60000"/>
                    <a:lumOff val="40000"/>
                  </a:schemeClr>
                </a:solidFill>
              </a:ln>
            </c:spPr>
            <c:extLst xmlns:c16r2="http://schemas.microsoft.com/office/drawing/2015/06/chart">
              <c:ext xmlns:c16="http://schemas.microsoft.com/office/drawing/2014/chart" uri="{C3380CC4-5D6E-409C-BE32-E72D297353CC}">
                <c16:uniqueId val="{00000017-9014-441D-BB35-9DC92B430D52}"/>
              </c:ext>
            </c:extLst>
          </c:dPt>
          <c:dPt>
            <c:idx val="15"/>
            <c:bubble3D val="0"/>
            <c:spPr>
              <a:solidFill>
                <a:schemeClr val="accent4">
                  <a:lumMod val="60000"/>
                  <a:lumOff val="40000"/>
                </a:schemeClr>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19-9014-441D-BB35-9DC92B430D52}"/>
              </c:ext>
            </c:extLst>
          </c:dPt>
          <c:dLbls>
            <c:dLbl>
              <c:idx val="0"/>
              <c:layout>
                <c:manualLayout>
                  <c:x val="8.2952546860845938E-2"/>
                  <c:y val="0.1117408357663157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9014-441D-BB35-9DC92B430D52}"/>
                </c:ext>
              </c:extLst>
            </c:dLbl>
            <c:dLbl>
              <c:idx val="1"/>
              <c:layout>
                <c:manualLayout>
                  <c:x val="1.4881564583188206E-2"/>
                  <c:y val="-0.10217493880680646"/>
                </c:manualLayout>
              </c:layout>
              <c:tx>
                <c:rich>
                  <a:bodyPr/>
                  <a:lstStyle/>
                  <a:p>
                    <a:r>
                      <a:rPr lang="en-US"/>
                      <a:t>Priemysel; </a:t>
                    </a:r>
                    <a:r>
                      <a:rPr lang="en-US">
                        <a:solidFill>
                          <a:schemeClr val="bg1"/>
                        </a:solidFill>
                      </a:rPr>
                      <a:t>22,6%</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9014-441D-BB35-9DC92B430D52}"/>
                </c:ext>
              </c:extLst>
            </c:dLbl>
            <c:dLbl>
              <c:idx val="2"/>
              <c:layout>
                <c:manualLayout>
                  <c:x val="0.12635393584651475"/>
                  <c:y val="-0.16162818130879708"/>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9014-441D-BB35-9DC92B430D52}"/>
                </c:ext>
              </c:extLst>
            </c:dLbl>
            <c:dLbl>
              <c:idx val="4"/>
              <c:layout>
                <c:manualLayout>
                  <c:x val="-2.0230320767426205E-2"/>
                  <c:y val="9.260520805685806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14-441D-BB35-9DC92B430D52}"/>
                </c:ext>
              </c:extLst>
            </c:dLbl>
            <c:dLbl>
              <c:idx val="5"/>
              <c:layout>
                <c:manualLayout>
                  <c:x val="-5.7543399995354565E-2"/>
                  <c:y val="6.6464360494264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14-441D-BB35-9DC92B430D52}"/>
                </c:ext>
              </c:extLst>
            </c:dLbl>
            <c:dLbl>
              <c:idx val="9"/>
              <c:layout>
                <c:manualLayout>
                  <c:x val="1.4068334378556662E-2"/>
                  <c:y val="-0.13405025214544816"/>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14-441D-BB35-9DC92B430D52}"/>
                </c:ext>
              </c:extLst>
            </c:dLbl>
            <c:dLbl>
              <c:idx val="10"/>
              <c:layout>
                <c:manualLayout>
                  <c:x val="-8.8449120851044063E-5"/>
                  <c:y val="-8.49623993630010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014-441D-BB35-9DC92B430D52}"/>
                </c:ext>
              </c:extLst>
            </c:dLbl>
            <c:dLbl>
              <c:idx val="11"/>
              <c:layout>
                <c:manualLayout>
                  <c:x val="-6.6394351603276383E-3"/>
                  <c:y val="-8.9527235021548291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014-441D-BB35-9DC92B430D52}"/>
                </c:ext>
              </c:extLst>
            </c:dLbl>
            <c:dLbl>
              <c:idx val="12"/>
              <c:layout>
                <c:manualLayout>
                  <c:x val="0"/>
                  <c:y val="6.881079679854837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014-441D-BB35-9DC92B430D52}"/>
                </c:ext>
              </c:extLst>
            </c:dLbl>
            <c:dLbl>
              <c:idx val="13"/>
              <c:layout>
                <c:manualLayout>
                  <c:x val="-7.6798550623649917E-2"/>
                  <c:y val="0.17824677814149648"/>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014-441D-BB35-9DC92B430D52}"/>
                </c:ext>
              </c:extLst>
            </c:dLbl>
            <c:dLbl>
              <c:idx val="14"/>
              <c:layout>
                <c:manualLayout>
                  <c:x val="-0.13055814925789144"/>
                  <c:y val="0.1358736618596832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014-441D-BB35-9DC92B430D52}"/>
                </c:ext>
              </c:extLst>
            </c:dLbl>
            <c:dLbl>
              <c:idx val="15"/>
              <c:layout>
                <c:manualLayout>
                  <c:x val="-4.3694423152858104E-2"/>
                  <c:y val="-2.486301571854080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014-441D-BB35-9DC92B430D52}"/>
                </c:ext>
              </c:extLst>
            </c:dLbl>
            <c:dLbl>
              <c:idx val="16"/>
              <c:tx>
                <c:rich>
                  <a:bodyPr/>
                  <a:lstStyle/>
                  <a:p>
                    <a:r>
                      <a:rPr lang="en-US"/>
                      <a:t>Služby; 66,3%</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9014-441D-BB35-9DC92B430D52}"/>
                </c:ext>
              </c:extLst>
            </c:dLbl>
            <c:numFmt formatCode="0.0%" sourceLinked="0"/>
            <c:spPr>
              <a:noFill/>
              <a:ln>
                <a:noFill/>
              </a:ln>
              <a:effectLst/>
            </c:sp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'podniková štatistika odvetvia'!$A$31:$A$46</c:f>
              <c:strCache>
                <c:ptCount val="16"/>
                <c:pt idx="0">
                  <c:v>Poľnohospodárstvo, lesníctvo a rybolov</c:v>
                </c:pt>
                <c:pt idx="1">
                  <c:v>Priemysel</c:v>
                </c:pt>
                <c:pt idx="2">
                  <c:v>Stavebníctvo</c:v>
                </c:pt>
                <c:pt idx="3">
                  <c:v>Veľkoobchod a maloobchod; oprava motorových vozidiel a motocyklov</c:v>
                </c:pt>
                <c:pt idx="4">
                  <c:v>Doprava a skladovanie</c:v>
                </c:pt>
                <c:pt idx="5">
                  <c:v>Ubytovacie a stravovacie služby</c:v>
                </c:pt>
                <c:pt idx="6">
                  <c:v>Informácie a komunikácia</c:v>
                </c:pt>
                <c:pt idx="7">
                  <c:v>Finančné a poisťovacie činnosti</c:v>
                </c:pt>
                <c:pt idx="8">
                  <c:v>Činnosti v oblasti nehnuteľností</c:v>
                </c:pt>
                <c:pt idx="9">
                  <c:v>Odborné, vedecké a technické činnosti</c:v>
                </c:pt>
                <c:pt idx="10">
                  <c:v>Administratívne a podporné služby</c:v>
                </c:pt>
                <c:pt idx="11">
                  <c:v>Verejná správa a obrana; povinné sociálne zabezpečenie</c:v>
                </c:pt>
                <c:pt idx="12">
                  <c:v>Vzdelávanie</c:v>
                </c:pt>
                <c:pt idx="13">
                  <c:v>Zdravotníctvo a sociálna pomoc</c:v>
                </c:pt>
                <c:pt idx="14">
                  <c:v>Umenie, zábava a rekreácia</c:v>
                </c:pt>
                <c:pt idx="15">
                  <c:v>Ostatné činnosti</c:v>
                </c:pt>
              </c:strCache>
            </c:strRef>
          </c:cat>
          <c:val>
            <c:numRef>
              <c:f>'podniková štatistika odvetvia'!$B$31:$B$46</c:f>
              <c:numCache>
                <c:formatCode>0.0%</c:formatCode>
                <c:ptCount val="16"/>
                <c:pt idx="0">
                  <c:v>4.157786067077595E-2</c:v>
                </c:pt>
                <c:pt idx="1">
                  <c:v>0.22600000000000001</c:v>
                </c:pt>
                <c:pt idx="2">
                  <c:v>6.9000000000000034E-2</c:v>
                </c:pt>
                <c:pt idx="3">
                  <c:v>0.161</c:v>
                </c:pt>
                <c:pt idx="4">
                  <c:v>6.4000000000000029E-2</c:v>
                </c:pt>
                <c:pt idx="5">
                  <c:v>2.5000000000000001E-2</c:v>
                </c:pt>
                <c:pt idx="6">
                  <c:v>2.8000000000000001E-2</c:v>
                </c:pt>
                <c:pt idx="7">
                  <c:v>1.9000000000000006E-2</c:v>
                </c:pt>
                <c:pt idx="8">
                  <c:v>1.0000000000000004E-2</c:v>
                </c:pt>
                <c:pt idx="9">
                  <c:v>4.5000000000000012E-2</c:v>
                </c:pt>
                <c:pt idx="10">
                  <c:v>6.1000000000000013E-2</c:v>
                </c:pt>
                <c:pt idx="11">
                  <c:v>6.5000000000000002E-2</c:v>
                </c:pt>
                <c:pt idx="12">
                  <c:v>7.3000000000000009E-2</c:v>
                </c:pt>
                <c:pt idx="13">
                  <c:v>6.7000000000000004E-2</c:v>
                </c:pt>
                <c:pt idx="14">
                  <c:v>2.1999999999999999E-2</c:v>
                </c:pt>
                <c:pt idx="15">
                  <c:v>2.3E-2</c:v>
                </c:pt>
              </c:numCache>
            </c:numRef>
          </c:val>
          <c:extLst xmlns:c16r2="http://schemas.microsoft.com/office/drawing/2015/06/chart">
            <c:ext xmlns:c16="http://schemas.microsoft.com/office/drawing/2014/chart" uri="{C3380CC4-5D6E-409C-BE32-E72D297353CC}">
              <c16:uniqueId val="{0000001E-9014-441D-BB35-9DC92B430D52}"/>
            </c:ext>
          </c:extLst>
        </c:ser>
        <c:dLbls>
          <c:showLegendKey val="0"/>
          <c:showVal val="0"/>
          <c:showCatName val="1"/>
          <c:showSerName val="0"/>
          <c:showPercent val="1"/>
          <c:showBubbleSize val="0"/>
          <c:showLeaderLines val="1"/>
        </c:dLbls>
        <c:gapWidth val="100"/>
        <c:splitType val="pos"/>
        <c:splitPos val="13"/>
        <c:secondPieSize val="61"/>
        <c:serLines/>
      </c:ofPieChart>
    </c:plotArea>
    <c:plotVisOnly val="1"/>
    <c:dispBlanksAs val="zero"/>
    <c:showDLblsOverMax val="0"/>
  </c:chart>
  <c:spPr>
    <a:ln>
      <a:noFill/>
    </a:ln>
  </c:spPr>
  <c:txPr>
    <a:bodyPr/>
    <a:lstStyle/>
    <a:p>
      <a:pPr>
        <a:defRPr sz="750" baseline="0">
          <a:latin typeface="Times New Roman" panose="02020603050405020304"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'roky a mesiace'!$B$20</c:f>
              <c:strCache>
                <c:ptCount val="1"/>
                <c:pt idx="0">
                  <c:v>Počet nezamestnaných (ŠÚ SR)</c:v>
                </c:pt>
              </c:strCache>
            </c:strRef>
          </c:tx>
          <c:spPr>
            <a:solidFill>
              <a:schemeClr val="accent3">
                <a:lumMod val="50000"/>
              </a:schemeClr>
            </a:solidFill>
          </c:spPr>
          <c:invertIfNegative val="0"/>
          <c:cat>
            <c:strRef>
              <c:f>'roky a mesiace'!$G$19:$Z$19</c:f>
              <c:strCache>
                <c:ptCount val="20"/>
                <c:pt idx="0">
                  <c:v>1.Q. 2011</c:v>
                </c:pt>
                <c:pt idx="1">
                  <c:v>2.Q.2011</c:v>
                </c:pt>
                <c:pt idx="2">
                  <c:v>3.Q. 2011</c:v>
                </c:pt>
                <c:pt idx="3">
                  <c:v>4.Q.2011</c:v>
                </c:pt>
                <c:pt idx="4">
                  <c:v>1.Q. 2012</c:v>
                </c:pt>
                <c:pt idx="5">
                  <c:v>2.Q.2012</c:v>
                </c:pt>
                <c:pt idx="6">
                  <c:v>3.Q. 2012</c:v>
                </c:pt>
                <c:pt idx="7">
                  <c:v>4.Q.2012</c:v>
                </c:pt>
                <c:pt idx="8">
                  <c:v>1.Q. 2013</c:v>
                </c:pt>
                <c:pt idx="9">
                  <c:v>2.Q.2013</c:v>
                </c:pt>
                <c:pt idx="10">
                  <c:v>3.Q. 2013</c:v>
                </c:pt>
                <c:pt idx="11">
                  <c:v>4.Q.2013</c:v>
                </c:pt>
                <c:pt idx="12">
                  <c:v>1.Q. 2014</c:v>
                </c:pt>
                <c:pt idx="13">
                  <c:v>2.Q.2014</c:v>
                </c:pt>
                <c:pt idx="14">
                  <c:v>3.Q. 2014</c:v>
                </c:pt>
                <c:pt idx="15">
                  <c:v>4.Q.2014</c:v>
                </c:pt>
                <c:pt idx="16">
                  <c:v>1.Q. 2015</c:v>
                </c:pt>
                <c:pt idx="17">
                  <c:v>2.Q.2015</c:v>
                </c:pt>
                <c:pt idx="18">
                  <c:v>3.Q. 2015</c:v>
                </c:pt>
                <c:pt idx="19">
                  <c:v>4.Q.2015</c:v>
                </c:pt>
              </c:strCache>
            </c:strRef>
          </c:cat>
          <c:val>
            <c:numRef>
              <c:f>'roky a mesiace'!$G$20:$Z$20</c:f>
              <c:numCache>
                <c:formatCode>General</c:formatCode>
                <c:ptCount val="20"/>
                <c:pt idx="0">
                  <c:v>372.2</c:v>
                </c:pt>
                <c:pt idx="1">
                  <c:v>353.2</c:v>
                </c:pt>
                <c:pt idx="2">
                  <c:v>354.6</c:v>
                </c:pt>
                <c:pt idx="3">
                  <c:v>378.5</c:v>
                </c:pt>
                <c:pt idx="4">
                  <c:v>380.3</c:v>
                </c:pt>
                <c:pt idx="5">
                  <c:v>368</c:v>
                </c:pt>
                <c:pt idx="6">
                  <c:v>371.3</c:v>
                </c:pt>
                <c:pt idx="7">
                  <c:v>390.4</c:v>
                </c:pt>
                <c:pt idx="8">
                  <c:v>395.5</c:v>
                </c:pt>
                <c:pt idx="9">
                  <c:v>380</c:v>
                </c:pt>
                <c:pt idx="10">
                  <c:v>382</c:v>
                </c:pt>
                <c:pt idx="11">
                  <c:v>386</c:v>
                </c:pt>
                <c:pt idx="12">
                  <c:v>382.9</c:v>
                </c:pt>
                <c:pt idx="13">
                  <c:v>356.4</c:v>
                </c:pt>
                <c:pt idx="14">
                  <c:v>350.6</c:v>
                </c:pt>
                <c:pt idx="15">
                  <c:v>344.8</c:v>
                </c:pt>
                <c:pt idx="16">
                  <c:v>339</c:v>
                </c:pt>
                <c:pt idx="17">
                  <c:v>305.5</c:v>
                </c:pt>
                <c:pt idx="18">
                  <c:v>309.8</c:v>
                </c:pt>
                <c:pt idx="19">
                  <c:v>302.7</c:v>
                </c:pt>
              </c:numCache>
            </c:numRef>
          </c:val>
          <c:extLst xmlns:c16r2="http://schemas.microsoft.com/office/drawing/2015/06/chart">
            <c:ext xmlns:c16="http://schemas.microsoft.com/office/drawing/2014/chart" uri="{C3380CC4-5D6E-409C-BE32-E72D297353CC}">
              <c16:uniqueId val="{00000000-0E8A-4D46-8D94-0A1A86FC45A8}"/>
            </c:ext>
          </c:extLst>
        </c:ser>
        <c:ser>
          <c:idx val="1"/>
          <c:order val="1"/>
          <c:tx>
            <c:strRef>
              <c:f>'roky a mesiace'!$B$21</c:f>
              <c:strCache>
                <c:ptCount val="1"/>
                <c:pt idx="0">
                  <c:v>Počet nezamestnaných (ÚPSVR)</c:v>
                </c:pt>
              </c:strCache>
            </c:strRef>
          </c:tx>
          <c:spPr>
            <a:solidFill>
              <a:schemeClr val="accent2"/>
            </a:solidFill>
          </c:spPr>
          <c:invertIfNegative val="0"/>
          <c:cat>
            <c:strRef>
              <c:f>'roky a mesiace'!$G$19:$Z$19</c:f>
              <c:strCache>
                <c:ptCount val="20"/>
                <c:pt idx="0">
                  <c:v>1.Q. 2011</c:v>
                </c:pt>
                <c:pt idx="1">
                  <c:v>2.Q.2011</c:v>
                </c:pt>
                <c:pt idx="2">
                  <c:v>3.Q. 2011</c:v>
                </c:pt>
                <c:pt idx="3">
                  <c:v>4.Q.2011</c:v>
                </c:pt>
                <c:pt idx="4">
                  <c:v>1.Q. 2012</c:v>
                </c:pt>
                <c:pt idx="5">
                  <c:v>2.Q.2012</c:v>
                </c:pt>
                <c:pt idx="6">
                  <c:v>3.Q. 2012</c:v>
                </c:pt>
                <c:pt idx="7">
                  <c:v>4.Q.2012</c:v>
                </c:pt>
                <c:pt idx="8">
                  <c:v>1.Q. 2013</c:v>
                </c:pt>
                <c:pt idx="9">
                  <c:v>2.Q.2013</c:v>
                </c:pt>
                <c:pt idx="10">
                  <c:v>3.Q. 2013</c:v>
                </c:pt>
                <c:pt idx="11">
                  <c:v>4.Q.2013</c:v>
                </c:pt>
                <c:pt idx="12">
                  <c:v>1.Q. 2014</c:v>
                </c:pt>
                <c:pt idx="13">
                  <c:v>2.Q.2014</c:v>
                </c:pt>
                <c:pt idx="14">
                  <c:v>3.Q. 2014</c:v>
                </c:pt>
                <c:pt idx="15">
                  <c:v>4.Q.2014</c:v>
                </c:pt>
                <c:pt idx="16">
                  <c:v>1.Q. 2015</c:v>
                </c:pt>
                <c:pt idx="17">
                  <c:v>2.Q.2015</c:v>
                </c:pt>
                <c:pt idx="18">
                  <c:v>3.Q. 2015</c:v>
                </c:pt>
                <c:pt idx="19">
                  <c:v>4.Q.2015</c:v>
                </c:pt>
              </c:strCache>
            </c:strRef>
          </c:cat>
          <c:val>
            <c:numRef>
              <c:f>'roky a mesiace'!$G$21:$Z$21</c:f>
              <c:numCache>
                <c:formatCode>0.0</c:formatCode>
                <c:ptCount val="20"/>
                <c:pt idx="0">
                  <c:v>393.18833333333345</c:v>
                </c:pt>
                <c:pt idx="1">
                  <c:v>382.48833333333334</c:v>
                </c:pt>
                <c:pt idx="2">
                  <c:v>387.02866666666671</c:v>
                </c:pt>
                <c:pt idx="3">
                  <c:v>394.34899999999999</c:v>
                </c:pt>
                <c:pt idx="4">
                  <c:v>409.69299999999993</c:v>
                </c:pt>
                <c:pt idx="5">
                  <c:v>395.31366666666679</c:v>
                </c:pt>
                <c:pt idx="6">
                  <c:v>399.99599999999975</c:v>
                </c:pt>
                <c:pt idx="7">
                  <c:v>418.553</c:v>
                </c:pt>
                <c:pt idx="8">
                  <c:v>434.63766666666686</c:v>
                </c:pt>
                <c:pt idx="9">
                  <c:v>418.54700000000008</c:v>
                </c:pt>
                <c:pt idx="10">
                  <c:v>406.5263333333333</c:v>
                </c:pt>
                <c:pt idx="11">
                  <c:v>400.31400000000002</c:v>
                </c:pt>
                <c:pt idx="12">
                  <c:v>400.40533333333332</c:v>
                </c:pt>
                <c:pt idx="13">
                  <c:v>386.75766666666686</c:v>
                </c:pt>
                <c:pt idx="14">
                  <c:v>380.8966666666667</c:v>
                </c:pt>
                <c:pt idx="15">
                  <c:v>374.58333333333331</c:v>
                </c:pt>
                <c:pt idx="16">
                  <c:v>375.16066666666683</c:v>
                </c:pt>
                <c:pt idx="17">
                  <c:v>355.32100000000003</c:v>
                </c:pt>
                <c:pt idx="18">
                  <c:v>349.30966666666683</c:v>
                </c:pt>
                <c:pt idx="19">
                  <c:v>338.53633333333335</c:v>
                </c:pt>
              </c:numCache>
            </c:numRef>
          </c:val>
          <c:extLst xmlns:c16r2="http://schemas.microsoft.com/office/drawing/2015/06/chart">
            <c:ext xmlns:c16="http://schemas.microsoft.com/office/drawing/2014/chart" uri="{C3380CC4-5D6E-409C-BE32-E72D297353CC}">
              <c16:uniqueId val="{00000001-0E8A-4D46-8D94-0A1A86FC45A8}"/>
            </c:ext>
          </c:extLst>
        </c:ser>
        <c:dLbls>
          <c:showLegendKey val="0"/>
          <c:showVal val="0"/>
          <c:showCatName val="0"/>
          <c:showSerName val="0"/>
          <c:showPercent val="0"/>
          <c:showBubbleSize val="0"/>
        </c:dLbls>
        <c:gapWidth val="183"/>
        <c:axId val="216077824"/>
        <c:axId val="216092672"/>
      </c:barChart>
      <c:lineChart>
        <c:grouping val="standard"/>
        <c:varyColors val="0"/>
        <c:ser>
          <c:idx val="2"/>
          <c:order val="2"/>
          <c:tx>
            <c:strRef>
              <c:f>'roky a mesiace'!$B$22</c:f>
              <c:strCache>
                <c:ptCount val="1"/>
                <c:pt idx="0">
                  <c:v>Miera nezamestnanosti (ŠÚ SR)</c:v>
                </c:pt>
              </c:strCache>
            </c:strRef>
          </c:tx>
          <c:spPr>
            <a:ln>
              <a:solidFill>
                <a:schemeClr val="accent3">
                  <a:lumMod val="50000"/>
                </a:schemeClr>
              </a:solidFill>
            </a:ln>
          </c:spPr>
          <c:marker>
            <c:symbol val="triangle"/>
            <c:size val="5"/>
            <c:spPr>
              <a:solidFill>
                <a:schemeClr val="bg1"/>
              </a:solidFill>
              <a:ln>
                <a:solidFill>
                  <a:schemeClr val="accent3">
                    <a:lumMod val="50000"/>
                  </a:schemeClr>
                </a:solidFill>
              </a:ln>
            </c:spPr>
          </c:marker>
          <c:cat>
            <c:strRef>
              <c:f>'roky a mesiace'!$G$19:$Z$19</c:f>
              <c:strCache>
                <c:ptCount val="20"/>
                <c:pt idx="0">
                  <c:v>1.Q. 2011</c:v>
                </c:pt>
                <c:pt idx="1">
                  <c:v>2.Q.2011</c:v>
                </c:pt>
                <c:pt idx="2">
                  <c:v>3.Q. 2011</c:v>
                </c:pt>
                <c:pt idx="3">
                  <c:v>4.Q.2011</c:v>
                </c:pt>
                <c:pt idx="4">
                  <c:v>1.Q. 2012</c:v>
                </c:pt>
                <c:pt idx="5">
                  <c:v>2.Q.2012</c:v>
                </c:pt>
                <c:pt idx="6">
                  <c:v>3.Q. 2012</c:v>
                </c:pt>
                <c:pt idx="7">
                  <c:v>4.Q.2012</c:v>
                </c:pt>
                <c:pt idx="8">
                  <c:v>1.Q. 2013</c:v>
                </c:pt>
                <c:pt idx="9">
                  <c:v>2.Q.2013</c:v>
                </c:pt>
                <c:pt idx="10">
                  <c:v>3.Q. 2013</c:v>
                </c:pt>
                <c:pt idx="11">
                  <c:v>4.Q.2013</c:v>
                </c:pt>
                <c:pt idx="12">
                  <c:v>1.Q. 2014</c:v>
                </c:pt>
                <c:pt idx="13">
                  <c:v>2.Q.2014</c:v>
                </c:pt>
                <c:pt idx="14">
                  <c:v>3.Q. 2014</c:v>
                </c:pt>
                <c:pt idx="15">
                  <c:v>4.Q.2014</c:v>
                </c:pt>
                <c:pt idx="16">
                  <c:v>1.Q. 2015</c:v>
                </c:pt>
                <c:pt idx="17">
                  <c:v>2.Q.2015</c:v>
                </c:pt>
                <c:pt idx="18">
                  <c:v>3.Q. 2015</c:v>
                </c:pt>
                <c:pt idx="19">
                  <c:v>4.Q.2015</c:v>
                </c:pt>
              </c:strCache>
            </c:strRef>
          </c:cat>
          <c:val>
            <c:numRef>
              <c:f>'roky a mesiace'!$G$22:$Z$22</c:f>
              <c:numCache>
                <c:formatCode>General</c:formatCode>
                <c:ptCount val="20"/>
                <c:pt idx="0">
                  <c:v>13.9</c:v>
                </c:pt>
                <c:pt idx="1">
                  <c:v>13.2</c:v>
                </c:pt>
                <c:pt idx="2">
                  <c:v>13.2</c:v>
                </c:pt>
                <c:pt idx="3">
                  <c:v>14</c:v>
                </c:pt>
                <c:pt idx="4">
                  <c:v>14.1</c:v>
                </c:pt>
                <c:pt idx="5">
                  <c:v>13.6</c:v>
                </c:pt>
                <c:pt idx="6">
                  <c:v>13.7</c:v>
                </c:pt>
                <c:pt idx="7">
                  <c:v>14.4</c:v>
                </c:pt>
                <c:pt idx="8">
                  <c:v>14.5</c:v>
                </c:pt>
                <c:pt idx="9">
                  <c:v>14</c:v>
                </c:pt>
                <c:pt idx="10">
                  <c:v>14.1</c:v>
                </c:pt>
                <c:pt idx="11">
                  <c:v>14.2</c:v>
                </c:pt>
                <c:pt idx="12">
                  <c:v>14.1</c:v>
                </c:pt>
                <c:pt idx="13">
                  <c:v>13.2</c:v>
                </c:pt>
                <c:pt idx="14">
                  <c:v>12.9</c:v>
                </c:pt>
                <c:pt idx="15">
                  <c:v>12.6</c:v>
                </c:pt>
                <c:pt idx="16">
                  <c:v>12.4</c:v>
                </c:pt>
                <c:pt idx="17">
                  <c:v>11.2</c:v>
                </c:pt>
                <c:pt idx="18">
                  <c:v>11.3</c:v>
                </c:pt>
                <c:pt idx="19">
                  <c:v>11</c:v>
                </c:pt>
              </c:numCache>
            </c:numRef>
          </c:val>
          <c:smooth val="0"/>
          <c:extLst xmlns:c16r2="http://schemas.microsoft.com/office/drawing/2015/06/chart">
            <c:ext xmlns:c16="http://schemas.microsoft.com/office/drawing/2014/chart" uri="{C3380CC4-5D6E-409C-BE32-E72D297353CC}">
              <c16:uniqueId val="{00000002-0E8A-4D46-8D94-0A1A86FC45A8}"/>
            </c:ext>
          </c:extLst>
        </c:ser>
        <c:ser>
          <c:idx val="3"/>
          <c:order val="3"/>
          <c:tx>
            <c:strRef>
              <c:f>'roky a mesiace'!$B$23</c:f>
              <c:strCache>
                <c:ptCount val="1"/>
                <c:pt idx="0">
                  <c:v>Miera nezamestnanosti (ÚPSVR)</c:v>
                </c:pt>
              </c:strCache>
            </c:strRef>
          </c:tx>
          <c:spPr>
            <a:ln>
              <a:solidFill>
                <a:schemeClr val="accent2"/>
              </a:solidFill>
            </a:ln>
          </c:spPr>
          <c:marker>
            <c:symbol val="triangle"/>
            <c:size val="5"/>
            <c:spPr>
              <a:solidFill>
                <a:schemeClr val="bg1"/>
              </a:solidFill>
            </c:spPr>
          </c:marker>
          <c:cat>
            <c:strRef>
              <c:f>'roky a mesiace'!$G$19:$Z$19</c:f>
              <c:strCache>
                <c:ptCount val="20"/>
                <c:pt idx="0">
                  <c:v>1.Q. 2011</c:v>
                </c:pt>
                <c:pt idx="1">
                  <c:v>2.Q.2011</c:v>
                </c:pt>
                <c:pt idx="2">
                  <c:v>3.Q. 2011</c:v>
                </c:pt>
                <c:pt idx="3">
                  <c:v>4.Q.2011</c:v>
                </c:pt>
                <c:pt idx="4">
                  <c:v>1.Q. 2012</c:v>
                </c:pt>
                <c:pt idx="5">
                  <c:v>2.Q.2012</c:v>
                </c:pt>
                <c:pt idx="6">
                  <c:v>3.Q. 2012</c:v>
                </c:pt>
                <c:pt idx="7">
                  <c:v>4.Q.2012</c:v>
                </c:pt>
                <c:pt idx="8">
                  <c:v>1.Q. 2013</c:v>
                </c:pt>
                <c:pt idx="9">
                  <c:v>2.Q.2013</c:v>
                </c:pt>
                <c:pt idx="10">
                  <c:v>3.Q. 2013</c:v>
                </c:pt>
                <c:pt idx="11">
                  <c:v>4.Q.2013</c:v>
                </c:pt>
                <c:pt idx="12">
                  <c:v>1.Q. 2014</c:v>
                </c:pt>
                <c:pt idx="13">
                  <c:v>2.Q.2014</c:v>
                </c:pt>
                <c:pt idx="14">
                  <c:v>3.Q. 2014</c:v>
                </c:pt>
                <c:pt idx="15">
                  <c:v>4.Q.2014</c:v>
                </c:pt>
                <c:pt idx="16">
                  <c:v>1.Q. 2015</c:v>
                </c:pt>
                <c:pt idx="17">
                  <c:v>2.Q.2015</c:v>
                </c:pt>
                <c:pt idx="18">
                  <c:v>3.Q. 2015</c:v>
                </c:pt>
                <c:pt idx="19">
                  <c:v>4.Q.2015</c:v>
                </c:pt>
              </c:strCache>
            </c:strRef>
          </c:cat>
          <c:val>
            <c:numRef>
              <c:f>'roky a mesiace'!$G$23:$Z$23</c:f>
              <c:numCache>
                <c:formatCode>0.0</c:formatCode>
                <c:ptCount val="20"/>
                <c:pt idx="0">
                  <c:v>13.090000000000002</c:v>
                </c:pt>
                <c:pt idx="1">
                  <c:v>12.920000000000002</c:v>
                </c:pt>
                <c:pt idx="2">
                  <c:v>13.186666666666671</c:v>
                </c:pt>
                <c:pt idx="3">
                  <c:v>13.43</c:v>
                </c:pt>
                <c:pt idx="4">
                  <c:v>13.713333333333333</c:v>
                </c:pt>
                <c:pt idx="5">
                  <c:v>13.31</c:v>
                </c:pt>
                <c:pt idx="6">
                  <c:v>13.3</c:v>
                </c:pt>
                <c:pt idx="7">
                  <c:v>14.023333333333333</c:v>
                </c:pt>
                <c:pt idx="8">
                  <c:v>14.729999999999999</c:v>
                </c:pt>
                <c:pt idx="9">
                  <c:v>14.306666666666672</c:v>
                </c:pt>
                <c:pt idx="10">
                  <c:v>13.843333333333334</c:v>
                </c:pt>
                <c:pt idx="11">
                  <c:v>13.553333333333336</c:v>
                </c:pt>
                <c:pt idx="12">
                  <c:v>13.46</c:v>
                </c:pt>
                <c:pt idx="13">
                  <c:v>12.846666666666671</c:v>
                </c:pt>
                <c:pt idx="14">
                  <c:v>12.556666666666672</c:v>
                </c:pt>
                <c:pt idx="15">
                  <c:v>12.29666666666667</c:v>
                </c:pt>
                <c:pt idx="16">
                  <c:v>12.256666666666673</c:v>
                </c:pt>
                <c:pt idx="17">
                  <c:v>11.57</c:v>
                </c:pt>
                <c:pt idx="18">
                  <c:v>11.386666666666674</c:v>
                </c:pt>
                <c:pt idx="19">
                  <c:v>10.793333333333335</c:v>
                </c:pt>
              </c:numCache>
            </c:numRef>
          </c:val>
          <c:smooth val="0"/>
          <c:extLst xmlns:c16r2="http://schemas.microsoft.com/office/drawing/2015/06/chart">
            <c:ext xmlns:c16="http://schemas.microsoft.com/office/drawing/2014/chart" uri="{C3380CC4-5D6E-409C-BE32-E72D297353CC}">
              <c16:uniqueId val="{00000003-0E8A-4D46-8D94-0A1A86FC45A8}"/>
            </c:ext>
          </c:extLst>
        </c:ser>
        <c:dLbls>
          <c:showLegendKey val="0"/>
          <c:showVal val="0"/>
          <c:showCatName val="0"/>
          <c:showSerName val="0"/>
          <c:showPercent val="0"/>
          <c:showBubbleSize val="0"/>
        </c:dLbls>
        <c:marker val="1"/>
        <c:smooth val="0"/>
        <c:axId val="216096768"/>
        <c:axId val="216094592"/>
      </c:lineChart>
      <c:catAx>
        <c:axId val="216077824"/>
        <c:scaling>
          <c:orientation val="minMax"/>
        </c:scaling>
        <c:delete val="0"/>
        <c:axPos val="b"/>
        <c:title>
          <c:tx>
            <c:rich>
              <a:bodyPr/>
              <a:lstStyle/>
              <a:p>
                <a:pPr>
                  <a:defRPr/>
                </a:pPr>
                <a:r>
                  <a:rPr lang="en-US"/>
                  <a:t>obdobie</a:t>
                </a:r>
              </a:p>
            </c:rich>
          </c:tx>
          <c:layout>
            <c:manualLayout>
              <c:xMode val="edge"/>
              <c:yMode val="edge"/>
              <c:x val="0.47521338877763358"/>
              <c:y val="0.91331495736405"/>
            </c:manualLayout>
          </c:layout>
          <c:overlay val="0"/>
        </c:title>
        <c:numFmt formatCode="General" sourceLinked="1"/>
        <c:majorTickMark val="none"/>
        <c:minorTickMark val="none"/>
        <c:tickLblPos val="nextTo"/>
        <c:txPr>
          <a:bodyPr rot="-5400000" vert="horz"/>
          <a:lstStyle/>
          <a:p>
            <a:pPr>
              <a:defRPr/>
            </a:pPr>
            <a:endParaRPr lang="sk-SK"/>
          </a:p>
        </c:txPr>
        <c:crossAx val="216092672"/>
        <c:crosses val="autoZero"/>
        <c:auto val="1"/>
        <c:lblAlgn val="ctr"/>
        <c:lblOffset val="100"/>
        <c:noMultiLvlLbl val="0"/>
      </c:catAx>
      <c:valAx>
        <c:axId val="216092672"/>
        <c:scaling>
          <c:orientation val="minMax"/>
          <c:max val="460"/>
          <c:min val="300"/>
        </c:scaling>
        <c:delete val="0"/>
        <c:axPos val="l"/>
        <c:majorGridlines/>
        <c:minorGridlines>
          <c:spPr>
            <a:ln>
              <a:noFill/>
            </a:ln>
          </c:spPr>
        </c:minorGridlines>
        <c:title>
          <c:tx>
            <c:rich>
              <a:bodyPr/>
              <a:lstStyle/>
              <a:p>
                <a:pPr>
                  <a:defRPr/>
                </a:pPr>
                <a:r>
                  <a:rPr lang="sk-SK"/>
                  <a:t>v tis. osôb</a:t>
                </a:r>
              </a:p>
            </c:rich>
          </c:tx>
          <c:overlay val="0"/>
        </c:title>
        <c:numFmt formatCode="General" sourceLinked="1"/>
        <c:majorTickMark val="out"/>
        <c:minorTickMark val="none"/>
        <c:tickLblPos val="nextTo"/>
        <c:crossAx val="216077824"/>
        <c:crosses val="autoZero"/>
        <c:crossBetween val="between"/>
      </c:valAx>
      <c:valAx>
        <c:axId val="216094592"/>
        <c:scaling>
          <c:orientation val="minMax"/>
          <c:max val="16"/>
          <c:min val="10"/>
        </c:scaling>
        <c:delete val="0"/>
        <c:axPos val="r"/>
        <c:numFmt formatCode="0.0%" sourceLinked="0"/>
        <c:majorTickMark val="out"/>
        <c:minorTickMark val="none"/>
        <c:tickLblPos val="nextTo"/>
        <c:crossAx val="216096768"/>
        <c:crosses val="max"/>
        <c:crossBetween val="between"/>
        <c:majorUnit val="0.5"/>
        <c:dispUnits>
          <c:builtInUnit val="hundreds"/>
        </c:dispUnits>
      </c:valAx>
      <c:catAx>
        <c:axId val="216096768"/>
        <c:scaling>
          <c:orientation val="minMax"/>
        </c:scaling>
        <c:delete val="1"/>
        <c:axPos val="b"/>
        <c:numFmt formatCode="General" sourceLinked="1"/>
        <c:majorTickMark val="out"/>
        <c:minorTickMark val="none"/>
        <c:tickLblPos val="none"/>
        <c:crossAx val="216094592"/>
        <c:crosses val="autoZero"/>
        <c:auto val="1"/>
        <c:lblAlgn val="ctr"/>
        <c:lblOffset val="100"/>
        <c:noMultiLvlLbl val="0"/>
      </c:catAx>
    </c:plotArea>
    <c:legend>
      <c:legendPos val="t"/>
      <c:layout>
        <c:manualLayout>
          <c:xMode val="edge"/>
          <c:yMode val="edge"/>
          <c:x val="7.4092904790445613E-2"/>
          <c:y val="5.8154169151309505E-2"/>
          <c:w val="0.82734788089118794"/>
          <c:h val="0.14208096588204744"/>
        </c:manualLayout>
      </c:layout>
      <c:overlay val="1"/>
    </c:legend>
    <c:plotVisOnly val="1"/>
    <c:dispBlanksAs val="gap"/>
    <c:showDLblsOverMax val="0"/>
  </c:chart>
  <c:spPr>
    <a:ln>
      <a:noFill/>
    </a:ln>
  </c:spPr>
  <c:txPr>
    <a:bodyPr/>
    <a:lstStyle/>
    <a:p>
      <a:pPr>
        <a:defRPr sz="1000" baseline="0">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0144103371652"/>
          <c:y val="5.1867839677685428E-2"/>
          <c:w val="0.84458672404730339"/>
          <c:h val="0.71869288094909889"/>
        </c:manualLayout>
      </c:layout>
      <c:barChart>
        <c:barDir val="col"/>
        <c:grouping val="clustered"/>
        <c:varyColors val="0"/>
        <c:ser>
          <c:idx val="0"/>
          <c:order val="0"/>
          <c:tx>
            <c:v>UoZ celkom 2014</c:v>
          </c:tx>
          <c:spPr>
            <a:solidFill>
              <a:schemeClr val="accent1"/>
            </a:solidFill>
            <a:ln w="12700">
              <a:noFill/>
              <a:prstDash val="solid"/>
            </a:ln>
          </c:spPr>
          <c:invertIfNegative val="0"/>
          <c:cat>
            <c:strRef>
              <c:f>'roky a mesiace'!$C$49:$C$60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'roky a mesiace'!$H$49:$H$60</c:f>
              <c:numCache>
                <c:formatCode>General</c:formatCode>
                <c:ptCount val="12"/>
                <c:pt idx="0">
                  <c:v>402124</c:v>
                </c:pt>
                <c:pt idx="1">
                  <c:v>401876</c:v>
                </c:pt>
                <c:pt idx="2">
                  <c:v>397216</c:v>
                </c:pt>
                <c:pt idx="3">
                  <c:v>390272</c:v>
                </c:pt>
                <c:pt idx="4">
                  <c:v>385176</c:v>
                </c:pt>
                <c:pt idx="5">
                  <c:v>384825</c:v>
                </c:pt>
                <c:pt idx="6">
                  <c:v>384002</c:v>
                </c:pt>
                <c:pt idx="7">
                  <c:v>380668</c:v>
                </c:pt>
                <c:pt idx="8">
                  <c:v>378020</c:v>
                </c:pt>
                <c:pt idx="9">
                  <c:v>375978</c:v>
                </c:pt>
                <c:pt idx="10">
                  <c:v>374018</c:v>
                </c:pt>
                <c:pt idx="11">
                  <c:v>373754</c:v>
                </c:pt>
              </c:numCache>
            </c:numRef>
          </c:val>
          <c:extLst xmlns:c16r2="http://schemas.microsoft.com/office/drawing/2015/06/chart">
            <c:ext xmlns:c16="http://schemas.microsoft.com/office/drawing/2014/chart" uri="{C3380CC4-5D6E-409C-BE32-E72D297353CC}">
              <c16:uniqueId val="{00000000-83A4-4F08-BFAE-D50127A49A4E}"/>
            </c:ext>
          </c:extLst>
        </c:ser>
        <c:ser>
          <c:idx val="1"/>
          <c:order val="1"/>
          <c:tx>
            <c:v>UoZ celkom 2015</c:v>
          </c:tx>
          <c:spPr>
            <a:solidFill>
              <a:schemeClr val="accent2"/>
            </a:solidFill>
            <a:ln w="12700">
              <a:noFill/>
              <a:prstDash val="solid"/>
            </a:ln>
          </c:spPr>
          <c:invertIfNegative val="0"/>
          <c:cat>
            <c:strRef>
              <c:f>'roky a mesiace'!$C$49:$C$60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'roky a mesiace'!$I$49:$I$60</c:f>
              <c:numCache>
                <c:formatCode>General</c:formatCode>
                <c:ptCount val="12"/>
                <c:pt idx="0">
                  <c:v>379757</c:v>
                </c:pt>
                <c:pt idx="1">
                  <c:v>376270</c:v>
                </c:pt>
                <c:pt idx="2">
                  <c:v>369455</c:v>
                </c:pt>
                <c:pt idx="3">
                  <c:v>359977</c:v>
                </c:pt>
                <c:pt idx="4">
                  <c:v>352142</c:v>
                </c:pt>
                <c:pt idx="5">
                  <c:v>353844</c:v>
                </c:pt>
                <c:pt idx="6">
                  <c:v>351821</c:v>
                </c:pt>
                <c:pt idx="7">
                  <c:v>346971</c:v>
                </c:pt>
                <c:pt idx="8">
                  <c:v>349137</c:v>
                </c:pt>
                <c:pt idx="9">
                  <c:v>344199</c:v>
                </c:pt>
                <c:pt idx="10">
                  <c:v>337031</c:v>
                </c:pt>
                <c:pt idx="11">
                  <c:v>334379</c:v>
                </c:pt>
              </c:numCache>
            </c:numRef>
          </c:val>
          <c:extLst xmlns:c16r2="http://schemas.microsoft.com/office/drawing/2015/06/chart">
            <c:ext xmlns:c16="http://schemas.microsoft.com/office/drawing/2014/chart" uri="{C3380CC4-5D6E-409C-BE32-E72D297353CC}">
              <c16:uniqueId val="{00000001-83A4-4F08-BFAE-D50127A49A4E}"/>
            </c:ext>
          </c:extLst>
        </c:ser>
        <c:dLbls>
          <c:showLegendKey val="0"/>
          <c:showVal val="0"/>
          <c:showCatName val="0"/>
          <c:showSerName val="0"/>
          <c:showPercent val="0"/>
          <c:showBubbleSize val="0"/>
        </c:dLbls>
        <c:gapWidth val="150"/>
        <c:axId val="216131072"/>
        <c:axId val="216132608"/>
      </c:barChart>
      <c:catAx>
        <c:axId val="21613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2100000" vert="horz"/>
          <a:lstStyle/>
          <a:p>
            <a:pPr>
              <a:defRPr sz="1000"/>
            </a:pPr>
            <a:endParaRPr lang="sk-SK"/>
          </a:p>
        </c:txPr>
        <c:crossAx val="216132608"/>
        <c:crosses val="autoZero"/>
        <c:auto val="1"/>
        <c:lblAlgn val="ctr"/>
        <c:lblOffset val="100"/>
        <c:tickMarkSkip val="1"/>
        <c:noMultiLvlLbl val="0"/>
      </c:catAx>
      <c:valAx>
        <c:axId val="216132608"/>
        <c:scaling>
          <c:orientation val="minMax"/>
          <c:min val="300000"/>
        </c:scaling>
        <c:delete val="0"/>
        <c:axPos val="l"/>
        <c:majorGridlines>
          <c:spPr>
            <a:ln w="3175">
              <a:solidFill>
                <a:srgbClr val="000000">
                  <a:alpha val="64000"/>
                </a:srgbClr>
              </a:solidFill>
              <a:prstDash val="solid"/>
            </a:ln>
          </c:spPr>
        </c:majorGridlines>
        <c:title>
          <c:tx>
            <c:rich>
              <a:bodyPr rot="-5400000" vert="horz"/>
              <a:lstStyle/>
              <a:p>
                <a:pPr algn="ctr">
                  <a:defRPr sz="1000" b="1"/>
                </a:pPr>
                <a:r>
                  <a:rPr lang="sk-SK" sz="1000" b="1"/>
                  <a:t>počet UoZ</a:t>
                </a:r>
              </a:p>
            </c:rich>
          </c:tx>
          <c:layout>
            <c:manualLayout>
              <c:xMode val="edge"/>
              <c:yMode val="edge"/>
              <c:x val="1.5523831235813084E-3"/>
              <c:y val="0.40221745582523089"/>
            </c:manualLayout>
          </c:layout>
          <c:overlay val="0"/>
          <c:spPr>
            <a:solidFill>
              <a:srgbClr val="FFFFFF"/>
            </a:solid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a:pPr>
            <a:endParaRPr lang="sk-SK"/>
          </a:p>
        </c:txPr>
        <c:crossAx val="216131072"/>
        <c:crosses val="autoZero"/>
        <c:crossBetween val="between"/>
        <c:majorUnit val="10000"/>
      </c:valAx>
      <c:spPr>
        <a:solidFill>
          <a:srgbClr val="FFFFFF"/>
        </a:solidFill>
        <a:ln w="6350">
          <a:solidFill>
            <a:srgbClr val="808080"/>
          </a:solidFill>
          <a:prstDash val="solid"/>
        </a:ln>
      </c:spPr>
    </c:plotArea>
    <c:legend>
      <c:legendPos val="t"/>
      <c:layout>
        <c:manualLayout>
          <c:xMode val="edge"/>
          <c:yMode val="edge"/>
          <c:x val="0.51275928084341094"/>
          <c:y val="0.11107268259850628"/>
          <c:w val="0.45673123746336569"/>
          <c:h val="8.7354136088293247E-2"/>
        </c:manualLayout>
      </c:layout>
      <c:overlay val="1"/>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v>UoZ muži 2014</c:v>
          </c:tx>
          <c:spPr>
            <a:ln>
              <a:solidFill>
                <a:schemeClr val="accent1"/>
              </a:solidFill>
              <a:prstDash val="dash"/>
            </a:ln>
          </c:spPr>
          <c:marker>
            <c:symbol val="none"/>
          </c:marker>
          <c:cat>
            <c:strRef>
              <c:f>'muži ženy'!$B$3:$B$14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'muži ženy'!$G$3:$G$14</c:f>
              <c:numCache>
                <c:formatCode>General</c:formatCode>
                <c:ptCount val="12"/>
                <c:pt idx="0">
                  <c:v>210418</c:v>
                </c:pt>
                <c:pt idx="1">
                  <c:v>210573</c:v>
                </c:pt>
                <c:pt idx="2">
                  <c:v>207741</c:v>
                </c:pt>
                <c:pt idx="3">
                  <c:v>202562</c:v>
                </c:pt>
                <c:pt idx="4">
                  <c:v>197990</c:v>
                </c:pt>
                <c:pt idx="5">
                  <c:v>195300</c:v>
                </c:pt>
                <c:pt idx="6">
                  <c:v>192871</c:v>
                </c:pt>
                <c:pt idx="7">
                  <c:v>190442</c:v>
                </c:pt>
                <c:pt idx="8">
                  <c:v>190075</c:v>
                </c:pt>
                <c:pt idx="9">
                  <c:v>189269</c:v>
                </c:pt>
                <c:pt idx="10">
                  <c:v>189073</c:v>
                </c:pt>
                <c:pt idx="11">
                  <c:v>190048</c:v>
                </c:pt>
              </c:numCache>
            </c:numRef>
          </c:val>
          <c:smooth val="0"/>
          <c:extLst xmlns:c16r2="http://schemas.microsoft.com/office/drawing/2015/06/chart">
            <c:ext xmlns:c16="http://schemas.microsoft.com/office/drawing/2014/chart" uri="{C3380CC4-5D6E-409C-BE32-E72D297353CC}">
              <c16:uniqueId val="{00000000-AE22-493C-A5ED-3712A6855C78}"/>
            </c:ext>
          </c:extLst>
        </c:ser>
        <c:ser>
          <c:idx val="1"/>
          <c:order val="1"/>
          <c:tx>
            <c:v>UoZ muži 2015</c:v>
          </c:tx>
          <c:spPr>
            <a:ln>
              <a:solidFill>
                <a:schemeClr val="accent2"/>
              </a:solidFill>
              <a:prstDash val="dash"/>
            </a:ln>
          </c:spPr>
          <c:marker>
            <c:symbol val="none"/>
          </c:marker>
          <c:cat>
            <c:strRef>
              <c:f>'muži ženy'!$B$3:$B$14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'muži ženy'!$H$3:$H$14</c:f>
              <c:numCache>
                <c:formatCode>General</c:formatCode>
                <c:ptCount val="12"/>
                <c:pt idx="0">
                  <c:v>195013</c:v>
                </c:pt>
                <c:pt idx="1">
                  <c:v>193414</c:v>
                </c:pt>
                <c:pt idx="2">
                  <c:v>189198</c:v>
                </c:pt>
                <c:pt idx="3">
                  <c:v>182447</c:v>
                </c:pt>
                <c:pt idx="4">
                  <c:v>176321</c:v>
                </c:pt>
                <c:pt idx="5">
                  <c:v>174853</c:v>
                </c:pt>
                <c:pt idx="6">
                  <c:v>171875</c:v>
                </c:pt>
                <c:pt idx="7">
                  <c:v>168578</c:v>
                </c:pt>
                <c:pt idx="8">
                  <c:v>170716</c:v>
                </c:pt>
                <c:pt idx="9">
                  <c:v>169147</c:v>
                </c:pt>
                <c:pt idx="10">
                  <c:v>165630</c:v>
                </c:pt>
                <c:pt idx="11">
                  <c:v>165759</c:v>
                </c:pt>
              </c:numCache>
            </c:numRef>
          </c:val>
          <c:smooth val="0"/>
          <c:extLst xmlns:c16r2="http://schemas.microsoft.com/office/drawing/2015/06/chart">
            <c:ext xmlns:c16="http://schemas.microsoft.com/office/drawing/2014/chart" uri="{C3380CC4-5D6E-409C-BE32-E72D297353CC}">
              <c16:uniqueId val="{00000001-AE22-493C-A5ED-3712A6855C78}"/>
            </c:ext>
          </c:extLst>
        </c:ser>
        <c:ser>
          <c:idx val="2"/>
          <c:order val="2"/>
          <c:tx>
            <c:v>UoZ ženy 2014</c:v>
          </c:tx>
          <c:spPr>
            <a:ln>
              <a:solidFill>
                <a:schemeClr val="accent1"/>
              </a:solidFill>
            </a:ln>
          </c:spPr>
          <c:marker>
            <c:symbol val="none"/>
          </c:marker>
          <c:cat>
            <c:strRef>
              <c:f>'muži ženy'!$B$3:$B$14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'muži ženy'!$K$3:$K$14</c:f>
              <c:numCache>
                <c:formatCode>General</c:formatCode>
                <c:ptCount val="12"/>
                <c:pt idx="0">
                  <c:v>191706</c:v>
                </c:pt>
                <c:pt idx="1">
                  <c:v>191303</c:v>
                </c:pt>
                <c:pt idx="2">
                  <c:v>189475</c:v>
                </c:pt>
                <c:pt idx="3">
                  <c:v>187710</c:v>
                </c:pt>
                <c:pt idx="4">
                  <c:v>187186</c:v>
                </c:pt>
                <c:pt idx="5">
                  <c:v>189525</c:v>
                </c:pt>
                <c:pt idx="6">
                  <c:v>191131</c:v>
                </c:pt>
                <c:pt idx="7">
                  <c:v>190226</c:v>
                </c:pt>
                <c:pt idx="8">
                  <c:v>187945</c:v>
                </c:pt>
                <c:pt idx="9">
                  <c:v>186709</c:v>
                </c:pt>
                <c:pt idx="10">
                  <c:v>184945</c:v>
                </c:pt>
                <c:pt idx="11">
                  <c:v>183706</c:v>
                </c:pt>
              </c:numCache>
            </c:numRef>
          </c:val>
          <c:smooth val="0"/>
          <c:extLst xmlns:c16r2="http://schemas.microsoft.com/office/drawing/2015/06/chart">
            <c:ext xmlns:c16="http://schemas.microsoft.com/office/drawing/2014/chart" uri="{C3380CC4-5D6E-409C-BE32-E72D297353CC}">
              <c16:uniqueId val="{00000002-AE22-493C-A5ED-3712A6855C78}"/>
            </c:ext>
          </c:extLst>
        </c:ser>
        <c:ser>
          <c:idx val="3"/>
          <c:order val="3"/>
          <c:tx>
            <c:v>UoZ ženy 2015</c:v>
          </c:tx>
          <c:spPr>
            <a:ln>
              <a:solidFill>
                <a:schemeClr val="accent2"/>
              </a:solidFill>
              <a:prstDash val="solid"/>
            </a:ln>
          </c:spPr>
          <c:marker>
            <c:symbol val="none"/>
          </c:marker>
          <c:cat>
            <c:strRef>
              <c:f>'muži ženy'!$B$3:$B$14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'muži ženy'!$L$3:$L$14</c:f>
              <c:numCache>
                <c:formatCode>General</c:formatCode>
                <c:ptCount val="12"/>
                <c:pt idx="0">
                  <c:v>184744</c:v>
                </c:pt>
                <c:pt idx="1">
                  <c:v>182856</c:v>
                </c:pt>
                <c:pt idx="2">
                  <c:v>180257</c:v>
                </c:pt>
                <c:pt idx="3">
                  <c:v>177530</c:v>
                </c:pt>
                <c:pt idx="4">
                  <c:v>175821</c:v>
                </c:pt>
                <c:pt idx="5">
                  <c:v>178991</c:v>
                </c:pt>
                <c:pt idx="6">
                  <c:v>179946</c:v>
                </c:pt>
                <c:pt idx="7">
                  <c:v>178393</c:v>
                </c:pt>
                <c:pt idx="8">
                  <c:v>178421</c:v>
                </c:pt>
                <c:pt idx="9">
                  <c:v>175052</c:v>
                </c:pt>
                <c:pt idx="10">
                  <c:v>171401</c:v>
                </c:pt>
                <c:pt idx="11">
                  <c:v>168620</c:v>
                </c:pt>
              </c:numCache>
            </c:numRef>
          </c:val>
          <c:smooth val="0"/>
          <c:extLst xmlns:c16r2="http://schemas.microsoft.com/office/drawing/2015/06/chart">
            <c:ext xmlns:c16="http://schemas.microsoft.com/office/drawing/2014/chart" uri="{C3380CC4-5D6E-409C-BE32-E72D297353CC}">
              <c16:uniqueId val="{00000003-AE22-493C-A5ED-3712A6855C78}"/>
            </c:ext>
          </c:extLst>
        </c:ser>
        <c:dLbls>
          <c:showLegendKey val="0"/>
          <c:showVal val="0"/>
          <c:showCatName val="0"/>
          <c:showSerName val="0"/>
          <c:showPercent val="0"/>
          <c:showBubbleSize val="0"/>
        </c:dLbls>
        <c:marker val="1"/>
        <c:smooth val="0"/>
        <c:axId val="216353792"/>
        <c:axId val="216355584"/>
      </c:lineChart>
      <c:catAx>
        <c:axId val="216353792"/>
        <c:scaling>
          <c:orientation val="minMax"/>
        </c:scaling>
        <c:delete val="0"/>
        <c:axPos val="b"/>
        <c:numFmt formatCode="General" sourceLinked="1"/>
        <c:majorTickMark val="none"/>
        <c:minorTickMark val="none"/>
        <c:tickLblPos val="nextTo"/>
        <c:crossAx val="216355584"/>
        <c:crosses val="autoZero"/>
        <c:auto val="1"/>
        <c:lblAlgn val="ctr"/>
        <c:lblOffset val="100"/>
        <c:noMultiLvlLbl val="0"/>
      </c:catAx>
      <c:valAx>
        <c:axId val="216355584"/>
        <c:scaling>
          <c:orientation val="minMax"/>
          <c:min val="160000"/>
        </c:scaling>
        <c:delete val="0"/>
        <c:axPos val="l"/>
        <c:majorGridlines/>
        <c:numFmt formatCode="#,##0" sourceLinked="0"/>
        <c:majorTickMark val="none"/>
        <c:minorTickMark val="none"/>
        <c:tickLblPos val="nextTo"/>
        <c:crossAx val="216353792"/>
        <c:crosses val="autoZero"/>
        <c:crossBetween val="between"/>
      </c:valAx>
    </c:plotArea>
    <c:legend>
      <c:legendPos val="r"/>
      <c:layout>
        <c:manualLayout>
          <c:xMode val="edge"/>
          <c:yMode val="edge"/>
          <c:x val="0.52985123966942183"/>
          <c:y val="6.4570160327804632E-2"/>
          <c:w val="0.45303139190934477"/>
          <c:h val="0.19925440199687791"/>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BE17-64BD-4188-8676-9CFDE9A9634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sk-SK"/>
        </a:p>
      </dgm:t>
    </dgm:pt>
    <dgm:pt modelId="{C79FCAC8-12C5-4397-82A3-30C49D86C323}">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bez možnosti programového výberu</a:t>
          </a:r>
        </a:p>
      </dgm:t>
    </dgm:pt>
    <dgm:pt modelId="{9ECB9668-D982-4862-984A-919B2BD53712}" type="par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D66C44CE-26BF-4A77-8455-162AB4E2C670}" type="sib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24B2E991-E2DD-4F2F-A8BF-754E55149E90}">
      <dgm:prSet phldrT="[Tex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755 sporiteľov </a:t>
          </a:r>
        </a:p>
        <a:p>
          <a:r>
            <a:rPr lang="sk-SK" sz="900">
              <a:solidFill>
                <a:sysClr val="windowText" lastClr="000000"/>
              </a:solidFill>
              <a:latin typeface="Times New Roman" panose="02020603050405020304" pitchFamily="18" charset="0"/>
              <a:cs typeface="Times New Roman" panose="02020603050405020304" pitchFamily="18" charset="0"/>
            </a:rPr>
            <a:t>(59 %)</a:t>
          </a:r>
        </a:p>
      </dgm:t>
    </dgm:pt>
    <dgm:pt modelId="{41FEB2A9-F5CF-4DF5-A070-3AD048AB2CDD}" type="par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FD445616-E073-44DF-9156-D2F63286AD41}" type="sib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10955DB6-AC42-4FE9-AECF-3F92A4D63A44}">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s možnosťou programového výberu alebo dočasného dôchodku</a:t>
          </a:r>
        </a:p>
      </dgm:t>
    </dgm:pt>
    <dgm:pt modelId="{72287D6E-D7C0-4E1F-B6AB-D94468C9C88C}" type="par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DDCDCC72-EB68-462B-B28B-F7B5FA873964}" type="sib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19B8EF16-EB68-4F51-B864-2FAE758F0E66}">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122 sporiteľov </a:t>
          </a:r>
        </a:p>
        <a:p>
          <a:r>
            <a:rPr lang="sk-SK" sz="900">
              <a:solidFill>
                <a:sysClr val="windowText" lastClr="000000"/>
              </a:solidFill>
              <a:latin typeface="Times New Roman" panose="02020603050405020304" pitchFamily="18" charset="0"/>
              <a:cs typeface="Times New Roman" panose="02020603050405020304" pitchFamily="18" charset="0"/>
            </a:rPr>
            <a:t>(16 %)</a:t>
          </a:r>
        </a:p>
      </dgm:t>
    </dgm:pt>
    <dgm:pt modelId="{18460910-87BA-4176-BE11-42ABCB7808C7}" type="par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F17E51EC-A96C-4381-A004-65F8D9DC2CAB}" type="sib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B462037A-0332-43A6-AB8D-12A8EEC363C3}">
      <dgm:prSet phldrT="[Tex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26175037-7981-4016-BE86-49A84CA41BD0}" type="par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AF7099C5-C109-4875-B315-A1898A33697A}" type="sib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977865B1-45B0-4A3D-828F-3DDB44E797AB}">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188 sporiteľov </a:t>
          </a:r>
        </a:p>
        <a:p>
          <a:r>
            <a:rPr lang="sk-SK" sz="900">
              <a:solidFill>
                <a:sysClr val="windowText" lastClr="000000"/>
              </a:solidFill>
              <a:latin typeface="Times New Roman" panose="02020603050405020304" pitchFamily="18" charset="0"/>
              <a:cs typeface="Times New Roman" panose="02020603050405020304" pitchFamily="18" charset="0"/>
            </a:rPr>
            <a:t>(25 %)</a:t>
          </a:r>
        </a:p>
      </dgm:t>
    </dgm:pt>
    <dgm:pt modelId="{5FA79B12-01C2-49FC-A3F5-90A73EAD5D2F}" type="par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D5B59C6B-7229-4911-872B-6D77966D9C0A}" type="sib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4C642432-E69F-474C-BB6F-0601A420A53A}">
      <dgm:prSet phldrT="[Tex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726D3849-E5B9-4501-B111-196E25334231}" type="par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02EDEB44-A510-4CF2-B7B0-34DFB857A434}" type="sib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6DC7F9EB-F9D3-4A6E-93E9-F53E17C1DC44}">
      <dgm:prSet custT="1"/>
      <dgm:spPr>
        <a:ln>
          <a:noFill/>
        </a:ln>
      </dgm:spPr>
      <dgm:t>
        <a:bodyPr/>
        <a:lstStyle/>
        <a:p>
          <a:r>
            <a:rPr lang="sk-SK" sz="900">
              <a:latin typeface="Times New Roman" panose="02020603050405020304" pitchFamily="18" charset="0"/>
              <a:cs typeface="Times New Roman" panose="02020603050405020304" pitchFamily="18" charset="0"/>
            </a:rPr>
            <a:t>Ponuka na:</a:t>
          </a:r>
        </a:p>
      </dgm:t>
    </dgm:pt>
    <dgm:pt modelId="{8BEA9112-14A0-495A-A89F-628AD62667A8}" type="par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EF17BEAB-8D28-4219-81DD-7DA124B6C580}" type="sib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A34B2B01-EB69-4F06-A16E-AD693EFE4062}">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ktorým bola vyhotovená ponuka</a:t>
          </a:r>
        </a:p>
      </dgm:t>
    </dgm:pt>
    <dgm:pt modelId="{ED65D457-655A-4B53-ABF1-14706F4E72CA}" type="parTrans" cxnId="{010FB52B-DFA8-4A94-A42F-C7F5A2A0EB3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E83917-F877-4149-958F-ACBA63E1AD68}" type="sibTrans" cxnId="{010FB52B-DFA8-4A94-A42F-C7F5A2A0EB3D}">
      <dgm:prSet/>
      <dgm:spPr/>
      <dgm:t>
        <a:bodyPr/>
        <a:lstStyle/>
        <a:p>
          <a:endParaRPr lang="sk-SK" sz="2400">
            <a:latin typeface="Times New Roman" panose="02020603050405020304" pitchFamily="18" charset="0"/>
            <a:cs typeface="Times New Roman" panose="02020603050405020304" pitchFamily="18" charset="0"/>
          </a:endParaRPr>
        </a:p>
      </dgm:t>
    </dgm:pt>
    <dgm:pt modelId="{C3A1AA3D-F3F1-44B5-944D-5BC7EDB196F3}">
      <dgm:prSet custT="1"/>
      <dgm:spPr>
        <a:ln>
          <a:noFill/>
        </a:ln>
      </dgm:spPr>
      <dgm:t>
        <a:bodyPr/>
        <a:lstStyle/>
        <a:p>
          <a:r>
            <a:rPr lang="sk-SK" sz="900">
              <a:latin typeface="Times New Roman" panose="02020603050405020304" pitchFamily="18" charset="0"/>
              <a:cs typeface="Times New Roman" panose="02020603050405020304" pitchFamily="18" charset="0"/>
            </a:rPr>
            <a:t>Zmluva na:</a:t>
          </a:r>
        </a:p>
      </dgm:t>
    </dgm:pt>
    <dgm:pt modelId="{E3CC63F5-BB6E-415C-AEF6-4CD7A014EFFA}" type="parTrans" cxnId="{3A776BB2-662A-4BD0-8C85-0D3DBDB8EB54}">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D5549AAA-4A67-4784-BDB4-3F5A6AF2B21D}" type="sibTrans" cxnId="{3A776BB2-662A-4BD0-8C85-0D3DBDB8EB54}">
      <dgm:prSet/>
      <dgm:spPr/>
      <dgm:t>
        <a:bodyPr/>
        <a:lstStyle/>
        <a:p>
          <a:endParaRPr lang="sk-SK" sz="2400">
            <a:latin typeface="Times New Roman" panose="02020603050405020304" pitchFamily="18" charset="0"/>
            <a:cs typeface="Times New Roman" panose="02020603050405020304" pitchFamily="18" charset="0"/>
          </a:endParaRPr>
        </a:p>
      </dgm:t>
    </dgm:pt>
    <dgm:pt modelId="{306AE7E7-FEE3-45DB-B2E5-1C2868AFC9E2}">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4E7A6ECB-BAEA-40AA-A70E-1E8E1AE0221C}" type="par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CAF38683-9CBA-4A85-9EF6-CB4518A776CC}" type="sib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AAB8B99A-8A4E-487F-924F-B5ED9EEED594}">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30E77D22-700E-4EE7-BEC9-55818A2F39BF}" type="par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553832B1-5DDF-4177-8DBF-7186B28ACB29}" type="sib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9D0DF30D-22A6-4EEA-8802-EDDCD5C0FECE}">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 + programový výber / dočasný dôchodok</a:t>
          </a:r>
        </a:p>
      </dgm:t>
    </dgm:pt>
    <dgm:pt modelId="{60D35D86-1718-4D63-959B-7DF768C4B201}" type="par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754FF8D6-4C18-4784-8300-2841A3290B76}" type="sib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9A8CA82B-78A0-42A7-9EC8-AF221E52D2C0}">
      <dgm:prSe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BCF3F803-3698-4ED0-A7DD-9562C5B28613}" type="par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46EA0A65-D2A2-4E28-8A88-4F5C3564936F}" type="sib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FB532C53-9284-40FC-B2A6-559B16AA6FB7}">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ktorí uzavreli zmluvu</a:t>
          </a:r>
        </a:p>
      </dgm:t>
    </dgm:pt>
    <dgm:pt modelId="{EA37CCB9-D11E-4D0B-944F-B2E8119C1879}" type="parTrans" cxnId="{4AFD7680-0A7F-4005-9851-DEA6C55A901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F44474-228C-4F59-87D1-DB738ED1DC6E}" type="sibTrans" cxnId="{4AFD7680-0A7F-4005-9851-DEA6C55A901D}">
      <dgm:prSet/>
      <dgm:spPr/>
      <dgm:t>
        <a:bodyPr/>
        <a:lstStyle/>
        <a:p>
          <a:endParaRPr lang="sk-SK" sz="2400">
            <a:latin typeface="Times New Roman" panose="02020603050405020304" pitchFamily="18" charset="0"/>
            <a:cs typeface="Times New Roman" panose="02020603050405020304" pitchFamily="18" charset="0"/>
          </a:endParaRPr>
        </a:p>
      </dgm:t>
    </dgm:pt>
    <dgm:pt modelId="{B8CA3AD3-E43F-4D8B-B8AB-5163AC5ED1DD}">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10 sporiteľov </a:t>
          </a:r>
        </a:p>
        <a:p>
          <a:r>
            <a:rPr lang="sk-SK" sz="900">
              <a:solidFill>
                <a:sysClr val="windowText" lastClr="000000"/>
              </a:solidFill>
              <a:latin typeface="Times New Roman" panose="02020603050405020304" pitchFamily="18" charset="0"/>
              <a:cs typeface="Times New Roman" panose="02020603050405020304" pitchFamily="18" charset="0"/>
            </a:rPr>
            <a:t>(3 %)</a:t>
          </a:r>
        </a:p>
      </dgm:t>
    </dgm:pt>
    <dgm:pt modelId="{641C1BB9-157C-46F9-9A6D-66A26BEDD24B}" type="par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2EE5DF3E-7854-4079-B02A-D42377ADDD46}" type="sib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FC32981D-6387-4860-9C19-2441F753B4A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57 sporiteľov </a:t>
          </a:r>
        </a:p>
        <a:p>
          <a:r>
            <a:rPr lang="sk-SK" sz="900">
              <a:solidFill>
                <a:sysClr val="windowText" lastClr="000000"/>
              </a:solidFill>
              <a:latin typeface="Times New Roman" panose="02020603050405020304" pitchFamily="18" charset="0"/>
              <a:cs typeface="Times New Roman" panose="02020603050405020304" pitchFamily="18" charset="0"/>
            </a:rPr>
            <a:t>(17 %)</a:t>
          </a:r>
        </a:p>
      </dgm:t>
    </dgm:pt>
    <dgm:pt modelId="{495E258B-CC98-4FFD-AD61-7A1F4FF61E47}" type="par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FB5F6297-A2C3-4E4C-AC57-DF3BD4284B09}" type="sib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8B14B6E2-5A8B-42CB-AEE0-14FD5AC6489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86 sporiteľov </a:t>
          </a:r>
        </a:p>
        <a:p>
          <a:r>
            <a:rPr lang="sk-SK" sz="900">
              <a:solidFill>
                <a:sysClr val="windowText" lastClr="000000"/>
              </a:solidFill>
              <a:latin typeface="Times New Roman" panose="02020603050405020304" pitchFamily="18" charset="0"/>
              <a:cs typeface="Times New Roman" panose="02020603050405020304" pitchFamily="18" charset="0"/>
            </a:rPr>
            <a:t>(26 %)</a:t>
          </a:r>
        </a:p>
      </dgm:t>
    </dgm:pt>
    <dgm:pt modelId="{4835DF7B-A3CA-4BA6-9F19-A0D22AA76974}" type="par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763D3A2B-673E-49A7-B714-45C8ACC6B6E7}" type="sib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3B34FB63-A679-400A-859B-4331C316C656}">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175 sporiteľov </a:t>
          </a:r>
        </a:p>
        <a:p>
          <a:r>
            <a:rPr lang="sk-SK" sz="900">
              <a:solidFill>
                <a:sysClr val="windowText" lastClr="000000"/>
              </a:solidFill>
              <a:latin typeface="Times New Roman" panose="02020603050405020304" pitchFamily="18" charset="0"/>
              <a:cs typeface="Times New Roman" panose="02020603050405020304" pitchFamily="18" charset="0"/>
            </a:rPr>
            <a:t>(53 %)</a:t>
          </a:r>
        </a:p>
      </dgm:t>
    </dgm:pt>
    <dgm:pt modelId="{86189BC7-B252-46C1-8748-AFD1B0A252F2}" type="par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45023C82-989D-4DD1-B4C4-E1A59EA4C0F6}" type="sib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3FD7CDC9-4AC3-4442-BC87-41B71EF6A987}">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755 sporiteľov</a:t>
          </a:r>
        </a:p>
      </dgm:t>
    </dgm:pt>
    <dgm:pt modelId="{BBCE1179-C919-44DE-999F-46A6A8AFB99B}" type="parTrans" cxnId="{B437118E-0E57-48C7-BB9A-23F6D379C421}">
      <dgm:prSet/>
      <dgm:spPr/>
      <dgm:t>
        <a:bodyPr/>
        <a:lstStyle/>
        <a:p>
          <a:endParaRPr lang="sk-SK" sz="2400"/>
        </a:p>
      </dgm:t>
    </dgm:pt>
    <dgm:pt modelId="{E7134BB9-742A-471B-B596-30C8AB88B2BB}" type="sibTrans" cxnId="{B437118E-0E57-48C7-BB9A-23F6D379C421}">
      <dgm:prSet/>
      <dgm:spPr/>
      <dgm:t>
        <a:bodyPr/>
        <a:lstStyle/>
        <a:p>
          <a:endParaRPr lang="sk-SK" sz="2400"/>
        </a:p>
      </dgm:t>
    </dgm:pt>
    <dgm:pt modelId="{976E4190-D39E-4D40-836F-5FBA433F44FE}">
      <dgm:prSe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EC7A2309-9351-462A-9FD7-F7A9C2E755C5}" type="parTrans" cxnId="{5ADD2786-3E4F-4B12-9073-F525C792453B}">
      <dgm:prSet/>
      <dgm:spPr>
        <a:ln>
          <a:noFill/>
        </a:ln>
      </dgm:spPr>
      <dgm:t>
        <a:bodyPr/>
        <a:lstStyle/>
        <a:p>
          <a:endParaRPr lang="sk-SK" sz="2400"/>
        </a:p>
      </dgm:t>
    </dgm:pt>
    <dgm:pt modelId="{4B30B82E-93FB-4F8B-AD96-E5007417B1DC}" type="sibTrans" cxnId="{5ADD2786-3E4F-4B12-9073-F525C792453B}">
      <dgm:prSet/>
      <dgm:spPr/>
      <dgm:t>
        <a:bodyPr/>
        <a:lstStyle/>
        <a:p>
          <a:endParaRPr lang="sk-SK" sz="2400"/>
        </a:p>
      </dgm:t>
    </dgm:pt>
    <dgm:pt modelId="{FF72FDC2-57F5-4DD1-A1AB-C8B10EA5D412}">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328 sporiteľov</a:t>
          </a:r>
        </a:p>
      </dgm:t>
    </dgm:pt>
    <dgm:pt modelId="{B1225A1D-7DCB-4C47-AC1A-3ECC7B1A41DA}" type="parTrans" cxnId="{54DC7DFE-7831-4AE0-B08C-9D8D07AB6266}">
      <dgm:prSet/>
      <dgm:spPr/>
      <dgm:t>
        <a:bodyPr/>
        <a:lstStyle/>
        <a:p>
          <a:endParaRPr lang="sk-SK" sz="2400"/>
        </a:p>
      </dgm:t>
    </dgm:pt>
    <dgm:pt modelId="{E2AEFC06-991C-45AF-AF31-39796BAF01BF}" type="sibTrans" cxnId="{54DC7DFE-7831-4AE0-B08C-9D8D07AB6266}">
      <dgm:prSet/>
      <dgm:spPr/>
      <dgm:t>
        <a:bodyPr/>
        <a:lstStyle/>
        <a:p>
          <a:endParaRPr lang="sk-SK" sz="2400"/>
        </a:p>
      </dgm:t>
    </dgm:pt>
    <dgm:pt modelId="{ED02A943-5838-47C1-82A2-A87A2816A8A7}" type="pres">
      <dgm:prSet presAssocID="{F44ABE17-64BD-4188-8676-9CFDE9A96342}" presName="hierChild1" presStyleCnt="0">
        <dgm:presLayoutVars>
          <dgm:orgChart val="1"/>
          <dgm:chPref val="1"/>
          <dgm:dir/>
          <dgm:animOne val="branch"/>
          <dgm:animLvl val="lvl"/>
          <dgm:resizeHandles/>
        </dgm:presLayoutVars>
      </dgm:prSet>
      <dgm:spPr/>
      <dgm:t>
        <a:bodyPr/>
        <a:lstStyle/>
        <a:p>
          <a:endParaRPr lang="sk-SK"/>
        </a:p>
      </dgm:t>
    </dgm:pt>
    <dgm:pt modelId="{9279B58E-0518-4BEB-A53D-C5CB35440DB5}" type="pres">
      <dgm:prSet presAssocID="{6DC7F9EB-F9D3-4A6E-93E9-F53E17C1DC44}" presName="hierRoot1" presStyleCnt="0">
        <dgm:presLayoutVars>
          <dgm:hierBranch val="init"/>
        </dgm:presLayoutVars>
      </dgm:prSet>
      <dgm:spPr/>
    </dgm:pt>
    <dgm:pt modelId="{8740D9EA-A4C4-42CA-A5F9-9AF5390F5CB6}" type="pres">
      <dgm:prSet presAssocID="{6DC7F9EB-F9D3-4A6E-93E9-F53E17C1DC44}" presName="rootComposite1" presStyleCnt="0"/>
      <dgm:spPr/>
    </dgm:pt>
    <dgm:pt modelId="{80537414-0A5E-4FD6-B65E-9004639A9F83}" type="pres">
      <dgm:prSet presAssocID="{6DC7F9EB-F9D3-4A6E-93E9-F53E17C1DC44}" presName="rootText1" presStyleLbl="node0" presStyleIdx="0" presStyleCnt="5" custScaleX="141570" custScaleY="137152" custLinFactNeighborX="-914" custLinFactNeighborY="0">
        <dgm:presLayoutVars>
          <dgm:chPref val="3"/>
        </dgm:presLayoutVars>
      </dgm:prSet>
      <dgm:spPr/>
      <dgm:t>
        <a:bodyPr/>
        <a:lstStyle/>
        <a:p>
          <a:endParaRPr lang="sk-SK"/>
        </a:p>
      </dgm:t>
    </dgm:pt>
    <dgm:pt modelId="{05B41E8E-7A9B-4A61-8AC9-273C22A2F841}" type="pres">
      <dgm:prSet presAssocID="{6DC7F9EB-F9D3-4A6E-93E9-F53E17C1DC44}" presName="rootConnector1" presStyleLbl="node1" presStyleIdx="0" presStyleCnt="0"/>
      <dgm:spPr/>
      <dgm:t>
        <a:bodyPr/>
        <a:lstStyle/>
        <a:p>
          <a:endParaRPr lang="sk-SK"/>
        </a:p>
      </dgm:t>
    </dgm:pt>
    <dgm:pt modelId="{647A0B0D-8024-4D80-8773-479A0A6B0AEA}" type="pres">
      <dgm:prSet presAssocID="{6DC7F9EB-F9D3-4A6E-93E9-F53E17C1DC44}" presName="hierChild2" presStyleCnt="0"/>
      <dgm:spPr/>
    </dgm:pt>
    <dgm:pt modelId="{6FBEA3C8-F879-4594-9F48-E5A3C8CA4E9D}" type="pres">
      <dgm:prSet presAssocID="{ED65D457-655A-4B53-ABF1-14706F4E72CA}" presName="Name64" presStyleLbl="parChTrans1D2" presStyleIdx="0" presStyleCnt="5"/>
      <dgm:spPr/>
      <dgm:t>
        <a:bodyPr/>
        <a:lstStyle/>
        <a:p>
          <a:endParaRPr lang="sk-SK"/>
        </a:p>
      </dgm:t>
    </dgm:pt>
    <dgm:pt modelId="{7D24B076-626E-4510-B811-EE683A01258D}" type="pres">
      <dgm:prSet presAssocID="{A34B2B01-EB69-4F06-A16E-AD693EFE4062}" presName="hierRoot2" presStyleCnt="0">
        <dgm:presLayoutVars>
          <dgm:hierBranch val="init"/>
        </dgm:presLayoutVars>
      </dgm:prSet>
      <dgm:spPr/>
    </dgm:pt>
    <dgm:pt modelId="{40EA38E4-C691-4DF8-8DC8-4178E8D3F391}" type="pres">
      <dgm:prSet presAssocID="{A34B2B01-EB69-4F06-A16E-AD693EFE4062}" presName="rootComposite" presStyleCnt="0"/>
      <dgm:spPr/>
    </dgm:pt>
    <dgm:pt modelId="{07AF164A-3064-4C5F-B977-3DAC0A0E23FA}" type="pres">
      <dgm:prSet presAssocID="{A34B2B01-EB69-4F06-A16E-AD693EFE4062}" presName="rootText" presStyleLbl="node2" presStyleIdx="0" presStyleCnt="5" custScaleY="154881" custLinFactNeighborX="-18656">
        <dgm:presLayoutVars>
          <dgm:chPref val="3"/>
        </dgm:presLayoutVars>
      </dgm:prSet>
      <dgm:spPr/>
      <dgm:t>
        <a:bodyPr/>
        <a:lstStyle/>
        <a:p>
          <a:endParaRPr lang="sk-SK"/>
        </a:p>
      </dgm:t>
    </dgm:pt>
    <dgm:pt modelId="{01E274C5-31BB-4FDF-B043-E250283129D4}" type="pres">
      <dgm:prSet presAssocID="{A34B2B01-EB69-4F06-A16E-AD693EFE4062}" presName="rootConnector" presStyleLbl="node2" presStyleIdx="0" presStyleCnt="5"/>
      <dgm:spPr/>
      <dgm:t>
        <a:bodyPr/>
        <a:lstStyle/>
        <a:p>
          <a:endParaRPr lang="sk-SK"/>
        </a:p>
      </dgm:t>
    </dgm:pt>
    <dgm:pt modelId="{4389565A-BC74-44C5-A9C8-F36C33DB641C}" type="pres">
      <dgm:prSet presAssocID="{A34B2B01-EB69-4F06-A16E-AD693EFE4062}" presName="hierChild4" presStyleCnt="0"/>
      <dgm:spPr/>
    </dgm:pt>
    <dgm:pt modelId="{F4783E6B-DBAE-4038-A69E-3A1B716D9BBB}" type="pres">
      <dgm:prSet presAssocID="{E3CC63F5-BB6E-415C-AEF6-4CD7A014EFFA}" presName="Name64" presStyleLbl="parChTrans1D3" presStyleIdx="0" presStyleCnt="6" custSzY="140975"/>
      <dgm:spPr/>
      <dgm:t>
        <a:bodyPr/>
        <a:lstStyle/>
        <a:p>
          <a:endParaRPr lang="sk-SK"/>
        </a:p>
      </dgm:t>
    </dgm:pt>
    <dgm:pt modelId="{EE65F492-53EA-4B69-8E14-9F8B5742EABA}" type="pres">
      <dgm:prSet presAssocID="{C3A1AA3D-F3F1-44B5-944D-5BC7EDB196F3}" presName="hierRoot2" presStyleCnt="0">
        <dgm:presLayoutVars>
          <dgm:hierBranch val="init"/>
        </dgm:presLayoutVars>
      </dgm:prSet>
      <dgm:spPr/>
    </dgm:pt>
    <dgm:pt modelId="{49B6413A-C070-4CBC-9873-F1140AAF217A}" type="pres">
      <dgm:prSet presAssocID="{C3A1AA3D-F3F1-44B5-944D-5BC7EDB196F3}" presName="rootComposite" presStyleCnt="0"/>
      <dgm:spPr/>
    </dgm:pt>
    <dgm:pt modelId="{A4B42063-0BDD-4288-9076-0EF3DCAA20B3}" type="pres">
      <dgm:prSet presAssocID="{C3A1AA3D-F3F1-44B5-944D-5BC7EDB196F3}" presName="rootText" presStyleLbl="node3" presStyleIdx="0" presStyleCnt="6" custScaleX="141570" custScaleY="136861" custLinFactNeighborX="20037" custLinFactNeighborY="2588">
        <dgm:presLayoutVars>
          <dgm:chPref val="3"/>
        </dgm:presLayoutVars>
      </dgm:prSet>
      <dgm:spPr/>
      <dgm:t>
        <a:bodyPr/>
        <a:lstStyle/>
        <a:p>
          <a:endParaRPr lang="sk-SK"/>
        </a:p>
      </dgm:t>
    </dgm:pt>
    <dgm:pt modelId="{E4FC78FD-3A51-419F-BCF4-9185CECA4C51}" type="pres">
      <dgm:prSet presAssocID="{C3A1AA3D-F3F1-44B5-944D-5BC7EDB196F3}" presName="rootConnector" presStyleLbl="node3" presStyleIdx="0" presStyleCnt="6"/>
      <dgm:spPr/>
      <dgm:t>
        <a:bodyPr/>
        <a:lstStyle/>
        <a:p>
          <a:endParaRPr lang="sk-SK"/>
        </a:p>
      </dgm:t>
    </dgm:pt>
    <dgm:pt modelId="{F6FCCA8C-9454-4675-AF16-DDEE63C2D571}" type="pres">
      <dgm:prSet presAssocID="{C3A1AA3D-F3F1-44B5-944D-5BC7EDB196F3}" presName="hierChild4" presStyleCnt="0"/>
      <dgm:spPr/>
    </dgm:pt>
    <dgm:pt modelId="{BDDC5485-C60B-48D7-AFE7-2E6FEE249D5D}" type="pres">
      <dgm:prSet presAssocID="{EA37CCB9-D11E-4D0B-944F-B2E8119C1879}" presName="Name64" presStyleLbl="parChTrans1D4" presStyleIdx="0" presStyleCnt="6" custSzY="140975"/>
      <dgm:spPr/>
      <dgm:t>
        <a:bodyPr/>
        <a:lstStyle/>
        <a:p>
          <a:endParaRPr lang="sk-SK"/>
        </a:p>
      </dgm:t>
    </dgm:pt>
    <dgm:pt modelId="{72AC5E4D-513A-4BDD-9A00-5A359EB46322}" type="pres">
      <dgm:prSet presAssocID="{FB532C53-9284-40FC-B2A6-559B16AA6FB7}" presName="hierRoot2" presStyleCnt="0">
        <dgm:presLayoutVars>
          <dgm:hierBranch val="init"/>
        </dgm:presLayoutVars>
      </dgm:prSet>
      <dgm:spPr/>
    </dgm:pt>
    <dgm:pt modelId="{061D6517-862A-45CD-9EBF-EE356DD5F447}" type="pres">
      <dgm:prSet presAssocID="{FB532C53-9284-40FC-B2A6-559B16AA6FB7}" presName="rootComposite" presStyleCnt="0"/>
      <dgm:spPr/>
    </dgm:pt>
    <dgm:pt modelId="{F76DB299-1FD3-49AC-83BF-FBCA52C6EB60}" type="pres">
      <dgm:prSet presAssocID="{FB532C53-9284-40FC-B2A6-559B16AA6FB7}" presName="rootText" presStyleLbl="node4" presStyleIdx="0" presStyleCnt="6">
        <dgm:presLayoutVars>
          <dgm:chPref val="3"/>
        </dgm:presLayoutVars>
      </dgm:prSet>
      <dgm:spPr/>
      <dgm:t>
        <a:bodyPr/>
        <a:lstStyle/>
        <a:p>
          <a:endParaRPr lang="sk-SK"/>
        </a:p>
      </dgm:t>
    </dgm:pt>
    <dgm:pt modelId="{AD7A2EFA-4E30-4798-971A-81AF6AE3B523}" type="pres">
      <dgm:prSet presAssocID="{FB532C53-9284-40FC-B2A6-559B16AA6FB7}" presName="rootConnector" presStyleLbl="node4" presStyleIdx="0" presStyleCnt="6"/>
      <dgm:spPr/>
      <dgm:t>
        <a:bodyPr/>
        <a:lstStyle/>
        <a:p>
          <a:endParaRPr lang="sk-SK"/>
        </a:p>
      </dgm:t>
    </dgm:pt>
    <dgm:pt modelId="{97CDB307-7927-49C3-A0BB-BDC827662366}" type="pres">
      <dgm:prSet presAssocID="{FB532C53-9284-40FC-B2A6-559B16AA6FB7}" presName="hierChild4" presStyleCnt="0"/>
      <dgm:spPr/>
    </dgm:pt>
    <dgm:pt modelId="{40D5F7D7-2068-46E3-AA7A-8718618B97BA}" type="pres">
      <dgm:prSet presAssocID="{FB532C53-9284-40FC-B2A6-559B16AA6FB7}" presName="hierChild5" presStyleCnt="0"/>
      <dgm:spPr/>
    </dgm:pt>
    <dgm:pt modelId="{E507253E-8E08-4446-A476-970890743AF6}" type="pres">
      <dgm:prSet presAssocID="{C3A1AA3D-F3F1-44B5-944D-5BC7EDB196F3}" presName="hierChild5" presStyleCnt="0"/>
      <dgm:spPr/>
    </dgm:pt>
    <dgm:pt modelId="{21460E05-E8AF-476C-B111-85402BDA3BC6}" type="pres">
      <dgm:prSet presAssocID="{A34B2B01-EB69-4F06-A16E-AD693EFE4062}" presName="hierChild5" presStyleCnt="0"/>
      <dgm:spPr/>
    </dgm:pt>
    <dgm:pt modelId="{59F68611-240B-4BB9-B371-9158FC16DA0D}" type="pres">
      <dgm:prSet presAssocID="{6DC7F9EB-F9D3-4A6E-93E9-F53E17C1DC44}" presName="hierChild3" presStyleCnt="0"/>
      <dgm:spPr/>
    </dgm:pt>
    <dgm:pt modelId="{16F98CF9-8463-4428-8B2B-0E7C7DB44A69}" type="pres">
      <dgm:prSet presAssocID="{C79FCAC8-12C5-4397-82A3-30C49D86C323}" presName="hierRoot1" presStyleCnt="0">
        <dgm:presLayoutVars>
          <dgm:hierBranch val="init"/>
        </dgm:presLayoutVars>
      </dgm:prSet>
      <dgm:spPr/>
    </dgm:pt>
    <dgm:pt modelId="{5860AAA8-60B4-40FA-B2B6-46DD395F3D2C}" type="pres">
      <dgm:prSet presAssocID="{C79FCAC8-12C5-4397-82A3-30C49D86C323}" presName="rootComposite1" presStyleCnt="0"/>
      <dgm:spPr/>
    </dgm:pt>
    <dgm:pt modelId="{B601ACC5-B65A-48EC-8FED-3D8A0BA55DAC}" type="pres">
      <dgm:prSet presAssocID="{C79FCAC8-12C5-4397-82A3-30C49D86C323}" presName="rootText1" presStyleLbl="node0" presStyleIdx="1" presStyleCnt="5" custScaleX="141570" custScaleY="175354" custLinFactNeighborX="-914" custLinFactNeighborY="-34722">
        <dgm:presLayoutVars>
          <dgm:chPref val="3"/>
        </dgm:presLayoutVars>
      </dgm:prSet>
      <dgm:spPr/>
      <dgm:t>
        <a:bodyPr/>
        <a:lstStyle/>
        <a:p>
          <a:endParaRPr lang="sk-SK"/>
        </a:p>
      </dgm:t>
    </dgm:pt>
    <dgm:pt modelId="{2E172B53-EF80-4ED9-94F2-C3B65BC08726}" type="pres">
      <dgm:prSet presAssocID="{C79FCAC8-12C5-4397-82A3-30C49D86C323}" presName="rootConnector1" presStyleLbl="node1" presStyleIdx="0" presStyleCnt="0"/>
      <dgm:spPr/>
      <dgm:t>
        <a:bodyPr/>
        <a:lstStyle/>
        <a:p>
          <a:endParaRPr lang="sk-SK"/>
        </a:p>
      </dgm:t>
    </dgm:pt>
    <dgm:pt modelId="{9F0A6398-CAAD-4420-BEF9-A0CA07C2C032}" type="pres">
      <dgm:prSet presAssocID="{C79FCAC8-12C5-4397-82A3-30C49D86C323}" presName="hierChild2" presStyleCnt="0"/>
      <dgm:spPr/>
    </dgm:pt>
    <dgm:pt modelId="{FF218A53-D0FA-48DC-995C-B5D799744848}" type="pres">
      <dgm:prSet presAssocID="{41FEB2A9-F5CF-4DF5-A070-3AD048AB2CDD}" presName="Name64" presStyleLbl="parChTrans1D2" presStyleIdx="1" presStyleCnt="5"/>
      <dgm:spPr/>
      <dgm:t>
        <a:bodyPr/>
        <a:lstStyle/>
        <a:p>
          <a:endParaRPr lang="sk-SK"/>
        </a:p>
      </dgm:t>
    </dgm:pt>
    <dgm:pt modelId="{E959AEC7-C27E-4A0A-B159-26C34B92C3A4}" type="pres">
      <dgm:prSet presAssocID="{24B2E991-E2DD-4F2F-A8BF-754E55149E90}" presName="hierRoot2" presStyleCnt="0">
        <dgm:presLayoutVars>
          <dgm:hierBranch val="init"/>
        </dgm:presLayoutVars>
      </dgm:prSet>
      <dgm:spPr/>
    </dgm:pt>
    <dgm:pt modelId="{75D55956-B9D4-4E49-ADC6-EBFF255285B2}" type="pres">
      <dgm:prSet presAssocID="{24B2E991-E2DD-4F2F-A8BF-754E55149E90}" presName="rootComposite" presStyleCnt="0"/>
      <dgm:spPr/>
    </dgm:pt>
    <dgm:pt modelId="{A146F741-3F0E-48C0-9185-50F27607D0BD}" type="pres">
      <dgm:prSet presAssocID="{24B2E991-E2DD-4F2F-A8BF-754E55149E90}" presName="rootText" presStyleLbl="node2" presStyleIdx="1" presStyleCnt="5" custScaleY="176082" custLinFactNeighborX="-18286" custLinFactNeighborY="-34722">
        <dgm:presLayoutVars>
          <dgm:chPref val="3"/>
        </dgm:presLayoutVars>
      </dgm:prSet>
      <dgm:spPr/>
      <dgm:t>
        <a:bodyPr/>
        <a:lstStyle/>
        <a:p>
          <a:endParaRPr lang="sk-SK"/>
        </a:p>
      </dgm:t>
    </dgm:pt>
    <dgm:pt modelId="{9DE5E26D-A675-4FE0-923F-983874550F5E}" type="pres">
      <dgm:prSet presAssocID="{24B2E991-E2DD-4F2F-A8BF-754E55149E90}" presName="rootConnector" presStyleLbl="node2" presStyleIdx="1" presStyleCnt="5"/>
      <dgm:spPr/>
      <dgm:t>
        <a:bodyPr/>
        <a:lstStyle/>
        <a:p>
          <a:endParaRPr lang="sk-SK"/>
        </a:p>
      </dgm:t>
    </dgm:pt>
    <dgm:pt modelId="{EB3696BE-161D-404B-9413-0D58F2B5BEAC}" type="pres">
      <dgm:prSet presAssocID="{24B2E991-E2DD-4F2F-A8BF-754E55149E90}" presName="hierChild4" presStyleCnt="0"/>
      <dgm:spPr/>
    </dgm:pt>
    <dgm:pt modelId="{CD6838EF-DCD0-4D5B-AA5E-01A4FFDD7957}" type="pres">
      <dgm:prSet presAssocID="{4E7A6ECB-BAEA-40AA-A70E-1E8E1AE0221C}" presName="Name64" presStyleLbl="parChTrans1D3" presStyleIdx="1" presStyleCnt="6"/>
      <dgm:spPr/>
      <dgm:t>
        <a:bodyPr/>
        <a:lstStyle/>
        <a:p>
          <a:endParaRPr lang="sk-SK"/>
        </a:p>
      </dgm:t>
    </dgm:pt>
    <dgm:pt modelId="{51718DF8-62F1-4EB4-8EFB-9D197FD1DA07}" type="pres">
      <dgm:prSet presAssocID="{306AE7E7-FEE3-45DB-B2E5-1C2868AFC9E2}" presName="hierRoot2" presStyleCnt="0">
        <dgm:presLayoutVars>
          <dgm:hierBranch val="init"/>
        </dgm:presLayoutVars>
      </dgm:prSet>
      <dgm:spPr/>
    </dgm:pt>
    <dgm:pt modelId="{0DC2B33E-476E-450D-9F4C-450D0616F90D}" type="pres">
      <dgm:prSet presAssocID="{306AE7E7-FEE3-45DB-B2E5-1C2868AFC9E2}" presName="rootComposite" presStyleCnt="0"/>
      <dgm:spPr/>
    </dgm:pt>
    <dgm:pt modelId="{30F454AD-DACE-4EFB-A1A0-C76A14C1B3B7}" type="pres">
      <dgm:prSet presAssocID="{306AE7E7-FEE3-45DB-B2E5-1C2868AFC9E2}" presName="rootText" presStyleLbl="node3" presStyleIdx="1" presStyleCnt="6" custScaleX="141570" custScaleY="175603" custLinFactNeighborX="19822" custLinFactNeighborY="-34171">
        <dgm:presLayoutVars>
          <dgm:chPref val="3"/>
        </dgm:presLayoutVars>
      </dgm:prSet>
      <dgm:spPr/>
      <dgm:t>
        <a:bodyPr/>
        <a:lstStyle/>
        <a:p>
          <a:endParaRPr lang="sk-SK"/>
        </a:p>
      </dgm:t>
    </dgm:pt>
    <dgm:pt modelId="{5F9C9569-355A-414A-B8EF-9A31C0EA80EF}" type="pres">
      <dgm:prSet presAssocID="{306AE7E7-FEE3-45DB-B2E5-1C2868AFC9E2}" presName="rootConnector" presStyleLbl="node3" presStyleIdx="1" presStyleCnt="6"/>
      <dgm:spPr/>
      <dgm:t>
        <a:bodyPr/>
        <a:lstStyle/>
        <a:p>
          <a:endParaRPr lang="sk-SK"/>
        </a:p>
      </dgm:t>
    </dgm:pt>
    <dgm:pt modelId="{1C6DF7C1-58B5-4732-A41D-1D4CF7CDE292}" type="pres">
      <dgm:prSet presAssocID="{306AE7E7-FEE3-45DB-B2E5-1C2868AFC9E2}" presName="hierChild4" presStyleCnt="0"/>
      <dgm:spPr/>
    </dgm:pt>
    <dgm:pt modelId="{8D31D79C-289D-4E67-9286-CFB84388CE54}" type="pres">
      <dgm:prSet presAssocID="{86189BC7-B252-46C1-8748-AFD1B0A252F2}" presName="Name64" presStyleLbl="parChTrans1D4" presStyleIdx="1" presStyleCnt="6"/>
      <dgm:spPr/>
      <dgm:t>
        <a:bodyPr/>
        <a:lstStyle/>
        <a:p>
          <a:endParaRPr lang="sk-SK"/>
        </a:p>
      </dgm:t>
    </dgm:pt>
    <dgm:pt modelId="{ABD00365-8A2E-40D5-AD1E-1BD264CBBC15}" type="pres">
      <dgm:prSet presAssocID="{3B34FB63-A679-400A-859B-4331C316C656}" presName="hierRoot2" presStyleCnt="0">
        <dgm:presLayoutVars>
          <dgm:hierBranch val="init"/>
        </dgm:presLayoutVars>
      </dgm:prSet>
      <dgm:spPr/>
    </dgm:pt>
    <dgm:pt modelId="{F5B0BF75-46A3-4BE4-9A6C-A2077E2AE21D}" type="pres">
      <dgm:prSet presAssocID="{3B34FB63-A679-400A-859B-4331C316C656}" presName="rootComposite" presStyleCnt="0"/>
      <dgm:spPr/>
    </dgm:pt>
    <dgm:pt modelId="{4C750A7C-2EDE-4B66-BC80-A92CA744023D}" type="pres">
      <dgm:prSet presAssocID="{3B34FB63-A679-400A-859B-4331C316C656}" presName="rootText" presStyleLbl="node4" presStyleIdx="1" presStyleCnt="6" custScaleY="175603" custLinFactNeighborX="1828" custLinFactNeighborY="-34171">
        <dgm:presLayoutVars>
          <dgm:chPref val="3"/>
        </dgm:presLayoutVars>
      </dgm:prSet>
      <dgm:spPr/>
      <dgm:t>
        <a:bodyPr/>
        <a:lstStyle/>
        <a:p>
          <a:endParaRPr lang="sk-SK"/>
        </a:p>
      </dgm:t>
    </dgm:pt>
    <dgm:pt modelId="{3F4C2FA7-B4EF-48DA-9F8A-92352C0A4308}" type="pres">
      <dgm:prSet presAssocID="{3B34FB63-A679-400A-859B-4331C316C656}" presName="rootConnector" presStyleLbl="node4" presStyleIdx="1" presStyleCnt="6"/>
      <dgm:spPr/>
      <dgm:t>
        <a:bodyPr/>
        <a:lstStyle/>
        <a:p>
          <a:endParaRPr lang="sk-SK"/>
        </a:p>
      </dgm:t>
    </dgm:pt>
    <dgm:pt modelId="{BC6C0C09-B9BF-440A-AD77-B210BD0B3A6E}" type="pres">
      <dgm:prSet presAssocID="{3B34FB63-A679-400A-859B-4331C316C656}" presName="hierChild4" presStyleCnt="0"/>
      <dgm:spPr/>
    </dgm:pt>
    <dgm:pt modelId="{18283CDD-F9DE-49EA-8283-4FA460F2F0F4}" type="pres">
      <dgm:prSet presAssocID="{3B34FB63-A679-400A-859B-4331C316C656}" presName="hierChild5" presStyleCnt="0"/>
      <dgm:spPr/>
    </dgm:pt>
    <dgm:pt modelId="{EAE8065C-773E-4F5D-9057-7B69A2FCE5EB}" type="pres">
      <dgm:prSet presAssocID="{306AE7E7-FEE3-45DB-B2E5-1C2868AFC9E2}" presName="hierChild5" presStyleCnt="0"/>
      <dgm:spPr/>
    </dgm:pt>
    <dgm:pt modelId="{09599D0D-6FB7-44ED-B0FF-CACE946F09DB}" type="pres">
      <dgm:prSet presAssocID="{24B2E991-E2DD-4F2F-A8BF-754E55149E90}" presName="hierChild5" presStyleCnt="0"/>
      <dgm:spPr/>
    </dgm:pt>
    <dgm:pt modelId="{9235578F-F565-4E68-B9C3-E543B2E30DE0}" type="pres">
      <dgm:prSet presAssocID="{C79FCAC8-12C5-4397-82A3-30C49D86C323}" presName="hierChild3" presStyleCnt="0"/>
      <dgm:spPr/>
    </dgm:pt>
    <dgm:pt modelId="{8363B8DF-A64B-454C-A7FD-4EE36EE20347}" type="pres">
      <dgm:prSet presAssocID="{10955DB6-AC42-4FE9-AECF-3F92A4D63A44}" presName="hierRoot1" presStyleCnt="0">
        <dgm:presLayoutVars>
          <dgm:hierBranch val="init"/>
        </dgm:presLayoutVars>
      </dgm:prSet>
      <dgm:spPr/>
    </dgm:pt>
    <dgm:pt modelId="{0C771AA8-C5B6-4529-876F-513EAA5FA343}" type="pres">
      <dgm:prSet presAssocID="{10955DB6-AC42-4FE9-AECF-3F92A4D63A44}" presName="rootComposite1" presStyleCnt="0"/>
      <dgm:spPr/>
    </dgm:pt>
    <dgm:pt modelId="{8B2F072F-15FE-45FB-AEFD-9BAED22D73F6}" type="pres">
      <dgm:prSet presAssocID="{10955DB6-AC42-4FE9-AECF-3F92A4D63A44}" presName="rootText1" presStyleLbl="node0" presStyleIdx="2" presStyleCnt="5" custScaleX="141570" custScaleY="350723" custLinFactNeighborX="-914" custLinFactNeighborY="-69600">
        <dgm:presLayoutVars>
          <dgm:chPref val="3"/>
        </dgm:presLayoutVars>
      </dgm:prSet>
      <dgm:spPr/>
      <dgm:t>
        <a:bodyPr/>
        <a:lstStyle/>
        <a:p>
          <a:endParaRPr lang="sk-SK"/>
        </a:p>
      </dgm:t>
    </dgm:pt>
    <dgm:pt modelId="{E13975AB-A7DC-484B-9A8B-DA760201DF24}" type="pres">
      <dgm:prSet presAssocID="{10955DB6-AC42-4FE9-AECF-3F92A4D63A44}" presName="rootConnector1" presStyleLbl="node1" presStyleIdx="0" presStyleCnt="0"/>
      <dgm:spPr/>
      <dgm:t>
        <a:bodyPr/>
        <a:lstStyle/>
        <a:p>
          <a:endParaRPr lang="sk-SK"/>
        </a:p>
      </dgm:t>
    </dgm:pt>
    <dgm:pt modelId="{693A2CD2-268B-4603-905A-DF5D711A3F77}" type="pres">
      <dgm:prSet presAssocID="{10955DB6-AC42-4FE9-AECF-3F92A4D63A44}" presName="hierChild2" presStyleCnt="0"/>
      <dgm:spPr/>
    </dgm:pt>
    <dgm:pt modelId="{FB92B030-C0A9-4FD5-A568-B8674E18C267}" type="pres">
      <dgm:prSet presAssocID="{18460910-87BA-4176-BE11-42ABCB7808C7}" presName="Name64" presStyleLbl="parChTrans1D2" presStyleIdx="2" presStyleCnt="5" custSzY="103277"/>
      <dgm:spPr/>
      <dgm:t>
        <a:bodyPr/>
        <a:lstStyle/>
        <a:p>
          <a:endParaRPr lang="sk-SK"/>
        </a:p>
      </dgm:t>
    </dgm:pt>
    <dgm:pt modelId="{85774725-BEC1-4677-A3F1-6599B0C0AD7C}" type="pres">
      <dgm:prSet presAssocID="{19B8EF16-EB68-4F51-B864-2FAE758F0E66}" presName="hierRoot2" presStyleCnt="0">
        <dgm:presLayoutVars>
          <dgm:hierBranch val="init"/>
        </dgm:presLayoutVars>
      </dgm:prSet>
      <dgm:spPr/>
    </dgm:pt>
    <dgm:pt modelId="{E4A217D2-A4D3-4780-8992-B1C4E21EB0FB}" type="pres">
      <dgm:prSet presAssocID="{19B8EF16-EB68-4F51-B864-2FAE758F0E66}" presName="rootComposite" presStyleCnt="0"/>
      <dgm:spPr/>
    </dgm:pt>
    <dgm:pt modelId="{5675431B-1FEF-49AB-B780-7A464F475A9C}" type="pres">
      <dgm:prSet presAssocID="{19B8EF16-EB68-4F51-B864-2FAE758F0E66}" presName="rootText" presStyleLbl="node2" presStyleIdx="2" presStyleCnt="5" custScaleY="350597" custLinFactNeighborX="-18871" custLinFactNeighborY="-69600">
        <dgm:presLayoutVars>
          <dgm:chPref val="3"/>
        </dgm:presLayoutVars>
      </dgm:prSet>
      <dgm:spPr/>
      <dgm:t>
        <a:bodyPr/>
        <a:lstStyle/>
        <a:p>
          <a:endParaRPr lang="sk-SK"/>
        </a:p>
      </dgm:t>
    </dgm:pt>
    <dgm:pt modelId="{F3ED72B8-C8C9-46D8-963B-B62A2704D133}" type="pres">
      <dgm:prSet presAssocID="{19B8EF16-EB68-4F51-B864-2FAE758F0E66}" presName="rootConnector" presStyleLbl="node2" presStyleIdx="2" presStyleCnt="5"/>
      <dgm:spPr/>
      <dgm:t>
        <a:bodyPr/>
        <a:lstStyle/>
        <a:p>
          <a:endParaRPr lang="sk-SK"/>
        </a:p>
      </dgm:t>
    </dgm:pt>
    <dgm:pt modelId="{3CD85B8F-C326-43A9-850B-A244C4C063DE}" type="pres">
      <dgm:prSet presAssocID="{19B8EF16-EB68-4F51-B864-2FAE758F0E66}" presName="hierChild4" presStyleCnt="0"/>
      <dgm:spPr/>
    </dgm:pt>
    <dgm:pt modelId="{2FEB44EF-AE1F-4C93-951D-E04DDC437D63}" type="pres">
      <dgm:prSet presAssocID="{30E77D22-700E-4EE7-BEC9-55818A2F39BF}" presName="Name64" presStyleLbl="parChTrans1D3" presStyleIdx="2" presStyleCnt="6"/>
      <dgm:spPr/>
      <dgm:t>
        <a:bodyPr/>
        <a:lstStyle/>
        <a:p>
          <a:endParaRPr lang="sk-SK"/>
        </a:p>
      </dgm:t>
    </dgm:pt>
    <dgm:pt modelId="{F2848311-A464-40A3-9C51-4825C4AC9055}" type="pres">
      <dgm:prSet presAssocID="{AAB8B99A-8A4E-487F-924F-B5ED9EEED594}" presName="hierRoot2" presStyleCnt="0">
        <dgm:presLayoutVars>
          <dgm:hierBranch val="init"/>
        </dgm:presLayoutVars>
      </dgm:prSet>
      <dgm:spPr/>
    </dgm:pt>
    <dgm:pt modelId="{F07DB0A9-839D-48E0-918A-839B988DF634}" type="pres">
      <dgm:prSet presAssocID="{AAB8B99A-8A4E-487F-924F-B5ED9EEED594}" presName="rootComposite" presStyleCnt="0"/>
      <dgm:spPr/>
    </dgm:pt>
    <dgm:pt modelId="{1FD36FA7-5D53-46E5-AC31-A99702D90309}" type="pres">
      <dgm:prSet presAssocID="{AAB8B99A-8A4E-487F-924F-B5ED9EEED594}" presName="rootText" presStyleLbl="node3" presStyleIdx="2" presStyleCnt="6" custScaleX="141570" custScaleY="150187" custLinFactNeighborX="19822" custLinFactNeighborY="-58772">
        <dgm:presLayoutVars>
          <dgm:chPref val="3"/>
        </dgm:presLayoutVars>
      </dgm:prSet>
      <dgm:spPr/>
      <dgm:t>
        <a:bodyPr/>
        <a:lstStyle/>
        <a:p>
          <a:endParaRPr lang="sk-SK"/>
        </a:p>
      </dgm:t>
    </dgm:pt>
    <dgm:pt modelId="{51EBC741-36EC-4F95-B232-7C83D738BDD6}" type="pres">
      <dgm:prSet presAssocID="{AAB8B99A-8A4E-487F-924F-B5ED9EEED594}" presName="rootConnector" presStyleLbl="node3" presStyleIdx="2" presStyleCnt="6"/>
      <dgm:spPr/>
      <dgm:t>
        <a:bodyPr/>
        <a:lstStyle/>
        <a:p>
          <a:endParaRPr lang="sk-SK"/>
        </a:p>
      </dgm:t>
    </dgm:pt>
    <dgm:pt modelId="{FB4F41EF-F553-4D1C-ABDB-4DCCF51CD43C}" type="pres">
      <dgm:prSet presAssocID="{AAB8B99A-8A4E-487F-924F-B5ED9EEED594}" presName="hierChild4" presStyleCnt="0"/>
      <dgm:spPr/>
    </dgm:pt>
    <dgm:pt modelId="{604F3102-BA35-4241-985A-2A775AEC4F29}" type="pres">
      <dgm:prSet presAssocID="{641C1BB9-157C-46F9-9A6D-66A26BEDD24B}" presName="Name64" presStyleLbl="parChTrans1D4" presStyleIdx="2" presStyleCnt="6"/>
      <dgm:spPr/>
      <dgm:t>
        <a:bodyPr/>
        <a:lstStyle/>
        <a:p>
          <a:endParaRPr lang="sk-SK"/>
        </a:p>
      </dgm:t>
    </dgm:pt>
    <dgm:pt modelId="{9C9D0849-8393-49A0-81EF-94722CB4FDDB}" type="pres">
      <dgm:prSet presAssocID="{B8CA3AD3-E43F-4D8B-B8AB-5163AC5ED1DD}" presName="hierRoot2" presStyleCnt="0">
        <dgm:presLayoutVars>
          <dgm:hierBranch val="init"/>
        </dgm:presLayoutVars>
      </dgm:prSet>
      <dgm:spPr/>
    </dgm:pt>
    <dgm:pt modelId="{743AA0B0-2ABB-4EC1-9ECE-3D367EEBCEBA}" type="pres">
      <dgm:prSet presAssocID="{B8CA3AD3-E43F-4D8B-B8AB-5163AC5ED1DD}" presName="rootComposite" presStyleCnt="0"/>
      <dgm:spPr/>
    </dgm:pt>
    <dgm:pt modelId="{702D0B2A-510E-4D00-98E1-C727EDD64A07}" type="pres">
      <dgm:prSet presAssocID="{B8CA3AD3-E43F-4D8B-B8AB-5163AC5ED1DD}" presName="rootText" presStyleLbl="node4" presStyleIdx="2" presStyleCnt="6" custScaleY="149961" custLinFactNeighborX="1874" custLinFactNeighborY="-58772">
        <dgm:presLayoutVars>
          <dgm:chPref val="3"/>
        </dgm:presLayoutVars>
      </dgm:prSet>
      <dgm:spPr/>
      <dgm:t>
        <a:bodyPr/>
        <a:lstStyle/>
        <a:p>
          <a:endParaRPr lang="sk-SK"/>
        </a:p>
      </dgm:t>
    </dgm:pt>
    <dgm:pt modelId="{D5A50A50-D56E-4065-B4C0-E39BCEF43319}" type="pres">
      <dgm:prSet presAssocID="{B8CA3AD3-E43F-4D8B-B8AB-5163AC5ED1DD}" presName="rootConnector" presStyleLbl="node4" presStyleIdx="2" presStyleCnt="6"/>
      <dgm:spPr/>
      <dgm:t>
        <a:bodyPr/>
        <a:lstStyle/>
        <a:p>
          <a:endParaRPr lang="sk-SK"/>
        </a:p>
      </dgm:t>
    </dgm:pt>
    <dgm:pt modelId="{F9A9EE05-DC3A-4121-938C-83CD1BEFE113}" type="pres">
      <dgm:prSet presAssocID="{B8CA3AD3-E43F-4D8B-B8AB-5163AC5ED1DD}" presName="hierChild4" presStyleCnt="0"/>
      <dgm:spPr/>
    </dgm:pt>
    <dgm:pt modelId="{B2B16C52-9FC5-4888-8E98-3424192FA681}" type="pres">
      <dgm:prSet presAssocID="{B8CA3AD3-E43F-4D8B-B8AB-5163AC5ED1DD}" presName="hierChild5" presStyleCnt="0"/>
      <dgm:spPr/>
    </dgm:pt>
    <dgm:pt modelId="{B46CA3EE-3B6E-4E3D-A897-0B869314DFBD}" type="pres">
      <dgm:prSet presAssocID="{AAB8B99A-8A4E-487F-924F-B5ED9EEED594}" presName="hierChild5" presStyleCnt="0"/>
      <dgm:spPr/>
    </dgm:pt>
    <dgm:pt modelId="{5B59E17D-9FE6-48E7-B424-308DBFA4CC59}" type="pres">
      <dgm:prSet presAssocID="{60D35D86-1718-4D63-959B-7DF768C4B201}" presName="Name64" presStyleLbl="parChTrans1D3" presStyleIdx="3" presStyleCnt="6"/>
      <dgm:spPr/>
      <dgm:t>
        <a:bodyPr/>
        <a:lstStyle/>
        <a:p>
          <a:endParaRPr lang="sk-SK"/>
        </a:p>
      </dgm:t>
    </dgm:pt>
    <dgm:pt modelId="{C6A6CE8E-8C47-48DD-8F81-0D76E17467E8}" type="pres">
      <dgm:prSet presAssocID="{9D0DF30D-22A6-4EEA-8802-EDDCD5C0FECE}" presName="hierRoot2" presStyleCnt="0">
        <dgm:presLayoutVars>
          <dgm:hierBranch val="init"/>
        </dgm:presLayoutVars>
      </dgm:prSet>
      <dgm:spPr/>
    </dgm:pt>
    <dgm:pt modelId="{6FDF0F31-91B0-4F06-81E9-4181EBC7EEAA}" type="pres">
      <dgm:prSet presAssocID="{9D0DF30D-22A6-4EEA-8802-EDDCD5C0FECE}" presName="rootComposite" presStyleCnt="0"/>
      <dgm:spPr/>
    </dgm:pt>
    <dgm:pt modelId="{C925F6AE-50E7-4A05-9969-4062B7F5479D}" type="pres">
      <dgm:prSet presAssocID="{9D0DF30D-22A6-4EEA-8802-EDDCD5C0FECE}" presName="rootText" presStyleLbl="node3" presStyleIdx="3" presStyleCnt="6" custScaleX="141570" custScaleY="182589" custLinFactNeighborX="19822" custLinFactNeighborY="-90257">
        <dgm:presLayoutVars>
          <dgm:chPref val="3"/>
        </dgm:presLayoutVars>
      </dgm:prSet>
      <dgm:spPr/>
      <dgm:t>
        <a:bodyPr/>
        <a:lstStyle/>
        <a:p>
          <a:endParaRPr lang="sk-SK"/>
        </a:p>
      </dgm:t>
    </dgm:pt>
    <dgm:pt modelId="{713EC6D6-1B5C-4921-8802-5C76AD9826C8}" type="pres">
      <dgm:prSet presAssocID="{9D0DF30D-22A6-4EEA-8802-EDDCD5C0FECE}" presName="rootConnector" presStyleLbl="node3" presStyleIdx="3" presStyleCnt="6"/>
      <dgm:spPr/>
      <dgm:t>
        <a:bodyPr/>
        <a:lstStyle/>
        <a:p>
          <a:endParaRPr lang="sk-SK"/>
        </a:p>
      </dgm:t>
    </dgm:pt>
    <dgm:pt modelId="{5802C23E-921B-494E-AB04-6102F1F495B7}" type="pres">
      <dgm:prSet presAssocID="{9D0DF30D-22A6-4EEA-8802-EDDCD5C0FECE}" presName="hierChild4" presStyleCnt="0"/>
      <dgm:spPr/>
    </dgm:pt>
    <dgm:pt modelId="{29B6C71A-632F-46B1-9B03-D7021306B022}" type="pres">
      <dgm:prSet presAssocID="{495E258B-CC98-4FFD-AD61-7A1F4FF61E47}" presName="Name64" presStyleLbl="parChTrans1D4" presStyleIdx="3" presStyleCnt="6" custSzY="111167"/>
      <dgm:spPr/>
      <dgm:t>
        <a:bodyPr/>
        <a:lstStyle/>
        <a:p>
          <a:endParaRPr lang="sk-SK"/>
        </a:p>
      </dgm:t>
    </dgm:pt>
    <dgm:pt modelId="{AFB73E99-A73A-4C6B-BC14-FA10886A8528}" type="pres">
      <dgm:prSet presAssocID="{FC32981D-6387-4860-9C19-2441F753B4A5}" presName="hierRoot2" presStyleCnt="0">
        <dgm:presLayoutVars>
          <dgm:hierBranch val="init"/>
        </dgm:presLayoutVars>
      </dgm:prSet>
      <dgm:spPr/>
    </dgm:pt>
    <dgm:pt modelId="{ACDF1E18-0351-4938-8B1A-05B6E14909BB}" type="pres">
      <dgm:prSet presAssocID="{FC32981D-6387-4860-9C19-2441F753B4A5}" presName="rootComposite" presStyleCnt="0"/>
      <dgm:spPr/>
    </dgm:pt>
    <dgm:pt modelId="{4E9034E6-AA02-42F2-9F47-19DC7AC6410A}" type="pres">
      <dgm:prSet presAssocID="{FC32981D-6387-4860-9C19-2441F753B4A5}" presName="rootText" presStyleLbl="node4" presStyleIdx="3" presStyleCnt="6" custScaleY="182314" custLinFactNeighborX="1828" custLinFactNeighborY="-90103">
        <dgm:presLayoutVars>
          <dgm:chPref val="3"/>
        </dgm:presLayoutVars>
      </dgm:prSet>
      <dgm:spPr/>
      <dgm:t>
        <a:bodyPr/>
        <a:lstStyle/>
        <a:p>
          <a:endParaRPr lang="sk-SK"/>
        </a:p>
      </dgm:t>
    </dgm:pt>
    <dgm:pt modelId="{72DFA77C-3912-492D-AF2D-046E6554F1D1}" type="pres">
      <dgm:prSet presAssocID="{FC32981D-6387-4860-9C19-2441F753B4A5}" presName="rootConnector" presStyleLbl="node4" presStyleIdx="3" presStyleCnt="6"/>
      <dgm:spPr/>
      <dgm:t>
        <a:bodyPr/>
        <a:lstStyle/>
        <a:p>
          <a:endParaRPr lang="sk-SK"/>
        </a:p>
      </dgm:t>
    </dgm:pt>
    <dgm:pt modelId="{8EE2966B-D505-4FFB-A7D4-9BCC83265A6B}" type="pres">
      <dgm:prSet presAssocID="{FC32981D-6387-4860-9C19-2441F753B4A5}" presName="hierChild4" presStyleCnt="0"/>
      <dgm:spPr/>
    </dgm:pt>
    <dgm:pt modelId="{5AAF42E9-7A0F-4F92-899E-133FAB753264}" type="pres">
      <dgm:prSet presAssocID="{FC32981D-6387-4860-9C19-2441F753B4A5}" presName="hierChild5" presStyleCnt="0"/>
      <dgm:spPr/>
    </dgm:pt>
    <dgm:pt modelId="{43EC2A75-1C0C-470B-AD7D-7A8B4AC0811C}" type="pres">
      <dgm:prSet presAssocID="{9D0DF30D-22A6-4EEA-8802-EDDCD5C0FECE}" presName="hierChild5" presStyleCnt="0"/>
      <dgm:spPr/>
    </dgm:pt>
    <dgm:pt modelId="{947F7E9F-A3E6-441A-B871-2F3DF67521AB}" type="pres">
      <dgm:prSet presAssocID="{19B8EF16-EB68-4F51-B864-2FAE758F0E66}" presName="hierChild5" presStyleCnt="0"/>
      <dgm:spPr/>
    </dgm:pt>
    <dgm:pt modelId="{6B160A7E-FB75-4792-8A67-FA58FF8D783F}" type="pres">
      <dgm:prSet presAssocID="{10955DB6-AC42-4FE9-AECF-3F92A4D63A44}" presName="hierChild3" presStyleCnt="0"/>
      <dgm:spPr/>
    </dgm:pt>
    <dgm:pt modelId="{F32BFBDE-EEA3-40B7-8BE6-F17233FEDA38}" type="pres">
      <dgm:prSet presAssocID="{B462037A-0332-43A6-AB8D-12A8EEC363C3}" presName="hierRoot1" presStyleCnt="0">
        <dgm:presLayoutVars>
          <dgm:hierBranch val="init"/>
        </dgm:presLayoutVars>
      </dgm:prSet>
      <dgm:spPr/>
    </dgm:pt>
    <dgm:pt modelId="{B150FA68-A2F7-4ED2-A3F7-A45BCD5F345E}" type="pres">
      <dgm:prSet presAssocID="{B462037A-0332-43A6-AB8D-12A8EEC363C3}" presName="rootComposite1" presStyleCnt="0"/>
      <dgm:spPr/>
    </dgm:pt>
    <dgm:pt modelId="{B7FE354D-8419-4A41-9801-D517A8121D74}" type="pres">
      <dgm:prSet presAssocID="{B462037A-0332-43A6-AB8D-12A8EEC363C3}" presName="rootText1" presStyleLbl="node0" presStyleIdx="3" presStyleCnt="5" custScaleX="141570" custScaleY="175211" custLinFactY="-3268" custLinFactNeighborX="-914" custLinFactNeighborY="-100000">
        <dgm:presLayoutVars>
          <dgm:chPref val="3"/>
        </dgm:presLayoutVars>
      </dgm:prSet>
      <dgm:spPr/>
      <dgm:t>
        <a:bodyPr/>
        <a:lstStyle/>
        <a:p>
          <a:endParaRPr lang="sk-SK"/>
        </a:p>
      </dgm:t>
    </dgm:pt>
    <dgm:pt modelId="{97B92E78-836C-426F-8956-039CA6DFDC45}" type="pres">
      <dgm:prSet presAssocID="{B462037A-0332-43A6-AB8D-12A8EEC363C3}" presName="rootConnector1" presStyleLbl="node1" presStyleIdx="0" presStyleCnt="0"/>
      <dgm:spPr/>
      <dgm:t>
        <a:bodyPr/>
        <a:lstStyle/>
        <a:p>
          <a:endParaRPr lang="sk-SK"/>
        </a:p>
      </dgm:t>
    </dgm:pt>
    <dgm:pt modelId="{6CA23E4F-29DF-4E71-8709-00B0FCF08128}" type="pres">
      <dgm:prSet presAssocID="{B462037A-0332-43A6-AB8D-12A8EEC363C3}" presName="hierChild2" presStyleCnt="0"/>
      <dgm:spPr/>
    </dgm:pt>
    <dgm:pt modelId="{058D0014-812E-469C-BC2F-95A7C7CB14D9}" type="pres">
      <dgm:prSet presAssocID="{5FA79B12-01C2-49FC-A3F5-90A73EAD5D2F}" presName="Name64" presStyleLbl="parChTrans1D2" presStyleIdx="3" presStyleCnt="5"/>
      <dgm:spPr/>
      <dgm:t>
        <a:bodyPr/>
        <a:lstStyle/>
        <a:p>
          <a:endParaRPr lang="sk-SK"/>
        </a:p>
      </dgm:t>
    </dgm:pt>
    <dgm:pt modelId="{B1D0FB56-175E-4F7D-8470-2A3DA5270844}" type="pres">
      <dgm:prSet presAssocID="{977865B1-45B0-4A3D-828F-3DDB44E797AB}" presName="hierRoot2" presStyleCnt="0">
        <dgm:presLayoutVars>
          <dgm:hierBranch val="init"/>
        </dgm:presLayoutVars>
      </dgm:prSet>
      <dgm:spPr/>
    </dgm:pt>
    <dgm:pt modelId="{579ADB97-FDAA-4DEE-8FC0-7C7E480A9763}" type="pres">
      <dgm:prSet presAssocID="{977865B1-45B0-4A3D-828F-3DDB44E797AB}" presName="rootComposite" presStyleCnt="0"/>
      <dgm:spPr/>
    </dgm:pt>
    <dgm:pt modelId="{12DBF65B-CD68-48B9-91E6-137837EEE520}" type="pres">
      <dgm:prSet presAssocID="{977865B1-45B0-4A3D-828F-3DDB44E797AB}" presName="rootText" presStyleLbl="node2" presStyleIdx="3" presStyleCnt="5" custScaleY="174954" custLinFactY="-3268" custLinFactNeighborX="-18871" custLinFactNeighborY="-100000">
        <dgm:presLayoutVars>
          <dgm:chPref val="3"/>
        </dgm:presLayoutVars>
      </dgm:prSet>
      <dgm:spPr/>
      <dgm:t>
        <a:bodyPr/>
        <a:lstStyle/>
        <a:p>
          <a:endParaRPr lang="sk-SK"/>
        </a:p>
      </dgm:t>
    </dgm:pt>
    <dgm:pt modelId="{B7B4AC6B-9012-4DA6-90F6-BA662D7333C3}" type="pres">
      <dgm:prSet presAssocID="{977865B1-45B0-4A3D-828F-3DDB44E797AB}" presName="rootConnector" presStyleLbl="node2" presStyleIdx="3" presStyleCnt="5"/>
      <dgm:spPr/>
      <dgm:t>
        <a:bodyPr/>
        <a:lstStyle/>
        <a:p>
          <a:endParaRPr lang="sk-SK"/>
        </a:p>
      </dgm:t>
    </dgm:pt>
    <dgm:pt modelId="{C59E1F92-7B04-453F-B937-F4C349F9852F}" type="pres">
      <dgm:prSet presAssocID="{977865B1-45B0-4A3D-828F-3DDB44E797AB}" presName="hierChild4" presStyleCnt="0"/>
      <dgm:spPr/>
    </dgm:pt>
    <dgm:pt modelId="{9579D91D-A547-40C2-913C-B28E2F22C4C5}" type="pres">
      <dgm:prSet presAssocID="{BCF3F803-3698-4ED0-A7DD-9562C5B28613}" presName="Name64" presStyleLbl="parChTrans1D3" presStyleIdx="4" presStyleCnt="6"/>
      <dgm:spPr/>
      <dgm:t>
        <a:bodyPr/>
        <a:lstStyle/>
        <a:p>
          <a:endParaRPr lang="sk-SK"/>
        </a:p>
      </dgm:t>
    </dgm:pt>
    <dgm:pt modelId="{0875940A-78D8-4F41-8DBB-3FCD51A76F32}" type="pres">
      <dgm:prSet presAssocID="{9A8CA82B-78A0-42A7-9EC8-AF221E52D2C0}" presName="hierRoot2" presStyleCnt="0">
        <dgm:presLayoutVars>
          <dgm:hierBranch val="init"/>
        </dgm:presLayoutVars>
      </dgm:prSet>
      <dgm:spPr/>
    </dgm:pt>
    <dgm:pt modelId="{D0BAD0D2-7811-4C6D-9561-708B53AAC85E}" type="pres">
      <dgm:prSet presAssocID="{9A8CA82B-78A0-42A7-9EC8-AF221E52D2C0}" presName="rootComposite" presStyleCnt="0"/>
      <dgm:spPr/>
    </dgm:pt>
    <dgm:pt modelId="{A2870D18-8A7C-425E-A555-24316316F177}" type="pres">
      <dgm:prSet presAssocID="{9A8CA82B-78A0-42A7-9EC8-AF221E52D2C0}" presName="rootText" presStyleLbl="node3" presStyleIdx="4" presStyleCnt="6" custScaleX="141570" custScaleY="174954" custLinFactY="-2851" custLinFactNeighborX="19239" custLinFactNeighborY="-100000">
        <dgm:presLayoutVars>
          <dgm:chPref val="3"/>
        </dgm:presLayoutVars>
      </dgm:prSet>
      <dgm:spPr/>
      <dgm:t>
        <a:bodyPr/>
        <a:lstStyle/>
        <a:p>
          <a:endParaRPr lang="sk-SK"/>
        </a:p>
      </dgm:t>
    </dgm:pt>
    <dgm:pt modelId="{8157DC13-4FAC-4C2C-90DB-305836DACF85}" type="pres">
      <dgm:prSet presAssocID="{9A8CA82B-78A0-42A7-9EC8-AF221E52D2C0}" presName="rootConnector" presStyleLbl="node3" presStyleIdx="4" presStyleCnt="6"/>
      <dgm:spPr/>
      <dgm:t>
        <a:bodyPr/>
        <a:lstStyle/>
        <a:p>
          <a:endParaRPr lang="sk-SK"/>
        </a:p>
      </dgm:t>
    </dgm:pt>
    <dgm:pt modelId="{73D123AB-1738-4524-A66C-D53263C36557}" type="pres">
      <dgm:prSet presAssocID="{9A8CA82B-78A0-42A7-9EC8-AF221E52D2C0}" presName="hierChild4" presStyleCnt="0"/>
      <dgm:spPr/>
    </dgm:pt>
    <dgm:pt modelId="{55EF631F-4824-4A15-BAB5-49F708433718}" type="pres">
      <dgm:prSet presAssocID="{4835DF7B-A3CA-4BA6-9F19-A0D22AA76974}" presName="Name64" presStyleLbl="parChTrans1D4" presStyleIdx="4" presStyleCnt="6"/>
      <dgm:spPr/>
      <dgm:t>
        <a:bodyPr/>
        <a:lstStyle/>
        <a:p>
          <a:endParaRPr lang="sk-SK"/>
        </a:p>
      </dgm:t>
    </dgm:pt>
    <dgm:pt modelId="{F4F83D0E-4469-40AC-8178-95CC738B5F3A}" type="pres">
      <dgm:prSet presAssocID="{8B14B6E2-5A8B-42CB-AEE0-14FD5AC64895}" presName="hierRoot2" presStyleCnt="0">
        <dgm:presLayoutVars>
          <dgm:hierBranch val="init"/>
        </dgm:presLayoutVars>
      </dgm:prSet>
      <dgm:spPr/>
    </dgm:pt>
    <dgm:pt modelId="{3092F5AA-31BF-4A6A-8510-DCA305E8A886}" type="pres">
      <dgm:prSet presAssocID="{8B14B6E2-5A8B-42CB-AEE0-14FD5AC64895}" presName="rootComposite" presStyleCnt="0"/>
      <dgm:spPr/>
    </dgm:pt>
    <dgm:pt modelId="{E3674BFD-07ED-4B69-B217-4FFCAD036AD9}" type="pres">
      <dgm:prSet presAssocID="{8B14B6E2-5A8B-42CB-AEE0-14FD5AC64895}" presName="rootText" presStyleLbl="node4" presStyleIdx="4" presStyleCnt="6" custScaleY="174954" custLinFactY="-2851" custLinFactNeighborX="914" custLinFactNeighborY="-100000">
        <dgm:presLayoutVars>
          <dgm:chPref val="3"/>
        </dgm:presLayoutVars>
      </dgm:prSet>
      <dgm:spPr/>
      <dgm:t>
        <a:bodyPr/>
        <a:lstStyle/>
        <a:p>
          <a:endParaRPr lang="sk-SK"/>
        </a:p>
      </dgm:t>
    </dgm:pt>
    <dgm:pt modelId="{8DFF7E98-CC33-44B5-B282-8003FADC54C1}" type="pres">
      <dgm:prSet presAssocID="{8B14B6E2-5A8B-42CB-AEE0-14FD5AC64895}" presName="rootConnector" presStyleLbl="node4" presStyleIdx="4" presStyleCnt="6"/>
      <dgm:spPr/>
      <dgm:t>
        <a:bodyPr/>
        <a:lstStyle/>
        <a:p>
          <a:endParaRPr lang="sk-SK"/>
        </a:p>
      </dgm:t>
    </dgm:pt>
    <dgm:pt modelId="{929F7E5B-4878-47C8-8BA4-CE2F927BD622}" type="pres">
      <dgm:prSet presAssocID="{8B14B6E2-5A8B-42CB-AEE0-14FD5AC64895}" presName="hierChild4" presStyleCnt="0"/>
      <dgm:spPr/>
    </dgm:pt>
    <dgm:pt modelId="{2E7E59B1-F80C-454B-A030-731697D97CB7}" type="pres">
      <dgm:prSet presAssocID="{8B14B6E2-5A8B-42CB-AEE0-14FD5AC64895}" presName="hierChild5" presStyleCnt="0"/>
      <dgm:spPr/>
    </dgm:pt>
    <dgm:pt modelId="{A2F68072-A056-4007-8C3F-314DBF30E582}" type="pres">
      <dgm:prSet presAssocID="{9A8CA82B-78A0-42A7-9EC8-AF221E52D2C0}" presName="hierChild5" presStyleCnt="0"/>
      <dgm:spPr/>
    </dgm:pt>
    <dgm:pt modelId="{4B1C0E89-3A39-4DD8-B1CA-B640100D5A4D}" type="pres">
      <dgm:prSet presAssocID="{977865B1-45B0-4A3D-828F-3DDB44E797AB}" presName="hierChild5" presStyleCnt="0"/>
      <dgm:spPr/>
    </dgm:pt>
    <dgm:pt modelId="{7F069271-1025-4323-BEE6-5EFCF603FF4A}" type="pres">
      <dgm:prSet presAssocID="{B462037A-0332-43A6-AB8D-12A8EEC363C3}" presName="hierChild3" presStyleCnt="0"/>
      <dgm:spPr/>
    </dgm:pt>
    <dgm:pt modelId="{FAB3DD3A-5689-464A-98CF-8741C803EA0B}" type="pres">
      <dgm:prSet presAssocID="{4C642432-E69F-474C-BB6F-0601A420A53A}" presName="hierRoot1" presStyleCnt="0">
        <dgm:presLayoutVars>
          <dgm:hierBranch val="init"/>
        </dgm:presLayoutVars>
      </dgm:prSet>
      <dgm:spPr/>
    </dgm:pt>
    <dgm:pt modelId="{5E8D5EDB-1D39-45D6-A67F-58471D9435E2}" type="pres">
      <dgm:prSet presAssocID="{4C642432-E69F-474C-BB6F-0601A420A53A}" presName="rootComposite1" presStyleCnt="0"/>
      <dgm:spPr/>
    </dgm:pt>
    <dgm:pt modelId="{F98130C4-0270-48A8-9FD9-96998AE56C04}" type="pres">
      <dgm:prSet presAssocID="{4C642432-E69F-474C-BB6F-0601A420A53A}" presName="rootText1" presStyleLbl="node0" presStyleIdx="4" presStyleCnt="5" custScaleX="141570" custLinFactY="-25878" custLinFactNeighborX="-1026" custLinFactNeighborY="-100000">
        <dgm:presLayoutVars>
          <dgm:chPref val="3"/>
        </dgm:presLayoutVars>
      </dgm:prSet>
      <dgm:spPr/>
      <dgm:t>
        <a:bodyPr/>
        <a:lstStyle/>
        <a:p>
          <a:endParaRPr lang="sk-SK"/>
        </a:p>
      </dgm:t>
    </dgm:pt>
    <dgm:pt modelId="{E1FB8C3B-4FA4-431A-BC78-B05AA7980732}" type="pres">
      <dgm:prSet presAssocID="{4C642432-E69F-474C-BB6F-0601A420A53A}" presName="rootConnector1" presStyleLbl="node1" presStyleIdx="0" presStyleCnt="0"/>
      <dgm:spPr/>
      <dgm:t>
        <a:bodyPr/>
        <a:lstStyle/>
        <a:p>
          <a:endParaRPr lang="sk-SK"/>
        </a:p>
      </dgm:t>
    </dgm:pt>
    <dgm:pt modelId="{D4F54FC5-EC5B-45F2-92B7-3D34FCAB3B4B}" type="pres">
      <dgm:prSet presAssocID="{4C642432-E69F-474C-BB6F-0601A420A53A}" presName="hierChild2" presStyleCnt="0"/>
      <dgm:spPr/>
    </dgm:pt>
    <dgm:pt modelId="{BAB86965-F936-4C18-A207-074B10BD2621}" type="pres">
      <dgm:prSet presAssocID="{BBCE1179-C919-44DE-999F-46A6A8AFB99B}" presName="Name64" presStyleLbl="parChTrans1D2" presStyleIdx="4" presStyleCnt="5"/>
      <dgm:spPr/>
      <dgm:t>
        <a:bodyPr/>
        <a:lstStyle/>
        <a:p>
          <a:endParaRPr lang="sk-SK"/>
        </a:p>
      </dgm:t>
    </dgm:pt>
    <dgm:pt modelId="{2A5CBBC8-6061-41D4-A253-03E15B611B25}" type="pres">
      <dgm:prSet presAssocID="{3FD7CDC9-4AC3-4442-BC87-41B71EF6A987}" presName="hierRoot2" presStyleCnt="0">
        <dgm:presLayoutVars>
          <dgm:hierBranch val="init"/>
        </dgm:presLayoutVars>
      </dgm:prSet>
      <dgm:spPr/>
    </dgm:pt>
    <dgm:pt modelId="{2232222F-40EB-4B89-8310-D9626ECA8BF9}" type="pres">
      <dgm:prSet presAssocID="{3FD7CDC9-4AC3-4442-BC87-41B71EF6A987}" presName="rootComposite" presStyleCnt="0"/>
      <dgm:spPr/>
    </dgm:pt>
    <dgm:pt modelId="{CA5E2818-837A-4ACB-91D1-A1857297C98E}" type="pres">
      <dgm:prSet presAssocID="{3FD7CDC9-4AC3-4442-BC87-41B71EF6A987}" presName="rootText" presStyleLbl="node2" presStyleIdx="4" presStyleCnt="5" custLinFactY="-25878" custLinFactNeighborX="-18871" custLinFactNeighborY="-100000">
        <dgm:presLayoutVars>
          <dgm:chPref val="3"/>
        </dgm:presLayoutVars>
      </dgm:prSet>
      <dgm:spPr/>
      <dgm:t>
        <a:bodyPr/>
        <a:lstStyle/>
        <a:p>
          <a:endParaRPr lang="sk-SK"/>
        </a:p>
      </dgm:t>
    </dgm:pt>
    <dgm:pt modelId="{2F005DCF-8237-4C36-BC6E-1255F7D749C6}" type="pres">
      <dgm:prSet presAssocID="{3FD7CDC9-4AC3-4442-BC87-41B71EF6A987}" presName="rootConnector" presStyleLbl="node2" presStyleIdx="4" presStyleCnt="5"/>
      <dgm:spPr/>
      <dgm:t>
        <a:bodyPr/>
        <a:lstStyle/>
        <a:p>
          <a:endParaRPr lang="sk-SK"/>
        </a:p>
      </dgm:t>
    </dgm:pt>
    <dgm:pt modelId="{BF2EAB3B-13CC-4AB8-8C0E-F088685270C5}" type="pres">
      <dgm:prSet presAssocID="{3FD7CDC9-4AC3-4442-BC87-41B71EF6A987}" presName="hierChild4" presStyleCnt="0"/>
      <dgm:spPr/>
    </dgm:pt>
    <dgm:pt modelId="{F0AB7182-AF6F-4490-95C6-AAE0111E8AE7}" type="pres">
      <dgm:prSet presAssocID="{EC7A2309-9351-462A-9FD7-F7A9C2E755C5}" presName="Name64" presStyleLbl="parChTrans1D3" presStyleIdx="5" presStyleCnt="6"/>
      <dgm:spPr/>
      <dgm:t>
        <a:bodyPr/>
        <a:lstStyle/>
        <a:p>
          <a:endParaRPr lang="sk-SK"/>
        </a:p>
      </dgm:t>
    </dgm:pt>
    <dgm:pt modelId="{52A443A4-9D82-42A1-BFBF-A486D1DA7E7C}" type="pres">
      <dgm:prSet presAssocID="{976E4190-D39E-4D40-836F-5FBA433F44FE}" presName="hierRoot2" presStyleCnt="0">
        <dgm:presLayoutVars>
          <dgm:hierBranch val="init"/>
        </dgm:presLayoutVars>
      </dgm:prSet>
      <dgm:spPr/>
    </dgm:pt>
    <dgm:pt modelId="{ADA8239B-C1A2-4822-8CAD-2C606B26D581}" type="pres">
      <dgm:prSet presAssocID="{976E4190-D39E-4D40-836F-5FBA433F44FE}" presName="rootComposite" presStyleCnt="0"/>
      <dgm:spPr/>
    </dgm:pt>
    <dgm:pt modelId="{3889E34A-3BF9-4DE4-A30F-6164550947C6}" type="pres">
      <dgm:prSet presAssocID="{976E4190-D39E-4D40-836F-5FBA433F44FE}" presName="rootText" presStyleLbl="node3" presStyleIdx="5" presStyleCnt="6" custScaleX="141570" custLinFactY="-26188" custLinFactNeighborX="18862" custLinFactNeighborY="-100000">
        <dgm:presLayoutVars>
          <dgm:chPref val="3"/>
        </dgm:presLayoutVars>
      </dgm:prSet>
      <dgm:spPr/>
      <dgm:t>
        <a:bodyPr/>
        <a:lstStyle/>
        <a:p>
          <a:endParaRPr lang="sk-SK"/>
        </a:p>
      </dgm:t>
    </dgm:pt>
    <dgm:pt modelId="{1D950A1B-E9A4-46B8-9A6F-B514830C8744}" type="pres">
      <dgm:prSet presAssocID="{976E4190-D39E-4D40-836F-5FBA433F44FE}" presName="rootConnector" presStyleLbl="node3" presStyleIdx="5" presStyleCnt="6"/>
      <dgm:spPr/>
      <dgm:t>
        <a:bodyPr/>
        <a:lstStyle/>
        <a:p>
          <a:endParaRPr lang="sk-SK"/>
        </a:p>
      </dgm:t>
    </dgm:pt>
    <dgm:pt modelId="{AC9F697C-DAB5-4A52-A92F-122BCBA8AF00}" type="pres">
      <dgm:prSet presAssocID="{976E4190-D39E-4D40-836F-5FBA433F44FE}" presName="hierChild4" presStyleCnt="0"/>
      <dgm:spPr/>
    </dgm:pt>
    <dgm:pt modelId="{8B5AB9E4-12E1-4357-BBCC-C0E805DC6DF4}" type="pres">
      <dgm:prSet presAssocID="{B1225A1D-7DCB-4C47-AC1A-3ECC7B1A41DA}" presName="Name64" presStyleLbl="parChTrans1D4" presStyleIdx="5" presStyleCnt="6"/>
      <dgm:spPr/>
      <dgm:t>
        <a:bodyPr/>
        <a:lstStyle/>
        <a:p>
          <a:endParaRPr lang="sk-SK"/>
        </a:p>
      </dgm:t>
    </dgm:pt>
    <dgm:pt modelId="{560380C1-7D13-4498-9CFE-CECB909F06F6}" type="pres">
      <dgm:prSet presAssocID="{FF72FDC2-57F5-4DD1-A1AB-C8B10EA5D412}" presName="hierRoot2" presStyleCnt="0">
        <dgm:presLayoutVars>
          <dgm:hierBranch val="init"/>
        </dgm:presLayoutVars>
      </dgm:prSet>
      <dgm:spPr/>
    </dgm:pt>
    <dgm:pt modelId="{4F6C2A51-4F3A-4DD7-B879-79E9E61D387B}" type="pres">
      <dgm:prSet presAssocID="{FF72FDC2-57F5-4DD1-A1AB-C8B10EA5D412}" presName="rootComposite" presStyleCnt="0"/>
      <dgm:spPr/>
    </dgm:pt>
    <dgm:pt modelId="{52484743-D62D-4516-8C0A-41783442462B}" type="pres">
      <dgm:prSet presAssocID="{FF72FDC2-57F5-4DD1-A1AB-C8B10EA5D412}" presName="rootText" presStyleLbl="node4" presStyleIdx="5" presStyleCnt="6" custLinFactY="-26188" custLinFactNeighborX="1026" custLinFactNeighborY="-100000">
        <dgm:presLayoutVars>
          <dgm:chPref val="3"/>
        </dgm:presLayoutVars>
      </dgm:prSet>
      <dgm:spPr/>
      <dgm:t>
        <a:bodyPr/>
        <a:lstStyle/>
        <a:p>
          <a:endParaRPr lang="sk-SK"/>
        </a:p>
      </dgm:t>
    </dgm:pt>
    <dgm:pt modelId="{ECD8022B-12A2-41D5-8A68-D6B7FCDD684A}" type="pres">
      <dgm:prSet presAssocID="{FF72FDC2-57F5-4DD1-A1AB-C8B10EA5D412}" presName="rootConnector" presStyleLbl="node4" presStyleIdx="5" presStyleCnt="6"/>
      <dgm:spPr/>
      <dgm:t>
        <a:bodyPr/>
        <a:lstStyle/>
        <a:p>
          <a:endParaRPr lang="sk-SK"/>
        </a:p>
      </dgm:t>
    </dgm:pt>
    <dgm:pt modelId="{9D4E5076-B8D4-4207-911C-310857346FB2}" type="pres">
      <dgm:prSet presAssocID="{FF72FDC2-57F5-4DD1-A1AB-C8B10EA5D412}" presName="hierChild4" presStyleCnt="0"/>
      <dgm:spPr/>
    </dgm:pt>
    <dgm:pt modelId="{C3C1839D-C6C3-4BC8-8D9C-C2065831C28C}" type="pres">
      <dgm:prSet presAssocID="{FF72FDC2-57F5-4DD1-A1AB-C8B10EA5D412}" presName="hierChild5" presStyleCnt="0"/>
      <dgm:spPr/>
    </dgm:pt>
    <dgm:pt modelId="{F6142C16-58EA-4395-8DF8-2BA3CA57C735}" type="pres">
      <dgm:prSet presAssocID="{976E4190-D39E-4D40-836F-5FBA433F44FE}" presName="hierChild5" presStyleCnt="0"/>
      <dgm:spPr/>
    </dgm:pt>
    <dgm:pt modelId="{81E2F347-CA45-4D21-B498-01F73F231A60}" type="pres">
      <dgm:prSet presAssocID="{3FD7CDC9-4AC3-4442-BC87-41B71EF6A987}" presName="hierChild5" presStyleCnt="0"/>
      <dgm:spPr/>
    </dgm:pt>
    <dgm:pt modelId="{B72DBE47-EF8D-4EC7-A170-3FD71BCA9649}" type="pres">
      <dgm:prSet presAssocID="{4C642432-E69F-474C-BB6F-0601A420A53A}" presName="hierChild3" presStyleCnt="0"/>
      <dgm:spPr/>
    </dgm:pt>
  </dgm:ptLst>
  <dgm:cxnLst>
    <dgm:cxn modelId="{2AE603B4-653D-47B5-A55E-E9EABCA3F681}" type="presOf" srcId="{FC32981D-6387-4860-9C19-2441F753B4A5}" destId="{72DFA77C-3912-492D-AF2D-046E6554F1D1}" srcOrd="1" destOrd="0" presId="urn:microsoft.com/office/officeart/2009/3/layout/HorizontalOrganizationChart"/>
    <dgm:cxn modelId="{4C60D850-C131-4D44-A359-A56301D3DE74}" type="presOf" srcId="{60D35D86-1718-4D63-959B-7DF768C4B201}" destId="{5B59E17D-9FE6-48E7-B424-308DBFA4CC59}" srcOrd="0" destOrd="0" presId="urn:microsoft.com/office/officeart/2009/3/layout/HorizontalOrganizationChart"/>
    <dgm:cxn modelId="{B4D4BF93-2C8B-4CA0-96F3-309FF3FD2FD0}" type="presOf" srcId="{B462037A-0332-43A6-AB8D-12A8EEC363C3}" destId="{97B92E78-836C-426F-8956-039CA6DFDC45}" srcOrd="1" destOrd="0" presId="urn:microsoft.com/office/officeart/2009/3/layout/HorizontalOrganizationChart"/>
    <dgm:cxn modelId="{23ADB597-6BB2-4048-8A1C-8129F6C1D082}" srcId="{F44ABE17-64BD-4188-8676-9CFDE9A96342}" destId="{6DC7F9EB-F9D3-4A6E-93E9-F53E17C1DC44}" srcOrd="0" destOrd="0" parTransId="{8BEA9112-14A0-495A-A89F-628AD62667A8}" sibTransId="{EF17BEAB-8D28-4219-81DD-7DA124B6C580}"/>
    <dgm:cxn modelId="{010FB52B-DFA8-4A94-A42F-C7F5A2A0EB3D}" srcId="{6DC7F9EB-F9D3-4A6E-93E9-F53E17C1DC44}" destId="{A34B2B01-EB69-4F06-A16E-AD693EFE4062}" srcOrd="0" destOrd="0" parTransId="{ED65D457-655A-4B53-ABF1-14706F4E72CA}" sibTransId="{24E83917-F877-4149-958F-ACBA63E1AD68}"/>
    <dgm:cxn modelId="{F5DCDFE8-0F96-4F99-8559-6F3542CED639}" type="presOf" srcId="{B8CA3AD3-E43F-4D8B-B8AB-5163AC5ED1DD}" destId="{D5A50A50-D56E-4065-B4C0-E39BCEF43319}" srcOrd="1" destOrd="0" presId="urn:microsoft.com/office/officeart/2009/3/layout/HorizontalOrganizationChart"/>
    <dgm:cxn modelId="{95C9FC24-B218-412E-8895-EEC9AC1F7263}" type="presOf" srcId="{BBCE1179-C919-44DE-999F-46A6A8AFB99B}" destId="{BAB86965-F936-4C18-A207-074B10BD2621}" srcOrd="0" destOrd="0" presId="urn:microsoft.com/office/officeart/2009/3/layout/HorizontalOrganizationChart"/>
    <dgm:cxn modelId="{529CE5D9-7010-4F45-B373-E90F1E093DDF}" srcId="{B462037A-0332-43A6-AB8D-12A8EEC363C3}" destId="{977865B1-45B0-4A3D-828F-3DDB44E797AB}" srcOrd="0" destOrd="0" parTransId="{5FA79B12-01C2-49FC-A3F5-90A73EAD5D2F}" sibTransId="{D5B59C6B-7229-4911-872B-6D77966D9C0A}"/>
    <dgm:cxn modelId="{BB510B2E-9A3B-4E02-AE53-2ED0F8A40030}" type="presOf" srcId="{FC32981D-6387-4860-9C19-2441F753B4A5}" destId="{4E9034E6-AA02-42F2-9F47-19DC7AC6410A}" srcOrd="0" destOrd="0" presId="urn:microsoft.com/office/officeart/2009/3/layout/HorizontalOrganizationChart"/>
    <dgm:cxn modelId="{5542D72F-3AB5-4578-9870-E5B35D696497}" type="presOf" srcId="{41FEB2A9-F5CF-4DF5-A070-3AD048AB2CDD}" destId="{FF218A53-D0FA-48DC-995C-B5D799744848}" srcOrd="0" destOrd="0" presId="urn:microsoft.com/office/officeart/2009/3/layout/HorizontalOrganizationChart"/>
    <dgm:cxn modelId="{AE3F8D28-A79D-4909-B44C-0541F35DD2CD}" type="presOf" srcId="{EA37CCB9-D11E-4D0B-944F-B2E8119C1879}" destId="{BDDC5485-C60B-48D7-AFE7-2E6FEE249D5D}" srcOrd="0" destOrd="0" presId="urn:microsoft.com/office/officeart/2009/3/layout/HorizontalOrganizationChart"/>
    <dgm:cxn modelId="{0196C2C4-7591-46D8-A572-92BA6B528AAF}" type="presOf" srcId="{3FD7CDC9-4AC3-4442-BC87-41B71EF6A987}" destId="{CA5E2818-837A-4ACB-91D1-A1857297C98E}" srcOrd="0" destOrd="0" presId="urn:microsoft.com/office/officeart/2009/3/layout/HorizontalOrganizationChart"/>
    <dgm:cxn modelId="{363CBE30-DB48-4FA2-93F2-E14065B6AF38}" srcId="{F44ABE17-64BD-4188-8676-9CFDE9A96342}" destId="{4C642432-E69F-474C-BB6F-0601A420A53A}" srcOrd="4" destOrd="0" parTransId="{726D3849-E5B9-4501-B111-196E25334231}" sibTransId="{02EDEB44-A510-4CF2-B7B0-34DFB857A434}"/>
    <dgm:cxn modelId="{D802D0F2-FF4A-4173-857F-F942EE9C814F}" type="presOf" srcId="{976E4190-D39E-4D40-836F-5FBA433F44FE}" destId="{3889E34A-3BF9-4DE4-A30F-6164550947C6}" srcOrd="0" destOrd="0" presId="urn:microsoft.com/office/officeart/2009/3/layout/HorizontalOrganizationChart"/>
    <dgm:cxn modelId="{F75DE8A5-8991-48AE-9AA7-6021B52B0D47}" type="presOf" srcId="{9A8CA82B-78A0-42A7-9EC8-AF221E52D2C0}" destId="{8157DC13-4FAC-4C2C-90DB-305836DACF85}" srcOrd="1" destOrd="0" presId="urn:microsoft.com/office/officeart/2009/3/layout/HorizontalOrganizationChart"/>
    <dgm:cxn modelId="{49D3B50A-7CF5-4638-BF84-9BDD7545F548}" type="presOf" srcId="{FB532C53-9284-40FC-B2A6-559B16AA6FB7}" destId="{AD7A2EFA-4E30-4798-971A-81AF6AE3B523}" srcOrd="1" destOrd="0" presId="urn:microsoft.com/office/officeart/2009/3/layout/HorizontalOrganizationChart"/>
    <dgm:cxn modelId="{45B270F9-5F07-4C0F-8B3C-E52AFEAAF521}" type="presOf" srcId="{3FD7CDC9-4AC3-4442-BC87-41B71EF6A987}" destId="{2F005DCF-8237-4C36-BC6E-1255F7D749C6}" srcOrd="1" destOrd="0" presId="urn:microsoft.com/office/officeart/2009/3/layout/HorizontalOrganizationChart"/>
    <dgm:cxn modelId="{11E1D132-9DDD-4A6E-8885-929AC4BBC5DA}" srcId="{19B8EF16-EB68-4F51-B864-2FAE758F0E66}" destId="{AAB8B99A-8A4E-487F-924F-B5ED9EEED594}" srcOrd="0" destOrd="0" parTransId="{30E77D22-700E-4EE7-BEC9-55818A2F39BF}" sibTransId="{553832B1-5DDF-4177-8DBF-7186B28ACB29}"/>
    <dgm:cxn modelId="{ECA6AC2E-EF4F-4001-8787-F07CF96F0CFB}" type="presOf" srcId="{AAB8B99A-8A4E-487F-924F-B5ED9EEED594}" destId="{1FD36FA7-5D53-46E5-AC31-A99702D90309}" srcOrd="0" destOrd="0" presId="urn:microsoft.com/office/officeart/2009/3/layout/HorizontalOrganizationChart"/>
    <dgm:cxn modelId="{F75070EF-2147-4E4B-BBBF-F22FEDD83E54}" type="presOf" srcId="{B8CA3AD3-E43F-4D8B-B8AB-5163AC5ED1DD}" destId="{702D0B2A-510E-4D00-98E1-C727EDD64A07}" srcOrd="0" destOrd="0" presId="urn:microsoft.com/office/officeart/2009/3/layout/HorizontalOrganizationChart"/>
    <dgm:cxn modelId="{839448FE-FF8A-476B-BC73-676BE59BEDA6}" type="presOf" srcId="{9D0DF30D-22A6-4EEA-8802-EDDCD5C0FECE}" destId="{713EC6D6-1B5C-4921-8802-5C76AD9826C8}" srcOrd="1" destOrd="0" presId="urn:microsoft.com/office/officeart/2009/3/layout/HorizontalOrganizationChart"/>
    <dgm:cxn modelId="{AACC2633-4D85-491E-82C0-601FA178156B}" type="presOf" srcId="{24B2E991-E2DD-4F2F-A8BF-754E55149E90}" destId="{9DE5E26D-A675-4FE0-923F-983874550F5E}" srcOrd="1" destOrd="0" presId="urn:microsoft.com/office/officeart/2009/3/layout/HorizontalOrganizationChart"/>
    <dgm:cxn modelId="{523B4FE4-391A-4D04-8ACD-17381D732236}" type="presOf" srcId="{4C642432-E69F-474C-BB6F-0601A420A53A}" destId="{E1FB8C3B-4FA4-431A-BC78-B05AA7980732}" srcOrd="1" destOrd="0" presId="urn:microsoft.com/office/officeart/2009/3/layout/HorizontalOrganizationChart"/>
    <dgm:cxn modelId="{256F8DA8-5E10-4401-A48F-E987A651AD5E}" type="presOf" srcId="{B462037A-0332-43A6-AB8D-12A8EEC363C3}" destId="{B7FE354D-8419-4A41-9801-D517A8121D74}" srcOrd="0" destOrd="0" presId="urn:microsoft.com/office/officeart/2009/3/layout/HorizontalOrganizationChart"/>
    <dgm:cxn modelId="{21471EC9-F851-4CAC-94A2-F23D24A175EB}" srcId="{F44ABE17-64BD-4188-8676-9CFDE9A96342}" destId="{C79FCAC8-12C5-4397-82A3-30C49D86C323}" srcOrd="1" destOrd="0" parTransId="{9ECB9668-D982-4862-984A-919B2BD53712}" sibTransId="{D66C44CE-26BF-4A77-8455-162AB4E2C670}"/>
    <dgm:cxn modelId="{9575C4DC-272B-4C16-A6DE-7AE29252802E}" type="presOf" srcId="{10955DB6-AC42-4FE9-AECF-3F92A4D63A44}" destId="{E13975AB-A7DC-484B-9A8B-DA760201DF24}" srcOrd="1" destOrd="0" presId="urn:microsoft.com/office/officeart/2009/3/layout/HorizontalOrganizationChart"/>
    <dgm:cxn modelId="{60191B87-0E1B-4890-BD39-1D16433D1252}" type="presOf" srcId="{A34B2B01-EB69-4F06-A16E-AD693EFE4062}" destId="{01E274C5-31BB-4FDF-B043-E250283129D4}" srcOrd="1" destOrd="0" presId="urn:microsoft.com/office/officeart/2009/3/layout/HorizontalOrganizationChart"/>
    <dgm:cxn modelId="{24E4348B-1A98-47D9-9221-FE20149CD4BA}" type="presOf" srcId="{6DC7F9EB-F9D3-4A6E-93E9-F53E17C1DC44}" destId="{05B41E8E-7A9B-4A61-8AC9-273C22A2F841}" srcOrd="1" destOrd="0" presId="urn:microsoft.com/office/officeart/2009/3/layout/HorizontalOrganizationChart"/>
    <dgm:cxn modelId="{68A7F42D-77DA-4C14-9926-3570D87152F1}" type="presOf" srcId="{18460910-87BA-4176-BE11-42ABCB7808C7}" destId="{FB92B030-C0A9-4FD5-A568-B8674E18C267}" srcOrd="0" destOrd="0" presId="urn:microsoft.com/office/officeart/2009/3/layout/HorizontalOrganizationChart"/>
    <dgm:cxn modelId="{3BA9F6B3-4316-453C-8462-00F3799BBAF4}" srcId="{977865B1-45B0-4A3D-828F-3DDB44E797AB}" destId="{9A8CA82B-78A0-42A7-9EC8-AF221E52D2C0}" srcOrd="0" destOrd="0" parTransId="{BCF3F803-3698-4ED0-A7DD-9562C5B28613}" sibTransId="{46EA0A65-D2A2-4E28-8A88-4F5C3564936F}"/>
    <dgm:cxn modelId="{81529BDB-C22A-4293-B79B-4EC0DF9ABD36}" type="presOf" srcId="{FF72FDC2-57F5-4DD1-A1AB-C8B10EA5D412}" destId="{52484743-D62D-4516-8C0A-41783442462B}" srcOrd="0" destOrd="0" presId="urn:microsoft.com/office/officeart/2009/3/layout/HorizontalOrganizationChart"/>
    <dgm:cxn modelId="{D779BC68-D628-4199-92E2-FCAFC0EC64CE}" type="presOf" srcId="{86189BC7-B252-46C1-8748-AFD1B0A252F2}" destId="{8D31D79C-289D-4E67-9286-CFB84388CE54}" srcOrd="0" destOrd="0" presId="urn:microsoft.com/office/officeart/2009/3/layout/HorizontalOrganizationChart"/>
    <dgm:cxn modelId="{52CD2ADF-DB92-40EE-9B07-A971A9AC920F}" type="presOf" srcId="{BCF3F803-3698-4ED0-A7DD-9562C5B28613}" destId="{9579D91D-A547-40C2-913C-B28E2F22C4C5}" srcOrd="0" destOrd="0" presId="urn:microsoft.com/office/officeart/2009/3/layout/HorizontalOrganizationChart"/>
    <dgm:cxn modelId="{9F82444C-17D7-481B-B109-30A9AFEAA775}" type="presOf" srcId="{19B8EF16-EB68-4F51-B864-2FAE758F0E66}" destId="{5675431B-1FEF-49AB-B780-7A464F475A9C}" srcOrd="0" destOrd="0" presId="urn:microsoft.com/office/officeart/2009/3/layout/HorizontalOrganizationChart"/>
    <dgm:cxn modelId="{291BE7B8-5200-4599-86EB-20E200510064}" type="presOf" srcId="{3B34FB63-A679-400A-859B-4331C316C656}" destId="{3F4C2FA7-B4EF-48DA-9F8A-92352C0A4308}" srcOrd="1" destOrd="0" presId="urn:microsoft.com/office/officeart/2009/3/layout/HorizontalOrganizationChart"/>
    <dgm:cxn modelId="{69EA8ED0-2BBD-486D-82A1-21687871C996}" srcId="{10955DB6-AC42-4FE9-AECF-3F92A4D63A44}" destId="{19B8EF16-EB68-4F51-B864-2FAE758F0E66}" srcOrd="0" destOrd="0" parTransId="{18460910-87BA-4176-BE11-42ABCB7808C7}" sibTransId="{F17E51EC-A96C-4381-A004-65F8D9DC2CAB}"/>
    <dgm:cxn modelId="{232B4BBD-4842-4F0A-BE03-E869C6EB8516}" type="presOf" srcId="{FB532C53-9284-40FC-B2A6-559B16AA6FB7}" destId="{F76DB299-1FD3-49AC-83BF-FBCA52C6EB60}" srcOrd="0" destOrd="0" presId="urn:microsoft.com/office/officeart/2009/3/layout/HorizontalOrganizationChart"/>
    <dgm:cxn modelId="{365D5DCE-C77B-42C6-B292-A0B89141A118}" type="presOf" srcId="{6DC7F9EB-F9D3-4A6E-93E9-F53E17C1DC44}" destId="{80537414-0A5E-4FD6-B65E-9004639A9F83}" srcOrd="0" destOrd="0" presId="urn:microsoft.com/office/officeart/2009/3/layout/HorizontalOrganizationChart"/>
    <dgm:cxn modelId="{F24740F7-4221-41CF-A106-DD764E6872EE}" type="presOf" srcId="{8B14B6E2-5A8B-42CB-AEE0-14FD5AC64895}" destId="{E3674BFD-07ED-4B69-B217-4FFCAD036AD9}" srcOrd="0" destOrd="0" presId="urn:microsoft.com/office/officeart/2009/3/layout/HorizontalOrganizationChart"/>
    <dgm:cxn modelId="{5ADD2786-3E4F-4B12-9073-F525C792453B}" srcId="{3FD7CDC9-4AC3-4442-BC87-41B71EF6A987}" destId="{976E4190-D39E-4D40-836F-5FBA433F44FE}" srcOrd="0" destOrd="0" parTransId="{EC7A2309-9351-462A-9FD7-F7A9C2E755C5}" sibTransId="{4B30B82E-93FB-4F8B-AD96-E5007417B1DC}"/>
    <dgm:cxn modelId="{203FF1A4-EE42-4AD2-90DF-168B899F6B2C}" type="presOf" srcId="{19B8EF16-EB68-4F51-B864-2FAE758F0E66}" destId="{F3ED72B8-C8C9-46D8-963B-B62A2704D133}" srcOrd="1" destOrd="0" presId="urn:microsoft.com/office/officeart/2009/3/layout/HorizontalOrganizationChart"/>
    <dgm:cxn modelId="{C1F0519F-EEE5-444C-A970-356AEE12ACFA}" type="presOf" srcId="{C79FCAC8-12C5-4397-82A3-30C49D86C323}" destId="{2E172B53-EF80-4ED9-94F2-C3B65BC08726}" srcOrd="1" destOrd="0" presId="urn:microsoft.com/office/officeart/2009/3/layout/HorizontalOrganizationChart"/>
    <dgm:cxn modelId="{794A0E8F-A9B2-4891-8754-61B2E83F4517}" type="presOf" srcId="{9A8CA82B-78A0-42A7-9EC8-AF221E52D2C0}" destId="{A2870D18-8A7C-425E-A555-24316316F177}" srcOrd="0" destOrd="0" presId="urn:microsoft.com/office/officeart/2009/3/layout/HorizontalOrganizationChart"/>
    <dgm:cxn modelId="{2AC30E77-C5F7-445D-B696-8EFC1A271D76}" type="presOf" srcId="{24B2E991-E2DD-4F2F-A8BF-754E55149E90}" destId="{A146F741-3F0E-48C0-9185-50F27607D0BD}" srcOrd="0" destOrd="0" presId="urn:microsoft.com/office/officeart/2009/3/layout/HorizontalOrganizationChart"/>
    <dgm:cxn modelId="{8EC239F5-D682-4DA8-9516-143E603EBF55}" type="presOf" srcId="{9D0DF30D-22A6-4EEA-8802-EDDCD5C0FECE}" destId="{C925F6AE-50E7-4A05-9969-4062B7F5479D}" srcOrd="0" destOrd="0" presId="urn:microsoft.com/office/officeart/2009/3/layout/HorizontalOrganizationChart"/>
    <dgm:cxn modelId="{4F4EB231-EEF6-41C4-8246-9F07576B7001}" srcId="{F44ABE17-64BD-4188-8676-9CFDE9A96342}" destId="{10955DB6-AC42-4FE9-AECF-3F92A4D63A44}" srcOrd="2" destOrd="0" parTransId="{72287D6E-D7C0-4E1F-B6AB-D94468C9C88C}" sibTransId="{DDCDCC72-EB68-462B-B28B-F7B5FA873964}"/>
    <dgm:cxn modelId="{557F40BE-4757-4E51-ACCA-2D2D740448C3}" srcId="{306AE7E7-FEE3-45DB-B2E5-1C2868AFC9E2}" destId="{3B34FB63-A679-400A-859B-4331C316C656}" srcOrd="0" destOrd="0" parTransId="{86189BC7-B252-46C1-8748-AFD1B0A252F2}" sibTransId="{45023C82-989D-4DD1-B4C4-E1A59EA4C0F6}"/>
    <dgm:cxn modelId="{98C87E66-6E2F-418F-A740-57C5638EA3A5}" type="presOf" srcId="{977865B1-45B0-4A3D-828F-3DDB44E797AB}" destId="{12DBF65B-CD68-48B9-91E6-137837EEE520}" srcOrd="0" destOrd="0" presId="urn:microsoft.com/office/officeart/2009/3/layout/HorizontalOrganizationChart"/>
    <dgm:cxn modelId="{0B729CA5-98CB-4D25-9DDC-9698C91D21E2}" srcId="{AAB8B99A-8A4E-487F-924F-B5ED9EEED594}" destId="{B8CA3AD3-E43F-4D8B-B8AB-5163AC5ED1DD}" srcOrd="0" destOrd="0" parTransId="{641C1BB9-157C-46F9-9A6D-66A26BEDD24B}" sibTransId="{2EE5DF3E-7854-4079-B02A-D42377ADDD46}"/>
    <dgm:cxn modelId="{0E220E02-E0AC-49B7-A1E1-3F687B026DCF}" type="presOf" srcId="{495E258B-CC98-4FFD-AD61-7A1F4FF61E47}" destId="{29B6C71A-632F-46B1-9B03-D7021306B022}" srcOrd="0" destOrd="0" presId="urn:microsoft.com/office/officeart/2009/3/layout/HorizontalOrganizationChart"/>
    <dgm:cxn modelId="{FF7BD416-9EC5-4AF0-95C7-17C4A48B7F25}" type="presOf" srcId="{ED65D457-655A-4B53-ABF1-14706F4E72CA}" destId="{6FBEA3C8-F879-4594-9F48-E5A3C8CA4E9D}" srcOrd="0" destOrd="0" presId="urn:microsoft.com/office/officeart/2009/3/layout/HorizontalOrganizationChart"/>
    <dgm:cxn modelId="{50E4CCEA-2C26-4DB3-872F-53B680AE90A0}" type="presOf" srcId="{10955DB6-AC42-4FE9-AECF-3F92A4D63A44}" destId="{8B2F072F-15FE-45FB-AEFD-9BAED22D73F6}" srcOrd="0" destOrd="0" presId="urn:microsoft.com/office/officeart/2009/3/layout/HorizontalOrganizationChart"/>
    <dgm:cxn modelId="{40AE47EF-47C9-46F0-ACCF-8AACCB5A9D36}" type="presOf" srcId="{C3A1AA3D-F3F1-44B5-944D-5BC7EDB196F3}" destId="{E4FC78FD-3A51-419F-BCF4-9185CECA4C51}" srcOrd="1" destOrd="0" presId="urn:microsoft.com/office/officeart/2009/3/layout/HorizontalOrganizationChart"/>
    <dgm:cxn modelId="{54DC7DFE-7831-4AE0-B08C-9D8D07AB6266}" srcId="{976E4190-D39E-4D40-836F-5FBA433F44FE}" destId="{FF72FDC2-57F5-4DD1-A1AB-C8B10EA5D412}" srcOrd="0" destOrd="0" parTransId="{B1225A1D-7DCB-4C47-AC1A-3ECC7B1A41DA}" sibTransId="{E2AEFC06-991C-45AF-AF31-39796BAF01BF}"/>
    <dgm:cxn modelId="{D664DA8C-C2E7-4309-91AE-B1A7713F1122}" type="presOf" srcId="{A34B2B01-EB69-4F06-A16E-AD693EFE4062}" destId="{07AF164A-3064-4C5F-B977-3DAC0A0E23FA}" srcOrd="0" destOrd="0" presId="urn:microsoft.com/office/officeart/2009/3/layout/HorizontalOrganizationChart"/>
    <dgm:cxn modelId="{CFBDDD5E-D303-482F-B8B4-5D5DCB7FB9BE}" type="presOf" srcId="{AAB8B99A-8A4E-487F-924F-B5ED9EEED594}" destId="{51EBC741-36EC-4F95-B232-7C83D738BDD6}" srcOrd="1" destOrd="0" presId="urn:microsoft.com/office/officeart/2009/3/layout/HorizontalOrganizationChart"/>
    <dgm:cxn modelId="{D0EB0726-BE6C-412B-BAC6-8DD4E7AAC36D}" srcId="{C79FCAC8-12C5-4397-82A3-30C49D86C323}" destId="{24B2E991-E2DD-4F2F-A8BF-754E55149E90}" srcOrd="0" destOrd="0" parTransId="{41FEB2A9-F5CF-4DF5-A070-3AD048AB2CDD}" sibTransId="{FD445616-E073-44DF-9156-D2F63286AD41}"/>
    <dgm:cxn modelId="{1E7DBA37-276A-4C58-90FE-3ED66F437FC8}" srcId="{F44ABE17-64BD-4188-8676-9CFDE9A96342}" destId="{B462037A-0332-43A6-AB8D-12A8EEC363C3}" srcOrd="3" destOrd="0" parTransId="{26175037-7981-4016-BE86-49A84CA41BD0}" sibTransId="{AF7099C5-C109-4875-B315-A1898A33697A}"/>
    <dgm:cxn modelId="{9CA9CEF9-1068-4191-B985-39D067293DED}" srcId="{9A8CA82B-78A0-42A7-9EC8-AF221E52D2C0}" destId="{8B14B6E2-5A8B-42CB-AEE0-14FD5AC64895}" srcOrd="0" destOrd="0" parTransId="{4835DF7B-A3CA-4BA6-9F19-A0D22AA76974}" sibTransId="{763D3A2B-673E-49A7-B714-45C8ACC6B6E7}"/>
    <dgm:cxn modelId="{656AC2E2-FEA3-4C6E-A9CF-D4589DB53508}" srcId="{9D0DF30D-22A6-4EEA-8802-EDDCD5C0FECE}" destId="{FC32981D-6387-4860-9C19-2441F753B4A5}" srcOrd="0" destOrd="0" parTransId="{495E258B-CC98-4FFD-AD61-7A1F4FF61E47}" sibTransId="{FB5F6297-A2C3-4E4C-AC57-DF3BD4284B09}"/>
    <dgm:cxn modelId="{0C3E38F3-DE07-44F6-A8B4-5673EF70708A}" type="presOf" srcId="{EC7A2309-9351-462A-9FD7-F7A9C2E755C5}" destId="{F0AB7182-AF6F-4490-95C6-AAE0111E8AE7}" srcOrd="0" destOrd="0" presId="urn:microsoft.com/office/officeart/2009/3/layout/HorizontalOrganizationChart"/>
    <dgm:cxn modelId="{AFC3432D-B062-4271-B465-4F518AF4ACDE}" type="presOf" srcId="{B1225A1D-7DCB-4C47-AC1A-3ECC7B1A41DA}" destId="{8B5AB9E4-12E1-4357-BBCC-C0E805DC6DF4}" srcOrd="0" destOrd="0" presId="urn:microsoft.com/office/officeart/2009/3/layout/HorizontalOrganizationChart"/>
    <dgm:cxn modelId="{189F9E00-9BA2-4597-9DE8-A66041FF767F}" type="presOf" srcId="{C3A1AA3D-F3F1-44B5-944D-5BC7EDB196F3}" destId="{A4B42063-0BDD-4288-9076-0EF3DCAA20B3}" srcOrd="0" destOrd="0" presId="urn:microsoft.com/office/officeart/2009/3/layout/HorizontalOrganizationChart"/>
    <dgm:cxn modelId="{EB55A839-D893-4E22-94F4-4D3569D3B817}" type="presOf" srcId="{4835DF7B-A3CA-4BA6-9F19-A0D22AA76974}" destId="{55EF631F-4824-4A15-BAB5-49F708433718}" srcOrd="0" destOrd="0" presId="urn:microsoft.com/office/officeart/2009/3/layout/HorizontalOrganizationChart"/>
    <dgm:cxn modelId="{3D5FEEF3-47D1-48B0-A553-33888BA16556}" type="presOf" srcId="{30E77D22-700E-4EE7-BEC9-55818A2F39BF}" destId="{2FEB44EF-AE1F-4C93-951D-E04DDC437D63}" srcOrd="0" destOrd="0" presId="urn:microsoft.com/office/officeart/2009/3/layout/HorizontalOrganizationChart"/>
    <dgm:cxn modelId="{B437118E-0E57-48C7-BB9A-23F6D379C421}" srcId="{4C642432-E69F-474C-BB6F-0601A420A53A}" destId="{3FD7CDC9-4AC3-4442-BC87-41B71EF6A987}" srcOrd="0" destOrd="0" parTransId="{BBCE1179-C919-44DE-999F-46A6A8AFB99B}" sibTransId="{E7134BB9-742A-471B-B596-30C8AB88B2BB}"/>
    <dgm:cxn modelId="{4AFD7680-0A7F-4005-9851-DEA6C55A901D}" srcId="{C3A1AA3D-F3F1-44B5-944D-5BC7EDB196F3}" destId="{FB532C53-9284-40FC-B2A6-559B16AA6FB7}" srcOrd="0" destOrd="0" parTransId="{EA37CCB9-D11E-4D0B-944F-B2E8119C1879}" sibTransId="{24F44474-228C-4F59-87D1-DB738ED1DC6E}"/>
    <dgm:cxn modelId="{D325383F-8E3F-4FEC-B2BB-35E8BC29514D}" type="presOf" srcId="{8B14B6E2-5A8B-42CB-AEE0-14FD5AC64895}" destId="{8DFF7E98-CC33-44B5-B282-8003FADC54C1}" srcOrd="1" destOrd="0" presId="urn:microsoft.com/office/officeart/2009/3/layout/HorizontalOrganizationChart"/>
    <dgm:cxn modelId="{75EF9E92-6E92-4BC6-AD68-36E926AB7DED}" type="presOf" srcId="{FF72FDC2-57F5-4DD1-A1AB-C8B10EA5D412}" destId="{ECD8022B-12A2-41D5-8A68-D6B7FCDD684A}" srcOrd="1" destOrd="0" presId="urn:microsoft.com/office/officeart/2009/3/layout/HorizontalOrganizationChart"/>
    <dgm:cxn modelId="{0E6E913B-8F8D-4555-97B2-940E5C79F132}" type="presOf" srcId="{4C642432-E69F-474C-BB6F-0601A420A53A}" destId="{F98130C4-0270-48A8-9FD9-96998AE56C04}" srcOrd="0" destOrd="0" presId="urn:microsoft.com/office/officeart/2009/3/layout/HorizontalOrganizationChart"/>
    <dgm:cxn modelId="{AB24BD5C-D1F1-491E-A707-F2FC76C4AA4D}" type="presOf" srcId="{977865B1-45B0-4A3D-828F-3DDB44E797AB}" destId="{B7B4AC6B-9012-4DA6-90F6-BA662D7333C3}" srcOrd="1" destOrd="0" presId="urn:microsoft.com/office/officeart/2009/3/layout/HorizontalOrganizationChart"/>
    <dgm:cxn modelId="{9173A4AA-94BA-4374-BC2A-7DEDE5A89752}" type="presOf" srcId="{5FA79B12-01C2-49FC-A3F5-90A73EAD5D2F}" destId="{058D0014-812E-469C-BC2F-95A7C7CB14D9}" srcOrd="0" destOrd="0" presId="urn:microsoft.com/office/officeart/2009/3/layout/HorizontalOrganizationChart"/>
    <dgm:cxn modelId="{9D062298-B78E-4E54-87B6-65A6A88DB78A}" type="presOf" srcId="{4E7A6ECB-BAEA-40AA-A70E-1E8E1AE0221C}" destId="{CD6838EF-DCD0-4D5B-AA5E-01A4FFDD7957}" srcOrd="0" destOrd="0" presId="urn:microsoft.com/office/officeart/2009/3/layout/HorizontalOrganizationChart"/>
    <dgm:cxn modelId="{91883541-82B5-46F7-AB04-D856B3A72179}" type="presOf" srcId="{C79FCAC8-12C5-4397-82A3-30C49D86C323}" destId="{B601ACC5-B65A-48EC-8FED-3D8A0BA55DAC}" srcOrd="0" destOrd="0" presId="urn:microsoft.com/office/officeart/2009/3/layout/HorizontalOrganizationChart"/>
    <dgm:cxn modelId="{E0240DEA-5992-4AAF-B2C6-CBACEDA97B14}" srcId="{19B8EF16-EB68-4F51-B864-2FAE758F0E66}" destId="{9D0DF30D-22A6-4EEA-8802-EDDCD5C0FECE}" srcOrd="1" destOrd="0" parTransId="{60D35D86-1718-4D63-959B-7DF768C4B201}" sibTransId="{754FF8D6-4C18-4784-8300-2841A3290B76}"/>
    <dgm:cxn modelId="{2B9F3B79-FA18-4F18-B234-FC096CD63AD4}" type="presOf" srcId="{976E4190-D39E-4D40-836F-5FBA433F44FE}" destId="{1D950A1B-E9A4-46B8-9A6F-B514830C8744}" srcOrd="1" destOrd="0" presId="urn:microsoft.com/office/officeart/2009/3/layout/HorizontalOrganizationChart"/>
    <dgm:cxn modelId="{3A776BB2-662A-4BD0-8C85-0D3DBDB8EB54}" srcId="{A34B2B01-EB69-4F06-A16E-AD693EFE4062}" destId="{C3A1AA3D-F3F1-44B5-944D-5BC7EDB196F3}" srcOrd="0" destOrd="0" parTransId="{E3CC63F5-BB6E-415C-AEF6-4CD7A014EFFA}" sibTransId="{D5549AAA-4A67-4784-BDB4-3F5A6AF2B21D}"/>
    <dgm:cxn modelId="{B6178663-A9CE-44F3-9E28-4C1DD52E7C6D}" srcId="{24B2E991-E2DD-4F2F-A8BF-754E55149E90}" destId="{306AE7E7-FEE3-45DB-B2E5-1C2868AFC9E2}" srcOrd="0" destOrd="0" parTransId="{4E7A6ECB-BAEA-40AA-A70E-1E8E1AE0221C}" sibTransId="{CAF38683-9CBA-4A85-9EF6-CB4518A776CC}"/>
    <dgm:cxn modelId="{58D2D270-4672-42DC-B660-100FB5F040FA}" type="presOf" srcId="{641C1BB9-157C-46F9-9A6D-66A26BEDD24B}" destId="{604F3102-BA35-4241-985A-2A775AEC4F29}" srcOrd="0" destOrd="0" presId="urn:microsoft.com/office/officeart/2009/3/layout/HorizontalOrganizationChart"/>
    <dgm:cxn modelId="{A1751B67-995C-4466-A4B7-44A3E0D4C5FD}" type="presOf" srcId="{3B34FB63-A679-400A-859B-4331C316C656}" destId="{4C750A7C-2EDE-4B66-BC80-A92CA744023D}" srcOrd="0" destOrd="0" presId="urn:microsoft.com/office/officeart/2009/3/layout/HorizontalOrganizationChart"/>
    <dgm:cxn modelId="{735E8259-63F6-4BD4-B1E7-A7F3F6887619}" type="presOf" srcId="{F44ABE17-64BD-4188-8676-9CFDE9A96342}" destId="{ED02A943-5838-47C1-82A2-A87A2816A8A7}" srcOrd="0" destOrd="0" presId="urn:microsoft.com/office/officeart/2009/3/layout/HorizontalOrganizationChart"/>
    <dgm:cxn modelId="{C853CC50-AC9E-4153-88E4-F9AE72596E1F}" type="presOf" srcId="{E3CC63F5-BB6E-415C-AEF6-4CD7A014EFFA}" destId="{F4783E6B-DBAE-4038-A69E-3A1B716D9BBB}" srcOrd="0" destOrd="0" presId="urn:microsoft.com/office/officeart/2009/3/layout/HorizontalOrganizationChart"/>
    <dgm:cxn modelId="{A0CF4F7F-A394-4B3E-85D7-BF4E8AAB58F8}" type="presOf" srcId="{306AE7E7-FEE3-45DB-B2E5-1C2868AFC9E2}" destId="{30F454AD-DACE-4EFB-A1A0-C76A14C1B3B7}" srcOrd="0" destOrd="0" presId="urn:microsoft.com/office/officeart/2009/3/layout/HorizontalOrganizationChart"/>
    <dgm:cxn modelId="{AEF31638-487B-40BC-B29F-091D86B532F6}" type="presOf" srcId="{306AE7E7-FEE3-45DB-B2E5-1C2868AFC9E2}" destId="{5F9C9569-355A-414A-B8EF-9A31C0EA80EF}" srcOrd="1" destOrd="0" presId="urn:microsoft.com/office/officeart/2009/3/layout/HorizontalOrganizationChart"/>
    <dgm:cxn modelId="{03103AC5-9C45-40B8-AEA9-38820F438272}" type="presParOf" srcId="{ED02A943-5838-47C1-82A2-A87A2816A8A7}" destId="{9279B58E-0518-4BEB-A53D-C5CB35440DB5}" srcOrd="0" destOrd="0" presId="urn:microsoft.com/office/officeart/2009/3/layout/HorizontalOrganizationChart"/>
    <dgm:cxn modelId="{4266D3F2-BE25-4F66-963A-F2EAFBFEBB21}" type="presParOf" srcId="{9279B58E-0518-4BEB-A53D-C5CB35440DB5}" destId="{8740D9EA-A4C4-42CA-A5F9-9AF5390F5CB6}" srcOrd="0" destOrd="0" presId="urn:microsoft.com/office/officeart/2009/3/layout/HorizontalOrganizationChart"/>
    <dgm:cxn modelId="{3BB8238D-849C-4F67-94B9-245EABB99F78}" type="presParOf" srcId="{8740D9EA-A4C4-42CA-A5F9-9AF5390F5CB6}" destId="{80537414-0A5E-4FD6-B65E-9004639A9F83}" srcOrd="0" destOrd="0" presId="urn:microsoft.com/office/officeart/2009/3/layout/HorizontalOrganizationChart"/>
    <dgm:cxn modelId="{44930C65-9B87-485A-B186-3A3CB5CF4AE1}" type="presParOf" srcId="{8740D9EA-A4C4-42CA-A5F9-9AF5390F5CB6}" destId="{05B41E8E-7A9B-4A61-8AC9-273C22A2F841}" srcOrd="1" destOrd="0" presId="urn:microsoft.com/office/officeart/2009/3/layout/HorizontalOrganizationChart"/>
    <dgm:cxn modelId="{247940D8-EE99-4B64-8AA5-56E70D7CEC62}" type="presParOf" srcId="{9279B58E-0518-4BEB-A53D-C5CB35440DB5}" destId="{647A0B0D-8024-4D80-8773-479A0A6B0AEA}" srcOrd="1" destOrd="0" presId="urn:microsoft.com/office/officeart/2009/3/layout/HorizontalOrganizationChart"/>
    <dgm:cxn modelId="{569CB0F8-E1F0-4E1D-8C9F-21FF77768484}" type="presParOf" srcId="{647A0B0D-8024-4D80-8773-479A0A6B0AEA}" destId="{6FBEA3C8-F879-4594-9F48-E5A3C8CA4E9D}" srcOrd="0" destOrd="0" presId="urn:microsoft.com/office/officeart/2009/3/layout/HorizontalOrganizationChart"/>
    <dgm:cxn modelId="{64C1B631-23FB-4F94-89AB-2EA858F8AD6F}" type="presParOf" srcId="{647A0B0D-8024-4D80-8773-479A0A6B0AEA}" destId="{7D24B076-626E-4510-B811-EE683A01258D}" srcOrd="1" destOrd="0" presId="urn:microsoft.com/office/officeart/2009/3/layout/HorizontalOrganizationChart"/>
    <dgm:cxn modelId="{ABD1D525-6B1B-48DC-B9BC-03F65CD9C951}" type="presParOf" srcId="{7D24B076-626E-4510-B811-EE683A01258D}" destId="{40EA38E4-C691-4DF8-8DC8-4178E8D3F391}" srcOrd="0" destOrd="0" presId="urn:microsoft.com/office/officeart/2009/3/layout/HorizontalOrganizationChart"/>
    <dgm:cxn modelId="{9970B282-A931-47E2-BB5F-3C7266E8E162}" type="presParOf" srcId="{40EA38E4-C691-4DF8-8DC8-4178E8D3F391}" destId="{07AF164A-3064-4C5F-B977-3DAC0A0E23FA}" srcOrd="0" destOrd="0" presId="urn:microsoft.com/office/officeart/2009/3/layout/HorizontalOrganizationChart"/>
    <dgm:cxn modelId="{9487511F-2DA6-493F-A09E-51DDBC08FFEE}" type="presParOf" srcId="{40EA38E4-C691-4DF8-8DC8-4178E8D3F391}" destId="{01E274C5-31BB-4FDF-B043-E250283129D4}" srcOrd="1" destOrd="0" presId="urn:microsoft.com/office/officeart/2009/3/layout/HorizontalOrganizationChart"/>
    <dgm:cxn modelId="{5D14835A-9DEB-4EA0-BFCD-883223DB7148}" type="presParOf" srcId="{7D24B076-626E-4510-B811-EE683A01258D}" destId="{4389565A-BC74-44C5-A9C8-F36C33DB641C}" srcOrd="1" destOrd="0" presId="urn:microsoft.com/office/officeart/2009/3/layout/HorizontalOrganizationChart"/>
    <dgm:cxn modelId="{15E43FA4-1ABC-451B-8206-8B937BEF0818}" type="presParOf" srcId="{4389565A-BC74-44C5-A9C8-F36C33DB641C}" destId="{F4783E6B-DBAE-4038-A69E-3A1B716D9BBB}" srcOrd="0" destOrd="0" presId="urn:microsoft.com/office/officeart/2009/3/layout/HorizontalOrganizationChart"/>
    <dgm:cxn modelId="{A9FE265A-B121-4C3F-A4A8-892EA06F20A1}" type="presParOf" srcId="{4389565A-BC74-44C5-A9C8-F36C33DB641C}" destId="{EE65F492-53EA-4B69-8E14-9F8B5742EABA}" srcOrd="1" destOrd="0" presId="urn:microsoft.com/office/officeart/2009/3/layout/HorizontalOrganizationChart"/>
    <dgm:cxn modelId="{39287CD0-07DF-49EC-A9E8-DB1948B94EE2}" type="presParOf" srcId="{EE65F492-53EA-4B69-8E14-9F8B5742EABA}" destId="{49B6413A-C070-4CBC-9873-F1140AAF217A}" srcOrd="0" destOrd="0" presId="urn:microsoft.com/office/officeart/2009/3/layout/HorizontalOrganizationChart"/>
    <dgm:cxn modelId="{292FE6E7-2536-410D-BDF3-35C4C47EBC1C}" type="presParOf" srcId="{49B6413A-C070-4CBC-9873-F1140AAF217A}" destId="{A4B42063-0BDD-4288-9076-0EF3DCAA20B3}" srcOrd="0" destOrd="0" presId="urn:microsoft.com/office/officeart/2009/3/layout/HorizontalOrganizationChart"/>
    <dgm:cxn modelId="{A6B5E337-7F0A-4D47-9203-31B373CE2AD3}" type="presParOf" srcId="{49B6413A-C070-4CBC-9873-F1140AAF217A}" destId="{E4FC78FD-3A51-419F-BCF4-9185CECA4C51}" srcOrd="1" destOrd="0" presId="urn:microsoft.com/office/officeart/2009/3/layout/HorizontalOrganizationChart"/>
    <dgm:cxn modelId="{1793126B-7581-47D2-9427-C360026E7648}" type="presParOf" srcId="{EE65F492-53EA-4B69-8E14-9F8B5742EABA}" destId="{F6FCCA8C-9454-4675-AF16-DDEE63C2D571}" srcOrd="1" destOrd="0" presId="urn:microsoft.com/office/officeart/2009/3/layout/HorizontalOrganizationChart"/>
    <dgm:cxn modelId="{D1A639AE-FFA5-4B58-B79E-73E2D34C5A35}" type="presParOf" srcId="{F6FCCA8C-9454-4675-AF16-DDEE63C2D571}" destId="{BDDC5485-C60B-48D7-AFE7-2E6FEE249D5D}" srcOrd="0" destOrd="0" presId="urn:microsoft.com/office/officeart/2009/3/layout/HorizontalOrganizationChart"/>
    <dgm:cxn modelId="{3411A608-2E03-485A-B385-1CEF3DC92030}" type="presParOf" srcId="{F6FCCA8C-9454-4675-AF16-DDEE63C2D571}" destId="{72AC5E4D-513A-4BDD-9A00-5A359EB46322}" srcOrd="1" destOrd="0" presId="urn:microsoft.com/office/officeart/2009/3/layout/HorizontalOrganizationChart"/>
    <dgm:cxn modelId="{F1618D37-FACF-4C7C-937D-B28677DA9E1E}" type="presParOf" srcId="{72AC5E4D-513A-4BDD-9A00-5A359EB46322}" destId="{061D6517-862A-45CD-9EBF-EE356DD5F447}" srcOrd="0" destOrd="0" presId="urn:microsoft.com/office/officeart/2009/3/layout/HorizontalOrganizationChart"/>
    <dgm:cxn modelId="{B7424C0B-F958-44E5-BD94-AE062AC90C1F}" type="presParOf" srcId="{061D6517-862A-45CD-9EBF-EE356DD5F447}" destId="{F76DB299-1FD3-49AC-83BF-FBCA52C6EB60}" srcOrd="0" destOrd="0" presId="urn:microsoft.com/office/officeart/2009/3/layout/HorizontalOrganizationChart"/>
    <dgm:cxn modelId="{22373DD4-91DC-4773-B9B3-E1A61656B215}" type="presParOf" srcId="{061D6517-862A-45CD-9EBF-EE356DD5F447}" destId="{AD7A2EFA-4E30-4798-971A-81AF6AE3B523}" srcOrd="1" destOrd="0" presId="urn:microsoft.com/office/officeart/2009/3/layout/HorizontalOrganizationChart"/>
    <dgm:cxn modelId="{BC07645A-D41A-46B9-B3D0-88FD1A3304E1}" type="presParOf" srcId="{72AC5E4D-513A-4BDD-9A00-5A359EB46322}" destId="{97CDB307-7927-49C3-A0BB-BDC827662366}" srcOrd="1" destOrd="0" presId="urn:microsoft.com/office/officeart/2009/3/layout/HorizontalOrganizationChart"/>
    <dgm:cxn modelId="{91897348-E044-43AC-ABC5-56E47BF33B01}" type="presParOf" srcId="{72AC5E4D-513A-4BDD-9A00-5A359EB46322}" destId="{40D5F7D7-2068-46E3-AA7A-8718618B97BA}" srcOrd="2" destOrd="0" presId="urn:microsoft.com/office/officeart/2009/3/layout/HorizontalOrganizationChart"/>
    <dgm:cxn modelId="{4ED122FF-6ADE-42A9-AF3D-813440F19099}" type="presParOf" srcId="{EE65F492-53EA-4B69-8E14-9F8B5742EABA}" destId="{E507253E-8E08-4446-A476-970890743AF6}" srcOrd="2" destOrd="0" presId="urn:microsoft.com/office/officeart/2009/3/layout/HorizontalOrganizationChart"/>
    <dgm:cxn modelId="{9C823A78-AE3C-4F83-8AEE-8667B2C59038}" type="presParOf" srcId="{7D24B076-626E-4510-B811-EE683A01258D}" destId="{21460E05-E8AF-476C-B111-85402BDA3BC6}" srcOrd="2" destOrd="0" presId="urn:microsoft.com/office/officeart/2009/3/layout/HorizontalOrganizationChart"/>
    <dgm:cxn modelId="{07E1A648-65C6-472D-96F6-2B08B9F22EC2}" type="presParOf" srcId="{9279B58E-0518-4BEB-A53D-C5CB35440DB5}" destId="{59F68611-240B-4BB9-B371-9158FC16DA0D}" srcOrd="2" destOrd="0" presId="urn:microsoft.com/office/officeart/2009/3/layout/HorizontalOrganizationChart"/>
    <dgm:cxn modelId="{C59600E6-B348-4EBD-9947-9A3E725F1CE6}" type="presParOf" srcId="{ED02A943-5838-47C1-82A2-A87A2816A8A7}" destId="{16F98CF9-8463-4428-8B2B-0E7C7DB44A69}" srcOrd="1" destOrd="0" presId="urn:microsoft.com/office/officeart/2009/3/layout/HorizontalOrganizationChart"/>
    <dgm:cxn modelId="{493F7BC6-F61C-4A52-9684-54C9A223EA37}" type="presParOf" srcId="{16F98CF9-8463-4428-8B2B-0E7C7DB44A69}" destId="{5860AAA8-60B4-40FA-B2B6-46DD395F3D2C}" srcOrd="0" destOrd="0" presId="urn:microsoft.com/office/officeart/2009/3/layout/HorizontalOrganizationChart"/>
    <dgm:cxn modelId="{A1669B1D-CFB6-4CBC-8410-A08D4F2DC101}" type="presParOf" srcId="{5860AAA8-60B4-40FA-B2B6-46DD395F3D2C}" destId="{B601ACC5-B65A-48EC-8FED-3D8A0BA55DAC}" srcOrd="0" destOrd="0" presId="urn:microsoft.com/office/officeart/2009/3/layout/HorizontalOrganizationChart"/>
    <dgm:cxn modelId="{EF3AE57B-5419-4135-8C73-09A0F26EA4B2}" type="presParOf" srcId="{5860AAA8-60B4-40FA-B2B6-46DD395F3D2C}" destId="{2E172B53-EF80-4ED9-94F2-C3B65BC08726}" srcOrd="1" destOrd="0" presId="urn:microsoft.com/office/officeart/2009/3/layout/HorizontalOrganizationChart"/>
    <dgm:cxn modelId="{CE457E14-91C5-4E92-ACB6-B5EFF104D71E}" type="presParOf" srcId="{16F98CF9-8463-4428-8B2B-0E7C7DB44A69}" destId="{9F0A6398-CAAD-4420-BEF9-A0CA07C2C032}" srcOrd="1" destOrd="0" presId="urn:microsoft.com/office/officeart/2009/3/layout/HorizontalOrganizationChart"/>
    <dgm:cxn modelId="{25196B75-24B2-47AA-90BB-F8E45A6FBA0F}" type="presParOf" srcId="{9F0A6398-CAAD-4420-BEF9-A0CA07C2C032}" destId="{FF218A53-D0FA-48DC-995C-B5D799744848}" srcOrd="0" destOrd="0" presId="urn:microsoft.com/office/officeart/2009/3/layout/HorizontalOrganizationChart"/>
    <dgm:cxn modelId="{C02FDAB5-866B-4A89-B93D-D19E0CC07C0C}" type="presParOf" srcId="{9F0A6398-CAAD-4420-BEF9-A0CA07C2C032}" destId="{E959AEC7-C27E-4A0A-B159-26C34B92C3A4}" srcOrd="1" destOrd="0" presId="urn:microsoft.com/office/officeart/2009/3/layout/HorizontalOrganizationChart"/>
    <dgm:cxn modelId="{3AC9ADC4-B208-48FB-AE1D-BF53A9C99FF2}" type="presParOf" srcId="{E959AEC7-C27E-4A0A-B159-26C34B92C3A4}" destId="{75D55956-B9D4-4E49-ADC6-EBFF255285B2}" srcOrd="0" destOrd="0" presId="urn:microsoft.com/office/officeart/2009/3/layout/HorizontalOrganizationChart"/>
    <dgm:cxn modelId="{E393BA5C-2AF9-48DF-ACA3-2A0A901306C1}" type="presParOf" srcId="{75D55956-B9D4-4E49-ADC6-EBFF255285B2}" destId="{A146F741-3F0E-48C0-9185-50F27607D0BD}" srcOrd="0" destOrd="0" presId="urn:microsoft.com/office/officeart/2009/3/layout/HorizontalOrganizationChart"/>
    <dgm:cxn modelId="{ED1DAC69-84FC-435B-B4F9-F21FC09769CF}" type="presParOf" srcId="{75D55956-B9D4-4E49-ADC6-EBFF255285B2}" destId="{9DE5E26D-A675-4FE0-923F-983874550F5E}" srcOrd="1" destOrd="0" presId="urn:microsoft.com/office/officeart/2009/3/layout/HorizontalOrganizationChart"/>
    <dgm:cxn modelId="{505F4C9E-DAF4-4A7D-BEF3-A37D17064A28}" type="presParOf" srcId="{E959AEC7-C27E-4A0A-B159-26C34B92C3A4}" destId="{EB3696BE-161D-404B-9413-0D58F2B5BEAC}" srcOrd="1" destOrd="0" presId="urn:microsoft.com/office/officeart/2009/3/layout/HorizontalOrganizationChart"/>
    <dgm:cxn modelId="{C21323F7-EE55-4FA0-BCE4-DD2AA512F995}" type="presParOf" srcId="{EB3696BE-161D-404B-9413-0D58F2B5BEAC}" destId="{CD6838EF-DCD0-4D5B-AA5E-01A4FFDD7957}" srcOrd="0" destOrd="0" presId="urn:microsoft.com/office/officeart/2009/3/layout/HorizontalOrganizationChart"/>
    <dgm:cxn modelId="{C2200B00-6926-472D-B0D2-727B55851EEB}" type="presParOf" srcId="{EB3696BE-161D-404B-9413-0D58F2B5BEAC}" destId="{51718DF8-62F1-4EB4-8EFB-9D197FD1DA07}" srcOrd="1" destOrd="0" presId="urn:microsoft.com/office/officeart/2009/3/layout/HorizontalOrganizationChart"/>
    <dgm:cxn modelId="{260F2F5D-C0D4-4EEB-860A-1BBDD0E78AD8}" type="presParOf" srcId="{51718DF8-62F1-4EB4-8EFB-9D197FD1DA07}" destId="{0DC2B33E-476E-450D-9F4C-450D0616F90D}" srcOrd="0" destOrd="0" presId="urn:microsoft.com/office/officeart/2009/3/layout/HorizontalOrganizationChart"/>
    <dgm:cxn modelId="{CEC90558-A69E-4E58-9742-4F00AE72CE25}" type="presParOf" srcId="{0DC2B33E-476E-450D-9F4C-450D0616F90D}" destId="{30F454AD-DACE-4EFB-A1A0-C76A14C1B3B7}" srcOrd="0" destOrd="0" presId="urn:microsoft.com/office/officeart/2009/3/layout/HorizontalOrganizationChart"/>
    <dgm:cxn modelId="{E2AF330D-3C12-49A5-87F2-26987F452F6E}" type="presParOf" srcId="{0DC2B33E-476E-450D-9F4C-450D0616F90D}" destId="{5F9C9569-355A-414A-B8EF-9A31C0EA80EF}" srcOrd="1" destOrd="0" presId="urn:microsoft.com/office/officeart/2009/3/layout/HorizontalOrganizationChart"/>
    <dgm:cxn modelId="{29046953-25E7-4F63-8D78-FAEB7560015F}" type="presParOf" srcId="{51718DF8-62F1-4EB4-8EFB-9D197FD1DA07}" destId="{1C6DF7C1-58B5-4732-A41D-1D4CF7CDE292}" srcOrd="1" destOrd="0" presId="urn:microsoft.com/office/officeart/2009/3/layout/HorizontalOrganizationChart"/>
    <dgm:cxn modelId="{7067EA67-4280-499E-8306-138AAB644824}" type="presParOf" srcId="{1C6DF7C1-58B5-4732-A41D-1D4CF7CDE292}" destId="{8D31D79C-289D-4E67-9286-CFB84388CE54}" srcOrd="0" destOrd="0" presId="urn:microsoft.com/office/officeart/2009/3/layout/HorizontalOrganizationChart"/>
    <dgm:cxn modelId="{890A5C06-A740-4750-A63E-7EFB52E67BE8}" type="presParOf" srcId="{1C6DF7C1-58B5-4732-A41D-1D4CF7CDE292}" destId="{ABD00365-8A2E-40D5-AD1E-1BD264CBBC15}" srcOrd="1" destOrd="0" presId="urn:microsoft.com/office/officeart/2009/3/layout/HorizontalOrganizationChart"/>
    <dgm:cxn modelId="{181EB24F-682C-4B3C-A844-33CEAB02D919}" type="presParOf" srcId="{ABD00365-8A2E-40D5-AD1E-1BD264CBBC15}" destId="{F5B0BF75-46A3-4BE4-9A6C-A2077E2AE21D}" srcOrd="0" destOrd="0" presId="urn:microsoft.com/office/officeart/2009/3/layout/HorizontalOrganizationChart"/>
    <dgm:cxn modelId="{5B9018DF-4072-48DF-BE8A-00B1F972CB9B}" type="presParOf" srcId="{F5B0BF75-46A3-4BE4-9A6C-A2077E2AE21D}" destId="{4C750A7C-2EDE-4B66-BC80-A92CA744023D}" srcOrd="0" destOrd="0" presId="urn:microsoft.com/office/officeart/2009/3/layout/HorizontalOrganizationChart"/>
    <dgm:cxn modelId="{EA6FD456-87A4-4528-9058-4D55CB852AE0}" type="presParOf" srcId="{F5B0BF75-46A3-4BE4-9A6C-A2077E2AE21D}" destId="{3F4C2FA7-B4EF-48DA-9F8A-92352C0A4308}" srcOrd="1" destOrd="0" presId="urn:microsoft.com/office/officeart/2009/3/layout/HorizontalOrganizationChart"/>
    <dgm:cxn modelId="{46888791-893C-4DDA-B6A0-DC3DC0FBDF22}" type="presParOf" srcId="{ABD00365-8A2E-40D5-AD1E-1BD264CBBC15}" destId="{BC6C0C09-B9BF-440A-AD77-B210BD0B3A6E}" srcOrd="1" destOrd="0" presId="urn:microsoft.com/office/officeart/2009/3/layout/HorizontalOrganizationChart"/>
    <dgm:cxn modelId="{24C0E192-C6C6-462F-8ABC-90EBB7B15D2A}" type="presParOf" srcId="{ABD00365-8A2E-40D5-AD1E-1BD264CBBC15}" destId="{18283CDD-F9DE-49EA-8283-4FA460F2F0F4}" srcOrd="2" destOrd="0" presId="urn:microsoft.com/office/officeart/2009/3/layout/HorizontalOrganizationChart"/>
    <dgm:cxn modelId="{3111413C-9A43-4AF6-8F93-0C498D9F2C0B}" type="presParOf" srcId="{51718DF8-62F1-4EB4-8EFB-9D197FD1DA07}" destId="{EAE8065C-773E-4F5D-9057-7B69A2FCE5EB}" srcOrd="2" destOrd="0" presId="urn:microsoft.com/office/officeart/2009/3/layout/HorizontalOrganizationChart"/>
    <dgm:cxn modelId="{6C4E2316-974D-4A3C-A323-50E927962099}" type="presParOf" srcId="{E959AEC7-C27E-4A0A-B159-26C34B92C3A4}" destId="{09599D0D-6FB7-44ED-B0FF-CACE946F09DB}" srcOrd="2" destOrd="0" presId="urn:microsoft.com/office/officeart/2009/3/layout/HorizontalOrganizationChart"/>
    <dgm:cxn modelId="{5D12D872-F2B1-4DF8-8A57-37B0DF68DA01}" type="presParOf" srcId="{16F98CF9-8463-4428-8B2B-0E7C7DB44A69}" destId="{9235578F-F565-4E68-B9C3-E543B2E30DE0}" srcOrd="2" destOrd="0" presId="urn:microsoft.com/office/officeart/2009/3/layout/HorizontalOrganizationChart"/>
    <dgm:cxn modelId="{7D1BE2A5-F10F-4507-B8A1-9EEC972AE502}" type="presParOf" srcId="{ED02A943-5838-47C1-82A2-A87A2816A8A7}" destId="{8363B8DF-A64B-454C-A7FD-4EE36EE20347}" srcOrd="2" destOrd="0" presId="urn:microsoft.com/office/officeart/2009/3/layout/HorizontalOrganizationChart"/>
    <dgm:cxn modelId="{45DD5340-CCB1-42EC-8074-7DEF7A51B7E8}" type="presParOf" srcId="{8363B8DF-A64B-454C-A7FD-4EE36EE20347}" destId="{0C771AA8-C5B6-4529-876F-513EAA5FA343}" srcOrd="0" destOrd="0" presId="urn:microsoft.com/office/officeart/2009/3/layout/HorizontalOrganizationChart"/>
    <dgm:cxn modelId="{BC40A72E-3019-4CA3-89AB-DF93EAD8309A}" type="presParOf" srcId="{0C771AA8-C5B6-4529-876F-513EAA5FA343}" destId="{8B2F072F-15FE-45FB-AEFD-9BAED22D73F6}" srcOrd="0" destOrd="0" presId="urn:microsoft.com/office/officeart/2009/3/layout/HorizontalOrganizationChart"/>
    <dgm:cxn modelId="{7259D239-1A9D-4BBE-A7B8-30BAE7FCE659}" type="presParOf" srcId="{0C771AA8-C5B6-4529-876F-513EAA5FA343}" destId="{E13975AB-A7DC-484B-9A8B-DA760201DF24}" srcOrd="1" destOrd="0" presId="urn:microsoft.com/office/officeart/2009/3/layout/HorizontalOrganizationChart"/>
    <dgm:cxn modelId="{5BC4FB6A-86FD-4D4F-9AFE-A0F2CB605F01}" type="presParOf" srcId="{8363B8DF-A64B-454C-A7FD-4EE36EE20347}" destId="{693A2CD2-268B-4603-905A-DF5D711A3F77}" srcOrd="1" destOrd="0" presId="urn:microsoft.com/office/officeart/2009/3/layout/HorizontalOrganizationChart"/>
    <dgm:cxn modelId="{B63D7BCA-7057-48EB-9B39-9D15EF87B12A}" type="presParOf" srcId="{693A2CD2-268B-4603-905A-DF5D711A3F77}" destId="{FB92B030-C0A9-4FD5-A568-B8674E18C267}" srcOrd="0" destOrd="0" presId="urn:microsoft.com/office/officeart/2009/3/layout/HorizontalOrganizationChart"/>
    <dgm:cxn modelId="{5911AB72-B990-44D0-A036-18AE45CE523A}" type="presParOf" srcId="{693A2CD2-268B-4603-905A-DF5D711A3F77}" destId="{85774725-BEC1-4677-A3F1-6599B0C0AD7C}" srcOrd="1" destOrd="0" presId="urn:microsoft.com/office/officeart/2009/3/layout/HorizontalOrganizationChart"/>
    <dgm:cxn modelId="{94D6CDBD-490B-49AD-9D75-1E9D523A2B43}" type="presParOf" srcId="{85774725-BEC1-4677-A3F1-6599B0C0AD7C}" destId="{E4A217D2-A4D3-4780-8992-B1C4E21EB0FB}" srcOrd="0" destOrd="0" presId="urn:microsoft.com/office/officeart/2009/3/layout/HorizontalOrganizationChart"/>
    <dgm:cxn modelId="{B8532208-3486-4903-AFD8-8462050B7EB6}" type="presParOf" srcId="{E4A217D2-A4D3-4780-8992-B1C4E21EB0FB}" destId="{5675431B-1FEF-49AB-B780-7A464F475A9C}" srcOrd="0" destOrd="0" presId="urn:microsoft.com/office/officeart/2009/3/layout/HorizontalOrganizationChart"/>
    <dgm:cxn modelId="{4BF7E862-D308-4FA0-884D-A4A95310F68A}" type="presParOf" srcId="{E4A217D2-A4D3-4780-8992-B1C4E21EB0FB}" destId="{F3ED72B8-C8C9-46D8-963B-B62A2704D133}" srcOrd="1" destOrd="0" presId="urn:microsoft.com/office/officeart/2009/3/layout/HorizontalOrganizationChart"/>
    <dgm:cxn modelId="{B812971C-6C5B-41E4-8851-7EFC4A290E09}" type="presParOf" srcId="{85774725-BEC1-4677-A3F1-6599B0C0AD7C}" destId="{3CD85B8F-C326-43A9-850B-A244C4C063DE}" srcOrd="1" destOrd="0" presId="urn:microsoft.com/office/officeart/2009/3/layout/HorizontalOrganizationChart"/>
    <dgm:cxn modelId="{0A74E894-71C8-4325-84CB-4396B27BEE99}" type="presParOf" srcId="{3CD85B8F-C326-43A9-850B-A244C4C063DE}" destId="{2FEB44EF-AE1F-4C93-951D-E04DDC437D63}" srcOrd="0" destOrd="0" presId="urn:microsoft.com/office/officeart/2009/3/layout/HorizontalOrganizationChart"/>
    <dgm:cxn modelId="{3978B69C-D819-4C49-A2D2-9F6D7789EDB3}" type="presParOf" srcId="{3CD85B8F-C326-43A9-850B-A244C4C063DE}" destId="{F2848311-A464-40A3-9C51-4825C4AC9055}" srcOrd="1" destOrd="0" presId="urn:microsoft.com/office/officeart/2009/3/layout/HorizontalOrganizationChart"/>
    <dgm:cxn modelId="{FEF35952-5510-4DD0-A554-D4B1FE4D9329}" type="presParOf" srcId="{F2848311-A464-40A3-9C51-4825C4AC9055}" destId="{F07DB0A9-839D-48E0-918A-839B988DF634}" srcOrd="0" destOrd="0" presId="urn:microsoft.com/office/officeart/2009/3/layout/HorizontalOrganizationChart"/>
    <dgm:cxn modelId="{89310239-3A19-4898-B3E4-C208F799DB2A}" type="presParOf" srcId="{F07DB0A9-839D-48E0-918A-839B988DF634}" destId="{1FD36FA7-5D53-46E5-AC31-A99702D90309}" srcOrd="0" destOrd="0" presId="urn:microsoft.com/office/officeart/2009/3/layout/HorizontalOrganizationChart"/>
    <dgm:cxn modelId="{4C72EA73-325C-4715-8594-189CABE7E0F3}" type="presParOf" srcId="{F07DB0A9-839D-48E0-918A-839B988DF634}" destId="{51EBC741-36EC-4F95-B232-7C83D738BDD6}" srcOrd="1" destOrd="0" presId="urn:microsoft.com/office/officeart/2009/3/layout/HorizontalOrganizationChart"/>
    <dgm:cxn modelId="{4C21CC83-D0E7-4960-9A2E-F3EE2BC0B2B4}" type="presParOf" srcId="{F2848311-A464-40A3-9C51-4825C4AC9055}" destId="{FB4F41EF-F553-4D1C-ABDB-4DCCF51CD43C}" srcOrd="1" destOrd="0" presId="urn:microsoft.com/office/officeart/2009/3/layout/HorizontalOrganizationChart"/>
    <dgm:cxn modelId="{8476A15C-2DB7-497D-AE06-CC7D3A516A1A}" type="presParOf" srcId="{FB4F41EF-F553-4D1C-ABDB-4DCCF51CD43C}" destId="{604F3102-BA35-4241-985A-2A775AEC4F29}" srcOrd="0" destOrd="0" presId="urn:microsoft.com/office/officeart/2009/3/layout/HorizontalOrganizationChart"/>
    <dgm:cxn modelId="{957700A7-8C05-48E7-812D-278D5C3B2A86}" type="presParOf" srcId="{FB4F41EF-F553-4D1C-ABDB-4DCCF51CD43C}" destId="{9C9D0849-8393-49A0-81EF-94722CB4FDDB}" srcOrd="1" destOrd="0" presId="urn:microsoft.com/office/officeart/2009/3/layout/HorizontalOrganizationChart"/>
    <dgm:cxn modelId="{D8C37A82-2047-47BD-B8C9-0156D8FB513A}" type="presParOf" srcId="{9C9D0849-8393-49A0-81EF-94722CB4FDDB}" destId="{743AA0B0-2ABB-4EC1-9ECE-3D367EEBCEBA}" srcOrd="0" destOrd="0" presId="urn:microsoft.com/office/officeart/2009/3/layout/HorizontalOrganizationChart"/>
    <dgm:cxn modelId="{25FB0FF5-E4F3-45DE-94E3-72681C1CEF64}" type="presParOf" srcId="{743AA0B0-2ABB-4EC1-9ECE-3D367EEBCEBA}" destId="{702D0B2A-510E-4D00-98E1-C727EDD64A07}" srcOrd="0" destOrd="0" presId="urn:microsoft.com/office/officeart/2009/3/layout/HorizontalOrganizationChart"/>
    <dgm:cxn modelId="{D7F75D39-834E-4388-9719-182080188BEB}" type="presParOf" srcId="{743AA0B0-2ABB-4EC1-9ECE-3D367EEBCEBA}" destId="{D5A50A50-D56E-4065-B4C0-E39BCEF43319}" srcOrd="1" destOrd="0" presId="urn:microsoft.com/office/officeart/2009/3/layout/HorizontalOrganizationChart"/>
    <dgm:cxn modelId="{0F81007A-A632-486B-A2DA-B0E00910E96E}" type="presParOf" srcId="{9C9D0849-8393-49A0-81EF-94722CB4FDDB}" destId="{F9A9EE05-DC3A-4121-938C-83CD1BEFE113}" srcOrd="1" destOrd="0" presId="urn:microsoft.com/office/officeart/2009/3/layout/HorizontalOrganizationChart"/>
    <dgm:cxn modelId="{E09EBEA3-69FD-4A96-A9F2-43F427804214}" type="presParOf" srcId="{9C9D0849-8393-49A0-81EF-94722CB4FDDB}" destId="{B2B16C52-9FC5-4888-8E98-3424192FA681}" srcOrd="2" destOrd="0" presId="urn:microsoft.com/office/officeart/2009/3/layout/HorizontalOrganizationChart"/>
    <dgm:cxn modelId="{7B148C5E-7E80-48AC-98EB-7360FDE3552A}" type="presParOf" srcId="{F2848311-A464-40A3-9C51-4825C4AC9055}" destId="{B46CA3EE-3B6E-4E3D-A897-0B869314DFBD}" srcOrd="2" destOrd="0" presId="urn:microsoft.com/office/officeart/2009/3/layout/HorizontalOrganizationChart"/>
    <dgm:cxn modelId="{CCCE9FCA-A442-40F5-84C7-7B9179C2FA20}" type="presParOf" srcId="{3CD85B8F-C326-43A9-850B-A244C4C063DE}" destId="{5B59E17D-9FE6-48E7-B424-308DBFA4CC59}" srcOrd="2" destOrd="0" presId="urn:microsoft.com/office/officeart/2009/3/layout/HorizontalOrganizationChart"/>
    <dgm:cxn modelId="{F30E97E8-70DB-4109-858F-E561E2A5D005}" type="presParOf" srcId="{3CD85B8F-C326-43A9-850B-A244C4C063DE}" destId="{C6A6CE8E-8C47-48DD-8F81-0D76E17467E8}" srcOrd="3" destOrd="0" presId="urn:microsoft.com/office/officeart/2009/3/layout/HorizontalOrganizationChart"/>
    <dgm:cxn modelId="{A27C936D-FDD4-4A12-888C-73025342E939}" type="presParOf" srcId="{C6A6CE8E-8C47-48DD-8F81-0D76E17467E8}" destId="{6FDF0F31-91B0-4F06-81E9-4181EBC7EEAA}" srcOrd="0" destOrd="0" presId="urn:microsoft.com/office/officeart/2009/3/layout/HorizontalOrganizationChart"/>
    <dgm:cxn modelId="{90A17CDF-6B61-4008-8604-1B8404991D68}" type="presParOf" srcId="{6FDF0F31-91B0-4F06-81E9-4181EBC7EEAA}" destId="{C925F6AE-50E7-4A05-9969-4062B7F5479D}" srcOrd="0" destOrd="0" presId="urn:microsoft.com/office/officeart/2009/3/layout/HorizontalOrganizationChart"/>
    <dgm:cxn modelId="{E0CF84AB-7984-4EF7-83A4-522AF7EBACF6}" type="presParOf" srcId="{6FDF0F31-91B0-4F06-81E9-4181EBC7EEAA}" destId="{713EC6D6-1B5C-4921-8802-5C76AD9826C8}" srcOrd="1" destOrd="0" presId="urn:microsoft.com/office/officeart/2009/3/layout/HorizontalOrganizationChart"/>
    <dgm:cxn modelId="{868DCC04-1062-4F08-AAC1-FA143FD32916}" type="presParOf" srcId="{C6A6CE8E-8C47-48DD-8F81-0D76E17467E8}" destId="{5802C23E-921B-494E-AB04-6102F1F495B7}" srcOrd="1" destOrd="0" presId="urn:microsoft.com/office/officeart/2009/3/layout/HorizontalOrganizationChart"/>
    <dgm:cxn modelId="{BC16D76C-CE65-4A2B-8ABF-F682A20CD9E4}" type="presParOf" srcId="{5802C23E-921B-494E-AB04-6102F1F495B7}" destId="{29B6C71A-632F-46B1-9B03-D7021306B022}" srcOrd="0" destOrd="0" presId="urn:microsoft.com/office/officeart/2009/3/layout/HorizontalOrganizationChart"/>
    <dgm:cxn modelId="{D4F03253-A87B-4449-9A55-5F7220722A4C}" type="presParOf" srcId="{5802C23E-921B-494E-AB04-6102F1F495B7}" destId="{AFB73E99-A73A-4C6B-BC14-FA10886A8528}" srcOrd="1" destOrd="0" presId="urn:microsoft.com/office/officeart/2009/3/layout/HorizontalOrganizationChart"/>
    <dgm:cxn modelId="{A2292BDA-5F1F-4072-97E9-7510D9BA6209}" type="presParOf" srcId="{AFB73E99-A73A-4C6B-BC14-FA10886A8528}" destId="{ACDF1E18-0351-4938-8B1A-05B6E14909BB}" srcOrd="0" destOrd="0" presId="urn:microsoft.com/office/officeart/2009/3/layout/HorizontalOrganizationChart"/>
    <dgm:cxn modelId="{6BB4D2C6-E25A-4E86-B8C4-9286105EFFD4}" type="presParOf" srcId="{ACDF1E18-0351-4938-8B1A-05B6E14909BB}" destId="{4E9034E6-AA02-42F2-9F47-19DC7AC6410A}" srcOrd="0" destOrd="0" presId="urn:microsoft.com/office/officeart/2009/3/layout/HorizontalOrganizationChart"/>
    <dgm:cxn modelId="{2F5EC23F-24F5-42E9-A3E4-234C2043BB78}" type="presParOf" srcId="{ACDF1E18-0351-4938-8B1A-05B6E14909BB}" destId="{72DFA77C-3912-492D-AF2D-046E6554F1D1}" srcOrd="1" destOrd="0" presId="urn:microsoft.com/office/officeart/2009/3/layout/HorizontalOrganizationChart"/>
    <dgm:cxn modelId="{CD70E1BB-A17F-43D8-8BA2-87287A8DD2CE}" type="presParOf" srcId="{AFB73E99-A73A-4C6B-BC14-FA10886A8528}" destId="{8EE2966B-D505-4FFB-A7D4-9BCC83265A6B}" srcOrd="1" destOrd="0" presId="urn:microsoft.com/office/officeart/2009/3/layout/HorizontalOrganizationChart"/>
    <dgm:cxn modelId="{1ECDB4F1-966F-46F1-A9F0-5C90B308D8C0}" type="presParOf" srcId="{AFB73E99-A73A-4C6B-BC14-FA10886A8528}" destId="{5AAF42E9-7A0F-4F92-899E-133FAB753264}" srcOrd="2" destOrd="0" presId="urn:microsoft.com/office/officeart/2009/3/layout/HorizontalOrganizationChart"/>
    <dgm:cxn modelId="{8166EC32-BBBC-4D77-B4D2-B6361096ADAB}" type="presParOf" srcId="{C6A6CE8E-8C47-48DD-8F81-0D76E17467E8}" destId="{43EC2A75-1C0C-470B-AD7D-7A8B4AC0811C}" srcOrd="2" destOrd="0" presId="urn:microsoft.com/office/officeart/2009/3/layout/HorizontalOrganizationChart"/>
    <dgm:cxn modelId="{940E2D20-4119-44EB-BF7F-FBDB01966AA4}" type="presParOf" srcId="{85774725-BEC1-4677-A3F1-6599B0C0AD7C}" destId="{947F7E9F-A3E6-441A-B871-2F3DF67521AB}" srcOrd="2" destOrd="0" presId="urn:microsoft.com/office/officeart/2009/3/layout/HorizontalOrganizationChart"/>
    <dgm:cxn modelId="{F9C5A57D-D34C-40A4-BBCC-8E2A66E36115}" type="presParOf" srcId="{8363B8DF-A64B-454C-A7FD-4EE36EE20347}" destId="{6B160A7E-FB75-4792-8A67-FA58FF8D783F}" srcOrd="2" destOrd="0" presId="urn:microsoft.com/office/officeart/2009/3/layout/HorizontalOrganizationChart"/>
    <dgm:cxn modelId="{216F0E7A-350E-48A0-B65A-FF4A804F8E48}" type="presParOf" srcId="{ED02A943-5838-47C1-82A2-A87A2816A8A7}" destId="{F32BFBDE-EEA3-40B7-8BE6-F17233FEDA38}" srcOrd="3" destOrd="0" presId="urn:microsoft.com/office/officeart/2009/3/layout/HorizontalOrganizationChart"/>
    <dgm:cxn modelId="{A4F7ECEC-9CA7-40B7-AAB0-338FA09700FB}" type="presParOf" srcId="{F32BFBDE-EEA3-40B7-8BE6-F17233FEDA38}" destId="{B150FA68-A2F7-4ED2-A3F7-A45BCD5F345E}" srcOrd="0" destOrd="0" presId="urn:microsoft.com/office/officeart/2009/3/layout/HorizontalOrganizationChart"/>
    <dgm:cxn modelId="{E4552A02-8337-40B0-8407-838107A783CE}" type="presParOf" srcId="{B150FA68-A2F7-4ED2-A3F7-A45BCD5F345E}" destId="{B7FE354D-8419-4A41-9801-D517A8121D74}" srcOrd="0" destOrd="0" presId="urn:microsoft.com/office/officeart/2009/3/layout/HorizontalOrganizationChart"/>
    <dgm:cxn modelId="{8C6E720B-ADCB-442D-BC7E-580E8E26A1AB}" type="presParOf" srcId="{B150FA68-A2F7-4ED2-A3F7-A45BCD5F345E}" destId="{97B92E78-836C-426F-8956-039CA6DFDC45}" srcOrd="1" destOrd="0" presId="urn:microsoft.com/office/officeart/2009/3/layout/HorizontalOrganizationChart"/>
    <dgm:cxn modelId="{37B78363-0FBB-4391-A0B4-81BA77E8322A}" type="presParOf" srcId="{F32BFBDE-EEA3-40B7-8BE6-F17233FEDA38}" destId="{6CA23E4F-29DF-4E71-8709-00B0FCF08128}" srcOrd="1" destOrd="0" presId="urn:microsoft.com/office/officeart/2009/3/layout/HorizontalOrganizationChart"/>
    <dgm:cxn modelId="{9DF52784-266D-4478-B338-783B9041D998}" type="presParOf" srcId="{6CA23E4F-29DF-4E71-8709-00B0FCF08128}" destId="{058D0014-812E-469C-BC2F-95A7C7CB14D9}" srcOrd="0" destOrd="0" presId="urn:microsoft.com/office/officeart/2009/3/layout/HorizontalOrganizationChart"/>
    <dgm:cxn modelId="{81E8FD62-6E03-4DE0-BDA1-633D2801A8D8}" type="presParOf" srcId="{6CA23E4F-29DF-4E71-8709-00B0FCF08128}" destId="{B1D0FB56-175E-4F7D-8470-2A3DA5270844}" srcOrd="1" destOrd="0" presId="urn:microsoft.com/office/officeart/2009/3/layout/HorizontalOrganizationChart"/>
    <dgm:cxn modelId="{73D0600F-6DD5-428D-80CE-F196E9604E1A}" type="presParOf" srcId="{B1D0FB56-175E-4F7D-8470-2A3DA5270844}" destId="{579ADB97-FDAA-4DEE-8FC0-7C7E480A9763}" srcOrd="0" destOrd="0" presId="urn:microsoft.com/office/officeart/2009/3/layout/HorizontalOrganizationChart"/>
    <dgm:cxn modelId="{C6043504-0F92-40FD-86AC-0CB4A9B8ED1B}" type="presParOf" srcId="{579ADB97-FDAA-4DEE-8FC0-7C7E480A9763}" destId="{12DBF65B-CD68-48B9-91E6-137837EEE520}" srcOrd="0" destOrd="0" presId="urn:microsoft.com/office/officeart/2009/3/layout/HorizontalOrganizationChart"/>
    <dgm:cxn modelId="{D8B9EA86-D95E-45F8-8EFC-D48A51943BBB}" type="presParOf" srcId="{579ADB97-FDAA-4DEE-8FC0-7C7E480A9763}" destId="{B7B4AC6B-9012-4DA6-90F6-BA662D7333C3}" srcOrd="1" destOrd="0" presId="urn:microsoft.com/office/officeart/2009/3/layout/HorizontalOrganizationChart"/>
    <dgm:cxn modelId="{ED8EFD63-6B36-40DC-B886-13CAD9E317BE}" type="presParOf" srcId="{B1D0FB56-175E-4F7D-8470-2A3DA5270844}" destId="{C59E1F92-7B04-453F-B937-F4C349F9852F}" srcOrd="1" destOrd="0" presId="urn:microsoft.com/office/officeart/2009/3/layout/HorizontalOrganizationChart"/>
    <dgm:cxn modelId="{6E56D8AF-334F-4005-AF61-27E9DFCC0581}" type="presParOf" srcId="{C59E1F92-7B04-453F-B937-F4C349F9852F}" destId="{9579D91D-A547-40C2-913C-B28E2F22C4C5}" srcOrd="0" destOrd="0" presId="urn:microsoft.com/office/officeart/2009/3/layout/HorizontalOrganizationChart"/>
    <dgm:cxn modelId="{A78F57BD-E4D5-43F0-A0B6-31AFB9BC2745}" type="presParOf" srcId="{C59E1F92-7B04-453F-B937-F4C349F9852F}" destId="{0875940A-78D8-4F41-8DBB-3FCD51A76F32}" srcOrd="1" destOrd="0" presId="urn:microsoft.com/office/officeart/2009/3/layout/HorizontalOrganizationChart"/>
    <dgm:cxn modelId="{7075F171-0748-44AA-AA78-58C599F946AE}" type="presParOf" srcId="{0875940A-78D8-4F41-8DBB-3FCD51A76F32}" destId="{D0BAD0D2-7811-4C6D-9561-708B53AAC85E}" srcOrd="0" destOrd="0" presId="urn:microsoft.com/office/officeart/2009/3/layout/HorizontalOrganizationChart"/>
    <dgm:cxn modelId="{4E289C7C-33D8-44FA-AD84-BA7B0F5790F0}" type="presParOf" srcId="{D0BAD0D2-7811-4C6D-9561-708B53AAC85E}" destId="{A2870D18-8A7C-425E-A555-24316316F177}" srcOrd="0" destOrd="0" presId="urn:microsoft.com/office/officeart/2009/3/layout/HorizontalOrganizationChart"/>
    <dgm:cxn modelId="{46AE0409-E39A-426D-B3B7-62A54A837DBC}" type="presParOf" srcId="{D0BAD0D2-7811-4C6D-9561-708B53AAC85E}" destId="{8157DC13-4FAC-4C2C-90DB-305836DACF85}" srcOrd="1" destOrd="0" presId="urn:microsoft.com/office/officeart/2009/3/layout/HorizontalOrganizationChart"/>
    <dgm:cxn modelId="{352DD293-ED6F-465B-9674-3244E23F9C70}" type="presParOf" srcId="{0875940A-78D8-4F41-8DBB-3FCD51A76F32}" destId="{73D123AB-1738-4524-A66C-D53263C36557}" srcOrd="1" destOrd="0" presId="urn:microsoft.com/office/officeart/2009/3/layout/HorizontalOrganizationChart"/>
    <dgm:cxn modelId="{53097E67-F46A-48AB-A4E9-F7DB1F43EBBE}" type="presParOf" srcId="{73D123AB-1738-4524-A66C-D53263C36557}" destId="{55EF631F-4824-4A15-BAB5-49F708433718}" srcOrd="0" destOrd="0" presId="urn:microsoft.com/office/officeart/2009/3/layout/HorizontalOrganizationChart"/>
    <dgm:cxn modelId="{59A5371F-F522-49F4-A897-3C26AFE8BA53}" type="presParOf" srcId="{73D123AB-1738-4524-A66C-D53263C36557}" destId="{F4F83D0E-4469-40AC-8178-95CC738B5F3A}" srcOrd="1" destOrd="0" presId="urn:microsoft.com/office/officeart/2009/3/layout/HorizontalOrganizationChart"/>
    <dgm:cxn modelId="{FA6D4A2E-C86F-411B-86C2-AA6CCDEAC9B5}" type="presParOf" srcId="{F4F83D0E-4469-40AC-8178-95CC738B5F3A}" destId="{3092F5AA-31BF-4A6A-8510-DCA305E8A886}" srcOrd="0" destOrd="0" presId="urn:microsoft.com/office/officeart/2009/3/layout/HorizontalOrganizationChart"/>
    <dgm:cxn modelId="{01E8E94A-BFEB-4E63-99D7-8B8A7FE0049E}" type="presParOf" srcId="{3092F5AA-31BF-4A6A-8510-DCA305E8A886}" destId="{E3674BFD-07ED-4B69-B217-4FFCAD036AD9}" srcOrd="0" destOrd="0" presId="urn:microsoft.com/office/officeart/2009/3/layout/HorizontalOrganizationChart"/>
    <dgm:cxn modelId="{86D8E5EB-910D-43A8-8B61-C6CCBF962443}" type="presParOf" srcId="{3092F5AA-31BF-4A6A-8510-DCA305E8A886}" destId="{8DFF7E98-CC33-44B5-B282-8003FADC54C1}" srcOrd="1" destOrd="0" presId="urn:microsoft.com/office/officeart/2009/3/layout/HorizontalOrganizationChart"/>
    <dgm:cxn modelId="{C00E8CEB-3569-4566-83D6-249FD956C056}" type="presParOf" srcId="{F4F83D0E-4469-40AC-8178-95CC738B5F3A}" destId="{929F7E5B-4878-47C8-8BA4-CE2F927BD622}" srcOrd="1" destOrd="0" presId="urn:microsoft.com/office/officeart/2009/3/layout/HorizontalOrganizationChart"/>
    <dgm:cxn modelId="{56BCC5F1-EDFC-404A-A2EA-70543A0D0268}" type="presParOf" srcId="{F4F83D0E-4469-40AC-8178-95CC738B5F3A}" destId="{2E7E59B1-F80C-454B-A030-731697D97CB7}" srcOrd="2" destOrd="0" presId="urn:microsoft.com/office/officeart/2009/3/layout/HorizontalOrganizationChart"/>
    <dgm:cxn modelId="{8F414F00-0F68-4DB1-92BD-45A2B3CDE937}" type="presParOf" srcId="{0875940A-78D8-4F41-8DBB-3FCD51A76F32}" destId="{A2F68072-A056-4007-8C3F-314DBF30E582}" srcOrd="2" destOrd="0" presId="urn:microsoft.com/office/officeart/2009/3/layout/HorizontalOrganizationChart"/>
    <dgm:cxn modelId="{F301A646-FC74-4161-B5BC-9395E1761C26}" type="presParOf" srcId="{B1D0FB56-175E-4F7D-8470-2A3DA5270844}" destId="{4B1C0E89-3A39-4DD8-B1CA-B640100D5A4D}" srcOrd="2" destOrd="0" presId="urn:microsoft.com/office/officeart/2009/3/layout/HorizontalOrganizationChart"/>
    <dgm:cxn modelId="{25D75146-7306-4E46-9AFA-21DAC677EFC6}" type="presParOf" srcId="{F32BFBDE-EEA3-40B7-8BE6-F17233FEDA38}" destId="{7F069271-1025-4323-BEE6-5EFCF603FF4A}" srcOrd="2" destOrd="0" presId="urn:microsoft.com/office/officeart/2009/3/layout/HorizontalOrganizationChart"/>
    <dgm:cxn modelId="{A98AD8DA-30E5-415B-8E7C-7E809E497F30}" type="presParOf" srcId="{ED02A943-5838-47C1-82A2-A87A2816A8A7}" destId="{FAB3DD3A-5689-464A-98CF-8741C803EA0B}" srcOrd="4" destOrd="0" presId="urn:microsoft.com/office/officeart/2009/3/layout/HorizontalOrganizationChart"/>
    <dgm:cxn modelId="{BBB978C1-D579-4E59-9E2E-97248F811DF6}" type="presParOf" srcId="{FAB3DD3A-5689-464A-98CF-8741C803EA0B}" destId="{5E8D5EDB-1D39-45D6-A67F-58471D9435E2}" srcOrd="0" destOrd="0" presId="urn:microsoft.com/office/officeart/2009/3/layout/HorizontalOrganizationChart"/>
    <dgm:cxn modelId="{466EF6EC-5D56-4A16-BF8B-D56ADBAD4988}" type="presParOf" srcId="{5E8D5EDB-1D39-45D6-A67F-58471D9435E2}" destId="{F98130C4-0270-48A8-9FD9-96998AE56C04}" srcOrd="0" destOrd="0" presId="urn:microsoft.com/office/officeart/2009/3/layout/HorizontalOrganizationChart"/>
    <dgm:cxn modelId="{2A8F4BB7-F230-4FD2-B89C-2283A95DF12C}" type="presParOf" srcId="{5E8D5EDB-1D39-45D6-A67F-58471D9435E2}" destId="{E1FB8C3B-4FA4-431A-BC78-B05AA7980732}" srcOrd="1" destOrd="0" presId="urn:microsoft.com/office/officeart/2009/3/layout/HorizontalOrganizationChart"/>
    <dgm:cxn modelId="{E281B5DF-592F-48EF-8E4E-05257429BF40}" type="presParOf" srcId="{FAB3DD3A-5689-464A-98CF-8741C803EA0B}" destId="{D4F54FC5-EC5B-45F2-92B7-3D34FCAB3B4B}" srcOrd="1" destOrd="0" presId="urn:microsoft.com/office/officeart/2009/3/layout/HorizontalOrganizationChart"/>
    <dgm:cxn modelId="{0DDD9F5F-822F-40A6-ADC1-389A2FE4683D}" type="presParOf" srcId="{D4F54FC5-EC5B-45F2-92B7-3D34FCAB3B4B}" destId="{BAB86965-F936-4C18-A207-074B10BD2621}" srcOrd="0" destOrd="0" presId="urn:microsoft.com/office/officeart/2009/3/layout/HorizontalOrganizationChart"/>
    <dgm:cxn modelId="{05562311-1732-4DF9-BADD-4A3733C4ADC9}" type="presParOf" srcId="{D4F54FC5-EC5B-45F2-92B7-3D34FCAB3B4B}" destId="{2A5CBBC8-6061-41D4-A253-03E15B611B25}" srcOrd="1" destOrd="0" presId="urn:microsoft.com/office/officeart/2009/3/layout/HorizontalOrganizationChart"/>
    <dgm:cxn modelId="{0FF2BF35-B77D-425C-9FFF-EC183B0F606A}" type="presParOf" srcId="{2A5CBBC8-6061-41D4-A253-03E15B611B25}" destId="{2232222F-40EB-4B89-8310-D9626ECA8BF9}" srcOrd="0" destOrd="0" presId="urn:microsoft.com/office/officeart/2009/3/layout/HorizontalOrganizationChart"/>
    <dgm:cxn modelId="{C8BF1D62-994A-47E0-BB67-5E01448C2E25}" type="presParOf" srcId="{2232222F-40EB-4B89-8310-D9626ECA8BF9}" destId="{CA5E2818-837A-4ACB-91D1-A1857297C98E}" srcOrd="0" destOrd="0" presId="urn:microsoft.com/office/officeart/2009/3/layout/HorizontalOrganizationChart"/>
    <dgm:cxn modelId="{7D365196-6CF3-47C8-AE18-1AA779DA3B7D}" type="presParOf" srcId="{2232222F-40EB-4B89-8310-D9626ECA8BF9}" destId="{2F005DCF-8237-4C36-BC6E-1255F7D749C6}" srcOrd="1" destOrd="0" presId="urn:microsoft.com/office/officeart/2009/3/layout/HorizontalOrganizationChart"/>
    <dgm:cxn modelId="{CB73DE65-9314-4AC4-BDF2-7AC549D25C82}" type="presParOf" srcId="{2A5CBBC8-6061-41D4-A253-03E15B611B25}" destId="{BF2EAB3B-13CC-4AB8-8C0E-F088685270C5}" srcOrd="1" destOrd="0" presId="urn:microsoft.com/office/officeart/2009/3/layout/HorizontalOrganizationChart"/>
    <dgm:cxn modelId="{10FF703F-182B-4CA2-BA9F-C6DA320B6ED7}" type="presParOf" srcId="{BF2EAB3B-13CC-4AB8-8C0E-F088685270C5}" destId="{F0AB7182-AF6F-4490-95C6-AAE0111E8AE7}" srcOrd="0" destOrd="0" presId="urn:microsoft.com/office/officeart/2009/3/layout/HorizontalOrganizationChart"/>
    <dgm:cxn modelId="{7721DBB7-2124-432D-9CBB-897D5D0DDCDF}" type="presParOf" srcId="{BF2EAB3B-13CC-4AB8-8C0E-F088685270C5}" destId="{52A443A4-9D82-42A1-BFBF-A486D1DA7E7C}" srcOrd="1" destOrd="0" presId="urn:microsoft.com/office/officeart/2009/3/layout/HorizontalOrganizationChart"/>
    <dgm:cxn modelId="{8A1EF4F2-C4B2-4F54-8EB7-348670AA096E}" type="presParOf" srcId="{52A443A4-9D82-42A1-BFBF-A486D1DA7E7C}" destId="{ADA8239B-C1A2-4822-8CAD-2C606B26D581}" srcOrd="0" destOrd="0" presId="urn:microsoft.com/office/officeart/2009/3/layout/HorizontalOrganizationChart"/>
    <dgm:cxn modelId="{BEC6E40D-6BFE-489A-B7CB-943B8BB232BC}" type="presParOf" srcId="{ADA8239B-C1A2-4822-8CAD-2C606B26D581}" destId="{3889E34A-3BF9-4DE4-A30F-6164550947C6}" srcOrd="0" destOrd="0" presId="urn:microsoft.com/office/officeart/2009/3/layout/HorizontalOrganizationChart"/>
    <dgm:cxn modelId="{BB138CAB-4E50-4553-A1AB-0511DC38655C}" type="presParOf" srcId="{ADA8239B-C1A2-4822-8CAD-2C606B26D581}" destId="{1D950A1B-E9A4-46B8-9A6F-B514830C8744}" srcOrd="1" destOrd="0" presId="urn:microsoft.com/office/officeart/2009/3/layout/HorizontalOrganizationChart"/>
    <dgm:cxn modelId="{ACAE68B9-5BC9-4EA0-8A8F-D0C764513141}" type="presParOf" srcId="{52A443A4-9D82-42A1-BFBF-A486D1DA7E7C}" destId="{AC9F697C-DAB5-4A52-A92F-122BCBA8AF00}" srcOrd="1" destOrd="0" presId="urn:microsoft.com/office/officeart/2009/3/layout/HorizontalOrganizationChart"/>
    <dgm:cxn modelId="{D189F6C7-3656-43CF-BC58-C96D4157EEA0}" type="presParOf" srcId="{AC9F697C-DAB5-4A52-A92F-122BCBA8AF00}" destId="{8B5AB9E4-12E1-4357-BBCC-C0E805DC6DF4}" srcOrd="0" destOrd="0" presId="urn:microsoft.com/office/officeart/2009/3/layout/HorizontalOrganizationChart"/>
    <dgm:cxn modelId="{8E29BF48-D5E1-45C9-B340-7BFE396C166E}" type="presParOf" srcId="{AC9F697C-DAB5-4A52-A92F-122BCBA8AF00}" destId="{560380C1-7D13-4498-9CFE-CECB909F06F6}" srcOrd="1" destOrd="0" presId="urn:microsoft.com/office/officeart/2009/3/layout/HorizontalOrganizationChart"/>
    <dgm:cxn modelId="{1DC04742-AFA0-4E1E-BC48-B700D3A7FB29}" type="presParOf" srcId="{560380C1-7D13-4498-9CFE-CECB909F06F6}" destId="{4F6C2A51-4F3A-4DD7-B879-79E9E61D387B}" srcOrd="0" destOrd="0" presId="urn:microsoft.com/office/officeart/2009/3/layout/HorizontalOrganizationChart"/>
    <dgm:cxn modelId="{11D1372E-4125-4364-8AE8-7334ECECE3F8}" type="presParOf" srcId="{4F6C2A51-4F3A-4DD7-B879-79E9E61D387B}" destId="{52484743-D62D-4516-8C0A-41783442462B}" srcOrd="0" destOrd="0" presId="urn:microsoft.com/office/officeart/2009/3/layout/HorizontalOrganizationChart"/>
    <dgm:cxn modelId="{FFAC224C-7F5A-43BE-B924-F4B4C4C3F8B0}" type="presParOf" srcId="{4F6C2A51-4F3A-4DD7-B879-79E9E61D387B}" destId="{ECD8022B-12A2-41D5-8A68-D6B7FCDD684A}" srcOrd="1" destOrd="0" presId="urn:microsoft.com/office/officeart/2009/3/layout/HorizontalOrganizationChart"/>
    <dgm:cxn modelId="{ED3E791A-2C02-499A-BAF3-BFC397BA7A29}" type="presParOf" srcId="{560380C1-7D13-4498-9CFE-CECB909F06F6}" destId="{9D4E5076-B8D4-4207-911C-310857346FB2}" srcOrd="1" destOrd="0" presId="urn:microsoft.com/office/officeart/2009/3/layout/HorizontalOrganizationChart"/>
    <dgm:cxn modelId="{9D97E0FB-4750-4CBE-B5A3-5606804C8265}" type="presParOf" srcId="{560380C1-7D13-4498-9CFE-CECB909F06F6}" destId="{C3C1839D-C6C3-4BC8-8D9C-C2065831C28C}" srcOrd="2" destOrd="0" presId="urn:microsoft.com/office/officeart/2009/3/layout/HorizontalOrganizationChart"/>
    <dgm:cxn modelId="{CC1186C7-01BB-45B5-8A23-8B88903E2689}" type="presParOf" srcId="{52A443A4-9D82-42A1-BFBF-A486D1DA7E7C}" destId="{F6142C16-58EA-4395-8DF8-2BA3CA57C735}" srcOrd="2" destOrd="0" presId="urn:microsoft.com/office/officeart/2009/3/layout/HorizontalOrganizationChart"/>
    <dgm:cxn modelId="{F64A04FC-D3DB-424E-A3FF-07159E2241C4}" type="presParOf" srcId="{2A5CBBC8-6061-41D4-A253-03E15B611B25}" destId="{81E2F347-CA45-4D21-B498-01F73F231A60}" srcOrd="2" destOrd="0" presId="urn:microsoft.com/office/officeart/2009/3/layout/HorizontalOrganizationChart"/>
    <dgm:cxn modelId="{B9CB41DF-F973-4CD2-9A37-8EF51AD48524}" type="presParOf" srcId="{FAB3DD3A-5689-464A-98CF-8741C803EA0B}" destId="{B72DBE47-EF8D-4EC7-A170-3FD71BCA9649}" srcOrd="2" destOrd="0" presId="urn:microsoft.com/office/officeart/2009/3/layout/HorizontalOrganization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AB9E4-12E1-4357-BBCC-C0E805DC6DF4}">
      <dsp:nvSpPr>
        <dsp:cNvPr id="0" name=""/>
        <dsp:cNvSpPr/>
      </dsp:nvSpPr>
      <dsp:spPr>
        <a:xfrm>
          <a:off x="4392689" y="2654232"/>
          <a:ext cx="91440" cy="91440"/>
        </a:xfrm>
        <a:custGeom>
          <a:avLst/>
          <a:gdLst/>
          <a:ahLst/>
          <a:cxnLst/>
          <a:rect l="0" t="0" r="0" b="0"/>
          <a:pathLst>
            <a:path>
              <a:moveTo>
                <a:pt x="45720" y="45720"/>
              </a:moveTo>
              <a:lnTo>
                <a:pt x="6550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B7182-AF6F-4490-95C6-AAE0111E8AE7}">
      <dsp:nvSpPr>
        <dsp:cNvPr id="0" name=""/>
        <dsp:cNvSpPr/>
      </dsp:nvSpPr>
      <dsp:spPr>
        <a:xfrm>
          <a:off x="2616428" y="2654232"/>
          <a:ext cx="527781" cy="91440"/>
        </a:xfrm>
        <a:custGeom>
          <a:avLst/>
          <a:gdLst/>
          <a:ahLst/>
          <a:cxnLst/>
          <a:rect l="0" t="0" r="0" b="0"/>
          <a:pathLst>
            <a:path>
              <a:moveTo>
                <a:pt x="0" y="46584"/>
              </a:moveTo>
              <a:lnTo>
                <a:pt x="436363" y="46584"/>
              </a:lnTo>
              <a:lnTo>
                <a:pt x="436363" y="45720"/>
              </a:lnTo>
              <a:lnTo>
                <a:pt x="527781"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AB86965-F936-4C18-A207-074B10BD2621}">
      <dsp:nvSpPr>
        <dsp:cNvPr id="0" name=""/>
        <dsp:cNvSpPr/>
      </dsp:nvSpPr>
      <dsp:spPr>
        <a:xfrm>
          <a:off x="1636830" y="2655097"/>
          <a:ext cx="91440" cy="91440"/>
        </a:xfrm>
        <a:custGeom>
          <a:avLst/>
          <a:gdLst/>
          <a:ahLst/>
          <a:cxnLst/>
          <a:rect l="0" t="0" r="0" b="0"/>
          <a:pathLst>
            <a:path>
              <a:moveTo>
                <a:pt x="45720" y="45720"/>
              </a:moveTo>
              <a:lnTo>
                <a:pt x="6542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F631F-4824-4A15-BAB5-49F708433718}">
      <dsp:nvSpPr>
        <dsp:cNvPr id="0" name=""/>
        <dsp:cNvSpPr/>
      </dsp:nvSpPr>
      <dsp:spPr>
        <a:xfrm>
          <a:off x="4396136" y="2221352"/>
          <a:ext cx="91440" cy="91440"/>
        </a:xfrm>
        <a:custGeom>
          <a:avLst/>
          <a:gdLst/>
          <a:ahLst/>
          <a:cxnLst/>
          <a:rect l="0" t="0" r="0" b="0"/>
          <a:pathLst>
            <a:path>
              <a:moveTo>
                <a:pt x="45720" y="45720"/>
              </a:moveTo>
              <a:lnTo>
                <a:pt x="6103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9D91D-A547-40C2-913C-B28E2F22C4C5}">
      <dsp:nvSpPr>
        <dsp:cNvPr id="0" name=""/>
        <dsp:cNvSpPr/>
      </dsp:nvSpPr>
      <dsp:spPr>
        <a:xfrm>
          <a:off x="2616428" y="2220190"/>
          <a:ext cx="531228" cy="91440"/>
        </a:xfrm>
        <a:custGeom>
          <a:avLst/>
          <a:gdLst/>
          <a:ahLst/>
          <a:cxnLst/>
          <a:rect l="0" t="0" r="0" b="0"/>
          <a:pathLst>
            <a:path>
              <a:moveTo>
                <a:pt x="0" y="45720"/>
              </a:moveTo>
              <a:lnTo>
                <a:pt x="439810" y="45720"/>
              </a:lnTo>
              <a:lnTo>
                <a:pt x="439810" y="46882"/>
              </a:lnTo>
              <a:lnTo>
                <a:pt x="531228" y="46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D0014-812E-469C-BC2F-95A7C7CB14D9}">
      <dsp:nvSpPr>
        <dsp:cNvPr id="0" name=""/>
        <dsp:cNvSpPr/>
      </dsp:nvSpPr>
      <dsp:spPr>
        <a:xfrm>
          <a:off x="1637854" y="222019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6C71A-632F-46B1-9B03-D7021306B022}">
      <dsp:nvSpPr>
        <dsp:cNvPr id="0" name=""/>
        <dsp:cNvSpPr/>
      </dsp:nvSpPr>
      <dsp:spPr>
        <a:xfrm>
          <a:off x="4401465" y="1643738"/>
          <a:ext cx="91440" cy="91440"/>
        </a:xfrm>
        <a:custGeom>
          <a:avLst/>
          <a:gdLst/>
          <a:ahLst/>
          <a:cxnLst/>
          <a:rect l="0" t="0" r="0" b="0"/>
          <a:pathLst>
            <a:path>
              <a:moveTo>
                <a:pt x="45720" y="45720"/>
              </a:moveTo>
              <a:lnTo>
                <a:pt x="45720" y="46149"/>
              </a:lnTo>
              <a:lnTo>
                <a:pt x="64058" y="46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9E17D-9FE6-48E7-B424-308DBFA4CC59}">
      <dsp:nvSpPr>
        <dsp:cNvPr id="0" name=""/>
        <dsp:cNvSpPr/>
      </dsp:nvSpPr>
      <dsp:spPr>
        <a:xfrm>
          <a:off x="2616428" y="1480540"/>
          <a:ext cx="536557" cy="208918"/>
        </a:xfrm>
        <a:custGeom>
          <a:avLst/>
          <a:gdLst/>
          <a:ahLst/>
          <a:cxnLst/>
          <a:rect l="0" t="0" r="0" b="0"/>
          <a:pathLst>
            <a:path>
              <a:moveTo>
                <a:pt x="0" y="0"/>
              </a:moveTo>
              <a:lnTo>
                <a:pt x="445140" y="0"/>
              </a:lnTo>
              <a:lnTo>
                <a:pt x="445140" y="208918"/>
              </a:lnTo>
              <a:lnTo>
                <a:pt x="536557" y="208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F3102-BA35-4241-985A-2A775AEC4F29}">
      <dsp:nvSpPr>
        <dsp:cNvPr id="0" name=""/>
        <dsp:cNvSpPr/>
      </dsp:nvSpPr>
      <dsp:spPr>
        <a:xfrm>
          <a:off x="4401465" y="1153324"/>
          <a:ext cx="91440" cy="91440"/>
        </a:xfrm>
        <a:custGeom>
          <a:avLst/>
          <a:gdLst/>
          <a:ahLst/>
          <a:cxnLst/>
          <a:rect l="0" t="0" r="0" b="0"/>
          <a:pathLst>
            <a:path>
              <a:moveTo>
                <a:pt x="45720" y="45720"/>
              </a:moveTo>
              <a:lnTo>
                <a:pt x="6447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B44EF-AE1F-4C93-951D-E04DDC437D63}">
      <dsp:nvSpPr>
        <dsp:cNvPr id="0" name=""/>
        <dsp:cNvSpPr/>
      </dsp:nvSpPr>
      <dsp:spPr>
        <a:xfrm>
          <a:off x="2616428" y="1199044"/>
          <a:ext cx="536557" cy="281495"/>
        </a:xfrm>
        <a:custGeom>
          <a:avLst/>
          <a:gdLst/>
          <a:ahLst/>
          <a:cxnLst/>
          <a:rect l="0" t="0" r="0" b="0"/>
          <a:pathLst>
            <a:path>
              <a:moveTo>
                <a:pt x="0" y="281495"/>
              </a:moveTo>
              <a:lnTo>
                <a:pt x="445140" y="281495"/>
              </a:lnTo>
              <a:lnTo>
                <a:pt x="445140" y="0"/>
              </a:lnTo>
              <a:lnTo>
                <a:pt x="53655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92B030-C0A9-4FD5-A568-B8674E18C267}">
      <dsp:nvSpPr>
        <dsp:cNvPr id="0" name=""/>
        <dsp:cNvSpPr/>
      </dsp:nvSpPr>
      <dsp:spPr>
        <a:xfrm>
          <a:off x="1637854" y="143482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1D79C-289D-4E67-9286-CFB84388CE54}">
      <dsp:nvSpPr>
        <dsp:cNvPr id="0" name=""/>
        <dsp:cNvSpPr/>
      </dsp:nvSpPr>
      <dsp:spPr>
        <a:xfrm>
          <a:off x="4401465" y="653455"/>
          <a:ext cx="91440" cy="91440"/>
        </a:xfrm>
        <a:custGeom>
          <a:avLst/>
          <a:gdLst/>
          <a:ahLst/>
          <a:cxnLst/>
          <a:rect l="0" t="0" r="0" b="0"/>
          <a:pathLst>
            <a:path>
              <a:moveTo>
                <a:pt x="45720" y="45720"/>
              </a:moveTo>
              <a:lnTo>
                <a:pt x="6405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838EF-DCD0-4D5B-AA5E-01A4FFDD7957}">
      <dsp:nvSpPr>
        <dsp:cNvPr id="0" name=""/>
        <dsp:cNvSpPr/>
      </dsp:nvSpPr>
      <dsp:spPr>
        <a:xfrm>
          <a:off x="2621775" y="651919"/>
          <a:ext cx="531209" cy="91440"/>
        </a:xfrm>
        <a:custGeom>
          <a:avLst/>
          <a:gdLst/>
          <a:ahLst/>
          <a:cxnLst/>
          <a:rect l="0" t="0" r="0" b="0"/>
          <a:pathLst>
            <a:path>
              <a:moveTo>
                <a:pt x="0" y="45720"/>
              </a:moveTo>
              <a:lnTo>
                <a:pt x="439792" y="45720"/>
              </a:lnTo>
              <a:lnTo>
                <a:pt x="439792" y="47256"/>
              </a:lnTo>
              <a:lnTo>
                <a:pt x="531209" y="47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18A53-D0FA-48DC-995C-B5D799744848}">
      <dsp:nvSpPr>
        <dsp:cNvPr id="0" name=""/>
        <dsp:cNvSpPr/>
      </dsp:nvSpPr>
      <dsp:spPr>
        <a:xfrm>
          <a:off x="1637854" y="651919"/>
          <a:ext cx="91440" cy="91440"/>
        </a:xfrm>
        <a:custGeom>
          <a:avLst/>
          <a:gdLst/>
          <a:ahLst/>
          <a:cxnLst/>
          <a:rect l="0" t="0" r="0" b="0"/>
          <a:pathLst>
            <a:path>
              <a:moveTo>
                <a:pt x="45720" y="45720"/>
              </a:moveTo>
              <a:lnTo>
                <a:pt x="6974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C5485-C60B-48D7-AFE7-2E6FEE249D5D}">
      <dsp:nvSpPr>
        <dsp:cNvPr id="0" name=""/>
        <dsp:cNvSpPr/>
      </dsp:nvSpPr>
      <dsp:spPr>
        <a:xfrm>
          <a:off x="4403093" y="173058"/>
          <a:ext cx="91440" cy="91440"/>
        </a:xfrm>
        <a:custGeom>
          <a:avLst/>
          <a:gdLst/>
          <a:ahLst/>
          <a:cxnLst/>
          <a:rect l="0" t="0" r="0" b="0"/>
          <a:pathLst>
            <a:path>
              <a:moveTo>
                <a:pt x="46058" y="52935"/>
              </a:moveTo>
              <a:lnTo>
                <a:pt x="45720"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4783E6B-DBAE-4038-A69E-3A1B716D9BBB}">
      <dsp:nvSpPr>
        <dsp:cNvPr id="0" name=""/>
        <dsp:cNvSpPr/>
      </dsp:nvSpPr>
      <dsp:spPr>
        <a:xfrm>
          <a:off x="2618393" y="173058"/>
          <a:ext cx="536557" cy="91440"/>
        </a:xfrm>
        <a:custGeom>
          <a:avLst/>
          <a:gdLst/>
          <a:ahLst/>
          <a:cxnLst/>
          <a:rect l="0" t="0" r="0" b="0"/>
          <a:pathLst>
            <a:path>
              <a:moveTo>
                <a:pt x="0" y="45720"/>
              </a:moveTo>
              <a:lnTo>
                <a:pt x="445140" y="45720"/>
              </a:lnTo>
              <a:lnTo>
                <a:pt x="445140" y="52935"/>
              </a:lnTo>
              <a:lnTo>
                <a:pt x="536557" y="5293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FBEA3C8-F879-4594-9F48-E5A3C8CA4E9D}">
      <dsp:nvSpPr>
        <dsp:cNvPr id="0" name=""/>
        <dsp:cNvSpPr/>
      </dsp:nvSpPr>
      <dsp:spPr>
        <a:xfrm>
          <a:off x="1637854" y="173058"/>
          <a:ext cx="91440" cy="91440"/>
        </a:xfrm>
        <a:custGeom>
          <a:avLst/>
          <a:gdLst/>
          <a:ahLst/>
          <a:cxnLst/>
          <a:rect l="0" t="0" r="0" b="0"/>
          <a:pathLst>
            <a:path>
              <a:moveTo>
                <a:pt x="45720" y="45720"/>
              </a:moveTo>
              <a:lnTo>
                <a:pt x="66362"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0537414-0A5E-4FD6-B65E-9004639A9F83}">
      <dsp:nvSpPr>
        <dsp:cNvPr id="0" name=""/>
        <dsp:cNvSpPr/>
      </dsp:nvSpPr>
      <dsp:spPr>
        <a:xfrm>
          <a:off x="389374" y="27572"/>
          <a:ext cx="1294200" cy="382412"/>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Ponuka na:</a:t>
          </a:r>
        </a:p>
      </dsp:txBody>
      <dsp:txXfrm>
        <a:off x="389374" y="27572"/>
        <a:ext cx="1294200" cy="382412"/>
      </dsp:txXfrm>
    </dsp:sp>
    <dsp:sp modelId="{07AF164A-3064-4C5F-B977-3DAC0A0E23FA}">
      <dsp:nvSpPr>
        <dsp:cNvPr id="0" name=""/>
        <dsp:cNvSpPr/>
      </dsp:nvSpPr>
      <dsp:spPr>
        <a:xfrm>
          <a:off x="1704216" y="2855"/>
          <a:ext cx="914176" cy="431845"/>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ktorým bola vyhotovená ponuka</a:t>
          </a:r>
        </a:p>
      </dsp:txBody>
      <dsp:txXfrm>
        <a:off x="1704216" y="2855"/>
        <a:ext cx="914176" cy="431845"/>
      </dsp:txXfrm>
    </dsp:sp>
    <dsp:sp modelId="{A4B42063-0BDD-4288-9076-0EF3DCAA20B3}">
      <dsp:nvSpPr>
        <dsp:cNvPr id="0" name=""/>
        <dsp:cNvSpPr/>
      </dsp:nvSpPr>
      <dsp:spPr>
        <a:xfrm>
          <a:off x="3154951" y="35193"/>
          <a:ext cx="1294200" cy="3816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Zmluva na:</a:t>
          </a:r>
        </a:p>
      </dsp:txBody>
      <dsp:txXfrm>
        <a:off x="3154951" y="35193"/>
        <a:ext cx="1294200" cy="381601"/>
      </dsp:txXfrm>
    </dsp:sp>
    <dsp:sp modelId="{F76DB299-1FD3-49AC-83BF-FBCA52C6EB60}">
      <dsp:nvSpPr>
        <dsp:cNvPr id="0" name=""/>
        <dsp:cNvSpPr/>
      </dsp:nvSpPr>
      <dsp:spPr>
        <a:xfrm>
          <a:off x="4448813" y="79366"/>
          <a:ext cx="914176" cy="278823"/>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ktorí uzavreli zmluvu</a:t>
          </a:r>
        </a:p>
      </dsp:txBody>
      <dsp:txXfrm>
        <a:off x="4448813" y="79366"/>
        <a:ext cx="914176" cy="278823"/>
      </dsp:txXfrm>
    </dsp:sp>
    <dsp:sp modelId="{B601ACC5-B65A-48EC-8FED-3D8A0BA55DAC}">
      <dsp:nvSpPr>
        <dsp:cNvPr id="0" name=""/>
        <dsp:cNvSpPr/>
      </dsp:nvSpPr>
      <dsp:spPr>
        <a:xfrm>
          <a:off x="389374" y="453174"/>
          <a:ext cx="1294200" cy="488928"/>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bez možnosti programového výberu</a:t>
          </a:r>
        </a:p>
      </dsp:txBody>
      <dsp:txXfrm>
        <a:off x="389374" y="453174"/>
        <a:ext cx="1294200" cy="488928"/>
      </dsp:txXfrm>
    </dsp:sp>
    <dsp:sp modelId="{A146F741-3F0E-48C0-9185-50F27607D0BD}">
      <dsp:nvSpPr>
        <dsp:cNvPr id="0" name=""/>
        <dsp:cNvSpPr/>
      </dsp:nvSpPr>
      <dsp:spPr>
        <a:xfrm>
          <a:off x="1707599" y="452159"/>
          <a:ext cx="914176" cy="49095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755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(59 %)</a:t>
          </a:r>
        </a:p>
      </dsp:txBody>
      <dsp:txXfrm>
        <a:off x="1707599" y="452159"/>
        <a:ext cx="914176" cy="490958"/>
      </dsp:txXfrm>
    </dsp:sp>
    <dsp:sp modelId="{30F454AD-DACE-4EFB-A1A0-C76A14C1B3B7}">
      <dsp:nvSpPr>
        <dsp:cNvPr id="0" name=""/>
        <dsp:cNvSpPr/>
      </dsp:nvSpPr>
      <dsp:spPr>
        <a:xfrm>
          <a:off x="3152985" y="454363"/>
          <a:ext cx="1294200" cy="4896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454363"/>
        <a:ext cx="1294200" cy="489623"/>
      </dsp:txXfrm>
    </dsp:sp>
    <dsp:sp modelId="{4C750A7C-2EDE-4B66-BC80-A92CA744023D}">
      <dsp:nvSpPr>
        <dsp:cNvPr id="0" name=""/>
        <dsp:cNvSpPr/>
      </dsp:nvSpPr>
      <dsp:spPr>
        <a:xfrm>
          <a:off x="4465524" y="454363"/>
          <a:ext cx="914176" cy="4896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175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(53 %)</a:t>
          </a:r>
        </a:p>
      </dsp:txBody>
      <dsp:txXfrm>
        <a:off x="4465524" y="454363"/>
        <a:ext cx="914176" cy="489623"/>
      </dsp:txXfrm>
    </dsp:sp>
    <dsp:sp modelId="{8B2F072F-15FE-45FB-AEFD-9BAED22D73F6}">
      <dsp:nvSpPr>
        <dsp:cNvPr id="0" name=""/>
        <dsp:cNvSpPr/>
      </dsp:nvSpPr>
      <dsp:spPr>
        <a:xfrm>
          <a:off x="389374" y="991590"/>
          <a:ext cx="1294200" cy="97789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s možnosťou programového výberu alebo dočasného dôchodku</a:t>
          </a:r>
        </a:p>
      </dsp:txBody>
      <dsp:txXfrm>
        <a:off x="389374" y="991590"/>
        <a:ext cx="1294200" cy="977899"/>
      </dsp:txXfrm>
    </dsp:sp>
    <dsp:sp modelId="{5675431B-1FEF-49AB-B780-7A464F475A9C}">
      <dsp:nvSpPr>
        <dsp:cNvPr id="0" name=""/>
        <dsp:cNvSpPr/>
      </dsp:nvSpPr>
      <dsp:spPr>
        <a:xfrm>
          <a:off x="1702251" y="991766"/>
          <a:ext cx="914176" cy="97754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122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(16 %)</a:t>
          </a:r>
        </a:p>
      </dsp:txBody>
      <dsp:txXfrm>
        <a:off x="1702251" y="991766"/>
        <a:ext cx="914176" cy="977548"/>
      </dsp:txXfrm>
    </dsp:sp>
    <dsp:sp modelId="{1FD36FA7-5D53-46E5-AC31-A99702D90309}">
      <dsp:nvSpPr>
        <dsp:cNvPr id="0" name=""/>
        <dsp:cNvSpPr/>
      </dsp:nvSpPr>
      <dsp:spPr>
        <a:xfrm>
          <a:off x="3152985" y="989665"/>
          <a:ext cx="1294200" cy="418757"/>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989665"/>
        <a:ext cx="1294200" cy="418757"/>
      </dsp:txXfrm>
    </dsp:sp>
    <dsp:sp modelId="{702D0B2A-510E-4D00-98E1-C727EDD64A07}">
      <dsp:nvSpPr>
        <dsp:cNvPr id="0" name=""/>
        <dsp:cNvSpPr/>
      </dsp:nvSpPr>
      <dsp:spPr>
        <a:xfrm>
          <a:off x="4465944" y="989980"/>
          <a:ext cx="914176" cy="418127"/>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10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(3 %)</a:t>
          </a:r>
        </a:p>
      </dsp:txBody>
      <dsp:txXfrm>
        <a:off x="4465944" y="989980"/>
        <a:ext cx="914176" cy="418127"/>
      </dsp:txXfrm>
    </dsp:sp>
    <dsp:sp modelId="{C925F6AE-50E7-4A05-9969-4062B7F5479D}">
      <dsp:nvSpPr>
        <dsp:cNvPr id="0" name=""/>
        <dsp:cNvSpPr/>
      </dsp:nvSpPr>
      <dsp:spPr>
        <a:xfrm>
          <a:off x="3152985" y="1434907"/>
          <a:ext cx="1294200" cy="5091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 programový výber / dočasný dôchodok</a:t>
          </a:r>
        </a:p>
      </dsp:txBody>
      <dsp:txXfrm>
        <a:off x="3152985" y="1434907"/>
        <a:ext cx="1294200" cy="509101"/>
      </dsp:txXfrm>
    </dsp:sp>
    <dsp:sp modelId="{4E9034E6-AA02-42F2-9F47-19DC7AC6410A}">
      <dsp:nvSpPr>
        <dsp:cNvPr id="0" name=""/>
        <dsp:cNvSpPr/>
      </dsp:nvSpPr>
      <dsp:spPr>
        <a:xfrm>
          <a:off x="4465524" y="1435720"/>
          <a:ext cx="914176" cy="508335"/>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57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(17 %)</a:t>
          </a:r>
        </a:p>
      </dsp:txBody>
      <dsp:txXfrm>
        <a:off x="4465524" y="1435720"/>
        <a:ext cx="914176" cy="508335"/>
      </dsp:txXfrm>
    </dsp:sp>
    <dsp:sp modelId="{B7FE354D-8419-4A41-9801-D517A8121D74}">
      <dsp:nvSpPr>
        <dsp:cNvPr id="0" name=""/>
        <dsp:cNvSpPr/>
      </dsp:nvSpPr>
      <dsp:spPr>
        <a:xfrm>
          <a:off x="389374" y="2021645"/>
          <a:ext cx="1294200" cy="488530"/>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89374" y="2021645"/>
        <a:ext cx="1294200" cy="488530"/>
      </dsp:txXfrm>
    </dsp:sp>
    <dsp:sp modelId="{12DBF65B-CD68-48B9-91E6-137837EEE520}">
      <dsp:nvSpPr>
        <dsp:cNvPr id="0" name=""/>
        <dsp:cNvSpPr/>
      </dsp:nvSpPr>
      <dsp:spPr>
        <a:xfrm>
          <a:off x="1702251" y="2022003"/>
          <a:ext cx="914176" cy="48781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188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(25 %)</a:t>
          </a:r>
        </a:p>
      </dsp:txBody>
      <dsp:txXfrm>
        <a:off x="1702251" y="2022003"/>
        <a:ext cx="914176" cy="487813"/>
      </dsp:txXfrm>
    </dsp:sp>
    <dsp:sp modelId="{A2870D18-8A7C-425E-A555-24316316F177}">
      <dsp:nvSpPr>
        <dsp:cNvPr id="0" name=""/>
        <dsp:cNvSpPr/>
      </dsp:nvSpPr>
      <dsp:spPr>
        <a:xfrm>
          <a:off x="3147656" y="2023166"/>
          <a:ext cx="1294200" cy="48781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147656" y="2023166"/>
        <a:ext cx="1294200" cy="487813"/>
      </dsp:txXfrm>
    </dsp:sp>
    <dsp:sp modelId="{E3674BFD-07ED-4B69-B217-4FFCAD036AD9}">
      <dsp:nvSpPr>
        <dsp:cNvPr id="0" name=""/>
        <dsp:cNvSpPr/>
      </dsp:nvSpPr>
      <dsp:spPr>
        <a:xfrm>
          <a:off x="4457168" y="2023166"/>
          <a:ext cx="914176" cy="48781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86 sporiteľov </a:t>
          </a:r>
        </a:p>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(26 %)</a:t>
          </a:r>
        </a:p>
      </dsp:txBody>
      <dsp:txXfrm>
        <a:off x="4457168" y="2023166"/>
        <a:ext cx="914176" cy="487813"/>
      </dsp:txXfrm>
    </dsp:sp>
    <dsp:sp modelId="{F98130C4-0270-48A8-9FD9-96998AE56C04}">
      <dsp:nvSpPr>
        <dsp:cNvPr id="0" name=""/>
        <dsp:cNvSpPr/>
      </dsp:nvSpPr>
      <dsp:spPr>
        <a:xfrm>
          <a:off x="388350" y="2561405"/>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88350" y="2561405"/>
        <a:ext cx="1294200" cy="278823"/>
      </dsp:txXfrm>
    </dsp:sp>
    <dsp:sp modelId="{CA5E2818-837A-4ACB-91D1-A1857297C98E}">
      <dsp:nvSpPr>
        <dsp:cNvPr id="0" name=""/>
        <dsp:cNvSpPr/>
      </dsp:nvSpPr>
      <dsp:spPr>
        <a:xfrm>
          <a:off x="1702251" y="2561405"/>
          <a:ext cx="914176" cy="27882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755 sporiteľov</a:t>
          </a:r>
        </a:p>
      </dsp:txBody>
      <dsp:txXfrm>
        <a:off x="1702251" y="2561405"/>
        <a:ext cx="914176" cy="278823"/>
      </dsp:txXfrm>
    </dsp:sp>
    <dsp:sp modelId="{3889E34A-3BF9-4DE4-A30F-6164550947C6}">
      <dsp:nvSpPr>
        <dsp:cNvPr id="0" name=""/>
        <dsp:cNvSpPr/>
      </dsp:nvSpPr>
      <dsp:spPr>
        <a:xfrm>
          <a:off x="3144209" y="2560541"/>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144209" y="2560541"/>
        <a:ext cx="1294200" cy="278823"/>
      </dsp:txXfrm>
    </dsp:sp>
    <dsp:sp modelId="{52484743-D62D-4516-8C0A-41783442462B}">
      <dsp:nvSpPr>
        <dsp:cNvPr id="0" name=""/>
        <dsp:cNvSpPr/>
      </dsp:nvSpPr>
      <dsp:spPr>
        <a:xfrm>
          <a:off x="4458192" y="2560541"/>
          <a:ext cx="914176" cy="2788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328 sporiteľov</a:t>
          </a:r>
        </a:p>
      </dsp:txBody>
      <dsp:txXfrm>
        <a:off x="4458192" y="2560541"/>
        <a:ext cx="914176" cy="27882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0.12785</cdr:x>
      <cdr:y>0.49716</cdr:y>
    </cdr:from>
    <cdr:to>
      <cdr:x>0.96855</cdr:x>
      <cdr:y>0.49716</cdr:y>
    </cdr:to>
    <cdr:sp macro="" textlink="">
      <cdr:nvSpPr>
        <cdr:cNvPr id="3073" name="Line 1"/>
        <cdr:cNvSpPr>
          <a:spLocks xmlns:a="http://schemas.openxmlformats.org/drawingml/2006/main" noChangeShapeType="1"/>
        </cdr:cNvSpPr>
      </cdr:nvSpPr>
      <cdr:spPr bwMode="auto">
        <a:xfrm xmlns:a="http://schemas.openxmlformats.org/drawingml/2006/main">
          <a:off x="737781" y="1445248"/>
          <a:ext cx="4851579" cy="0"/>
        </a:xfrm>
        <a:prstGeom xmlns:a="http://schemas.openxmlformats.org/drawingml/2006/main" prst="line">
          <a:avLst/>
        </a:prstGeom>
        <a:noFill xmlns:a="http://schemas.openxmlformats.org/drawingml/2006/main"/>
        <a:ln xmlns:a="http://schemas.openxmlformats.org/drawingml/2006/main" w="1587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sk-SK"/>
        </a:p>
      </cdr:txBody>
    </cdr:sp>
  </cdr:relSizeAnchor>
</c:userShapes>
</file>

<file path=word/drawings/drawing2.xml><?xml version="1.0" encoding="utf-8"?>
<c:userShapes xmlns:c="http://schemas.openxmlformats.org/drawingml/2006/chart">
  <cdr:relSizeAnchor xmlns:cdr="http://schemas.openxmlformats.org/drawingml/2006/chartDrawing">
    <cdr:from>
      <cdr:x>0.142</cdr:x>
      <cdr:y>0.13127</cdr:y>
    </cdr:from>
    <cdr:to>
      <cdr:x>0.917</cdr:x>
      <cdr:y>0.13127</cdr:y>
    </cdr:to>
    <cdr:cxnSp macro="">
      <cdr:nvCxnSpPr>
        <cdr:cNvPr id="3" name="Rovná spojnica 2"/>
        <cdr:cNvCxnSpPr/>
      </cdr:nvCxnSpPr>
      <cdr:spPr>
        <a:xfrm xmlns:a="http://schemas.openxmlformats.org/drawingml/2006/main">
          <a:off x="971162" y="436365"/>
          <a:ext cx="5300186" cy="0"/>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0.91617</cdr:x>
      <cdr:y>0.08209</cdr:y>
    </cdr:from>
    <cdr:to>
      <cdr:x>1</cdr:x>
      <cdr:y>0.15582</cdr:y>
    </cdr:to>
    <cdr:sp macro="" textlink="">
      <cdr:nvSpPr>
        <cdr:cNvPr id="4" name="Blok textu 1"/>
        <cdr:cNvSpPr txBox="1"/>
      </cdr:nvSpPr>
      <cdr:spPr>
        <a:xfrm xmlns:a="http://schemas.openxmlformats.org/drawingml/2006/main">
          <a:off x="6125045" y="292419"/>
          <a:ext cx="560427" cy="262652"/>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b="1" i="0" baseline="0">
              <a:solidFill>
                <a:srgbClr val="FF0000"/>
              </a:solidFill>
              <a:latin typeface="Times New Roman" panose="02020603050405020304" pitchFamily="18" charset="0"/>
              <a:cs typeface="Times New Roman" panose="02020603050405020304" pitchFamily="18" charset="0"/>
            </a:rPr>
            <a:t>87,98</a:t>
          </a:r>
        </a:p>
      </cdr:txBody>
    </cdr:sp>
  </cdr:relSizeAnchor>
</c:userShapes>
</file>

<file path=word/theme/theme1.xml><?xml version="1.0" encoding="utf-8"?>
<a:theme xmlns:a="http://schemas.openxmlformats.org/drawingml/2006/main" name="Motív Office">
  <a:themeElements>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4EB5C-9DED-4DBB-BC83-A9432DD84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Správa o SSO za rok 2014_20_5_2015M</Template>
  <TotalTime>0</TotalTime>
  <Pages>91</Pages>
  <Words>77587</Words>
  <Characters>442248</Characters>
  <Application>Microsoft Office Word</Application>
  <DocSecurity>0</DocSecurity>
  <Lines>3685</Lines>
  <Paragraphs>1037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518798</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mb</dc:creator>
  <cp:lastModifiedBy>Filova Maria</cp:lastModifiedBy>
  <cp:revision>2</cp:revision>
  <cp:lastPrinted>2016-06-10T10:37:00Z</cp:lastPrinted>
  <dcterms:created xsi:type="dcterms:W3CDTF">2016-06-13T10:48:00Z</dcterms:created>
  <dcterms:modified xsi:type="dcterms:W3CDTF">2016-06-13T10:48:00Z</dcterms:modified>
</cp:coreProperties>
</file>