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4" w:rsidRDefault="00164214" w:rsidP="00D859E5">
      <w:pPr>
        <w:framePr w:hSpace="180" w:wrap="auto" w:vAnchor="text" w:hAnchor="text" w:y="1"/>
        <w:rPr>
          <w:i/>
          <w:iCs/>
        </w:rPr>
      </w:pPr>
      <w:r w:rsidRPr="000655A4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7" o:title=""/>
          </v:shape>
        </w:pict>
      </w:r>
    </w:p>
    <w:p w:rsidR="00164214" w:rsidRPr="002A7EE7" w:rsidRDefault="00164214" w:rsidP="00D859E5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164214" w:rsidRPr="002A7EE7" w:rsidRDefault="00164214" w:rsidP="00D859E5">
      <w:pPr>
        <w:jc w:val="both"/>
      </w:pPr>
    </w:p>
    <w:p w:rsidR="00164214" w:rsidRDefault="00164214" w:rsidP="00D859E5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164214" w:rsidRDefault="00164214" w:rsidP="00D859E5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164214" w:rsidRPr="00BD1A27" w:rsidRDefault="00164214" w:rsidP="00D859E5"/>
    <w:p w:rsidR="00164214" w:rsidRPr="00E97AC0" w:rsidRDefault="00164214" w:rsidP="00D859E5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164214" w:rsidRPr="00E97AC0" w:rsidRDefault="00164214" w:rsidP="00D859E5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164214" w:rsidRPr="001C134B" w:rsidRDefault="00164214" w:rsidP="00D859E5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5.10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164214" w:rsidRPr="00A27543" w:rsidRDefault="00164214" w:rsidP="00D859E5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 bodu č.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2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164214" w:rsidRDefault="00164214" w:rsidP="00055D3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64214" w:rsidRPr="00CB3ED1" w:rsidRDefault="00164214" w:rsidP="00055D3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64214" w:rsidRPr="00CB3ED1" w:rsidRDefault="00164214" w:rsidP="00055D3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B3ED1">
        <w:rPr>
          <w:rFonts w:ascii="Arial Narrow" w:hAnsi="Arial Narrow" w:cs="Arial Narrow"/>
          <w:b/>
          <w:bCs/>
          <w:sz w:val="28"/>
          <w:szCs w:val="28"/>
        </w:rPr>
        <w:t>Sta</w:t>
      </w:r>
      <w:r>
        <w:rPr>
          <w:rFonts w:ascii="Arial Narrow" w:hAnsi="Arial Narrow" w:cs="Arial Narrow"/>
          <w:b/>
          <w:bCs/>
          <w:sz w:val="28"/>
          <w:szCs w:val="28"/>
        </w:rPr>
        <w:t>novisko k</w:t>
      </w:r>
    </w:p>
    <w:p w:rsidR="00164214" w:rsidRPr="00CB3ED1" w:rsidRDefault="00164214" w:rsidP="00CB3ED1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B3ED1">
        <w:rPr>
          <w:rFonts w:ascii="Arial Narrow" w:hAnsi="Arial Narrow" w:cs="Arial Narrow"/>
          <w:b/>
          <w:bCs/>
          <w:sz w:val="28"/>
          <w:szCs w:val="28"/>
        </w:rPr>
        <w:t>Návrh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Pr="00CB3ED1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štátneho </w:t>
      </w:r>
      <w:r w:rsidRPr="00CB3ED1">
        <w:rPr>
          <w:rFonts w:ascii="Arial Narrow" w:hAnsi="Arial Narrow" w:cs="Arial Narrow"/>
          <w:b/>
          <w:bCs/>
          <w:sz w:val="28"/>
          <w:szCs w:val="28"/>
        </w:rPr>
        <w:t xml:space="preserve">rozpočtu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a rozpočtu </w:t>
      </w:r>
      <w:r w:rsidRPr="00CB3ED1">
        <w:rPr>
          <w:rFonts w:ascii="Arial Narrow" w:hAnsi="Arial Narrow" w:cs="Arial Narrow"/>
          <w:b/>
          <w:bCs/>
          <w:sz w:val="28"/>
          <w:szCs w:val="28"/>
        </w:rPr>
        <w:t>verejnej správy na roky 201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CB3ED1">
        <w:rPr>
          <w:rFonts w:ascii="Arial Narrow" w:hAnsi="Arial Narrow" w:cs="Arial Narrow"/>
          <w:b/>
          <w:bCs/>
          <w:sz w:val="28"/>
          <w:szCs w:val="28"/>
        </w:rPr>
        <w:t xml:space="preserve"> až 201</w:t>
      </w:r>
      <w:r>
        <w:rPr>
          <w:rFonts w:ascii="Arial Narrow" w:hAnsi="Arial Narrow" w:cs="Arial Narrow"/>
          <w:b/>
          <w:bCs/>
          <w:sz w:val="28"/>
          <w:szCs w:val="28"/>
        </w:rPr>
        <w:t>8</w:t>
      </w:r>
    </w:p>
    <w:p w:rsidR="00164214" w:rsidRDefault="00164214" w:rsidP="007D55C2">
      <w:pPr>
        <w:rPr>
          <w:rFonts w:ascii="Garamond" w:hAnsi="Garamond" w:cs="Arial Narrow"/>
          <w:b/>
          <w:bCs/>
        </w:rPr>
      </w:pPr>
    </w:p>
    <w:p w:rsidR="00164214" w:rsidRPr="00CB3ED1" w:rsidRDefault="00164214" w:rsidP="007D55C2">
      <w:pPr>
        <w:rPr>
          <w:rFonts w:ascii="Arial Narrow" w:hAnsi="Arial Narrow" w:cs="Arial Narrow"/>
          <w:b/>
          <w:bCs/>
        </w:rPr>
      </w:pPr>
    </w:p>
    <w:p w:rsidR="00164214" w:rsidRPr="00CB3ED1" w:rsidRDefault="00164214" w:rsidP="007D55C2">
      <w:pPr>
        <w:rPr>
          <w:rFonts w:ascii="Arial Narrow" w:hAnsi="Arial Narrow" w:cs="Arial Narrow"/>
          <w:b/>
          <w:bCs/>
        </w:rPr>
      </w:pPr>
      <w:r w:rsidRPr="00CB3ED1">
        <w:rPr>
          <w:rFonts w:ascii="Arial Narrow" w:hAnsi="Arial Narrow" w:cs="Arial Narrow"/>
          <w:b/>
          <w:bCs/>
        </w:rPr>
        <w:t>Všeobecne k návrhu:</w:t>
      </w:r>
    </w:p>
    <w:p w:rsidR="00164214" w:rsidRDefault="00164214" w:rsidP="00DE79F1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b/>
          <w:bCs/>
          <w:lang w:eastAsia="cs-CZ"/>
        </w:rPr>
      </w:pPr>
    </w:p>
    <w:p w:rsidR="00164214" w:rsidRDefault="00164214" w:rsidP="00DE79F1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Návrh štátneho rozpočtu a rozpočtu verejnej správy na roky 2016-2018 je</w:t>
      </w:r>
      <w:r w:rsidRPr="00CB3ED1">
        <w:rPr>
          <w:rFonts w:ascii="Arial Narrow" w:hAnsi="Arial Narrow"/>
        </w:rPr>
        <w:t xml:space="preserve"> v súlade</w:t>
      </w:r>
      <w:r>
        <w:rPr>
          <w:rFonts w:ascii="Arial Narrow" w:hAnsi="Arial Narrow"/>
        </w:rPr>
        <w:t xml:space="preserve"> s P</w:t>
      </w:r>
      <w:r w:rsidRPr="00CB3ED1">
        <w:rPr>
          <w:rFonts w:ascii="Arial Narrow" w:hAnsi="Arial Narrow"/>
        </w:rPr>
        <w:t>rogramom stability</w:t>
      </w:r>
      <w:r>
        <w:rPr>
          <w:rFonts w:ascii="Arial Narrow" w:hAnsi="Arial Narrow"/>
        </w:rPr>
        <w:t xml:space="preserve"> Slovenskej republiky</w:t>
      </w:r>
      <w:r w:rsidRPr="00CB3ED1">
        <w:rPr>
          <w:rFonts w:ascii="Arial Narrow" w:hAnsi="Arial Narrow"/>
        </w:rPr>
        <w:t xml:space="preserve"> na roky 201</w:t>
      </w:r>
      <w:r>
        <w:rPr>
          <w:rFonts w:ascii="Arial Narrow" w:hAnsi="Arial Narrow"/>
        </w:rPr>
        <w:t xml:space="preserve">5 – </w:t>
      </w:r>
      <w:r w:rsidRPr="00CB3ED1">
        <w:rPr>
          <w:rFonts w:ascii="Arial Narrow" w:hAnsi="Arial Narrow"/>
        </w:rPr>
        <w:t>201</w:t>
      </w:r>
      <w:r>
        <w:rPr>
          <w:rFonts w:ascii="Arial Narrow" w:hAnsi="Arial Narrow"/>
        </w:rPr>
        <w:t xml:space="preserve">8, v ktorom sú  prezentované fiškálne ciele vo vzťahu k európskym fiškálnym pravidlám. Vládou SR bol schválený dňa 29. apríla 2015. Konsolidačným cieľom pre rok 2016 je dosiahnutie schodku verejných financií vo výške 1,93 % k HDP v metodike ESA 2010, čo oproti rozpočtu na rok 2015 znamená zlepšenie o cca 0,5 percentuálneho bodu. </w:t>
      </w:r>
      <w:r w:rsidRPr="00CB3ED1">
        <w:rPr>
          <w:rFonts w:ascii="Arial Narrow" w:hAnsi="Arial Narrow"/>
        </w:rPr>
        <w:t xml:space="preserve">ZMOS víta, že vláda SR </w:t>
      </w:r>
      <w:r>
        <w:rPr>
          <w:rFonts w:ascii="Arial Narrow" w:hAnsi="Arial Narrow"/>
        </w:rPr>
        <w:t>v predkladanom návrhu, napriek rizikovým vonkajším faktorom vývoja ekonomiky,</w:t>
      </w:r>
      <w:r w:rsidRPr="00CB3ED1">
        <w:rPr>
          <w:rFonts w:ascii="Arial Narrow" w:hAnsi="Arial Narrow"/>
        </w:rPr>
        <w:t xml:space="preserve"> pokrač</w:t>
      </w:r>
      <w:r>
        <w:rPr>
          <w:rFonts w:ascii="Arial Narrow" w:hAnsi="Arial Narrow"/>
        </w:rPr>
        <w:t>uje</w:t>
      </w:r>
      <w:r w:rsidRPr="00CB3ED1">
        <w:rPr>
          <w:rFonts w:ascii="Arial Narrow" w:hAnsi="Arial Narrow"/>
        </w:rPr>
        <w:t xml:space="preserve"> v konsolidácii verejných financií tak, aby Slovensko </w:t>
      </w:r>
      <w:r>
        <w:rPr>
          <w:rFonts w:ascii="Arial Narrow" w:hAnsi="Arial Narrow"/>
        </w:rPr>
        <w:t>dosiahlo stanovený</w:t>
      </w:r>
      <w:r w:rsidRPr="00CB3ED1">
        <w:rPr>
          <w:rFonts w:ascii="Arial Narrow" w:hAnsi="Arial Narrow"/>
        </w:rPr>
        <w:t xml:space="preserve"> rozpočtov</w:t>
      </w:r>
      <w:r>
        <w:rPr>
          <w:rFonts w:ascii="Arial Narrow" w:hAnsi="Arial Narrow"/>
        </w:rPr>
        <w:t>ý</w:t>
      </w:r>
      <w:r w:rsidRPr="00CB3ED1">
        <w:rPr>
          <w:rFonts w:ascii="Arial Narrow" w:hAnsi="Arial Narrow"/>
        </w:rPr>
        <w:t xml:space="preserve"> cieľ</w:t>
      </w:r>
      <w:r>
        <w:rPr>
          <w:rFonts w:ascii="Arial Narrow" w:hAnsi="Arial Narrow"/>
        </w:rPr>
        <w:t xml:space="preserve"> v roku 2017 na úrovni</w:t>
      </w:r>
      <w:r w:rsidRPr="00CB3ED1">
        <w:rPr>
          <w:rFonts w:ascii="Arial Narrow" w:hAnsi="Arial Narrow"/>
        </w:rPr>
        <w:t xml:space="preserve"> štrukturálnemu deficitu okolo 0,5 % HDP</w:t>
      </w:r>
      <w:r>
        <w:rPr>
          <w:rFonts w:ascii="Arial Narrow" w:hAnsi="Arial Narrow"/>
        </w:rPr>
        <w:t>. Mestá a obce, ako významná súčasť rozpočtov verejnej správy, budú podľa návrhu rozpočtu verejnej správy aj v rokoch 2016 - 2018 hospodáriť prebytkovo a tým prispievať ku konsolidácii verejných zdrojov a naplneniu fiškálnych cieľov v súlade s pravidlami EÚ.</w:t>
      </w:r>
    </w:p>
    <w:p w:rsidR="00164214" w:rsidRDefault="00164214" w:rsidP="00336ED7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BE3CCC">
        <w:rPr>
          <w:rFonts w:ascii="Arial Narrow" w:hAnsi="Arial Narrow"/>
          <w:color w:val="000000"/>
        </w:rPr>
        <w:t xml:space="preserve">Príjmy štátneho rozpočtu </w:t>
      </w:r>
      <w:r>
        <w:rPr>
          <w:rFonts w:ascii="Arial Narrow" w:hAnsi="Arial Narrow"/>
          <w:color w:val="000000"/>
        </w:rPr>
        <w:t xml:space="preserve">na rok 2016 </w:t>
      </w:r>
      <w:r w:rsidRPr="00BE3CCC">
        <w:rPr>
          <w:rFonts w:ascii="Arial Narrow" w:hAnsi="Arial Narrow"/>
          <w:color w:val="000000"/>
        </w:rPr>
        <w:t>sa rozpočtujú v sume 14 026 805 966 eur</w:t>
      </w:r>
      <w:r>
        <w:rPr>
          <w:rFonts w:ascii="Arial Narrow" w:hAnsi="Arial Narrow"/>
          <w:color w:val="000000"/>
        </w:rPr>
        <w:t>, v</w:t>
      </w:r>
      <w:r w:rsidRPr="00BE3CCC">
        <w:rPr>
          <w:rFonts w:ascii="Arial Narrow" w:hAnsi="Arial Narrow"/>
          <w:color w:val="000000"/>
        </w:rPr>
        <w:t xml:space="preserve">ýdavky </w:t>
      </w:r>
      <w:r>
        <w:rPr>
          <w:rFonts w:ascii="Arial Narrow" w:hAnsi="Arial Narrow"/>
          <w:color w:val="000000"/>
        </w:rPr>
        <w:t>s</w:t>
      </w:r>
      <w:r w:rsidRPr="00BE3CCC">
        <w:rPr>
          <w:rFonts w:ascii="Arial Narrow" w:hAnsi="Arial Narrow"/>
          <w:color w:val="000000"/>
        </w:rPr>
        <w:t>a určujú v sume 15 997 201 237 eur. Schodok štátneho rozpočtu sa určuje v sume 1 970 395 271 eur.</w:t>
      </w:r>
      <w:r>
        <w:rPr>
          <w:rFonts w:ascii="Arial Narrow" w:hAnsi="Arial Narrow"/>
          <w:color w:val="000000"/>
        </w:rPr>
        <w:t xml:space="preserve"> Tento schodok možno v priebehu </w:t>
      </w:r>
      <w:r w:rsidRPr="00BE3CCC">
        <w:rPr>
          <w:rFonts w:ascii="Arial Narrow" w:hAnsi="Arial Narrow"/>
          <w:color w:val="000000"/>
        </w:rPr>
        <w:t xml:space="preserve">rozpočtového roka v súlade so systémovými ustanoveniami zákona </w:t>
      </w:r>
      <w:r w:rsidRPr="00BE3CCC">
        <w:rPr>
          <w:rFonts w:ascii="Arial Narrow" w:hAnsi="Arial Narrow"/>
          <w:color w:val="000000"/>
        </w:rPr>
        <w:br/>
        <w:t>o rozpočtových pravidlách verejnej správy prekročiť alebo znížiť v závislosti od čerpania prostriedkov štátneho rozpočtu a prostriedkov Európskej únie v príslušnom rozpočtovom roku.</w:t>
      </w:r>
    </w:p>
    <w:p w:rsidR="00164214" w:rsidRPr="00336ED7" w:rsidRDefault="00164214" w:rsidP="00336ED7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CB3ED1">
        <w:rPr>
          <w:rFonts w:ascii="Arial Narrow" w:hAnsi="Arial Narrow"/>
        </w:rPr>
        <w:t xml:space="preserve">ávrh </w:t>
      </w:r>
      <w:r>
        <w:rPr>
          <w:rFonts w:ascii="Arial Narrow" w:hAnsi="Arial Narrow"/>
        </w:rPr>
        <w:t xml:space="preserve">štátneho </w:t>
      </w:r>
      <w:r w:rsidRPr="00CB3ED1">
        <w:rPr>
          <w:rFonts w:ascii="Arial Narrow" w:hAnsi="Arial Narrow"/>
        </w:rPr>
        <w:t xml:space="preserve">rozpočtu </w:t>
      </w:r>
      <w:r>
        <w:rPr>
          <w:rFonts w:ascii="Arial Narrow" w:hAnsi="Arial Narrow"/>
        </w:rPr>
        <w:t xml:space="preserve">a rozpočtu </w:t>
      </w:r>
      <w:r w:rsidRPr="00CB3ED1">
        <w:rPr>
          <w:rFonts w:ascii="Arial Narrow" w:hAnsi="Arial Narrow"/>
        </w:rPr>
        <w:t>verejnej správy na roky 201</w:t>
      </w:r>
      <w:r>
        <w:rPr>
          <w:rFonts w:ascii="Arial Narrow" w:hAnsi="Arial Narrow"/>
        </w:rPr>
        <w:t>6</w:t>
      </w:r>
      <w:r w:rsidRPr="00CB3ED1">
        <w:rPr>
          <w:rFonts w:ascii="Arial Narrow" w:hAnsi="Arial Narrow"/>
        </w:rPr>
        <w:t xml:space="preserve"> – 20</w:t>
      </w:r>
      <w:r>
        <w:rPr>
          <w:rFonts w:ascii="Arial Narrow" w:hAnsi="Arial Narrow"/>
        </w:rPr>
        <w:t>18</w:t>
      </w:r>
      <w:r w:rsidRPr="00CB3ED1">
        <w:rPr>
          <w:rFonts w:ascii="Arial Narrow" w:hAnsi="Arial Narrow"/>
        </w:rPr>
        <w:t xml:space="preserve"> je zostavený </w:t>
      </w:r>
      <w:r>
        <w:rPr>
          <w:rFonts w:ascii="Arial Narrow" w:hAnsi="Arial Narrow"/>
        </w:rPr>
        <w:t>v súlade s</w:t>
      </w:r>
      <w:r w:rsidRPr="00336ED7">
        <w:rPr>
          <w:rFonts w:ascii="Arial Narrow" w:hAnsi="Arial Narrow"/>
        </w:rPr>
        <w:t xml:space="preserve"> platn</w:t>
      </w:r>
      <w:r>
        <w:rPr>
          <w:rFonts w:ascii="Arial Narrow" w:hAnsi="Arial Narrow"/>
        </w:rPr>
        <w:t>ou</w:t>
      </w:r>
      <w:r w:rsidRPr="00336ED7">
        <w:rPr>
          <w:rFonts w:ascii="Arial Narrow" w:hAnsi="Arial Narrow"/>
        </w:rPr>
        <w:t xml:space="preserve"> legislatív</w:t>
      </w:r>
      <w:r>
        <w:rPr>
          <w:rFonts w:ascii="Arial Narrow" w:hAnsi="Arial Narrow"/>
        </w:rPr>
        <w:t xml:space="preserve">ou </w:t>
      </w:r>
      <w:r w:rsidRPr="00CB3ED1">
        <w:rPr>
          <w:rFonts w:ascii="Arial Narrow" w:hAnsi="Arial Narrow"/>
        </w:rPr>
        <w:t>na základe septembrovej prognózy makroekonomického vývoja a prognózy</w:t>
      </w:r>
      <w:r>
        <w:rPr>
          <w:rFonts w:ascii="Arial Narrow" w:hAnsi="Arial Narrow"/>
        </w:rPr>
        <w:t xml:space="preserve"> daňových a odvodových príjmov, so zapracovaním dopadov legislatívnych zmien, ktoré majú vplyv na zostavovanie rozpočtov verejnej správy. Z pohľadu miestnej a regionálnej samosprávy je to najmä zmena zákona o rozpočtovom určení výnosu dane z príjmov územnej samospráve, ktorou je celý výnos dane vlastným príjmom miest, obcí a VÚC v pomere 70:30, zmeny v zákone o dani z príjmov tým, že dochádza k oslobodeniu časti sociálneho fondu, </w:t>
      </w:r>
      <w:r w:rsidRPr="00336ED7">
        <w:rPr>
          <w:rFonts w:ascii="Arial Narrow" w:hAnsi="Arial Narrow"/>
        </w:rPr>
        <w:t xml:space="preserve">sponzoringu v zákone o športe a výnosov z predaja cenných papierov od dane </w:t>
      </w:r>
      <w:r>
        <w:rPr>
          <w:rFonts w:ascii="Arial Narrow" w:hAnsi="Arial Narrow"/>
        </w:rPr>
        <w:t xml:space="preserve">z príjmov fyzických osôb </w:t>
      </w:r>
      <w:r w:rsidRPr="00336ED7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 pod. </w:t>
      </w:r>
      <w:r w:rsidRPr="00336ED7">
        <w:rPr>
          <w:rFonts w:ascii="Arial Narrow" w:hAnsi="Arial Narrow"/>
        </w:rPr>
        <w:t xml:space="preserve">Pri príprave návrhu rozpočtu verejnej správy boli do úvahy vzaté aj opatrenia vyplývajúce z vládnych sociálnych balíčkov, čo má </w:t>
      </w:r>
      <w:r>
        <w:rPr>
          <w:rFonts w:ascii="Arial Narrow" w:hAnsi="Arial Narrow"/>
        </w:rPr>
        <w:t xml:space="preserve">alebo môže mať </w:t>
      </w:r>
      <w:r w:rsidRPr="00336ED7">
        <w:rPr>
          <w:rFonts w:ascii="Arial Narrow" w:hAnsi="Arial Narrow"/>
        </w:rPr>
        <w:t xml:space="preserve">vplyv </w:t>
      </w:r>
      <w:r>
        <w:rPr>
          <w:rFonts w:ascii="Arial Narrow" w:hAnsi="Arial Narrow"/>
        </w:rPr>
        <w:t>aj na rozpočty miest a obcí, napr.</w:t>
      </w:r>
      <w:r w:rsidRPr="00336ED7">
        <w:rPr>
          <w:rFonts w:ascii="Arial Narrow" w:hAnsi="Arial Narrow"/>
        </w:rPr>
        <w:t>:</w:t>
      </w:r>
    </w:p>
    <w:p w:rsidR="00164214" w:rsidRPr="00336ED7" w:rsidRDefault="00164214" w:rsidP="00336ED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336ED7">
        <w:rPr>
          <w:rFonts w:ascii="Arial Narrow" w:hAnsi="Arial Narrow"/>
          <w:lang w:eastAsia="cs-CZ"/>
        </w:rPr>
        <w:t>znížen</w:t>
      </w:r>
      <w:r>
        <w:rPr>
          <w:rFonts w:ascii="Arial Narrow" w:hAnsi="Arial Narrow"/>
          <w:lang w:eastAsia="cs-CZ"/>
        </w:rPr>
        <w:t>ím</w:t>
      </w:r>
      <w:r w:rsidRPr="00336ED7">
        <w:rPr>
          <w:rFonts w:ascii="Arial Narrow" w:hAnsi="Arial Narrow"/>
          <w:lang w:eastAsia="cs-CZ"/>
        </w:rPr>
        <w:t xml:space="preserve"> sadzb</w:t>
      </w:r>
      <w:r>
        <w:rPr>
          <w:rFonts w:ascii="Arial Narrow" w:hAnsi="Arial Narrow"/>
          <w:lang w:eastAsia="cs-CZ"/>
        </w:rPr>
        <w:t>y DPH na vybrané druhy potravín v zariadeniach stravovania v pôsobnosti miest a obcí,</w:t>
      </w:r>
    </w:p>
    <w:p w:rsidR="00164214" w:rsidRPr="00336ED7" w:rsidRDefault="00164214" w:rsidP="00336ED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realizáciou niektorých</w:t>
      </w:r>
      <w:r w:rsidRPr="00336ED7">
        <w:rPr>
          <w:rFonts w:ascii="Arial Narrow" w:hAnsi="Arial Narrow"/>
          <w:lang w:eastAsia="cs-CZ"/>
        </w:rPr>
        <w:t xml:space="preserve"> opatrení vyplývajúcich z návrhu zákona o podpo</w:t>
      </w:r>
      <w:r>
        <w:rPr>
          <w:rFonts w:ascii="Arial Narrow" w:hAnsi="Arial Narrow"/>
          <w:lang w:eastAsia="cs-CZ"/>
        </w:rPr>
        <w:t>re najmenej rozvinutých okresov,</w:t>
      </w:r>
    </w:p>
    <w:p w:rsidR="00164214" w:rsidRPr="009546AA" w:rsidRDefault="00164214" w:rsidP="009546AA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vyplácaním </w:t>
      </w:r>
      <w:r w:rsidRPr="00336ED7">
        <w:rPr>
          <w:rFonts w:ascii="Arial Narrow" w:hAnsi="Arial Narrow"/>
          <w:lang w:eastAsia="cs-CZ"/>
        </w:rPr>
        <w:t>príspevk</w:t>
      </w:r>
      <w:r>
        <w:rPr>
          <w:rFonts w:ascii="Arial Narrow" w:hAnsi="Arial Narrow"/>
          <w:lang w:eastAsia="cs-CZ"/>
        </w:rPr>
        <w:t>ov</w:t>
      </w:r>
      <w:r w:rsidRPr="00336ED7">
        <w:rPr>
          <w:rFonts w:ascii="Arial Narrow" w:hAnsi="Arial Narrow"/>
          <w:lang w:eastAsia="cs-CZ"/>
        </w:rPr>
        <w:t xml:space="preserve"> na školy v prí</w:t>
      </w:r>
      <w:r>
        <w:rPr>
          <w:rFonts w:ascii="Arial Narrow" w:hAnsi="Arial Narrow"/>
          <w:lang w:eastAsia="cs-CZ"/>
        </w:rPr>
        <w:t>rode a lyžiarske kurzy, ako aj</w:t>
      </w:r>
      <w:r w:rsidRPr="00336ED7">
        <w:rPr>
          <w:rFonts w:ascii="Arial Narrow" w:hAnsi="Arial Narrow"/>
          <w:lang w:eastAsia="cs-CZ"/>
        </w:rPr>
        <w:t xml:space="preserve"> na rozširovanie kapacít materských škôl.</w:t>
      </w:r>
    </w:p>
    <w:p w:rsidR="00164214" w:rsidRPr="009546AA" w:rsidRDefault="00164214" w:rsidP="00101C7F">
      <w:pPr>
        <w:jc w:val="both"/>
        <w:rPr>
          <w:rFonts w:ascii="Arial Narrow" w:hAnsi="Arial Narrow"/>
          <w:szCs w:val="22"/>
        </w:rPr>
      </w:pPr>
      <w:r w:rsidRPr="00336ED7">
        <w:rPr>
          <w:rFonts w:ascii="Arial Narrow" w:hAnsi="Arial Narrow"/>
          <w:szCs w:val="22"/>
        </w:rPr>
        <w:t xml:space="preserve">Okrem </w:t>
      </w:r>
      <w:r>
        <w:rPr>
          <w:rFonts w:ascii="Arial Narrow" w:hAnsi="Arial Narrow"/>
          <w:szCs w:val="22"/>
        </w:rPr>
        <w:t>týchto</w:t>
      </w:r>
      <w:r w:rsidRPr="00336ED7">
        <w:rPr>
          <w:rFonts w:ascii="Arial Narrow" w:hAnsi="Arial Narrow"/>
          <w:szCs w:val="22"/>
        </w:rPr>
        <w:t xml:space="preserve"> opatrení obsahuje návrh rozpočtu aj ďalšie tituly vyplývajúce zo zmeny legislatívy, resp. zámerov vlády. </w:t>
      </w:r>
      <w:r w:rsidRPr="009546AA">
        <w:rPr>
          <w:rFonts w:ascii="Arial Narrow" w:hAnsi="Arial Narrow"/>
          <w:szCs w:val="22"/>
        </w:rPr>
        <w:t xml:space="preserve">Ide najmä o krytie výdavkov na nový zákon o športe, osobitný príspevok pre Fond na podporu umenia. V zmysle záverov z kolektívneho vyjednávania </w:t>
      </w:r>
      <w:r>
        <w:rPr>
          <w:rFonts w:ascii="Arial Narrow" w:hAnsi="Arial Narrow"/>
          <w:szCs w:val="22"/>
        </w:rPr>
        <w:t>sa</w:t>
      </w:r>
      <w:r w:rsidRPr="009546AA">
        <w:rPr>
          <w:rFonts w:ascii="Arial Narrow" w:hAnsi="Arial Narrow"/>
          <w:szCs w:val="22"/>
        </w:rPr>
        <w:t xml:space="preserve"> v návrhu rozpočtu verejnej správy </w:t>
      </w:r>
      <w:r>
        <w:rPr>
          <w:rFonts w:ascii="Arial Narrow" w:hAnsi="Arial Narrow"/>
          <w:szCs w:val="22"/>
        </w:rPr>
        <w:t xml:space="preserve">počíta s </w:t>
      </w:r>
      <w:r w:rsidRPr="009546AA">
        <w:rPr>
          <w:rFonts w:ascii="Arial Narrow" w:hAnsi="Arial Narrow"/>
          <w:szCs w:val="22"/>
        </w:rPr>
        <w:t>valorizáci</w:t>
      </w:r>
      <w:r>
        <w:rPr>
          <w:rFonts w:ascii="Arial Narrow" w:hAnsi="Arial Narrow"/>
          <w:szCs w:val="22"/>
        </w:rPr>
        <w:t>ou</w:t>
      </w:r>
      <w:r w:rsidRPr="009546AA">
        <w:rPr>
          <w:rFonts w:ascii="Arial Narrow" w:hAnsi="Arial Narrow"/>
          <w:szCs w:val="22"/>
        </w:rPr>
        <w:t xml:space="preserve"> platov </w:t>
      </w:r>
      <w:r>
        <w:rPr>
          <w:rFonts w:ascii="Arial Narrow" w:hAnsi="Arial Narrow"/>
          <w:szCs w:val="22"/>
        </w:rPr>
        <w:t xml:space="preserve">zamestnancov verejnej správy </w:t>
      </w:r>
      <w:r w:rsidRPr="009546AA">
        <w:rPr>
          <w:rFonts w:ascii="Arial Narrow" w:hAnsi="Arial Narrow"/>
          <w:szCs w:val="22"/>
        </w:rPr>
        <w:t xml:space="preserve">vo výške 4 %. </w:t>
      </w:r>
    </w:p>
    <w:p w:rsidR="00164214" w:rsidRDefault="00164214" w:rsidP="00E86A27">
      <w:pPr>
        <w:keepNext/>
        <w:jc w:val="both"/>
        <w:rPr>
          <w:rFonts w:ascii="Times New Roman" w:hAnsi="Times New Roman" w:cs="Times New Roman"/>
          <w:noProof/>
          <w:lang w:eastAsia="sk-SK"/>
        </w:rPr>
      </w:pPr>
      <w:r w:rsidRPr="00E66EF9">
        <w:rPr>
          <w:rFonts w:ascii="Arial Narrow" w:hAnsi="Arial Narrow" w:cs="Times New Roman"/>
          <w:noProof/>
          <w:lang w:eastAsia="sk-SK"/>
        </w:rPr>
        <w:t xml:space="preserve">Predpokladá sa, že </w:t>
      </w:r>
      <w:r>
        <w:rPr>
          <w:rFonts w:ascii="Arial Narrow" w:hAnsi="Arial Narrow" w:cs="Times New Roman"/>
          <w:noProof/>
          <w:lang w:eastAsia="sk-SK"/>
        </w:rPr>
        <w:t xml:space="preserve">mestá a </w:t>
      </w:r>
      <w:r w:rsidRPr="00E66EF9">
        <w:rPr>
          <w:rFonts w:ascii="Arial Narrow" w:hAnsi="Arial Narrow" w:cs="Times New Roman"/>
          <w:noProof/>
          <w:lang w:eastAsia="sk-SK"/>
        </w:rPr>
        <w:t xml:space="preserve">obce v rozpočte roku 2016 dosiahnu celkové príjmy vo výške </w:t>
      </w:r>
      <w:r w:rsidRPr="00E66EF9">
        <w:rPr>
          <w:rFonts w:ascii="Arial Narrow" w:hAnsi="Arial Narrow" w:cs="Times New Roman"/>
          <w:noProof/>
          <w:lang w:eastAsia="sk-SK"/>
        </w:rPr>
        <w:br/>
        <w:t xml:space="preserve">4 059 704 tis. eur a celkové výdavky v sume 3 801 822 tis. eur. Po odpočítaní príjmových a výdavkových finančných operácií sa predpokladajú príjmy v sume 3 719 704 tis. eur a výdavky 3 609 822 tis. eur. </w:t>
      </w:r>
      <w:r>
        <w:rPr>
          <w:rFonts w:ascii="Arial Narrow" w:hAnsi="Arial Narrow" w:cs="Times New Roman"/>
          <w:noProof/>
          <w:lang w:eastAsia="sk-SK"/>
        </w:rPr>
        <w:t>P</w:t>
      </w:r>
      <w:r w:rsidRPr="00E66EF9">
        <w:rPr>
          <w:rFonts w:ascii="Arial Narrow" w:hAnsi="Arial Narrow" w:cs="Times New Roman"/>
          <w:noProof/>
          <w:lang w:eastAsia="sk-SK"/>
        </w:rPr>
        <w:t>rebytok v metodike ESA 2010 je vyčíslený vo výške 109 882 tis. eur</w:t>
      </w:r>
      <w:r w:rsidRPr="00E66EF9">
        <w:rPr>
          <w:rFonts w:ascii="Times New Roman" w:hAnsi="Times New Roman" w:cs="Times New Roman"/>
          <w:noProof/>
          <w:lang w:eastAsia="sk-SK"/>
        </w:rPr>
        <w:t xml:space="preserve">. </w:t>
      </w:r>
      <w:r w:rsidRPr="00E66EF9">
        <w:rPr>
          <w:rFonts w:ascii="Arial Narrow" w:hAnsi="Arial Narrow" w:cs="Times New Roman"/>
          <w:noProof/>
          <w:lang w:eastAsia="sk-SK"/>
        </w:rPr>
        <w:t>Celkové</w:t>
      </w:r>
      <w:r w:rsidRPr="00E66EF9">
        <w:rPr>
          <w:rFonts w:ascii="Arial Narrow" w:hAnsi="Arial Narrow" w:cs="Times New Roman"/>
          <w:noProof/>
          <w:color w:val="FF0000"/>
          <w:lang w:eastAsia="sk-SK"/>
        </w:rPr>
        <w:t xml:space="preserve"> </w:t>
      </w:r>
      <w:r w:rsidRPr="00E66EF9">
        <w:rPr>
          <w:rFonts w:ascii="Arial Narrow" w:hAnsi="Arial Narrow" w:cs="Times New Roman"/>
          <w:noProof/>
          <w:lang w:eastAsia="sk-SK"/>
        </w:rPr>
        <w:t>príjmy obcí v roku 2016 oproti rozpočtu verejnej správy na rok 2015 sú vyššie o 0,4 %. Predpokladá sa nárast daňových príjmo</w:t>
      </w:r>
      <w:r>
        <w:rPr>
          <w:rFonts w:ascii="Arial Narrow" w:hAnsi="Arial Narrow" w:cs="Times New Roman"/>
          <w:noProof/>
          <w:lang w:eastAsia="sk-SK"/>
        </w:rPr>
        <w:t xml:space="preserve">v o 7,0 % a nedaňových príjmov </w:t>
      </w:r>
      <w:r w:rsidRPr="00E66EF9">
        <w:rPr>
          <w:rFonts w:ascii="Arial Narrow" w:hAnsi="Arial Narrow" w:cs="Times New Roman"/>
          <w:noProof/>
          <w:lang w:eastAsia="sk-SK"/>
        </w:rPr>
        <w:t>o 6,5 %, pokles grantov a transferov o 13,4 %</w:t>
      </w:r>
      <w:r>
        <w:rPr>
          <w:rFonts w:ascii="Arial Narrow" w:hAnsi="Arial Narrow" w:cs="Times New Roman"/>
          <w:noProof/>
          <w:lang w:eastAsia="sk-SK"/>
        </w:rPr>
        <w:t>. Výška</w:t>
      </w:r>
      <w:r w:rsidRPr="00E66EF9">
        <w:rPr>
          <w:rFonts w:ascii="Arial Narrow" w:hAnsi="Arial Narrow" w:cs="Times New Roman"/>
          <w:noProof/>
          <w:lang w:eastAsia="sk-SK"/>
        </w:rPr>
        <w:t xml:space="preserve"> finančn</w:t>
      </w:r>
      <w:r>
        <w:rPr>
          <w:rFonts w:ascii="Arial Narrow" w:hAnsi="Arial Narrow" w:cs="Times New Roman"/>
          <w:noProof/>
          <w:lang w:eastAsia="sk-SK"/>
        </w:rPr>
        <w:t>ých</w:t>
      </w:r>
      <w:r w:rsidRPr="00E66EF9">
        <w:rPr>
          <w:rFonts w:ascii="Arial Narrow" w:hAnsi="Arial Narrow" w:cs="Times New Roman"/>
          <w:noProof/>
          <w:lang w:eastAsia="sk-SK"/>
        </w:rPr>
        <w:t xml:space="preserve"> operáci</w:t>
      </w:r>
      <w:r>
        <w:rPr>
          <w:rFonts w:ascii="Arial Narrow" w:hAnsi="Arial Narrow" w:cs="Times New Roman"/>
          <w:noProof/>
          <w:lang w:eastAsia="sk-SK"/>
        </w:rPr>
        <w:t>í</w:t>
      </w:r>
      <w:r w:rsidRPr="00E66EF9">
        <w:rPr>
          <w:rFonts w:ascii="Arial Narrow" w:hAnsi="Arial Narrow" w:cs="Times New Roman"/>
          <w:noProof/>
          <w:lang w:eastAsia="sk-SK"/>
        </w:rPr>
        <w:t xml:space="preserve"> sa odhaduj</w:t>
      </w:r>
      <w:r>
        <w:rPr>
          <w:rFonts w:ascii="Arial Narrow" w:hAnsi="Arial Narrow" w:cs="Times New Roman"/>
          <w:noProof/>
          <w:lang w:eastAsia="sk-SK"/>
        </w:rPr>
        <w:t>e</w:t>
      </w:r>
      <w:r w:rsidRPr="00E66EF9">
        <w:rPr>
          <w:rFonts w:ascii="Arial Narrow" w:hAnsi="Arial Narrow" w:cs="Times New Roman"/>
          <w:noProof/>
          <w:lang w:eastAsia="sk-SK"/>
        </w:rPr>
        <w:t xml:space="preserve"> na úrovni roku 2015. V roku 2017 oproti roku 2016 sa v celkových príjmoch očakáva nárast o 4,4 % z dôvodu nárastu daňových príjmov a bežných grantov a transferov. V roku 2018 oproti roku 2017 je predpokladaný nárast o 4,8 % z dôvodu nárastu daňových príjmov a grantov a transfero</w:t>
      </w:r>
      <w:r w:rsidRPr="00E66EF9">
        <w:rPr>
          <w:rFonts w:ascii="Times New Roman" w:hAnsi="Times New Roman" w:cs="Times New Roman"/>
          <w:noProof/>
          <w:lang w:eastAsia="sk-SK"/>
        </w:rPr>
        <w:t xml:space="preserve">v. </w:t>
      </w:r>
    </w:p>
    <w:p w:rsidR="00164214" w:rsidRPr="00E86A27" w:rsidRDefault="00164214" w:rsidP="00E86A27">
      <w:pPr>
        <w:keepNext/>
        <w:jc w:val="both"/>
        <w:rPr>
          <w:rFonts w:ascii="Times New Roman" w:hAnsi="Times New Roman" w:cs="Times New Roman"/>
          <w:noProof/>
          <w:lang w:eastAsia="sk-SK"/>
        </w:rPr>
      </w:pPr>
      <w:r w:rsidRPr="00E66EF9">
        <w:rPr>
          <w:rFonts w:ascii="Arial Narrow" w:hAnsi="Arial Narrow" w:cs="Times New Roman"/>
          <w:noProof/>
          <w:lang w:eastAsia="sk-SK"/>
        </w:rPr>
        <w:t>Daňové príjmy sa očakávajú v roku 2016 v sume 2 090 082 tis. eur, ktoré obce získajú z výnosu dane z príjmov fyzických osôb (podiel 70 % z celkového výnosu DPFO), z výnosu dane z nehnuteľností, z výnosu daní za špecifické služby (ostatné miestne dane a poplatok za komunálne odpady), z výnosu dane z úhrad za dobývací priestor, zo sankcií uložených v daňovom konaní a iných daní. Z výnosov týchto daní bude zabezpečované financovanie samosprávnych pôsobností obcí.</w:t>
      </w:r>
    </w:p>
    <w:p w:rsidR="00164214" w:rsidRPr="00E66EF9" w:rsidRDefault="00164214" w:rsidP="00E66EF9">
      <w:pPr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eastAsia="sk-SK"/>
        </w:rPr>
      </w:pPr>
      <w:r w:rsidRPr="00E66EF9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164214" w:rsidRPr="00E66EF9" w:rsidRDefault="00164214" w:rsidP="00E86A27">
      <w:pPr>
        <w:jc w:val="both"/>
        <w:rPr>
          <w:rFonts w:ascii="Arial Narrow" w:hAnsi="Arial Narrow" w:cs="Times New Roman"/>
          <w:noProof/>
          <w:lang w:eastAsia="sk-SK"/>
        </w:rPr>
      </w:pPr>
      <w:r w:rsidRPr="00E66EF9">
        <w:rPr>
          <w:rFonts w:ascii="Arial Narrow" w:hAnsi="Arial Narrow" w:cs="Times New Roman"/>
          <w:noProof/>
          <w:lang w:eastAsia="sk-SK"/>
        </w:rPr>
        <w:t>Predpoklad vývoja jednotlivých druhov daňových príjmov v rokoch 2016 až 2018 do rozpočtov obcí v porovnaní s rozpočtom verejnej správy a očakávanou skutočnosťou na rok 2015 a skutočnosťou za roky 2013 a 2014 je nasledovný:</w:t>
      </w:r>
    </w:p>
    <w:p w:rsidR="00164214" w:rsidRPr="00E66EF9" w:rsidRDefault="00164214" w:rsidP="00E66EF9">
      <w:pPr>
        <w:jc w:val="both"/>
        <w:rPr>
          <w:rFonts w:ascii="Arial Narrow" w:hAnsi="Arial Narrow" w:cs="Times New Roman"/>
          <w:noProof/>
          <w:sz w:val="16"/>
          <w:szCs w:val="16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20"/>
        <w:gridCol w:w="880"/>
        <w:gridCol w:w="990"/>
        <w:gridCol w:w="878"/>
        <w:gridCol w:w="878"/>
        <w:gridCol w:w="878"/>
        <w:gridCol w:w="878"/>
        <w:gridCol w:w="876"/>
      </w:tblGrid>
      <w:tr w:rsidR="00164214" w:rsidRPr="00E66EF9" w:rsidTr="00771D5F">
        <w:trPr>
          <w:trHeight w:val="345"/>
        </w:trPr>
        <w:tc>
          <w:tcPr>
            <w:tcW w:w="1800" w:type="pct"/>
            <w:shd w:val="clear" w:color="auto" w:fill="A6A6A6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v tis. eur</w:t>
            </w:r>
          </w:p>
        </w:tc>
        <w:tc>
          <w:tcPr>
            <w:tcW w:w="450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2013 S</w:t>
            </w:r>
          </w:p>
        </w:tc>
        <w:tc>
          <w:tcPr>
            <w:tcW w:w="506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2014 S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2015 R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2015 OS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2016 N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N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E66EF9" w:rsidRDefault="00164214" w:rsidP="00E66E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N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Daňové príjmy spolu</w:t>
            </w:r>
          </w:p>
        </w:tc>
        <w:tc>
          <w:tcPr>
            <w:tcW w:w="450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1 721 501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1 797 688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1 954 122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>1 960 884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>2 090 082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>2 231 420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>2 368 607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z toho: prevod DPFO vrátane sankcií</w:t>
            </w:r>
          </w:p>
        </w:tc>
        <w:tc>
          <w:tcPr>
            <w:tcW w:w="450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1 226 525</w:t>
            </w:r>
          </w:p>
        </w:tc>
        <w:tc>
          <w:tcPr>
            <w:tcW w:w="506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1 300 567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1 442 032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1 459 709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1 573 799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1 694 086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1 807 470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  daň z nehnuteľností</w:t>
            </w:r>
          </w:p>
        </w:tc>
        <w:tc>
          <w:tcPr>
            <w:tcW w:w="450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316 790</w:t>
            </w:r>
          </w:p>
        </w:tc>
        <w:tc>
          <w:tcPr>
            <w:tcW w:w="506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320 453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326 952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318 276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325 945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336 463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348 867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  daň za špecifické služby</w:t>
            </w:r>
          </w:p>
        </w:tc>
        <w:tc>
          <w:tcPr>
            <w:tcW w:w="450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177 737</w:t>
            </w:r>
          </w:p>
        </w:tc>
        <w:tc>
          <w:tcPr>
            <w:tcW w:w="506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176 202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184 673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182 429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189 853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200 360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211 731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  daň za dobývací priestor</w:t>
            </w:r>
          </w:p>
        </w:tc>
        <w:tc>
          <w:tcPr>
            <w:tcW w:w="450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449</w:t>
            </w:r>
          </w:p>
        </w:tc>
        <w:tc>
          <w:tcPr>
            <w:tcW w:w="506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466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465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466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485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511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539</w:t>
            </w:r>
          </w:p>
        </w:tc>
      </w:tr>
      <w:tr w:rsidR="00164214" w:rsidRPr="00E66EF9" w:rsidTr="00771D5F">
        <w:trPr>
          <w:trHeight w:val="345"/>
        </w:trPr>
        <w:tc>
          <w:tcPr>
            <w:tcW w:w="1800" w:type="pct"/>
            <w:vAlign w:val="center"/>
          </w:tcPr>
          <w:p w:rsidR="00164214" w:rsidRPr="00E66EF9" w:rsidRDefault="00164214" w:rsidP="00E66EF9">
            <w:pPr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  Iné dane</w:t>
            </w:r>
          </w:p>
        </w:tc>
        <w:tc>
          <w:tcPr>
            <w:tcW w:w="450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 0</w:t>
            </w:r>
          </w:p>
        </w:tc>
        <w:tc>
          <w:tcPr>
            <w:tcW w:w="506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 0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color w:val="000000"/>
                <w:sz w:val="16"/>
                <w:szCs w:val="16"/>
                <w:lang w:eastAsia="sk-SK"/>
              </w:rPr>
              <w:t> 0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49" w:type="pct"/>
            <w:vAlign w:val="center"/>
          </w:tcPr>
          <w:p w:rsidR="00164214" w:rsidRPr="00E66EF9" w:rsidRDefault="00164214" w:rsidP="00E66EF9">
            <w:pPr>
              <w:jc w:val="right"/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</w:pPr>
            <w:r w:rsidRPr="00E66EF9">
              <w:rPr>
                <w:rFonts w:ascii="Arial Narrow" w:hAnsi="Arial Narrow" w:cs="Times New Roman"/>
                <w:noProof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</w:tbl>
    <w:p w:rsidR="00164214" w:rsidRPr="00E66EF9" w:rsidRDefault="00164214" w:rsidP="00E66EF9">
      <w:pPr>
        <w:ind w:firstLine="708"/>
        <w:jc w:val="both"/>
        <w:rPr>
          <w:rFonts w:ascii="Arial Narrow" w:hAnsi="Arial Narrow" w:cs="Times New Roman"/>
          <w:noProof/>
          <w:sz w:val="16"/>
          <w:szCs w:val="16"/>
          <w:highlight w:val="yellow"/>
          <w:lang w:eastAsia="sk-SK"/>
        </w:rPr>
      </w:pPr>
    </w:p>
    <w:p w:rsidR="00164214" w:rsidRPr="00E66EF9" w:rsidRDefault="00164214" w:rsidP="00E66EF9">
      <w:pPr>
        <w:ind w:firstLine="708"/>
        <w:jc w:val="both"/>
        <w:rPr>
          <w:rFonts w:ascii="Times New Roman" w:hAnsi="Times New Roman" w:cs="Times New Roman"/>
          <w:noProof/>
          <w:sz w:val="16"/>
          <w:szCs w:val="16"/>
          <w:highlight w:val="yellow"/>
          <w:lang w:eastAsia="sk-SK"/>
        </w:rPr>
      </w:pPr>
    </w:p>
    <w:p w:rsidR="00164214" w:rsidRDefault="00164214" w:rsidP="00AE1C12">
      <w:pPr>
        <w:jc w:val="both"/>
        <w:rPr>
          <w:rFonts w:ascii="Arial Narrow" w:hAnsi="Arial Narrow" w:cs="Times New Roman"/>
          <w:noProof/>
          <w:szCs w:val="22"/>
          <w:lang w:eastAsia="sk-SK"/>
        </w:rPr>
      </w:pPr>
      <w:r w:rsidRPr="00E66EF9">
        <w:rPr>
          <w:rFonts w:ascii="Arial Narrow" w:hAnsi="Arial Narrow" w:cs="Times New Roman"/>
          <w:noProof/>
          <w:szCs w:val="22"/>
          <w:lang w:eastAsia="sk-SK"/>
        </w:rPr>
        <w:t xml:space="preserve">V rámci nedaňových  príjmov sa uvažuje, že obce dosiahnu v roku 2016 sumu </w:t>
      </w:r>
      <w:r w:rsidRPr="00E66EF9">
        <w:rPr>
          <w:rFonts w:ascii="Arial Narrow" w:hAnsi="Arial Narrow" w:cs="Times New Roman"/>
          <w:noProof/>
          <w:szCs w:val="22"/>
          <w:lang w:eastAsia="sk-SK"/>
        </w:rPr>
        <w:br/>
        <w:t>610 000 tis. eur. Ide najmä o príjmy z podnikania a</w:t>
      </w:r>
      <w:r>
        <w:rPr>
          <w:rFonts w:ascii="Arial Narrow" w:hAnsi="Arial Narrow" w:cs="Times New Roman"/>
          <w:noProof/>
          <w:szCs w:val="22"/>
          <w:lang w:eastAsia="sk-SK"/>
        </w:rPr>
        <w:t xml:space="preserve"> </w:t>
      </w:r>
      <w:r w:rsidRPr="00E66EF9">
        <w:rPr>
          <w:rFonts w:ascii="Arial Narrow" w:hAnsi="Arial Narrow" w:cs="Times New Roman"/>
          <w:noProof/>
          <w:szCs w:val="22"/>
          <w:lang w:eastAsia="sk-SK"/>
        </w:rPr>
        <w:t xml:space="preserve"> z vlastníctva majetku v sume </w:t>
      </w:r>
      <w:r w:rsidRPr="00E66EF9">
        <w:rPr>
          <w:rFonts w:ascii="Arial Narrow" w:hAnsi="Arial Narrow" w:cs="Times New Roman"/>
          <w:noProof/>
          <w:szCs w:val="22"/>
          <w:lang w:eastAsia="sk-SK"/>
        </w:rPr>
        <w:br/>
        <w:t xml:space="preserve">160 000 tis. eur, a to z nájomného z prenajatých pozemkov, budov, strojov a zariadení. Ďalej príjmy v sume 255 000 tis. eur z administratívnych a iných poplatkov a platieb (správne poplatky, za ubytovacie a stravovacie služby, zo vstupného, za relácie v miestnom rozhlase a pod.) a z iných nedaňových príjmov a úrokov z vkladov v sume 115 000 tis. eur. Predpokladá sa, že kapitálové príjmy dosiahnu výšku 80 000 tis. eur, a to najmä z predaja budov, bytov a z predaja pozemkov. V prognózovanej sume nedaňových príjmov sa zohľadňuje aj dosiahnutá skutočnosť v predchádzajúcom období. </w:t>
      </w:r>
      <w:r w:rsidRPr="00920547">
        <w:rPr>
          <w:rFonts w:ascii="Arial Narrow" w:hAnsi="Arial Narrow" w:cs="Times New Roman"/>
          <w:noProof/>
          <w:szCs w:val="22"/>
          <w:lang w:eastAsia="sk-SK"/>
        </w:rPr>
        <w:t>Transfery zo štátneho rozpočtu do rozpočtov obcí sa v roku 2016 očakávajú v celkovej sume 964 719 tis.</w:t>
      </w:r>
      <w:r>
        <w:rPr>
          <w:rFonts w:ascii="Arial Narrow" w:hAnsi="Arial Narrow" w:cs="Times New Roman"/>
          <w:noProof/>
          <w:szCs w:val="22"/>
          <w:lang w:eastAsia="sk-SK"/>
        </w:rPr>
        <w:t>e</w:t>
      </w:r>
      <w:r w:rsidRPr="00920547">
        <w:rPr>
          <w:rFonts w:ascii="Arial Narrow" w:hAnsi="Arial Narrow" w:cs="Times New Roman"/>
          <w:noProof/>
          <w:szCs w:val="22"/>
          <w:lang w:eastAsia="sk-SK"/>
        </w:rPr>
        <w:t>ur</w:t>
      </w:r>
      <w:r>
        <w:rPr>
          <w:rFonts w:ascii="Arial Narrow" w:hAnsi="Arial Narrow" w:cs="Times New Roman"/>
          <w:noProof/>
          <w:szCs w:val="22"/>
          <w:lang w:eastAsia="sk-SK"/>
        </w:rPr>
        <w:t>o.</w:t>
      </w:r>
    </w:p>
    <w:p w:rsidR="00164214" w:rsidRPr="00E86A27" w:rsidRDefault="00164214" w:rsidP="00AE1C12">
      <w:pPr>
        <w:jc w:val="both"/>
        <w:rPr>
          <w:rFonts w:ascii="Arial Narrow" w:hAnsi="Arial Narrow" w:cs="Times New Roman"/>
          <w:noProof/>
          <w:szCs w:val="22"/>
          <w:lang w:eastAsia="sk-SK"/>
        </w:rPr>
      </w:pPr>
      <w:r w:rsidRPr="00AE1C12">
        <w:rPr>
          <w:rFonts w:ascii="Arial Narrow" w:hAnsi="Arial Narrow" w:cs="Times New Roman"/>
          <w:noProof/>
          <w:lang w:eastAsia="sk-SK"/>
        </w:rPr>
        <w:t>V</w:t>
      </w:r>
      <w:r>
        <w:rPr>
          <w:rFonts w:ascii="Arial Narrow" w:hAnsi="Arial Narrow" w:cs="Times New Roman"/>
          <w:noProof/>
          <w:lang w:eastAsia="sk-SK"/>
        </w:rPr>
        <w:t xml:space="preserve"> oblasti </w:t>
      </w:r>
      <w:r w:rsidRPr="00AE1C12">
        <w:rPr>
          <w:rFonts w:ascii="Arial Narrow" w:hAnsi="Arial Narrow" w:cs="Times New Roman"/>
          <w:noProof/>
          <w:lang w:eastAsia="sk-SK"/>
        </w:rPr>
        <w:t>výdavkoch rozpočtov</w:t>
      </w:r>
      <w:r>
        <w:rPr>
          <w:rFonts w:ascii="Arial Narrow" w:hAnsi="Arial Narrow" w:cs="Times New Roman"/>
          <w:noProof/>
          <w:lang w:eastAsia="sk-SK"/>
        </w:rPr>
        <w:t xml:space="preserve"> miest a </w:t>
      </w:r>
      <w:r w:rsidRPr="00AE1C12">
        <w:rPr>
          <w:rFonts w:ascii="Arial Narrow" w:hAnsi="Arial Narrow" w:cs="Times New Roman"/>
          <w:noProof/>
          <w:lang w:eastAsia="sk-SK"/>
        </w:rPr>
        <w:t xml:space="preserve"> obcí sa v roku 2016 vychádza z úrovne východísk rozpočtu verejnej správy na roky 2016 až 2018 pri zohľadnení zmien </w:t>
      </w:r>
      <w:r>
        <w:rPr>
          <w:rFonts w:ascii="Arial Narrow" w:hAnsi="Arial Narrow" w:cs="Times New Roman"/>
          <w:noProof/>
          <w:lang w:eastAsia="sk-SK"/>
        </w:rPr>
        <w:t xml:space="preserve">v položkách </w:t>
      </w:r>
      <w:r w:rsidRPr="00AE1C12">
        <w:rPr>
          <w:rFonts w:ascii="Arial Narrow" w:hAnsi="Arial Narrow" w:cs="Times New Roman"/>
          <w:noProof/>
          <w:lang w:eastAsia="sk-SK"/>
        </w:rPr>
        <w:t>grant</w:t>
      </w:r>
      <w:r>
        <w:rPr>
          <w:rFonts w:ascii="Arial Narrow" w:hAnsi="Arial Narrow" w:cs="Times New Roman"/>
          <w:noProof/>
          <w:lang w:eastAsia="sk-SK"/>
        </w:rPr>
        <w:t>y</w:t>
      </w:r>
      <w:r w:rsidRPr="00AE1C12">
        <w:rPr>
          <w:rFonts w:ascii="Arial Narrow" w:hAnsi="Arial Narrow" w:cs="Times New Roman"/>
          <w:noProof/>
          <w:lang w:eastAsia="sk-SK"/>
        </w:rPr>
        <w:t xml:space="preserve"> a transfer</w:t>
      </w:r>
      <w:r>
        <w:rPr>
          <w:rFonts w:ascii="Arial Narrow" w:hAnsi="Arial Narrow" w:cs="Times New Roman"/>
          <w:noProof/>
          <w:lang w:eastAsia="sk-SK"/>
        </w:rPr>
        <w:t>y</w:t>
      </w:r>
      <w:r w:rsidRPr="00AE1C12">
        <w:rPr>
          <w:rFonts w:ascii="Arial Narrow" w:hAnsi="Arial Narrow" w:cs="Times New Roman"/>
          <w:noProof/>
          <w:lang w:eastAsia="sk-SK"/>
        </w:rPr>
        <w:t xml:space="preserve"> poskytnutých zo štátneho rozpočtu do rozpočtov obcí. Bežné výdavky sa v roku 2016 oproti roku 2015 rozpočtujú vyššie o 7,5 % aj z titulu zohľadnenia dosiahnutej skutočnosti v predchádzajúcom období. V kapitálových výdavkoch sa oproti roku 2015 predpokladajú nižšie výdavky (pokles o 24,1 %) nadväzne na skutočnosť, že rezorty len čiastočne rozpočtujú zapojenie zdrojov EÚ v rámci tretieho programového obdobia. </w:t>
      </w:r>
    </w:p>
    <w:p w:rsidR="00164214" w:rsidRDefault="00164214" w:rsidP="00336ED7">
      <w:pPr>
        <w:pStyle w:val="NormalWeb"/>
        <w:spacing w:before="0" w:beforeAutospacing="0" w:after="0" w:afterAutospacing="0"/>
        <w:jc w:val="both"/>
      </w:pPr>
    </w:p>
    <w:p w:rsidR="00164214" w:rsidRPr="00CB3ED1" w:rsidRDefault="00164214" w:rsidP="00E457B2">
      <w:pPr>
        <w:rPr>
          <w:rFonts w:ascii="Arial Narrow" w:hAnsi="Arial Narrow" w:cs="Arial Narrow"/>
          <w:b/>
          <w:bCs/>
        </w:rPr>
      </w:pPr>
      <w:r w:rsidRPr="00CB3ED1">
        <w:rPr>
          <w:rFonts w:ascii="Arial Narrow" w:hAnsi="Arial Narrow" w:cs="Arial Narrow"/>
          <w:b/>
          <w:bCs/>
        </w:rPr>
        <w:t>Pripomienky k návrhu:</w:t>
      </w:r>
    </w:p>
    <w:p w:rsidR="00164214" w:rsidRDefault="00164214" w:rsidP="00E924A6">
      <w:pPr>
        <w:jc w:val="both"/>
        <w:rPr>
          <w:rFonts w:ascii="Arial Narrow" w:hAnsi="Arial Narrow" w:cs="Times New Roman"/>
          <w:lang w:eastAsia="sk-SK"/>
        </w:rPr>
      </w:pPr>
    </w:p>
    <w:p w:rsidR="00164214" w:rsidRDefault="00164214" w:rsidP="00E924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ZMOS konštatuje, že v návrhu rozpočtu sa oproti predchádzajúcim rokom znižuje miera rizík v hospodárení miest  a obcí. Znížením percenta celkového dlhu verejnej správy pod hranicu 55 % HDP sa zároveň znižuje riziko regulácie, ktorá aj pre mestá a obce vyplýva z ústavného zákona o rozpočtovej zodpovednosti. Pozitívom je, že zvýšením vlastných príjmov z výnosu dane  z príjmov fyzických osôb v rokoch 2016-2018 sa zvyšuje miera samofinancovania miest a obcí, čo považujeme za jeden zo základných predpokladov na ich finančnú stabilizáciu a udržateľný rozvoj v budúcnosti. N</w:t>
      </w:r>
      <w:r w:rsidRPr="00CB3ED1">
        <w:rPr>
          <w:rFonts w:ascii="Arial Narrow" w:hAnsi="Arial Narrow"/>
        </w:rPr>
        <w:t xml:space="preserve">ávrh rozpočtu </w:t>
      </w:r>
      <w:r>
        <w:rPr>
          <w:rFonts w:ascii="Arial Narrow" w:hAnsi="Arial Narrow"/>
        </w:rPr>
        <w:t xml:space="preserve">verejnej správy na roky 2016 – </w:t>
      </w:r>
      <w:r w:rsidRPr="00CB3ED1">
        <w:rPr>
          <w:rFonts w:ascii="Arial Narrow" w:hAnsi="Arial Narrow"/>
        </w:rPr>
        <w:t>201</w:t>
      </w:r>
      <w:r>
        <w:rPr>
          <w:rFonts w:ascii="Arial Narrow" w:hAnsi="Arial Narrow"/>
        </w:rPr>
        <w:t>8</w:t>
      </w:r>
      <w:r w:rsidRPr="00CB3ED1">
        <w:rPr>
          <w:rFonts w:ascii="Arial Narrow" w:hAnsi="Arial Narrow"/>
        </w:rPr>
        <w:t xml:space="preserve"> bol predmetom rokovania Rady ZMOS </w:t>
      </w:r>
      <w:r>
        <w:rPr>
          <w:rFonts w:ascii="Arial Narrow" w:hAnsi="Arial Narrow"/>
        </w:rPr>
        <w:t>dňa 26. augusta 2015</w:t>
      </w:r>
      <w:r w:rsidRPr="00CB3ED1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Oproti vtedy prerokovávaným východiskám rozpočtu, po rokovaniach so zástupcami rezortov boli akceptované niektoré návrhy ZMOS k úprave rozpočtu. Ide najmä o zvýšenie finančných prostriedkov v rozpočte MDVaRR SR na výstavbu nájomných bytov, keď oproti rozpočtu na rok 2015 sa výška rozpočtovanej dotácie v programe výstavba a obnova bytového fondu zvýšila z 20 000 tis. euro na 40 000 tis. euro (časť dotácií bude vyčlenená aj na zatepľovanie bytových domov). Podobne návrh na zvýšenie sumy dotácie v kapitole MPSVaR SR v programe podpora sociálnych služieb na 77 382 tis. euro ( zvýšenie o 4 925 tis. euro) na spolufinancovanie sociálnych služieb miest, obcí a VÚC v súlade so zákonom o sociálnych službách. Do návrhu rozpočtu bol zapracovaný aj záväzný limit na výkon pôsobností v oblasti registra adries podľa zákona č. 125/2015 Z. z. o registri adries v sume 83 075 euro. Naopak, bezo zmeny zostala rozpočtovaná výška dotácie na matričnú činnosť, evidenciu a register občanov, ako aj výška limitu na financovaní preneseného výkonu štátnej správy na úseku stavebného poriadku a bývania. ZMOS uplatnilo pri rokovaniach o východiskách rozpočtu verejnej správy na roky 2016-2018 požiadavku na zvýšenie záväzného limitu o 5 % oproti rozpočtu na rok 2015. Túto požiadavku na zvýšenie záväzných limitov v prílohe č.5 k návrhu zákona, (umocnenú aj výsledkami kolektívneho vyjednávania na rok 2016) ZMOS uplatňuje aj na rokovaní HSR. Na základe záverov rokovania Rady ZMOS, v súlade so schválenou Národnou stratégiou rozvoja cyklistickej dopravy a cykloturistiky na Slovensku, v rámci prijatého trvalého finančného mechanizmu na budovanie cyklotrás, navrhujeme zohľadniť v programoch kapitoly MDVaRR SR sumu 15 000 tis. euro na tento účel.  </w:t>
      </w:r>
    </w:p>
    <w:p w:rsidR="00164214" w:rsidRDefault="00164214" w:rsidP="00E924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 konštrukcii rozpočtu sa zohľadňovala v niektorých položkách aj očakávaná skutočnosť výdavkov v roku 2015. V bežných výdavkoch v položke osobné náklady boli zohľadnené nielen dopady 4 %- ného navýšenia z dôvodu titulu kolektívneho vyjednávania, aj keď očakávaný mzdový vývoj v roku 2015 bude vyšší o cca 130 mil. euro ako bolo rozpočtované na rok 2015, čo bude mať vplyv aj na hospodárenie obcí v roku 2016.</w:t>
      </w:r>
    </w:p>
    <w:p w:rsidR="00164214" w:rsidRPr="00CB3ED1" w:rsidRDefault="00164214" w:rsidP="00E924A6">
      <w:pPr>
        <w:jc w:val="both"/>
        <w:rPr>
          <w:rFonts w:ascii="Arial Narrow" w:hAnsi="Arial Narrow"/>
        </w:rPr>
      </w:pPr>
    </w:p>
    <w:p w:rsidR="00164214" w:rsidRPr="00DE79F1" w:rsidRDefault="00164214" w:rsidP="00434366">
      <w:pPr>
        <w:jc w:val="both"/>
        <w:rPr>
          <w:rFonts w:ascii="Arial Narrow" w:hAnsi="Arial Narrow" w:cs="Times New Roman"/>
          <w:lang w:eastAsia="sk-SK"/>
        </w:rPr>
      </w:pPr>
      <w:r w:rsidRPr="00CB3ED1">
        <w:rPr>
          <w:rFonts w:ascii="Arial Narrow" w:hAnsi="Arial Narrow" w:cs="Arial Narrow"/>
          <w:b/>
          <w:bCs/>
        </w:rPr>
        <w:t>Záver:</w:t>
      </w:r>
    </w:p>
    <w:p w:rsidR="00164214" w:rsidRPr="00CB3ED1" w:rsidRDefault="00164214" w:rsidP="00434366">
      <w:pPr>
        <w:jc w:val="both"/>
        <w:rPr>
          <w:rFonts w:ascii="Arial Narrow" w:hAnsi="Arial Narrow" w:cs="Arial Narrow"/>
          <w:bCs/>
        </w:rPr>
      </w:pPr>
    </w:p>
    <w:p w:rsidR="00164214" w:rsidRPr="00CB3ED1" w:rsidRDefault="00164214" w:rsidP="00DE79F1">
      <w:pPr>
        <w:jc w:val="both"/>
        <w:rPr>
          <w:rFonts w:ascii="Arial Narrow" w:hAnsi="Arial Narrow"/>
        </w:rPr>
      </w:pPr>
      <w:r w:rsidRPr="00CB3ED1">
        <w:rPr>
          <w:rFonts w:ascii="Arial Narrow" w:hAnsi="Arial Narrow"/>
        </w:rPr>
        <w:t xml:space="preserve">Združenie miest a obcí Slovenska </w:t>
      </w:r>
      <w:r>
        <w:rPr>
          <w:rFonts w:ascii="Arial Narrow" w:hAnsi="Arial Narrow"/>
        </w:rPr>
        <w:t xml:space="preserve">odporúča </w:t>
      </w:r>
      <w:r w:rsidRPr="00CB3ED1">
        <w:rPr>
          <w:rFonts w:ascii="Arial Narrow" w:hAnsi="Arial Narrow"/>
        </w:rPr>
        <w:t>návrh</w:t>
      </w:r>
      <w:r>
        <w:rPr>
          <w:rFonts w:ascii="Arial Narrow" w:hAnsi="Arial Narrow"/>
        </w:rPr>
        <w:t xml:space="preserve"> štátneho rozpočtu a rozpočtu verejnej správy na roky 2016 - 2018 na ďalšie legislatívne konanie.</w:t>
      </w:r>
      <w:bookmarkStart w:id="0" w:name="_GoBack"/>
      <w:bookmarkEnd w:id="0"/>
    </w:p>
    <w:p w:rsidR="00164214" w:rsidRPr="00CB3ED1" w:rsidRDefault="00164214" w:rsidP="00646298">
      <w:pPr>
        <w:jc w:val="both"/>
        <w:rPr>
          <w:rFonts w:ascii="Arial Narrow" w:hAnsi="Arial Narrow" w:cs="Arial Narrow"/>
          <w:b/>
          <w:bCs/>
        </w:rPr>
      </w:pPr>
    </w:p>
    <w:p w:rsidR="00164214" w:rsidRPr="00CB3ED1" w:rsidRDefault="00164214" w:rsidP="00646298">
      <w:pPr>
        <w:jc w:val="both"/>
        <w:rPr>
          <w:rFonts w:ascii="Arial Narrow" w:hAnsi="Arial Narrow" w:cs="Arial Narrow"/>
          <w:b/>
          <w:bCs/>
        </w:rPr>
      </w:pPr>
    </w:p>
    <w:p w:rsidR="00164214" w:rsidRPr="00CB3ED1" w:rsidRDefault="00164214" w:rsidP="00646298">
      <w:pPr>
        <w:jc w:val="both"/>
        <w:rPr>
          <w:rFonts w:ascii="Arial Narrow" w:hAnsi="Arial Narrow" w:cs="Arial Narrow"/>
        </w:rPr>
      </w:pPr>
    </w:p>
    <w:p w:rsidR="00164214" w:rsidRPr="00CB3ED1" w:rsidRDefault="00164214" w:rsidP="00646298">
      <w:pPr>
        <w:jc w:val="both"/>
        <w:rPr>
          <w:rFonts w:ascii="Arial Narrow" w:hAnsi="Arial Narrow" w:cs="Arial Narrow"/>
          <w:b/>
          <w:bCs/>
        </w:rPr>
      </w:pPr>
      <w:r w:rsidRPr="00CB3ED1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>Michal Sýkora</w:t>
      </w:r>
    </w:p>
    <w:p w:rsidR="00164214" w:rsidRPr="00CB3ED1" w:rsidRDefault="00164214" w:rsidP="00646298">
      <w:pPr>
        <w:jc w:val="both"/>
        <w:rPr>
          <w:rFonts w:ascii="Arial Narrow" w:hAnsi="Arial Narrow" w:cs="Arial Narrow"/>
          <w:b/>
          <w:bCs/>
        </w:rPr>
      </w:pPr>
      <w:r w:rsidRPr="00CB3ED1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     predseda </w:t>
      </w:r>
    </w:p>
    <w:p w:rsidR="00164214" w:rsidRPr="00CB3ED1" w:rsidRDefault="00164214" w:rsidP="00646298">
      <w:pPr>
        <w:jc w:val="both"/>
        <w:rPr>
          <w:rFonts w:ascii="Arial Narrow" w:hAnsi="Arial Narrow" w:cs="Arial Narrow"/>
          <w:b/>
          <w:bCs/>
        </w:rPr>
      </w:pPr>
    </w:p>
    <w:sectPr w:rsidR="00164214" w:rsidRPr="00CB3ED1" w:rsidSect="00E361FC">
      <w:pgSz w:w="11906" w:h="16838"/>
      <w:pgMar w:top="1134" w:right="1134" w:bottom="125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14" w:rsidRDefault="00164214" w:rsidP="00FB2FC7">
      <w:r>
        <w:separator/>
      </w:r>
    </w:p>
  </w:endnote>
  <w:endnote w:type="continuationSeparator" w:id="0">
    <w:p w:rsidR="00164214" w:rsidRDefault="00164214" w:rsidP="00FB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14" w:rsidRDefault="00164214" w:rsidP="00FB2FC7">
      <w:r>
        <w:separator/>
      </w:r>
    </w:p>
  </w:footnote>
  <w:footnote w:type="continuationSeparator" w:id="0">
    <w:p w:rsidR="00164214" w:rsidRDefault="00164214" w:rsidP="00FB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CE27A3"/>
    <w:multiLevelType w:val="hybridMultilevel"/>
    <w:tmpl w:val="5E0476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F51A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560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3924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8CEC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8E8F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C6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EE3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981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D4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F46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86E35"/>
    <w:multiLevelType w:val="hybridMultilevel"/>
    <w:tmpl w:val="65C246FC"/>
    <w:lvl w:ilvl="0" w:tplc="573E78D0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465E0"/>
    <w:multiLevelType w:val="hybridMultilevel"/>
    <w:tmpl w:val="82266218"/>
    <w:lvl w:ilvl="0" w:tplc="F7D07F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4A672B"/>
    <w:multiLevelType w:val="hybridMultilevel"/>
    <w:tmpl w:val="715EAFE2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>
    <w:nsid w:val="22F4F261"/>
    <w:multiLevelType w:val="hybridMultilevel"/>
    <w:tmpl w:val="6C7383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31412"/>
    <w:multiLevelType w:val="hybridMultilevel"/>
    <w:tmpl w:val="7942343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F03A8"/>
    <w:multiLevelType w:val="hybridMultilevel"/>
    <w:tmpl w:val="6327BD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E227908"/>
    <w:multiLevelType w:val="hybridMultilevel"/>
    <w:tmpl w:val="E36E8CE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521EB"/>
    <w:multiLevelType w:val="hybridMultilevel"/>
    <w:tmpl w:val="E48C64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3E448E"/>
    <w:multiLevelType w:val="hybridMultilevel"/>
    <w:tmpl w:val="7C00AED4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B63A7"/>
    <w:multiLevelType w:val="hybridMultilevel"/>
    <w:tmpl w:val="3E325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E1C63"/>
    <w:multiLevelType w:val="hybridMultilevel"/>
    <w:tmpl w:val="7BC0D1E8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374FD"/>
    <w:multiLevelType w:val="hybridMultilevel"/>
    <w:tmpl w:val="9F029838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E0698"/>
    <w:multiLevelType w:val="hybridMultilevel"/>
    <w:tmpl w:val="28CA50F2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5F5"/>
    <w:multiLevelType w:val="hybridMultilevel"/>
    <w:tmpl w:val="8B0494C4"/>
    <w:lvl w:ilvl="0" w:tplc="C9A8B9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4F3EB0"/>
    <w:multiLevelType w:val="hybridMultilevel"/>
    <w:tmpl w:val="10FCDC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16BFD"/>
    <w:multiLevelType w:val="hybridMultilevel"/>
    <w:tmpl w:val="43DCC9D6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88F124E"/>
    <w:multiLevelType w:val="hybridMultilevel"/>
    <w:tmpl w:val="87BCA3B6"/>
    <w:lvl w:ilvl="0" w:tplc="63FC1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A2EE0"/>
    <w:multiLevelType w:val="hybridMultilevel"/>
    <w:tmpl w:val="4A18D6EA"/>
    <w:lvl w:ilvl="0" w:tplc="8F8A46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33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30"/>
  </w:num>
  <w:num w:numId="16">
    <w:abstractNumId w:val="21"/>
  </w:num>
  <w:num w:numId="17">
    <w:abstractNumId w:val="32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5C2"/>
    <w:rsid w:val="000156EC"/>
    <w:rsid w:val="000554ED"/>
    <w:rsid w:val="00055D3E"/>
    <w:rsid w:val="00064591"/>
    <w:rsid w:val="000655A4"/>
    <w:rsid w:val="00074306"/>
    <w:rsid w:val="00083AD5"/>
    <w:rsid w:val="000A5339"/>
    <w:rsid w:val="000C30A9"/>
    <w:rsid w:val="000D3B3B"/>
    <w:rsid w:val="000E4D2B"/>
    <w:rsid w:val="00101C7F"/>
    <w:rsid w:val="0011097B"/>
    <w:rsid w:val="00117802"/>
    <w:rsid w:val="00117B23"/>
    <w:rsid w:val="00122AB5"/>
    <w:rsid w:val="00125535"/>
    <w:rsid w:val="001452A1"/>
    <w:rsid w:val="001518F7"/>
    <w:rsid w:val="001619D3"/>
    <w:rsid w:val="001625AF"/>
    <w:rsid w:val="00164214"/>
    <w:rsid w:val="001A5736"/>
    <w:rsid w:val="001B4E93"/>
    <w:rsid w:val="001C134B"/>
    <w:rsid w:val="001D2D50"/>
    <w:rsid w:val="001F0B23"/>
    <w:rsid w:val="001F4401"/>
    <w:rsid w:val="001F7612"/>
    <w:rsid w:val="0020622C"/>
    <w:rsid w:val="0023026C"/>
    <w:rsid w:val="00254B72"/>
    <w:rsid w:val="00262D94"/>
    <w:rsid w:val="002700A4"/>
    <w:rsid w:val="002730DD"/>
    <w:rsid w:val="00276CFB"/>
    <w:rsid w:val="00284201"/>
    <w:rsid w:val="00297EFF"/>
    <w:rsid w:val="002A7EE7"/>
    <w:rsid w:val="002B5C81"/>
    <w:rsid w:val="002B7575"/>
    <w:rsid w:val="002C1EBD"/>
    <w:rsid w:val="003141BC"/>
    <w:rsid w:val="00314C3D"/>
    <w:rsid w:val="00321BE2"/>
    <w:rsid w:val="00322BF4"/>
    <w:rsid w:val="00327292"/>
    <w:rsid w:val="003340E8"/>
    <w:rsid w:val="00336ED7"/>
    <w:rsid w:val="003465AC"/>
    <w:rsid w:val="00347895"/>
    <w:rsid w:val="003578BF"/>
    <w:rsid w:val="00382E77"/>
    <w:rsid w:val="003937CE"/>
    <w:rsid w:val="003D3FCE"/>
    <w:rsid w:val="003D5441"/>
    <w:rsid w:val="003E3931"/>
    <w:rsid w:val="003F1520"/>
    <w:rsid w:val="003F4AC2"/>
    <w:rsid w:val="004049E5"/>
    <w:rsid w:val="00411412"/>
    <w:rsid w:val="00414C18"/>
    <w:rsid w:val="00415638"/>
    <w:rsid w:val="00426C30"/>
    <w:rsid w:val="00434366"/>
    <w:rsid w:val="00434842"/>
    <w:rsid w:val="00444367"/>
    <w:rsid w:val="00466DF9"/>
    <w:rsid w:val="004729B4"/>
    <w:rsid w:val="0048317B"/>
    <w:rsid w:val="00491FEE"/>
    <w:rsid w:val="004B3301"/>
    <w:rsid w:val="004E2567"/>
    <w:rsid w:val="00502607"/>
    <w:rsid w:val="00514A31"/>
    <w:rsid w:val="00514E92"/>
    <w:rsid w:val="00517932"/>
    <w:rsid w:val="00541AFE"/>
    <w:rsid w:val="005454EB"/>
    <w:rsid w:val="0054695F"/>
    <w:rsid w:val="005523D6"/>
    <w:rsid w:val="00571478"/>
    <w:rsid w:val="00571CD1"/>
    <w:rsid w:val="0057345C"/>
    <w:rsid w:val="00575170"/>
    <w:rsid w:val="00590670"/>
    <w:rsid w:val="005E48D2"/>
    <w:rsid w:val="005F29A0"/>
    <w:rsid w:val="005F4EA5"/>
    <w:rsid w:val="005F549F"/>
    <w:rsid w:val="00603C49"/>
    <w:rsid w:val="00645F33"/>
    <w:rsid w:val="00646298"/>
    <w:rsid w:val="00656F85"/>
    <w:rsid w:val="00692CA9"/>
    <w:rsid w:val="006A058A"/>
    <w:rsid w:val="006B211B"/>
    <w:rsid w:val="006D18AA"/>
    <w:rsid w:val="006E48F3"/>
    <w:rsid w:val="006F7557"/>
    <w:rsid w:val="007029C2"/>
    <w:rsid w:val="00733E2D"/>
    <w:rsid w:val="007636F5"/>
    <w:rsid w:val="00766BE8"/>
    <w:rsid w:val="00767E94"/>
    <w:rsid w:val="00771D5F"/>
    <w:rsid w:val="00773B29"/>
    <w:rsid w:val="007A74C6"/>
    <w:rsid w:val="007C08D5"/>
    <w:rsid w:val="007C439E"/>
    <w:rsid w:val="007C7734"/>
    <w:rsid w:val="007D55C2"/>
    <w:rsid w:val="007F6A01"/>
    <w:rsid w:val="00802A65"/>
    <w:rsid w:val="00806341"/>
    <w:rsid w:val="00817078"/>
    <w:rsid w:val="00833363"/>
    <w:rsid w:val="00876B26"/>
    <w:rsid w:val="00885F3C"/>
    <w:rsid w:val="0088745F"/>
    <w:rsid w:val="00887903"/>
    <w:rsid w:val="00895C0E"/>
    <w:rsid w:val="008B19C4"/>
    <w:rsid w:val="008B1EAB"/>
    <w:rsid w:val="00912524"/>
    <w:rsid w:val="00913120"/>
    <w:rsid w:val="00920547"/>
    <w:rsid w:val="009419E8"/>
    <w:rsid w:val="009546AA"/>
    <w:rsid w:val="00966849"/>
    <w:rsid w:val="00970371"/>
    <w:rsid w:val="009A4C0A"/>
    <w:rsid w:val="009A5317"/>
    <w:rsid w:val="009B0A0C"/>
    <w:rsid w:val="009B2348"/>
    <w:rsid w:val="009E4CCB"/>
    <w:rsid w:val="009F408B"/>
    <w:rsid w:val="009F7A03"/>
    <w:rsid w:val="00A03C8F"/>
    <w:rsid w:val="00A24E1C"/>
    <w:rsid w:val="00A27543"/>
    <w:rsid w:val="00A33BEF"/>
    <w:rsid w:val="00A37A2F"/>
    <w:rsid w:val="00A40B21"/>
    <w:rsid w:val="00A47230"/>
    <w:rsid w:val="00A661B4"/>
    <w:rsid w:val="00A70B3E"/>
    <w:rsid w:val="00A934D7"/>
    <w:rsid w:val="00AB0079"/>
    <w:rsid w:val="00AB043E"/>
    <w:rsid w:val="00AD6C4E"/>
    <w:rsid w:val="00AE1C12"/>
    <w:rsid w:val="00AF2402"/>
    <w:rsid w:val="00AF3768"/>
    <w:rsid w:val="00AF41CB"/>
    <w:rsid w:val="00B040AF"/>
    <w:rsid w:val="00B2292A"/>
    <w:rsid w:val="00B44CC4"/>
    <w:rsid w:val="00B6067E"/>
    <w:rsid w:val="00B6188E"/>
    <w:rsid w:val="00BB25D7"/>
    <w:rsid w:val="00BC40F7"/>
    <w:rsid w:val="00BD1A27"/>
    <w:rsid w:val="00BE3CCC"/>
    <w:rsid w:val="00BE5797"/>
    <w:rsid w:val="00BF32A4"/>
    <w:rsid w:val="00C21E12"/>
    <w:rsid w:val="00C40B92"/>
    <w:rsid w:val="00C47ECA"/>
    <w:rsid w:val="00C56B1B"/>
    <w:rsid w:val="00C65EBA"/>
    <w:rsid w:val="00C75864"/>
    <w:rsid w:val="00CB2483"/>
    <w:rsid w:val="00CB3ED1"/>
    <w:rsid w:val="00CB48E4"/>
    <w:rsid w:val="00CB56CA"/>
    <w:rsid w:val="00CC6692"/>
    <w:rsid w:val="00CD0F71"/>
    <w:rsid w:val="00CD1F24"/>
    <w:rsid w:val="00CD7D86"/>
    <w:rsid w:val="00D17FB0"/>
    <w:rsid w:val="00D206E2"/>
    <w:rsid w:val="00D27802"/>
    <w:rsid w:val="00D278D2"/>
    <w:rsid w:val="00D52543"/>
    <w:rsid w:val="00D776E1"/>
    <w:rsid w:val="00D846D4"/>
    <w:rsid w:val="00D859E5"/>
    <w:rsid w:val="00DA27D9"/>
    <w:rsid w:val="00DB4AB5"/>
    <w:rsid w:val="00DC318C"/>
    <w:rsid w:val="00DC53FF"/>
    <w:rsid w:val="00DD704A"/>
    <w:rsid w:val="00DE1FFB"/>
    <w:rsid w:val="00DE79F1"/>
    <w:rsid w:val="00E264CE"/>
    <w:rsid w:val="00E32E78"/>
    <w:rsid w:val="00E339B3"/>
    <w:rsid w:val="00E361FC"/>
    <w:rsid w:val="00E457B2"/>
    <w:rsid w:val="00E601EA"/>
    <w:rsid w:val="00E64FF5"/>
    <w:rsid w:val="00E66EF9"/>
    <w:rsid w:val="00E67A02"/>
    <w:rsid w:val="00E74713"/>
    <w:rsid w:val="00E86A27"/>
    <w:rsid w:val="00E924A6"/>
    <w:rsid w:val="00E93647"/>
    <w:rsid w:val="00E97AC0"/>
    <w:rsid w:val="00EA2A41"/>
    <w:rsid w:val="00EB28F0"/>
    <w:rsid w:val="00EC6B4A"/>
    <w:rsid w:val="00EF56D4"/>
    <w:rsid w:val="00F04630"/>
    <w:rsid w:val="00F17370"/>
    <w:rsid w:val="00F34A14"/>
    <w:rsid w:val="00F47B60"/>
    <w:rsid w:val="00F541CC"/>
    <w:rsid w:val="00F8490B"/>
    <w:rsid w:val="00FA2D74"/>
    <w:rsid w:val="00FA35A4"/>
    <w:rsid w:val="00FB2FC7"/>
    <w:rsid w:val="00FB5544"/>
    <w:rsid w:val="00FD28C2"/>
    <w:rsid w:val="00FD4134"/>
    <w:rsid w:val="00FE1515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C2"/>
    <w:rPr>
      <w:rFonts w:ascii="Arial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sk-SK"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7802"/>
    <w:rPr>
      <w:b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21B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21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F2"/>
    <w:rPr>
      <w:b/>
      <w:bCs/>
    </w:rPr>
  </w:style>
  <w:style w:type="paragraph" w:styleId="BalloonText">
    <w:name w:val="Balloon Text"/>
    <w:aliases w:val="Char13 Char,Text bubliny Char Char,Balloon Text Char Char"/>
    <w:basedOn w:val="Normal"/>
    <w:link w:val="BalloonText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BalloonTextChar">
    <w:name w:val="Balloon Text Char"/>
    <w:aliases w:val="Char13 Char Char,Text bubliny Char Char Char,Balloon Text Char Char Char"/>
    <w:basedOn w:val="DefaultParagraphFont"/>
    <w:link w:val="BalloonText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eader">
    <w:name w:val="header"/>
    <w:basedOn w:val="Normal"/>
    <w:link w:val="Header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2FC7"/>
    <w:rPr>
      <w:rFonts w:ascii="Arial" w:hAnsi="Arial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2FC7"/>
    <w:rPr>
      <w:rFonts w:ascii="Arial" w:hAnsi="Arial"/>
      <w:sz w:val="24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al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al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al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1462</Words>
  <Characters>8630</Characters>
  <Application>Microsoft Office Outlook</Application>
  <DocSecurity>0</DocSecurity>
  <Lines>0</Lines>
  <Paragraphs>0</Paragraphs>
  <ScaleCrop>false</ScaleCrop>
  <Company>ZMOS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cp:keywords/>
  <dc:description/>
  <cp:lastModifiedBy>Andrea</cp:lastModifiedBy>
  <cp:revision>8</cp:revision>
  <cp:lastPrinted>2013-08-09T07:01:00Z</cp:lastPrinted>
  <dcterms:created xsi:type="dcterms:W3CDTF">2015-10-05T05:51:00Z</dcterms:created>
  <dcterms:modified xsi:type="dcterms:W3CDTF">2015-10-05T06:01:00Z</dcterms:modified>
</cp:coreProperties>
</file>