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D6" w:rsidRPr="00CA1E4D" w:rsidRDefault="008939B7" w:rsidP="00DC7181">
      <w:pPr>
        <w:spacing w:after="0" w:line="240" w:lineRule="auto"/>
        <w:jc w:val="right"/>
        <w:rPr>
          <w:szCs w:val="24"/>
        </w:rPr>
      </w:pPr>
      <w:r w:rsidRPr="00CA1E4D">
        <w:rPr>
          <w:szCs w:val="24"/>
        </w:rPr>
        <w:t xml:space="preserve">Príloha č. </w:t>
      </w:r>
      <w:r w:rsidR="009550F5">
        <w:rPr>
          <w:szCs w:val="24"/>
        </w:rPr>
        <w:t>9</w:t>
      </w:r>
      <w:r w:rsidRPr="00CA1E4D">
        <w:rPr>
          <w:szCs w:val="24"/>
        </w:rPr>
        <w:t xml:space="preserve"> </w:t>
      </w:r>
    </w:p>
    <w:p w:rsidR="00CC46EB" w:rsidRDefault="0067720E" w:rsidP="00C719D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B11B37" w:rsidRPr="00B11B37" w:rsidRDefault="00B11B37" w:rsidP="00B11B37">
      <w:pPr>
        <w:pStyle w:val="BodyText"/>
        <w:rPr>
          <w:b/>
          <w:bCs/>
          <w:szCs w:val="28"/>
        </w:rPr>
      </w:pPr>
      <w:r w:rsidRPr="00B11B37">
        <w:rPr>
          <w:b/>
          <w:bCs/>
          <w:szCs w:val="28"/>
        </w:rPr>
        <w:t xml:space="preserve">Celoštátny plán výchovy </w:t>
      </w:r>
      <w:r>
        <w:rPr>
          <w:b/>
          <w:bCs/>
          <w:szCs w:val="28"/>
        </w:rPr>
        <w:t xml:space="preserve">a vzdelávania </w:t>
      </w:r>
      <w:r w:rsidRPr="00B11B37">
        <w:rPr>
          <w:b/>
          <w:bCs/>
          <w:szCs w:val="28"/>
        </w:rPr>
        <w:t>k ľudským právam</w:t>
      </w:r>
    </w:p>
    <w:p w:rsidR="00B11B37" w:rsidRDefault="00B11B37" w:rsidP="00B11B37">
      <w:pPr>
        <w:pStyle w:val="BodyText"/>
        <w:rPr>
          <w:b/>
          <w:bCs/>
          <w:sz w:val="26"/>
          <w:szCs w:val="26"/>
        </w:rPr>
      </w:pPr>
    </w:p>
    <w:p w:rsidR="00B11B37" w:rsidRDefault="00B11B37" w:rsidP="00B11B37">
      <w:pPr>
        <w:pStyle w:val="BodyText"/>
        <w:rPr>
          <w:bCs/>
          <w:i/>
          <w:sz w:val="24"/>
        </w:rPr>
      </w:pPr>
      <w:r w:rsidRPr="002145BA">
        <w:rPr>
          <w:bCs/>
          <w:i/>
          <w:sz w:val="24"/>
        </w:rPr>
        <w:t>Návrh metodológie tvorby</w:t>
      </w:r>
      <w:r>
        <w:rPr>
          <w:bCs/>
          <w:i/>
          <w:sz w:val="24"/>
        </w:rPr>
        <w:t xml:space="preserve"> podľa Základnej štúdie z roku 2006</w:t>
      </w:r>
    </w:p>
    <w:p w:rsidR="00B11B37" w:rsidRDefault="00B11B37" w:rsidP="00B11B37">
      <w:pPr>
        <w:pStyle w:val="BodyText"/>
        <w:rPr>
          <w:bCs/>
          <w:i/>
          <w:sz w:val="24"/>
        </w:rPr>
      </w:pPr>
      <w:r>
        <w:rPr>
          <w:bCs/>
          <w:i/>
          <w:sz w:val="24"/>
        </w:rPr>
        <w:t>(v kontexte Stratégie)</w:t>
      </w:r>
      <w:bookmarkStart w:id="0" w:name="_GoBack"/>
      <w:bookmarkEnd w:id="0"/>
    </w:p>
    <w:p w:rsidR="00B11B37" w:rsidRPr="002145BA" w:rsidRDefault="00B11B37" w:rsidP="00B11B37">
      <w:pPr>
        <w:pStyle w:val="BodyText"/>
        <w:rPr>
          <w:bCs/>
          <w:i/>
          <w:sz w:val="24"/>
        </w:rPr>
      </w:pPr>
    </w:p>
    <w:p w:rsidR="00B11B37" w:rsidRPr="003F71D7" w:rsidRDefault="00B11B37" w:rsidP="00B11B37">
      <w:r w:rsidRPr="003F71D7">
        <w:t>Podľa smernice Úradu vysokej komisárky OSN pre ľudské práva, ktorá má slúžiť ako súbor odporúčaní pre štáty v procese tvorby akčných plánov výchovy a vzdelávania k ľudským právam</w:t>
      </w:r>
      <w:r w:rsidRPr="003F71D7">
        <w:rPr>
          <w:rStyle w:val="FootnoteReference"/>
        </w:rPr>
        <w:footnoteReference w:id="1"/>
      </w:r>
      <w:r w:rsidRPr="003F71D7">
        <w:t xml:space="preserve">, sú pre </w:t>
      </w:r>
      <w:proofErr w:type="spellStart"/>
      <w:r>
        <w:t>celoštátne</w:t>
      </w:r>
      <w:r w:rsidRPr="003F71D7">
        <w:t>akčné</w:t>
      </w:r>
      <w:proofErr w:type="spellEnd"/>
      <w:r w:rsidRPr="003F71D7">
        <w:t xml:space="preserve"> plány východiskové tieto </w:t>
      </w:r>
      <w:r w:rsidRPr="003F71D7">
        <w:rPr>
          <w:b/>
          <w:bCs/>
        </w:rPr>
        <w:t>požiadavky</w:t>
      </w:r>
      <w:r w:rsidRPr="003F71D7">
        <w:t xml:space="preserve"> </w:t>
      </w:r>
      <w:r w:rsidRPr="003F71D7">
        <w:rPr>
          <w:b/>
          <w:bCs/>
        </w:rPr>
        <w:t>na</w:t>
      </w:r>
      <w:r w:rsidRPr="003F71D7">
        <w:t xml:space="preserve"> </w:t>
      </w:r>
      <w:r w:rsidRPr="003F71D7">
        <w:rPr>
          <w:b/>
          <w:bCs/>
        </w:rPr>
        <w:t>ciele a obsah</w:t>
      </w:r>
      <w:r w:rsidRPr="003F71D7">
        <w:t>:</w:t>
      </w:r>
    </w:p>
    <w:p w:rsidR="00B11B37" w:rsidRPr="003F71D7" w:rsidRDefault="00B11B37" w:rsidP="00B11B37">
      <w:pPr>
        <w:pStyle w:val="ListParagraph"/>
        <w:numPr>
          <w:ilvl w:val="0"/>
          <w:numId w:val="24"/>
        </w:numPr>
        <w:ind w:left="714" w:hanging="357"/>
        <w:contextualSpacing w:val="0"/>
        <w:jc w:val="both"/>
      </w:pPr>
      <w:r w:rsidRPr="003F71D7">
        <w:t>zaručiť prostredníctvom vzdelávacích aktivít ochranu a rešpekt voči ľudským právam pre každého občana a občianku spoločnosti;</w:t>
      </w:r>
    </w:p>
    <w:p w:rsidR="00B11B37" w:rsidRPr="003F71D7" w:rsidRDefault="00B11B37" w:rsidP="00B11B37">
      <w:pPr>
        <w:pStyle w:val="ListParagraph"/>
        <w:numPr>
          <w:ilvl w:val="0"/>
          <w:numId w:val="24"/>
        </w:numPr>
        <w:ind w:left="714" w:hanging="357"/>
        <w:contextualSpacing w:val="0"/>
        <w:jc w:val="both"/>
      </w:pPr>
      <w:r w:rsidRPr="003F71D7">
        <w:t>hlásať myšlienku nezávislosti, neoddeliteľnosti a všeobecnej platnosti ľudských   práv, vrátane občianskych, kultúrnych, ekonomických a sociálnych práv, ako aj práva na rozvoj;</w:t>
      </w:r>
    </w:p>
    <w:p w:rsidR="00B11B37" w:rsidRPr="003F71D7" w:rsidRDefault="00B11B37" w:rsidP="00B11B37">
      <w:pPr>
        <w:pStyle w:val="ListParagraph"/>
        <w:numPr>
          <w:ilvl w:val="0"/>
          <w:numId w:val="24"/>
        </w:numPr>
        <w:ind w:left="714" w:hanging="357"/>
        <w:contextualSpacing w:val="0"/>
        <w:jc w:val="both"/>
      </w:pPr>
      <w:r w:rsidRPr="003F71D7">
        <w:t xml:space="preserve">zaoberať sa problematikou práv žien a rodovej rovnosti vo všetkých aspektoch </w:t>
      </w:r>
      <w:r>
        <w:t>celoštátne</w:t>
      </w:r>
      <w:r w:rsidRPr="003F71D7">
        <w:t>ho plánu;</w:t>
      </w:r>
    </w:p>
    <w:p w:rsidR="00B11B37" w:rsidRPr="003F71D7" w:rsidRDefault="00B11B37" w:rsidP="00B11B37">
      <w:pPr>
        <w:pStyle w:val="ListParagraph"/>
        <w:numPr>
          <w:ilvl w:val="0"/>
          <w:numId w:val="24"/>
        </w:numPr>
        <w:ind w:left="714" w:hanging="357"/>
        <w:contextualSpacing w:val="0"/>
        <w:jc w:val="both"/>
      </w:pPr>
      <w:r w:rsidRPr="003F71D7">
        <w:t>vidieť dôležitosť výchovy a vzdelávania k ľudským právam ako nástroj na dosiahnutie demokracie, udržateľného rastu, právneho štátu, vonkajších    životných podmienok a mieru;</w:t>
      </w:r>
    </w:p>
    <w:p w:rsidR="00B11B37" w:rsidRPr="003F71D7" w:rsidRDefault="00B11B37" w:rsidP="00B11B37">
      <w:pPr>
        <w:pStyle w:val="ListParagraph"/>
        <w:numPr>
          <w:ilvl w:val="0"/>
          <w:numId w:val="24"/>
        </w:numPr>
        <w:ind w:left="714" w:hanging="357"/>
        <w:contextualSpacing w:val="0"/>
        <w:jc w:val="both"/>
      </w:pPr>
      <w:r w:rsidRPr="003F71D7">
        <w:t>vnímať dôležitosť výchovy a vzdelávania k ľudským právam ako nástroj na prevenciu porušovania ľudských práv;</w:t>
      </w:r>
    </w:p>
    <w:p w:rsidR="00B11B37" w:rsidRPr="003F71D7" w:rsidRDefault="00B11B37" w:rsidP="00B11B37">
      <w:pPr>
        <w:pStyle w:val="ListParagraph"/>
        <w:numPr>
          <w:ilvl w:val="0"/>
          <w:numId w:val="24"/>
        </w:numPr>
        <w:ind w:left="714" w:hanging="357"/>
        <w:contextualSpacing w:val="0"/>
        <w:jc w:val="both"/>
      </w:pPr>
      <w:r w:rsidRPr="003F71D7">
        <w:t>podporiť tvorbu analýz o trvalých a aktuálnych problémoch týkajúcich sa problematiky ľudských práv, ktoré vyústia do riešení v súlade s ľudskoprávnymi štandardmi;</w:t>
      </w:r>
    </w:p>
    <w:p w:rsidR="00B11B37" w:rsidRPr="003F71D7" w:rsidRDefault="00B11B37" w:rsidP="00B11B37">
      <w:pPr>
        <w:pStyle w:val="ListParagraph"/>
        <w:numPr>
          <w:ilvl w:val="0"/>
          <w:numId w:val="24"/>
        </w:numPr>
        <w:ind w:left="714" w:hanging="357"/>
        <w:contextualSpacing w:val="0"/>
        <w:jc w:val="both"/>
      </w:pPr>
      <w:r w:rsidRPr="003F71D7">
        <w:t xml:space="preserve">podporovať znalosti a zručnosti týkajúce sa využívania globálnych, regionálnych, štátnych a miestnych nástrojov a mechanizmov ochrany ľudských práv; </w:t>
      </w:r>
    </w:p>
    <w:p w:rsidR="00B11B37" w:rsidRPr="003F71D7" w:rsidRDefault="00B11B37" w:rsidP="00B11B37">
      <w:pPr>
        <w:pStyle w:val="ListParagraph"/>
        <w:numPr>
          <w:ilvl w:val="0"/>
          <w:numId w:val="24"/>
        </w:numPr>
        <w:ind w:left="714" w:hanging="357"/>
        <w:contextualSpacing w:val="0"/>
        <w:jc w:val="both"/>
      </w:pPr>
      <w:r w:rsidRPr="003F71D7">
        <w:t xml:space="preserve">podporiť združenia a jednotlivcov, aby si identifikovali vlastné potreby v rámci ochrany ľudských práv a zaručiť im ich presadenie; </w:t>
      </w:r>
    </w:p>
    <w:p w:rsidR="00B11B37" w:rsidRPr="003F71D7" w:rsidRDefault="00B11B37" w:rsidP="00B11B37">
      <w:pPr>
        <w:pStyle w:val="ListParagraph"/>
        <w:numPr>
          <w:ilvl w:val="0"/>
          <w:numId w:val="24"/>
        </w:numPr>
        <w:ind w:left="714" w:hanging="357"/>
        <w:contextualSpacing w:val="0"/>
        <w:jc w:val="both"/>
      </w:pPr>
      <w:r w:rsidRPr="003F71D7">
        <w:t>pripraviť pedagogické materiály, ktoré budú obsahovať informácie, kritické  analýzy a návody na získavanie zručností pri presadzovaní ľudských práv;</w:t>
      </w:r>
    </w:p>
    <w:p w:rsidR="00B11B37" w:rsidRPr="003F71D7" w:rsidRDefault="00B11B37" w:rsidP="00B11B37">
      <w:pPr>
        <w:pStyle w:val="ListParagraph"/>
        <w:numPr>
          <w:ilvl w:val="0"/>
          <w:numId w:val="24"/>
        </w:numPr>
        <w:ind w:left="714" w:hanging="357"/>
        <w:contextualSpacing w:val="0"/>
        <w:jc w:val="both"/>
      </w:pPr>
      <w:r w:rsidRPr="003F71D7">
        <w:t xml:space="preserve">iniciovať preskúmavanie a koncipovanie učebných materiálov za účelom dosiahnuť uspokojivý stav v oblasti výchovy a vzdelávania k ľudským právam;  </w:t>
      </w:r>
    </w:p>
    <w:p w:rsidR="00B11B37" w:rsidRPr="003F71D7" w:rsidRDefault="00B11B37" w:rsidP="00B11B37">
      <w:pPr>
        <w:pStyle w:val="ListParagraph"/>
        <w:numPr>
          <w:ilvl w:val="0"/>
          <w:numId w:val="24"/>
        </w:numPr>
        <w:ind w:left="714" w:hanging="357"/>
        <w:contextualSpacing w:val="0"/>
      </w:pPr>
      <w:r w:rsidRPr="003F71D7">
        <w:lastRenderedPageBreak/>
        <w:t>vo vzdelávacom procese podporiť uvoľnenie atmosféry od strachu a nedostupnosti k vzdelávaniu, čím sa zvýši účasť na vzdelávacom procese a podporí sa popularita problematiky ľudských práv a celkový rozvoj osobnosti.</w:t>
      </w:r>
      <w:r w:rsidRPr="003F71D7">
        <w:rPr>
          <w:rStyle w:val="FootnoteReference"/>
        </w:rPr>
        <w:footnoteReference w:id="2"/>
      </w:r>
      <w:r w:rsidRPr="003F71D7">
        <w:t xml:space="preserve"> </w:t>
      </w:r>
    </w:p>
    <w:p w:rsidR="00B11B37" w:rsidRPr="003F71D7" w:rsidRDefault="00B11B37" w:rsidP="00B11B37">
      <w:pPr>
        <w:spacing w:before="360"/>
      </w:pPr>
      <w:r w:rsidRPr="003F71D7">
        <w:t xml:space="preserve">Pri tvorbe </w:t>
      </w:r>
      <w:r>
        <w:t xml:space="preserve">celoštátneho </w:t>
      </w:r>
      <w:r w:rsidRPr="003F71D7">
        <w:t xml:space="preserve">plánu by mali byť kľúčové tieto </w:t>
      </w:r>
      <w:r w:rsidRPr="003F71D7">
        <w:rPr>
          <w:b/>
          <w:bCs/>
        </w:rPr>
        <w:t>zásady</w:t>
      </w:r>
      <w:r w:rsidRPr="003F71D7">
        <w:t>:</w:t>
      </w:r>
    </w:p>
    <w:p w:rsidR="00B11B37" w:rsidRPr="003F71D7" w:rsidRDefault="00B11B37" w:rsidP="00B11B37">
      <w:pPr>
        <w:pStyle w:val="ListParagraph"/>
        <w:numPr>
          <w:ilvl w:val="0"/>
          <w:numId w:val="25"/>
        </w:numPr>
        <w:ind w:left="714" w:hanging="357"/>
        <w:contextualSpacing w:val="0"/>
      </w:pPr>
      <w:r w:rsidRPr="003F71D7">
        <w:t xml:space="preserve">Proces aj výsledok tvorby </w:t>
      </w:r>
      <w:r>
        <w:t>celoštátneho</w:t>
      </w:r>
      <w:r w:rsidRPr="003F71D7">
        <w:t xml:space="preserve"> plánu sú rovnako dôležité.</w:t>
      </w:r>
    </w:p>
    <w:p w:rsidR="00B11B37" w:rsidRPr="003F71D7" w:rsidRDefault="00B11B37" w:rsidP="00B11B37">
      <w:pPr>
        <w:pStyle w:val="ListParagraph"/>
        <w:numPr>
          <w:ilvl w:val="0"/>
          <w:numId w:val="25"/>
        </w:numPr>
        <w:ind w:left="714" w:hanging="357"/>
        <w:contextualSpacing w:val="0"/>
      </w:pPr>
      <w:r w:rsidRPr="003F71D7">
        <w:t xml:space="preserve">V procese tvorby je kľúčová otvorenosť, transparentnosť a konzultácie so všetkými dotknutými aktérmi a aktérkami, vrátane občianskej spoločnosti. Je žiaduce, aby aktérky a aktéri, ktoré a ktorí budú </w:t>
      </w:r>
      <w:r>
        <w:t>celoštátny</w:t>
      </w:r>
      <w:r w:rsidRPr="003F71D7">
        <w:t xml:space="preserve"> plán vytvárať a/alebo realizovať, spolu komunikovali s využitím rôznych stupňov formality. </w:t>
      </w:r>
    </w:p>
    <w:p w:rsidR="00B11B37" w:rsidRPr="003F71D7" w:rsidRDefault="00B11B37" w:rsidP="00B11B37">
      <w:pPr>
        <w:pStyle w:val="ListParagraph"/>
        <w:numPr>
          <w:ilvl w:val="0"/>
          <w:numId w:val="25"/>
        </w:numPr>
        <w:ind w:left="714" w:hanging="357"/>
        <w:contextualSpacing w:val="0"/>
      </w:pPr>
      <w:r w:rsidRPr="003F71D7">
        <w:t xml:space="preserve">Proces tvorby </w:t>
      </w:r>
      <w:r>
        <w:t>celoštátneho</w:t>
      </w:r>
      <w:r w:rsidRPr="003F71D7">
        <w:t xml:space="preserve"> plánu by mal  byť verejný. </w:t>
      </w:r>
    </w:p>
    <w:p w:rsidR="00B11B37" w:rsidRPr="003F71D7" w:rsidRDefault="00B11B37" w:rsidP="00B11B37">
      <w:pPr>
        <w:pStyle w:val="ListParagraph"/>
        <w:numPr>
          <w:ilvl w:val="0"/>
          <w:numId w:val="25"/>
        </w:numPr>
        <w:ind w:left="714" w:hanging="357"/>
        <w:contextualSpacing w:val="0"/>
      </w:pPr>
      <w:r>
        <w:t>Celoštátny</w:t>
      </w:r>
      <w:r w:rsidRPr="003F71D7">
        <w:t xml:space="preserve"> plán by mal obsahovať záväzok rešpektovať medzi</w:t>
      </w:r>
      <w:r>
        <w:t>národné</w:t>
      </w:r>
      <w:r w:rsidRPr="003F71D7">
        <w:t xml:space="preserve"> a vnútroštátne štandardy ochrany ľudských práv a mal by stanoviť, akým spôsobom sa tieto práva budú implementovať. Ideovým a koncepčným východiskom by mal byť dôraz na preventívne a proaktívne zložky ľudskoprávnej ochrany a na zodpovednosť zainteresovaných aktérov a aktérok aktívne a systematicky pôsobiť v rámci tejto prevencie.</w:t>
      </w:r>
    </w:p>
    <w:p w:rsidR="00B11B37" w:rsidRPr="003F71D7" w:rsidRDefault="00B11B37" w:rsidP="00B11B37">
      <w:pPr>
        <w:pStyle w:val="ListParagraph"/>
        <w:numPr>
          <w:ilvl w:val="0"/>
          <w:numId w:val="25"/>
        </w:numPr>
        <w:ind w:left="714" w:hanging="357"/>
        <w:contextualSpacing w:val="0"/>
      </w:pPr>
      <w:r>
        <w:t>Celoštátny</w:t>
      </w:r>
      <w:r w:rsidRPr="003F71D7">
        <w:t xml:space="preserve"> plán by mal byť komplexný a koncepčný a mal by odrážať vzájomnú prepojenosť ľudských práv a ich </w:t>
      </w:r>
      <w:proofErr w:type="spellStart"/>
      <w:r w:rsidRPr="003F71D7">
        <w:t>neodňateľnosť</w:t>
      </w:r>
      <w:proofErr w:type="spellEnd"/>
      <w:r w:rsidRPr="003F71D7">
        <w:t xml:space="preserve">, </w:t>
      </w:r>
      <w:proofErr w:type="spellStart"/>
      <w:r w:rsidRPr="003F71D7">
        <w:t>nescudziteľnosť</w:t>
      </w:r>
      <w:proofErr w:type="spellEnd"/>
      <w:r w:rsidRPr="003F71D7">
        <w:t>, nepremlčateľnosť a nezrušiteľnosť. Prierezovo by mal byť postavený na rešpektovaní ľudskej dôstojnosti a rovnosti.</w:t>
      </w:r>
    </w:p>
    <w:p w:rsidR="00B11B37" w:rsidRPr="003F71D7" w:rsidRDefault="00B11B37" w:rsidP="00B11B37">
      <w:pPr>
        <w:pStyle w:val="ListParagraph"/>
        <w:numPr>
          <w:ilvl w:val="0"/>
          <w:numId w:val="25"/>
        </w:numPr>
        <w:ind w:left="714" w:hanging="357"/>
        <w:contextualSpacing w:val="0"/>
      </w:pPr>
      <w:r w:rsidRPr="003F71D7">
        <w:t xml:space="preserve">Plán by mal mať neustále na zreteli mechanizmy efektívneho monitoringu a priebežnej </w:t>
      </w:r>
      <w:proofErr w:type="spellStart"/>
      <w:r w:rsidRPr="003F71D7">
        <w:t>evalvácie</w:t>
      </w:r>
      <w:proofErr w:type="spellEnd"/>
      <w:r w:rsidRPr="003F71D7">
        <w:t xml:space="preserve"> jeho implementácie a mal by byť otvorený zmenám vychádzajúcim z aktuálnych potrieb.</w:t>
      </w:r>
    </w:p>
    <w:p w:rsidR="00B11B37" w:rsidRPr="003F71D7" w:rsidRDefault="00B11B37" w:rsidP="00B11B37">
      <w:pPr>
        <w:pStyle w:val="ListParagraph"/>
        <w:numPr>
          <w:ilvl w:val="0"/>
          <w:numId w:val="25"/>
        </w:numPr>
        <w:ind w:left="714" w:hanging="357"/>
        <w:contextualSpacing w:val="0"/>
      </w:pPr>
      <w:r>
        <w:t>Celoštátny</w:t>
      </w:r>
      <w:r w:rsidRPr="003F71D7">
        <w:t xml:space="preserve"> plán by mal tvoriť základ pre kontinuálny proces výchovy a vzdelávania k ľudským právam.</w:t>
      </w:r>
    </w:p>
    <w:p w:rsidR="00B11B37" w:rsidRPr="003F71D7" w:rsidRDefault="00B11B37" w:rsidP="00B11B37">
      <w:pPr>
        <w:spacing w:before="360"/>
      </w:pPr>
      <w:r w:rsidRPr="003F71D7">
        <w:rPr>
          <w:b/>
          <w:bCs/>
        </w:rPr>
        <w:t xml:space="preserve">Obsahom </w:t>
      </w:r>
      <w:r w:rsidRPr="002145BA">
        <w:rPr>
          <w:bCs/>
        </w:rPr>
        <w:t>c</w:t>
      </w:r>
      <w:r>
        <w:t>eloštátneho</w:t>
      </w:r>
      <w:r w:rsidRPr="003F71D7">
        <w:t xml:space="preserve"> plánu by mali byť nasledovné zložky: </w:t>
      </w:r>
    </w:p>
    <w:p w:rsidR="00B11B37" w:rsidRPr="003F71D7" w:rsidRDefault="00B11B37" w:rsidP="00B11B37">
      <w:pPr>
        <w:pStyle w:val="ListParagraph"/>
        <w:numPr>
          <w:ilvl w:val="0"/>
          <w:numId w:val="26"/>
        </w:numPr>
        <w:ind w:left="714" w:hanging="357"/>
        <w:contextualSpacing w:val="0"/>
      </w:pPr>
      <w:r w:rsidRPr="003F71D7">
        <w:t xml:space="preserve">Stanovenie východísk a cieľov </w:t>
      </w:r>
      <w:r>
        <w:t>celoštátne</w:t>
      </w:r>
      <w:r w:rsidRPr="003F71D7">
        <w:t>ho plánu (vyplývajúcich z</w:t>
      </w:r>
      <w:r>
        <w:t> </w:t>
      </w:r>
      <w:r w:rsidRPr="003F71D7">
        <w:t>medzi</w:t>
      </w:r>
      <w:r>
        <w:t xml:space="preserve">národných, </w:t>
      </w:r>
      <w:r w:rsidRPr="003F71D7">
        <w:t xml:space="preserve"> európskych a vnútroštátnych ľudskoprávnych štandardov a zo zistení dostupných výskumov a analýz, vrátane tejto základnej štúdie);</w:t>
      </w:r>
    </w:p>
    <w:p w:rsidR="00B11B37" w:rsidRPr="003F71D7" w:rsidRDefault="00B11B37" w:rsidP="00B11B37">
      <w:pPr>
        <w:pStyle w:val="ListParagraph"/>
        <w:numPr>
          <w:ilvl w:val="0"/>
          <w:numId w:val="26"/>
        </w:numPr>
        <w:ind w:left="714" w:hanging="357"/>
        <w:contextualSpacing w:val="0"/>
      </w:pPr>
      <w:r w:rsidRPr="003F71D7">
        <w:t xml:space="preserve">Stanovenie stratégií, ktoré budú mať dosah na formálny (na všetkých úrovniach) aj neformálny vzdelávací sektor (vrátane mimovládnych organizácií), špecifické cieľové skupiny (napríklad polícia, súdy, väzenstvo), znevýhodnené skupiny a širokú </w:t>
      </w:r>
      <w:r w:rsidRPr="003F71D7">
        <w:lastRenderedPageBreak/>
        <w:t>verejnosť. Pri stratégiách by okrem všeobecnej stratégie mal byť kľúčovým obsahový aj procesný prienik do všetkých  sfér výchovy a vzdelávania k ľudským právam;</w:t>
      </w:r>
    </w:p>
    <w:p w:rsidR="00B11B37" w:rsidRPr="003F71D7" w:rsidRDefault="00B11B37" w:rsidP="00B11B37">
      <w:pPr>
        <w:pStyle w:val="ListParagraph"/>
        <w:numPr>
          <w:ilvl w:val="0"/>
          <w:numId w:val="26"/>
        </w:numPr>
        <w:ind w:left="714" w:hanging="357"/>
        <w:contextualSpacing w:val="0"/>
      </w:pPr>
      <w:r w:rsidRPr="003F71D7">
        <w:t>Programy vychádzajúce zo stanovených stratégií pretransformované do špeciálnych aktivít a krátkodobých, strednodobých a dlhodobých opatrení. Tieto opatrenia sa musia realizovať na celoštátnej, miestnych, lokálnych a </w:t>
      </w:r>
      <w:proofErr w:type="spellStart"/>
      <w:r w:rsidRPr="003F71D7">
        <w:t>komunitných</w:t>
      </w:r>
      <w:proofErr w:type="spellEnd"/>
      <w:r w:rsidRPr="003F71D7">
        <w:t xml:space="preserve"> úrovniach a ich tvorba a realizácia musia byť postavené na princípoch demokracie, participácie a </w:t>
      </w:r>
      <w:proofErr w:type="spellStart"/>
      <w:r w:rsidRPr="003F71D7">
        <w:t>inkluzivity</w:t>
      </w:r>
      <w:proofErr w:type="spellEnd"/>
      <w:r w:rsidRPr="003F71D7">
        <w:t xml:space="preserve">; </w:t>
      </w:r>
    </w:p>
    <w:p w:rsidR="00B11B37" w:rsidRPr="003F71D7" w:rsidRDefault="00B11B37" w:rsidP="00B11B37">
      <w:pPr>
        <w:pStyle w:val="ListParagraph"/>
        <w:numPr>
          <w:ilvl w:val="0"/>
          <w:numId w:val="26"/>
        </w:numPr>
        <w:ind w:left="714" w:hanging="357"/>
        <w:contextualSpacing w:val="0"/>
      </w:pPr>
      <w:r w:rsidRPr="003F71D7">
        <w:t xml:space="preserve">Stratégie a opatrenia by mali stavať na už existujúcich a dobre fungujúcich programoch a príkladoch dobrej praxe. </w:t>
      </w:r>
      <w:r>
        <w:t>Celoštátny</w:t>
      </w:r>
      <w:r w:rsidRPr="003F71D7">
        <w:t xml:space="preserve"> plán </w:t>
      </w:r>
      <w:r>
        <w:t xml:space="preserve">v oblasti výchovy a vzdelávania </w:t>
      </w:r>
      <w:r w:rsidRPr="003F71D7">
        <w:t xml:space="preserve">by mal byť </w:t>
      </w:r>
      <w:r>
        <w:t xml:space="preserve">nielen prierezový, ale aj  </w:t>
      </w:r>
      <w:r w:rsidRPr="003F71D7">
        <w:t xml:space="preserve">komplementárny k už existujúcim </w:t>
      </w:r>
      <w:r>
        <w:t>celoštátny</w:t>
      </w:r>
      <w:r w:rsidRPr="003F71D7">
        <w:t>m plánom;</w:t>
      </w:r>
    </w:p>
    <w:p w:rsidR="00B11B37" w:rsidRPr="003F71D7" w:rsidRDefault="00B11B37" w:rsidP="00B11B37">
      <w:pPr>
        <w:pStyle w:val="ListParagraph"/>
        <w:numPr>
          <w:ilvl w:val="0"/>
          <w:numId w:val="26"/>
        </w:numPr>
        <w:ind w:left="714" w:hanging="357"/>
        <w:contextualSpacing w:val="0"/>
      </w:pPr>
      <w:r w:rsidRPr="003F71D7">
        <w:t>Odhad výsledkov a kritériá pre monitoring a vyhodnocovanie;</w:t>
      </w:r>
    </w:p>
    <w:p w:rsidR="00B11B37" w:rsidRPr="003F71D7" w:rsidRDefault="00B11B37" w:rsidP="00B11B37">
      <w:pPr>
        <w:pStyle w:val="ListParagraph"/>
        <w:numPr>
          <w:ilvl w:val="0"/>
          <w:numId w:val="26"/>
        </w:numPr>
        <w:ind w:left="714" w:hanging="357"/>
        <w:contextualSpacing w:val="0"/>
      </w:pPr>
      <w:r w:rsidRPr="003F71D7">
        <w:t xml:space="preserve">Odhad finančných nákladov a iných potrebných zdrojov na úspešnú realizáciu </w:t>
      </w:r>
      <w:r>
        <w:t>celoštátne</w:t>
      </w:r>
      <w:r w:rsidRPr="003F71D7">
        <w:t xml:space="preserve">ho plánu; </w:t>
      </w:r>
    </w:p>
    <w:p w:rsidR="00B11B37" w:rsidRPr="003F71D7" w:rsidRDefault="00B11B37" w:rsidP="00B11B37">
      <w:pPr>
        <w:pStyle w:val="ListParagraph"/>
        <w:numPr>
          <w:ilvl w:val="0"/>
          <w:numId w:val="26"/>
        </w:numPr>
        <w:ind w:left="714" w:hanging="357"/>
        <w:contextualSpacing w:val="0"/>
      </w:pPr>
      <w:r w:rsidRPr="003F71D7">
        <w:t xml:space="preserve">Odhad legislatívnych zmien, ktoré budú žiaduce na efektívnu implementáciu </w:t>
      </w:r>
      <w:r>
        <w:t>celoštátneho</w:t>
      </w:r>
      <w:r w:rsidRPr="003F71D7">
        <w:t xml:space="preserve"> plánu. </w:t>
      </w:r>
      <w:r>
        <w:t xml:space="preserve">V rámci celoštátneho </w:t>
      </w:r>
      <w:r w:rsidRPr="003F71D7">
        <w:t>plán</w:t>
      </w:r>
      <w:r>
        <w:t xml:space="preserve">u </w:t>
      </w:r>
      <w:r w:rsidRPr="003F71D7">
        <w:t xml:space="preserve"> by </w:t>
      </w:r>
      <w:r>
        <w:t xml:space="preserve">sa </w:t>
      </w:r>
      <w:r w:rsidRPr="003F71D7">
        <w:t>mal</w:t>
      </w:r>
      <w:r>
        <w:t>o</w:t>
      </w:r>
      <w:r w:rsidRPr="003F71D7">
        <w:t xml:space="preserve"> presadzovanie a dodržiavanie týchto zmien priebežne </w:t>
      </w:r>
      <w:r>
        <w:t xml:space="preserve">a pravidelne </w:t>
      </w:r>
      <w:r w:rsidRPr="003F71D7">
        <w:t>monitorovať;</w:t>
      </w:r>
    </w:p>
    <w:p w:rsidR="00B11B37" w:rsidRPr="003F71D7" w:rsidRDefault="00B11B37" w:rsidP="00B11B37">
      <w:pPr>
        <w:pStyle w:val="ListParagraph"/>
        <w:numPr>
          <w:ilvl w:val="0"/>
          <w:numId w:val="26"/>
        </w:numPr>
        <w:ind w:left="714" w:hanging="357"/>
        <w:contextualSpacing w:val="0"/>
      </w:pPr>
      <w:r w:rsidRPr="003F71D7">
        <w:t>Ďalšie možnosti pre výchovu a vzdelávanie k ľudským právam;</w:t>
      </w:r>
    </w:p>
    <w:p w:rsidR="00B11B37" w:rsidRPr="003F71D7" w:rsidRDefault="00B11B37" w:rsidP="00B11B37">
      <w:pPr>
        <w:pStyle w:val="ListParagraph"/>
        <w:numPr>
          <w:ilvl w:val="0"/>
          <w:numId w:val="26"/>
        </w:numPr>
        <w:ind w:left="714" w:hanging="357"/>
        <w:contextualSpacing w:val="0"/>
      </w:pPr>
      <w:r w:rsidRPr="003F71D7">
        <w:t xml:space="preserve">Úlohy </w:t>
      </w:r>
      <w:r>
        <w:t xml:space="preserve">celoštátnej </w:t>
      </w:r>
      <w:r w:rsidRPr="003F71D7">
        <w:t xml:space="preserve">komisie v procese implementácie </w:t>
      </w:r>
      <w:r>
        <w:t>celoštátneho</w:t>
      </w:r>
      <w:r w:rsidRPr="003F71D7">
        <w:t xml:space="preserve"> plánu; námety pre širokú a odbornú verejnosť, ako sa s komisiou kontaktovať, ako s ňou spolupracovať, prípadne ako sa stať jej </w:t>
      </w:r>
      <w:r>
        <w:t>členkou alebo</w:t>
      </w:r>
      <w:r w:rsidRPr="003F71D7">
        <w:t xml:space="preserve"> členom;</w:t>
      </w:r>
    </w:p>
    <w:p w:rsidR="00B11B37" w:rsidRPr="003F71D7" w:rsidRDefault="00B11B37" w:rsidP="00B11B37">
      <w:pPr>
        <w:pStyle w:val="ListParagraph"/>
        <w:numPr>
          <w:ilvl w:val="0"/>
          <w:numId w:val="26"/>
        </w:numPr>
        <w:ind w:left="714" w:hanging="357"/>
        <w:contextualSpacing w:val="0"/>
      </w:pPr>
      <w:r w:rsidRPr="003F71D7">
        <w:t>Informácie o možnostiach, ako sa kontaktovať s inštitúciami zodpovednými za výchovu a vzdelávanie k ľudským právam.</w:t>
      </w:r>
      <w:r w:rsidRPr="003F71D7">
        <w:rPr>
          <w:rStyle w:val="FootnoteReference"/>
        </w:rPr>
        <w:t xml:space="preserve"> </w:t>
      </w:r>
      <w:r w:rsidRPr="003F71D7">
        <w:rPr>
          <w:rStyle w:val="FootnoteReference"/>
        </w:rPr>
        <w:footnoteReference w:id="3"/>
      </w:r>
    </w:p>
    <w:p w:rsidR="00B11B37" w:rsidRPr="003F71D7" w:rsidRDefault="00B11B37" w:rsidP="00B11B37">
      <w:r w:rsidRPr="003F71D7">
        <w:t xml:space="preserve">Berúc do úvahy výsledky uskutočnenej Základnej štúdie, počas procesu tvorby  </w:t>
      </w:r>
      <w:r>
        <w:t xml:space="preserve">Celoštátnej </w:t>
      </w:r>
      <w:r w:rsidRPr="003F71D7">
        <w:t xml:space="preserve">stratégie </w:t>
      </w:r>
      <w:r>
        <w:t xml:space="preserve">ochrany a podpory ľudských práv a následne v rámci jej implementácie </w:t>
      </w:r>
      <w:r w:rsidRPr="003F71D7">
        <w:t>bude nevyhnutné vykonať tieto kroky:</w:t>
      </w:r>
    </w:p>
    <w:p w:rsidR="00B11B37" w:rsidRPr="003F71D7" w:rsidRDefault="00B11B37" w:rsidP="00B11B37">
      <w:pPr>
        <w:pStyle w:val="ListParagraph"/>
        <w:numPr>
          <w:ilvl w:val="0"/>
          <w:numId w:val="28"/>
        </w:numPr>
        <w:ind w:left="714" w:hanging="357"/>
        <w:contextualSpacing w:val="0"/>
      </w:pPr>
      <w:r w:rsidRPr="003F71D7">
        <w:t>Dozbierať a </w:t>
      </w:r>
      <w:proofErr w:type="spellStart"/>
      <w:r w:rsidRPr="003F71D7">
        <w:t>doanalyzovať</w:t>
      </w:r>
      <w:proofErr w:type="spellEnd"/>
      <w:r w:rsidRPr="003F71D7">
        <w:t xml:space="preserve"> stav výchovy a vzdelávania k ľudským právam – najmä z pohľadu existujúcich a dobre fungujúcich programov v jednotlivých sektoroch, na ktorých sa dá stavať a ktoré sa prípadne dajú implementovať aj v ďalších sektoroch/rezortoch. Na účely splnenia tejto úlohy bude možno nevyhnutné prehodnotiť metodológiu použitú </w:t>
      </w:r>
      <w:r>
        <w:t xml:space="preserve">v Základnej štúdii z roku 2006 </w:t>
      </w:r>
      <w:r w:rsidRPr="003F71D7">
        <w:t>a snažiť sa nájsť alternatívne spôsoby, akými možno prekonať slabú návratnosť v prípade používania dotazníkových metód  (napríklad intervi</w:t>
      </w:r>
      <w:r>
        <w:t>ew</w:t>
      </w:r>
      <w:r w:rsidRPr="003F71D7">
        <w:t xml:space="preserve"> s expertkami a expertmi, využívanie zákona o slobodnom prístupe k informáciám v prípade verejných inštitúcií apod.)</w:t>
      </w:r>
    </w:p>
    <w:p w:rsidR="00B11B37" w:rsidRPr="003F71D7" w:rsidRDefault="00B11B37" w:rsidP="00B11B37">
      <w:pPr>
        <w:pStyle w:val="ListParagraph"/>
        <w:numPr>
          <w:ilvl w:val="0"/>
          <w:numId w:val="28"/>
        </w:numPr>
        <w:ind w:left="714" w:hanging="357"/>
        <w:contextualSpacing w:val="0"/>
      </w:pPr>
      <w:r w:rsidRPr="003F71D7">
        <w:lastRenderedPageBreak/>
        <w:t>Realizovať ďalšie výskumy, resp. zhromaždiť existujúce výskumné dáta o aspektoch súvisiacich s výchovou a vzdelávaním k ľudským právam (napr. o znevýhodnených skupinách, príčinách a prejavoch ich znevýhodnení a o ich potrebách; o existujúcich politikách a programoch vo vzťahu k rovnosti príležitostí; o výchove a vzdelávaní k ľudským právam prostredníctvom médií, o znázorňovaní ľudských práv a ich dodržiavania/porušovania v médiách, o stereotypných obrazoch prezentovaných médiami, ktoré prispievajú k porušovaniu ľudských práv, resp. o účinných mediálnych stratégiách, ktoré môžu byť efektívne vo vzťahu k presadzovaniu dodržiavania ľudských práv; o príkladoch dobrej praxe; o sociálnych, ekonomických a kultúrnych faktoroch, ktoré majú vplyv na porušovanie/lepšie presadzovanie ľudských práv atď.). Aj tu bude potrebné používať celú škálu výskumných metód (vrátane kvalitatívnych).</w:t>
      </w:r>
    </w:p>
    <w:p w:rsidR="00B11B37" w:rsidRPr="003F71D7" w:rsidRDefault="00B11B37" w:rsidP="00B11B37">
      <w:pPr>
        <w:pStyle w:val="ListParagraph"/>
        <w:numPr>
          <w:ilvl w:val="0"/>
          <w:numId w:val="28"/>
        </w:numPr>
        <w:ind w:left="714" w:hanging="357"/>
        <w:contextualSpacing w:val="0"/>
      </w:pPr>
      <w:r w:rsidRPr="003F71D7">
        <w:t>Preskúmať legislatívne a inštitucionálne mechanizmy, ktoré vo verejných inštitúciách zakotvujú povinnosť a zodpovednosti vo vzťahu k výchove a vzdelávaniu k ľudským právam – či už smerom dovnútra týchto inštitúcií alebo smerom navonok. Je mimoriadne dôležité, aby vo verejných inštitúciách existovali jasne a presne formulované záväzky smerujúce k výchove a vzdelávaniu k ľudským právam, ktoré sú podporené adekvátnymi inštitucionálnymi, organizačnými, finančnými a inými mechanizmami, ktoré sú ďalej prenesené na nižšie úrovne riadenia a implementácie prostredníctvom interných normatívnych predpisov. Vo vzťahu k verejným inštitúciám bude tiež nevyhnutné hľadať stratégie, ako získať ich čelných predstaviteľov a predstaviteľky na svoju stranu pri presadzovaní politík a programov ochrany ľudských práv a výchovy a vzdelávania k nim (na naplnenie tohto cieľa nie je postačujúce izolované uplatňovanie legislatívnych a iných právnych nástrojov).</w:t>
      </w:r>
    </w:p>
    <w:p w:rsidR="00B11B37" w:rsidRPr="003F71D7" w:rsidRDefault="00B11B37" w:rsidP="00B11B37">
      <w:pPr>
        <w:pStyle w:val="ListParagraph"/>
        <w:numPr>
          <w:ilvl w:val="0"/>
          <w:numId w:val="28"/>
        </w:numPr>
        <w:ind w:left="714" w:hanging="357"/>
        <w:contextualSpacing w:val="0"/>
      </w:pPr>
      <w:r w:rsidRPr="003F71D7">
        <w:t xml:space="preserve">Skúmať, ako možno zabezpečiť trvalo priaznivé a udržateľné prostredie pre mimovládne organizácie, ktoré sú alebo chcú byť aktívne v oblasti výchovy a vzdelávania k ľudským právam, resp. v oblasti ich širšej ochrany. Mechanizmy ako dostupnosť asignovaných daní v prospech týchto organizácií, priaznivé legislatívne prostredie, mechanizmy finančnej a inštitucionálnej podpory apod. sú kľúčovými nástrojmi pre vytváranie priaznivej a udržateľnej klímy pre aktívnych občanov a občianky so záujmom o veci verejné. </w:t>
      </w:r>
    </w:p>
    <w:p w:rsidR="00CC46EB" w:rsidRDefault="00B11B37" w:rsidP="002E165C">
      <w:pPr>
        <w:rPr>
          <w:b/>
          <w:szCs w:val="24"/>
        </w:rPr>
      </w:pPr>
      <w:r w:rsidRPr="003F71D7">
        <w:t xml:space="preserve">Pre efektívnu tvorbu a implementáciu </w:t>
      </w:r>
      <w:r>
        <w:t xml:space="preserve">Celoštátnej stratégie ochrany a podpory ľudských práv, ktorej prioritou bude výchova a vzdelávanie v oblasti ľudských  práv, </w:t>
      </w:r>
      <w:r w:rsidRPr="003F71D7">
        <w:t>bude bezpochyby potrebné prehodno</w:t>
      </w:r>
      <w:r>
        <w:t>tenie  (a neskôr aj</w:t>
      </w:r>
      <w:r w:rsidRPr="003F71D7">
        <w:t xml:space="preserve"> priebežné </w:t>
      </w:r>
      <w:r>
        <w:t xml:space="preserve">prehodnocovanie) </w:t>
      </w:r>
      <w:r w:rsidRPr="003F71D7">
        <w:t xml:space="preserve">spôsobu fungovania </w:t>
      </w:r>
      <w:r>
        <w:t xml:space="preserve">celoštátnej </w:t>
      </w:r>
      <w:r w:rsidRPr="003F71D7">
        <w:t xml:space="preserve"> komisie </w:t>
      </w:r>
      <w:r>
        <w:rPr>
          <w:rStyle w:val="FootnoteReference"/>
        </w:rPr>
        <w:footnoteReference w:id="4"/>
      </w:r>
      <w:r w:rsidRPr="003F71D7">
        <w:t>a jej efektívnosti. Výsledkom tejto reflexie smerom dovnútra by mal byť otvorený, nepredpojatý a konštruktívny proces, ktorý si možno vyžiada aj zmeny v zložení či fungovaní komisie.</w:t>
      </w:r>
      <w:r>
        <w:t xml:space="preserve">  </w:t>
      </w:r>
    </w:p>
    <w:sectPr w:rsidR="00CC46EB" w:rsidSect="00507E2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85" w:rsidRDefault="00461D85" w:rsidP="0034270E">
      <w:pPr>
        <w:spacing w:after="0" w:line="240" w:lineRule="auto"/>
      </w:pPr>
      <w:r>
        <w:separator/>
      </w:r>
    </w:p>
  </w:endnote>
  <w:endnote w:type="continuationSeparator" w:id="0">
    <w:p w:rsidR="00461D85" w:rsidRDefault="00461D85" w:rsidP="0034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43598"/>
      <w:docPartObj>
        <w:docPartGallery w:val="Page Numbers (Bottom of Page)"/>
        <w:docPartUnique/>
      </w:docPartObj>
    </w:sdtPr>
    <w:sdtEndPr/>
    <w:sdtContent>
      <w:p w:rsidR="000B73B2" w:rsidRDefault="000B73B2">
        <w:pPr>
          <w:pStyle w:val="Footer"/>
          <w:jc w:val="center"/>
        </w:pPr>
        <w:r w:rsidRPr="000B73B2">
          <w:fldChar w:fldCharType="begin"/>
        </w:r>
        <w:r w:rsidRPr="000B73B2">
          <w:instrText xml:space="preserve"> PAGE   \* MERGEFORMAT </w:instrText>
        </w:r>
        <w:r w:rsidRPr="000B73B2">
          <w:fldChar w:fldCharType="separate"/>
        </w:r>
        <w:r w:rsidR="009550F5">
          <w:rPr>
            <w:noProof/>
          </w:rPr>
          <w:t>1</w:t>
        </w:r>
        <w:r w:rsidRPr="000B73B2">
          <w:fldChar w:fldCharType="end"/>
        </w:r>
      </w:p>
    </w:sdtContent>
  </w:sdt>
  <w:p w:rsidR="000B73B2" w:rsidRDefault="000B73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85" w:rsidRDefault="00461D85" w:rsidP="0034270E">
      <w:pPr>
        <w:spacing w:after="0" w:line="240" w:lineRule="auto"/>
      </w:pPr>
      <w:r>
        <w:separator/>
      </w:r>
    </w:p>
  </w:footnote>
  <w:footnote w:type="continuationSeparator" w:id="0">
    <w:p w:rsidR="00461D85" w:rsidRDefault="00461D85" w:rsidP="0034270E">
      <w:pPr>
        <w:spacing w:after="0" w:line="240" w:lineRule="auto"/>
      </w:pPr>
      <w:r>
        <w:continuationSeparator/>
      </w:r>
    </w:p>
  </w:footnote>
  <w:footnote w:id="1">
    <w:p w:rsidR="00B11B37" w:rsidRDefault="00B11B37" w:rsidP="00B11B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Plans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A/52/469/Add.1 a Add.1/Corr.1.,  dostupné na </w:t>
      </w:r>
      <w:hyperlink r:id="rId1" w:history="1">
        <w:r w:rsidRPr="00AF3C98">
          <w:rPr>
            <w:rStyle w:val="Hyperlink"/>
            <w:highlight w:val="yellow"/>
          </w:rPr>
          <w:t>http://www.unhchr.ch/huridocda/huridoca.nsf/(Symbol)/A.52.469.Add.1%20and%20Corr.1.En?OpenDocument</w:t>
        </w:r>
      </w:hyperlink>
      <w:r>
        <w:t xml:space="preserve">. </w:t>
      </w:r>
    </w:p>
  </w:footnote>
  <w:footnote w:id="2">
    <w:p w:rsidR="00B11B37" w:rsidRDefault="00B11B37" w:rsidP="00B11B37">
      <w:pPr>
        <w:pStyle w:val="FootnoteText"/>
      </w:pPr>
      <w:r>
        <w:rPr>
          <w:rStyle w:val="FootnoteReference"/>
        </w:rPr>
        <w:footnoteRef/>
      </w:r>
      <w:r>
        <w:t xml:space="preserve"> Tamtiež, ods. 16. </w:t>
      </w:r>
    </w:p>
  </w:footnote>
  <w:footnote w:id="3">
    <w:p w:rsidR="00B11B37" w:rsidRDefault="00B11B37" w:rsidP="00B11B37">
      <w:pPr>
        <w:pStyle w:val="FootnoteText"/>
      </w:pPr>
      <w:r>
        <w:rPr>
          <w:rStyle w:val="FootnoteReference"/>
        </w:rPr>
        <w:footnoteRef/>
      </w:r>
      <w:r>
        <w:t xml:space="preserve"> Pozri aj odseky 40-46 Smernice, zdroj citovaný v pozn. </w:t>
      </w:r>
      <w:r>
        <w:t xml:space="preserve">č.1 </w:t>
      </w:r>
    </w:p>
  </w:footnote>
  <w:footnote w:id="4">
    <w:p w:rsidR="00B11B37" w:rsidRPr="006834A4" w:rsidRDefault="00B11B37" w:rsidP="00B11B37">
      <w:pPr>
        <w:pStyle w:val="FootnoteText"/>
      </w:pPr>
      <w:r>
        <w:rPr>
          <w:rStyle w:val="FootnoteReference"/>
        </w:rPr>
        <w:footnoteRef/>
      </w:r>
      <w:r>
        <w:t xml:space="preserve"> Celoštátna komisia pre výchovu a</w:t>
      </w:r>
      <w:r w:rsidR="002E165C">
        <w:t> </w:t>
      </w:r>
      <w:r>
        <w:t>vzdelávanie</w:t>
      </w:r>
      <w:r w:rsidR="002E165C">
        <w:t xml:space="preserve"> k ľudským právam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1DC"/>
    <w:multiLevelType w:val="hybridMultilevel"/>
    <w:tmpl w:val="1AAEDB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E5E9C"/>
    <w:multiLevelType w:val="hybridMultilevel"/>
    <w:tmpl w:val="C6B6CE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16DFB"/>
    <w:multiLevelType w:val="hybridMultilevel"/>
    <w:tmpl w:val="EE9A4A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E61E2"/>
    <w:multiLevelType w:val="hybridMultilevel"/>
    <w:tmpl w:val="BC4E6E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E6128"/>
    <w:multiLevelType w:val="hybridMultilevel"/>
    <w:tmpl w:val="EA6E1F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87004"/>
    <w:multiLevelType w:val="hybridMultilevel"/>
    <w:tmpl w:val="27FAED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F4159F"/>
    <w:multiLevelType w:val="hybridMultilevel"/>
    <w:tmpl w:val="63807D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E262C"/>
    <w:multiLevelType w:val="hybridMultilevel"/>
    <w:tmpl w:val="2F7898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771A4"/>
    <w:multiLevelType w:val="hybridMultilevel"/>
    <w:tmpl w:val="0338F5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B76A6"/>
    <w:multiLevelType w:val="hybridMultilevel"/>
    <w:tmpl w:val="439C25B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CD6718"/>
    <w:multiLevelType w:val="hybridMultilevel"/>
    <w:tmpl w:val="C02E14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030B2"/>
    <w:multiLevelType w:val="hybridMultilevel"/>
    <w:tmpl w:val="C38EB02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D97617"/>
    <w:multiLevelType w:val="hybridMultilevel"/>
    <w:tmpl w:val="2C18EA58"/>
    <w:lvl w:ilvl="0" w:tplc="907EAF0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D0577"/>
    <w:multiLevelType w:val="hybridMultilevel"/>
    <w:tmpl w:val="8188E78C"/>
    <w:lvl w:ilvl="0" w:tplc="0EB23BE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3386BEE"/>
    <w:multiLevelType w:val="hybridMultilevel"/>
    <w:tmpl w:val="7F64C3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B23B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50FA4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2731F3"/>
    <w:multiLevelType w:val="hybridMultilevel"/>
    <w:tmpl w:val="F66640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A105E"/>
    <w:multiLevelType w:val="hybridMultilevel"/>
    <w:tmpl w:val="1FEC13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B221F"/>
    <w:multiLevelType w:val="hybridMultilevel"/>
    <w:tmpl w:val="6CEE82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B59C8"/>
    <w:multiLevelType w:val="hybridMultilevel"/>
    <w:tmpl w:val="0B2AA5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C1C0F"/>
    <w:multiLevelType w:val="hybridMultilevel"/>
    <w:tmpl w:val="49721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E232A"/>
    <w:multiLevelType w:val="hybridMultilevel"/>
    <w:tmpl w:val="9940A9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82B22"/>
    <w:multiLevelType w:val="hybridMultilevel"/>
    <w:tmpl w:val="ECBA3E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D2DE9"/>
    <w:multiLevelType w:val="hybridMultilevel"/>
    <w:tmpl w:val="DDD036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821D0"/>
    <w:multiLevelType w:val="hybridMultilevel"/>
    <w:tmpl w:val="54CEBFF6"/>
    <w:lvl w:ilvl="0" w:tplc="907EAF0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7C016E"/>
    <w:multiLevelType w:val="hybridMultilevel"/>
    <w:tmpl w:val="67B62D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0490E"/>
    <w:multiLevelType w:val="hybridMultilevel"/>
    <w:tmpl w:val="23ACD1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3515C"/>
    <w:multiLevelType w:val="hybridMultilevel"/>
    <w:tmpl w:val="BA1694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069AC"/>
    <w:multiLevelType w:val="hybridMultilevel"/>
    <w:tmpl w:val="B12EB74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27"/>
  </w:num>
  <w:num w:numId="5">
    <w:abstractNumId w:val="16"/>
  </w:num>
  <w:num w:numId="6">
    <w:abstractNumId w:val="24"/>
  </w:num>
  <w:num w:numId="7">
    <w:abstractNumId w:val="15"/>
  </w:num>
  <w:num w:numId="8">
    <w:abstractNumId w:val="21"/>
  </w:num>
  <w:num w:numId="9">
    <w:abstractNumId w:val="3"/>
  </w:num>
  <w:num w:numId="10">
    <w:abstractNumId w:val="0"/>
  </w:num>
  <w:num w:numId="11">
    <w:abstractNumId w:val="18"/>
  </w:num>
  <w:num w:numId="12">
    <w:abstractNumId w:val="23"/>
  </w:num>
  <w:num w:numId="13">
    <w:abstractNumId w:val="12"/>
  </w:num>
  <w:num w:numId="14">
    <w:abstractNumId w:val="26"/>
  </w:num>
  <w:num w:numId="15">
    <w:abstractNumId w:val="1"/>
  </w:num>
  <w:num w:numId="16">
    <w:abstractNumId w:val="25"/>
  </w:num>
  <w:num w:numId="17">
    <w:abstractNumId w:val="19"/>
  </w:num>
  <w:num w:numId="18">
    <w:abstractNumId w:val="7"/>
  </w:num>
  <w:num w:numId="19">
    <w:abstractNumId w:val="17"/>
  </w:num>
  <w:num w:numId="20">
    <w:abstractNumId w:val="6"/>
  </w:num>
  <w:num w:numId="21">
    <w:abstractNumId w:val="22"/>
  </w:num>
  <w:num w:numId="22">
    <w:abstractNumId w:val="13"/>
  </w:num>
  <w:num w:numId="23">
    <w:abstractNumId w:val="14"/>
  </w:num>
  <w:num w:numId="24">
    <w:abstractNumId w:val="8"/>
  </w:num>
  <w:num w:numId="25">
    <w:abstractNumId w:val="10"/>
  </w:num>
  <w:num w:numId="26">
    <w:abstractNumId w:val="20"/>
  </w:num>
  <w:num w:numId="27">
    <w:abstractNumId w:val="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A1"/>
    <w:rsid w:val="00003F23"/>
    <w:rsid w:val="00011730"/>
    <w:rsid w:val="00012A20"/>
    <w:rsid w:val="00027786"/>
    <w:rsid w:val="00053A6F"/>
    <w:rsid w:val="0006241F"/>
    <w:rsid w:val="000B2A20"/>
    <w:rsid w:val="000B73B2"/>
    <w:rsid w:val="000C0178"/>
    <w:rsid w:val="000D612B"/>
    <w:rsid w:val="000F3868"/>
    <w:rsid w:val="000F4C57"/>
    <w:rsid w:val="001837E2"/>
    <w:rsid w:val="00191014"/>
    <w:rsid w:val="001A4795"/>
    <w:rsid w:val="001C7865"/>
    <w:rsid w:val="001D5308"/>
    <w:rsid w:val="001E13A5"/>
    <w:rsid w:val="00213B44"/>
    <w:rsid w:val="00217269"/>
    <w:rsid w:val="00217D5A"/>
    <w:rsid w:val="00226A22"/>
    <w:rsid w:val="00250B62"/>
    <w:rsid w:val="00265742"/>
    <w:rsid w:val="0028759E"/>
    <w:rsid w:val="002C19B4"/>
    <w:rsid w:val="002E165C"/>
    <w:rsid w:val="002E7161"/>
    <w:rsid w:val="003039F7"/>
    <w:rsid w:val="0034270E"/>
    <w:rsid w:val="003616CF"/>
    <w:rsid w:val="00367876"/>
    <w:rsid w:val="003724DB"/>
    <w:rsid w:val="00397467"/>
    <w:rsid w:val="003E19D3"/>
    <w:rsid w:val="004338DF"/>
    <w:rsid w:val="00461D85"/>
    <w:rsid w:val="004667C4"/>
    <w:rsid w:val="004735D5"/>
    <w:rsid w:val="004B32C2"/>
    <w:rsid w:val="004F34BA"/>
    <w:rsid w:val="00507E2D"/>
    <w:rsid w:val="00507E75"/>
    <w:rsid w:val="0055067E"/>
    <w:rsid w:val="00574BFF"/>
    <w:rsid w:val="00593A2B"/>
    <w:rsid w:val="00596EC9"/>
    <w:rsid w:val="005C11B1"/>
    <w:rsid w:val="005C1ECB"/>
    <w:rsid w:val="005C5B41"/>
    <w:rsid w:val="00605F73"/>
    <w:rsid w:val="0067720E"/>
    <w:rsid w:val="0068628F"/>
    <w:rsid w:val="00692B3F"/>
    <w:rsid w:val="006B10CE"/>
    <w:rsid w:val="006C04DE"/>
    <w:rsid w:val="0072006A"/>
    <w:rsid w:val="00724577"/>
    <w:rsid w:val="007443E7"/>
    <w:rsid w:val="007C2273"/>
    <w:rsid w:val="00805941"/>
    <w:rsid w:val="00811904"/>
    <w:rsid w:val="00812AA1"/>
    <w:rsid w:val="00847A02"/>
    <w:rsid w:val="00874EAB"/>
    <w:rsid w:val="0088282C"/>
    <w:rsid w:val="008939B7"/>
    <w:rsid w:val="008B6823"/>
    <w:rsid w:val="008F2E25"/>
    <w:rsid w:val="00913D2D"/>
    <w:rsid w:val="00924244"/>
    <w:rsid w:val="0092755A"/>
    <w:rsid w:val="00932B86"/>
    <w:rsid w:val="00950EC0"/>
    <w:rsid w:val="0095290F"/>
    <w:rsid w:val="009550F5"/>
    <w:rsid w:val="00993BBD"/>
    <w:rsid w:val="009F0ED7"/>
    <w:rsid w:val="009F16C6"/>
    <w:rsid w:val="009F61E5"/>
    <w:rsid w:val="00A10989"/>
    <w:rsid w:val="00A24BBF"/>
    <w:rsid w:val="00A41A68"/>
    <w:rsid w:val="00A52CAB"/>
    <w:rsid w:val="00A910B2"/>
    <w:rsid w:val="00AE5C7F"/>
    <w:rsid w:val="00B11B37"/>
    <w:rsid w:val="00B57F09"/>
    <w:rsid w:val="00B61C4C"/>
    <w:rsid w:val="00B84C35"/>
    <w:rsid w:val="00BD0FB6"/>
    <w:rsid w:val="00C719DE"/>
    <w:rsid w:val="00C71C03"/>
    <w:rsid w:val="00C870B5"/>
    <w:rsid w:val="00CA1E4D"/>
    <w:rsid w:val="00CC3DD7"/>
    <w:rsid w:val="00CC46EB"/>
    <w:rsid w:val="00D03989"/>
    <w:rsid w:val="00D7562E"/>
    <w:rsid w:val="00DA0C07"/>
    <w:rsid w:val="00DA1F18"/>
    <w:rsid w:val="00DA2A65"/>
    <w:rsid w:val="00DA57F6"/>
    <w:rsid w:val="00DC19B9"/>
    <w:rsid w:val="00DC7181"/>
    <w:rsid w:val="00DE64D6"/>
    <w:rsid w:val="00DF033C"/>
    <w:rsid w:val="00DF47AE"/>
    <w:rsid w:val="00DF6A51"/>
    <w:rsid w:val="00E02A96"/>
    <w:rsid w:val="00E72F8C"/>
    <w:rsid w:val="00E87808"/>
    <w:rsid w:val="00EA5473"/>
    <w:rsid w:val="00ED3FC2"/>
    <w:rsid w:val="00EE6A6B"/>
    <w:rsid w:val="00F03067"/>
    <w:rsid w:val="00F168A1"/>
    <w:rsid w:val="00F25BBC"/>
    <w:rsid w:val="00F45B4F"/>
    <w:rsid w:val="00F51CE5"/>
    <w:rsid w:val="00F57BE3"/>
    <w:rsid w:val="00F70C04"/>
    <w:rsid w:val="00F931EA"/>
    <w:rsid w:val="00FA5CEE"/>
    <w:rsid w:val="00FC5C1C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14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31E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CC46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F931E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sk-SK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38D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31E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931EA"/>
    <w:rPr>
      <w:rFonts w:ascii="Times New Roman" w:hAnsi="Times New Roman" w:cs="Times New Roman"/>
      <w:b/>
      <w:bCs/>
      <w:sz w:val="27"/>
      <w:szCs w:val="27"/>
      <w:lang w:eastAsia="sk-SK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338DF"/>
    <w:rPr>
      <w:rFonts w:ascii="Cambria" w:hAnsi="Cambria" w:cs="Times New Roman"/>
      <w:b/>
      <w:bCs/>
      <w:i/>
      <w:iCs/>
      <w:color w:val="4F81BD"/>
    </w:rPr>
  </w:style>
  <w:style w:type="paragraph" w:customStyle="1" w:styleId="Default">
    <w:name w:val="Default"/>
    <w:rsid w:val="004F34B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l0">
    <w:name w:val="l0"/>
    <w:basedOn w:val="Normal"/>
    <w:uiPriority w:val="99"/>
    <w:rsid w:val="00F931EA"/>
    <w:pPr>
      <w:spacing w:before="100" w:beforeAutospacing="1" w:after="100" w:afterAutospacing="1" w:line="240" w:lineRule="auto"/>
    </w:pPr>
    <w:rPr>
      <w:rFonts w:eastAsia="Times New Roman"/>
      <w:szCs w:val="24"/>
      <w:lang w:eastAsia="sk-SK"/>
    </w:rPr>
  </w:style>
  <w:style w:type="character" w:styleId="Hyperlink">
    <w:name w:val="Hyperlink"/>
    <w:basedOn w:val="DefaultParagraphFont"/>
    <w:uiPriority w:val="99"/>
    <w:rsid w:val="00F931E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931EA"/>
    <w:pPr>
      <w:spacing w:before="100" w:beforeAutospacing="1" w:after="100" w:afterAutospacing="1" w:line="240" w:lineRule="auto"/>
    </w:pPr>
    <w:rPr>
      <w:rFonts w:eastAsia="Times New Roman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F931EA"/>
    <w:rPr>
      <w:rFonts w:cs="Times New Roman"/>
      <w:b/>
      <w:bCs/>
    </w:rPr>
  </w:style>
  <w:style w:type="character" w:customStyle="1" w:styleId="h1a">
    <w:name w:val="h1a"/>
    <w:basedOn w:val="DefaultParagraphFont"/>
    <w:uiPriority w:val="99"/>
    <w:rsid w:val="00F931E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338DF"/>
    <w:rPr>
      <w:rFonts w:cs="Times New Roman"/>
      <w:i/>
      <w:iCs/>
    </w:rPr>
  </w:style>
  <w:style w:type="paragraph" w:customStyle="1" w:styleId="l1">
    <w:name w:val="l1"/>
    <w:basedOn w:val="Normal"/>
    <w:uiPriority w:val="99"/>
    <w:rsid w:val="00265742"/>
    <w:pPr>
      <w:spacing w:before="100" w:beforeAutospacing="1" w:after="100" w:afterAutospacing="1" w:line="240" w:lineRule="auto"/>
    </w:pPr>
    <w:rPr>
      <w:rFonts w:eastAsia="Times New Roman"/>
      <w:szCs w:val="24"/>
      <w:lang w:eastAsia="sk-SK"/>
    </w:rPr>
  </w:style>
  <w:style w:type="paragraph" w:customStyle="1" w:styleId="l2">
    <w:name w:val="l2"/>
    <w:basedOn w:val="Normal"/>
    <w:uiPriority w:val="99"/>
    <w:rsid w:val="00265742"/>
    <w:pPr>
      <w:spacing w:before="100" w:beforeAutospacing="1" w:after="100" w:afterAutospacing="1" w:line="240" w:lineRule="auto"/>
    </w:pPr>
    <w:rPr>
      <w:rFonts w:eastAsia="Times New Roman"/>
      <w:szCs w:val="24"/>
      <w:lang w:eastAsia="sk-SK"/>
    </w:rPr>
  </w:style>
  <w:style w:type="character" w:customStyle="1" w:styleId="num">
    <w:name w:val="num"/>
    <w:basedOn w:val="DefaultParagraphFont"/>
    <w:uiPriority w:val="99"/>
    <w:rsid w:val="00265742"/>
    <w:rPr>
      <w:rFonts w:cs="Times New Roman"/>
    </w:rPr>
  </w:style>
  <w:style w:type="character" w:customStyle="1" w:styleId="apple-converted-space">
    <w:name w:val="apple-converted-space"/>
    <w:basedOn w:val="DefaultParagraphFont"/>
    <w:rsid w:val="00265742"/>
    <w:rPr>
      <w:rFonts w:cs="Times New Roman"/>
    </w:rPr>
  </w:style>
  <w:style w:type="paragraph" w:customStyle="1" w:styleId="l3">
    <w:name w:val="l3"/>
    <w:basedOn w:val="Normal"/>
    <w:uiPriority w:val="99"/>
    <w:rsid w:val="00265742"/>
    <w:pPr>
      <w:spacing w:before="100" w:beforeAutospacing="1" w:after="100" w:afterAutospacing="1" w:line="240" w:lineRule="auto"/>
    </w:pPr>
    <w:rPr>
      <w:rFonts w:eastAsia="Times New Roman"/>
      <w:szCs w:val="24"/>
      <w:lang w:eastAsia="sk-SK"/>
    </w:rPr>
  </w:style>
  <w:style w:type="paragraph" w:styleId="FootnoteText">
    <w:name w:val="footnote text"/>
    <w:basedOn w:val="Normal"/>
    <w:link w:val="FootnoteTextChar"/>
    <w:unhideWhenUsed/>
    <w:rsid w:val="003427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4270E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unhideWhenUsed/>
    <w:rsid w:val="0034270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870B5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805941"/>
    <w:pPr>
      <w:spacing w:after="0" w:line="240" w:lineRule="auto"/>
      <w:jc w:val="center"/>
    </w:pPr>
    <w:rPr>
      <w:rFonts w:eastAsia="Times New Roman"/>
      <w:b/>
      <w:bCs/>
      <w:szCs w:val="24"/>
      <w:lang w:eastAsia="cs-CZ"/>
    </w:rPr>
  </w:style>
  <w:style w:type="character" w:customStyle="1" w:styleId="TitleChar">
    <w:name w:val="Title Char"/>
    <w:basedOn w:val="DefaultParagraphFont"/>
    <w:link w:val="Title"/>
    <w:rsid w:val="00805941"/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Title1">
    <w:name w:val="Title1"/>
    <w:basedOn w:val="DefaultParagraphFont"/>
    <w:rsid w:val="00FA5CEE"/>
  </w:style>
  <w:style w:type="character" w:customStyle="1" w:styleId="shortdesc">
    <w:name w:val="short_desc"/>
    <w:basedOn w:val="DefaultParagraphFont"/>
    <w:rsid w:val="00FA5CEE"/>
  </w:style>
  <w:style w:type="paragraph" w:styleId="HTMLPreformatted">
    <w:name w:val="HTML Preformatted"/>
    <w:basedOn w:val="Normal"/>
    <w:link w:val="HTMLPreformattedChar"/>
    <w:uiPriority w:val="99"/>
    <w:unhideWhenUsed/>
    <w:rsid w:val="00ED3F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3FC2"/>
    <w:rPr>
      <w:rFonts w:ascii="Courier New" w:eastAsia="Times New Roman" w:hAnsi="Courier New" w:cs="Courier New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ED3FC2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B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73B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3B2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CC46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B11B37"/>
    <w:pPr>
      <w:spacing w:after="0" w:line="240" w:lineRule="auto"/>
      <w:jc w:val="center"/>
    </w:pPr>
    <w:rPr>
      <w:rFonts w:eastAsia="Times New Roman"/>
      <w:sz w:val="28"/>
      <w:szCs w:val="24"/>
      <w:lang w:eastAsia="cs-CZ"/>
    </w:rPr>
  </w:style>
  <w:style w:type="character" w:customStyle="1" w:styleId="BodyTextChar">
    <w:name w:val="Body Text Char"/>
    <w:basedOn w:val="DefaultParagraphFont"/>
    <w:link w:val="BodyText"/>
    <w:rsid w:val="00B11B37"/>
    <w:rPr>
      <w:rFonts w:ascii="Times New Roman" w:eastAsia="Times New Roman" w:hAnsi="Times New Roman"/>
      <w:sz w:val="28"/>
      <w:szCs w:val="24"/>
      <w:lang w:eastAsia="cs-CZ"/>
    </w:rPr>
  </w:style>
  <w:style w:type="paragraph" w:styleId="BodyText2">
    <w:name w:val="Body Text 2"/>
    <w:basedOn w:val="Normal"/>
    <w:link w:val="BodyText2Char"/>
    <w:rsid w:val="00B11B37"/>
    <w:pPr>
      <w:spacing w:after="0"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BodyText2Char">
    <w:name w:val="Body Text 2 Char"/>
    <w:basedOn w:val="DefaultParagraphFont"/>
    <w:link w:val="BodyText2"/>
    <w:rsid w:val="00B11B37"/>
    <w:rPr>
      <w:rFonts w:ascii="Times New Roman" w:eastAsia="Times New Roman" w:hAnsi="Times New Roman"/>
      <w:sz w:val="24"/>
      <w:szCs w:val="24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B11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B37"/>
    <w:pPr>
      <w:spacing w:after="0" w:line="240" w:lineRule="auto"/>
    </w:pPr>
    <w:rPr>
      <w:rFonts w:eastAsia="Times New Roman"/>
      <w:sz w:val="20"/>
      <w:szCs w:val="20"/>
      <w:lang w:val="cs-CZ" w:eastAsia="cs-C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B37"/>
    <w:rPr>
      <w:rFonts w:ascii="Times New Roman" w:eastAsia="Times New Roman" w:hAnsi="Times New Roman"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3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14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31E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CC46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F931E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sk-SK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38D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31E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931EA"/>
    <w:rPr>
      <w:rFonts w:ascii="Times New Roman" w:hAnsi="Times New Roman" w:cs="Times New Roman"/>
      <w:b/>
      <w:bCs/>
      <w:sz w:val="27"/>
      <w:szCs w:val="27"/>
      <w:lang w:eastAsia="sk-SK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338DF"/>
    <w:rPr>
      <w:rFonts w:ascii="Cambria" w:hAnsi="Cambria" w:cs="Times New Roman"/>
      <w:b/>
      <w:bCs/>
      <w:i/>
      <w:iCs/>
      <w:color w:val="4F81BD"/>
    </w:rPr>
  </w:style>
  <w:style w:type="paragraph" w:customStyle="1" w:styleId="Default">
    <w:name w:val="Default"/>
    <w:rsid w:val="004F34B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l0">
    <w:name w:val="l0"/>
    <w:basedOn w:val="Normal"/>
    <w:uiPriority w:val="99"/>
    <w:rsid w:val="00F931EA"/>
    <w:pPr>
      <w:spacing w:before="100" w:beforeAutospacing="1" w:after="100" w:afterAutospacing="1" w:line="240" w:lineRule="auto"/>
    </w:pPr>
    <w:rPr>
      <w:rFonts w:eastAsia="Times New Roman"/>
      <w:szCs w:val="24"/>
      <w:lang w:eastAsia="sk-SK"/>
    </w:rPr>
  </w:style>
  <w:style w:type="character" w:styleId="Hyperlink">
    <w:name w:val="Hyperlink"/>
    <w:basedOn w:val="DefaultParagraphFont"/>
    <w:uiPriority w:val="99"/>
    <w:rsid w:val="00F931E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931EA"/>
    <w:pPr>
      <w:spacing w:before="100" w:beforeAutospacing="1" w:after="100" w:afterAutospacing="1" w:line="240" w:lineRule="auto"/>
    </w:pPr>
    <w:rPr>
      <w:rFonts w:eastAsia="Times New Roman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F931EA"/>
    <w:rPr>
      <w:rFonts w:cs="Times New Roman"/>
      <w:b/>
      <w:bCs/>
    </w:rPr>
  </w:style>
  <w:style w:type="character" w:customStyle="1" w:styleId="h1a">
    <w:name w:val="h1a"/>
    <w:basedOn w:val="DefaultParagraphFont"/>
    <w:uiPriority w:val="99"/>
    <w:rsid w:val="00F931E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338DF"/>
    <w:rPr>
      <w:rFonts w:cs="Times New Roman"/>
      <w:i/>
      <w:iCs/>
    </w:rPr>
  </w:style>
  <w:style w:type="paragraph" w:customStyle="1" w:styleId="l1">
    <w:name w:val="l1"/>
    <w:basedOn w:val="Normal"/>
    <w:uiPriority w:val="99"/>
    <w:rsid w:val="00265742"/>
    <w:pPr>
      <w:spacing w:before="100" w:beforeAutospacing="1" w:after="100" w:afterAutospacing="1" w:line="240" w:lineRule="auto"/>
    </w:pPr>
    <w:rPr>
      <w:rFonts w:eastAsia="Times New Roman"/>
      <w:szCs w:val="24"/>
      <w:lang w:eastAsia="sk-SK"/>
    </w:rPr>
  </w:style>
  <w:style w:type="paragraph" w:customStyle="1" w:styleId="l2">
    <w:name w:val="l2"/>
    <w:basedOn w:val="Normal"/>
    <w:uiPriority w:val="99"/>
    <w:rsid w:val="00265742"/>
    <w:pPr>
      <w:spacing w:before="100" w:beforeAutospacing="1" w:after="100" w:afterAutospacing="1" w:line="240" w:lineRule="auto"/>
    </w:pPr>
    <w:rPr>
      <w:rFonts w:eastAsia="Times New Roman"/>
      <w:szCs w:val="24"/>
      <w:lang w:eastAsia="sk-SK"/>
    </w:rPr>
  </w:style>
  <w:style w:type="character" w:customStyle="1" w:styleId="num">
    <w:name w:val="num"/>
    <w:basedOn w:val="DefaultParagraphFont"/>
    <w:uiPriority w:val="99"/>
    <w:rsid w:val="00265742"/>
    <w:rPr>
      <w:rFonts w:cs="Times New Roman"/>
    </w:rPr>
  </w:style>
  <w:style w:type="character" w:customStyle="1" w:styleId="apple-converted-space">
    <w:name w:val="apple-converted-space"/>
    <w:basedOn w:val="DefaultParagraphFont"/>
    <w:rsid w:val="00265742"/>
    <w:rPr>
      <w:rFonts w:cs="Times New Roman"/>
    </w:rPr>
  </w:style>
  <w:style w:type="paragraph" w:customStyle="1" w:styleId="l3">
    <w:name w:val="l3"/>
    <w:basedOn w:val="Normal"/>
    <w:uiPriority w:val="99"/>
    <w:rsid w:val="00265742"/>
    <w:pPr>
      <w:spacing w:before="100" w:beforeAutospacing="1" w:after="100" w:afterAutospacing="1" w:line="240" w:lineRule="auto"/>
    </w:pPr>
    <w:rPr>
      <w:rFonts w:eastAsia="Times New Roman"/>
      <w:szCs w:val="24"/>
      <w:lang w:eastAsia="sk-SK"/>
    </w:rPr>
  </w:style>
  <w:style w:type="paragraph" w:styleId="FootnoteText">
    <w:name w:val="footnote text"/>
    <w:basedOn w:val="Normal"/>
    <w:link w:val="FootnoteTextChar"/>
    <w:unhideWhenUsed/>
    <w:rsid w:val="003427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4270E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unhideWhenUsed/>
    <w:rsid w:val="0034270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870B5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805941"/>
    <w:pPr>
      <w:spacing w:after="0" w:line="240" w:lineRule="auto"/>
      <w:jc w:val="center"/>
    </w:pPr>
    <w:rPr>
      <w:rFonts w:eastAsia="Times New Roman"/>
      <w:b/>
      <w:bCs/>
      <w:szCs w:val="24"/>
      <w:lang w:eastAsia="cs-CZ"/>
    </w:rPr>
  </w:style>
  <w:style w:type="character" w:customStyle="1" w:styleId="TitleChar">
    <w:name w:val="Title Char"/>
    <w:basedOn w:val="DefaultParagraphFont"/>
    <w:link w:val="Title"/>
    <w:rsid w:val="00805941"/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Title1">
    <w:name w:val="Title1"/>
    <w:basedOn w:val="DefaultParagraphFont"/>
    <w:rsid w:val="00FA5CEE"/>
  </w:style>
  <w:style w:type="character" w:customStyle="1" w:styleId="shortdesc">
    <w:name w:val="short_desc"/>
    <w:basedOn w:val="DefaultParagraphFont"/>
    <w:rsid w:val="00FA5CEE"/>
  </w:style>
  <w:style w:type="paragraph" w:styleId="HTMLPreformatted">
    <w:name w:val="HTML Preformatted"/>
    <w:basedOn w:val="Normal"/>
    <w:link w:val="HTMLPreformattedChar"/>
    <w:uiPriority w:val="99"/>
    <w:unhideWhenUsed/>
    <w:rsid w:val="00ED3F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3FC2"/>
    <w:rPr>
      <w:rFonts w:ascii="Courier New" w:eastAsia="Times New Roman" w:hAnsi="Courier New" w:cs="Courier New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ED3FC2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B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73B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3B2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CC46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B11B37"/>
    <w:pPr>
      <w:spacing w:after="0" w:line="240" w:lineRule="auto"/>
      <w:jc w:val="center"/>
    </w:pPr>
    <w:rPr>
      <w:rFonts w:eastAsia="Times New Roman"/>
      <w:sz w:val="28"/>
      <w:szCs w:val="24"/>
      <w:lang w:eastAsia="cs-CZ"/>
    </w:rPr>
  </w:style>
  <w:style w:type="character" w:customStyle="1" w:styleId="BodyTextChar">
    <w:name w:val="Body Text Char"/>
    <w:basedOn w:val="DefaultParagraphFont"/>
    <w:link w:val="BodyText"/>
    <w:rsid w:val="00B11B37"/>
    <w:rPr>
      <w:rFonts w:ascii="Times New Roman" w:eastAsia="Times New Roman" w:hAnsi="Times New Roman"/>
      <w:sz w:val="28"/>
      <w:szCs w:val="24"/>
      <w:lang w:eastAsia="cs-CZ"/>
    </w:rPr>
  </w:style>
  <w:style w:type="paragraph" w:styleId="BodyText2">
    <w:name w:val="Body Text 2"/>
    <w:basedOn w:val="Normal"/>
    <w:link w:val="BodyText2Char"/>
    <w:rsid w:val="00B11B37"/>
    <w:pPr>
      <w:spacing w:after="0"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BodyText2Char">
    <w:name w:val="Body Text 2 Char"/>
    <w:basedOn w:val="DefaultParagraphFont"/>
    <w:link w:val="BodyText2"/>
    <w:rsid w:val="00B11B37"/>
    <w:rPr>
      <w:rFonts w:ascii="Times New Roman" w:eastAsia="Times New Roman" w:hAnsi="Times New Roman"/>
      <w:sz w:val="24"/>
      <w:szCs w:val="24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B11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B37"/>
    <w:pPr>
      <w:spacing w:after="0" w:line="240" w:lineRule="auto"/>
    </w:pPr>
    <w:rPr>
      <w:rFonts w:eastAsia="Times New Roman"/>
      <w:sz w:val="20"/>
      <w:szCs w:val="20"/>
      <w:lang w:val="cs-CZ" w:eastAsia="cs-C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B37"/>
    <w:rPr>
      <w:rFonts w:ascii="Times New Roman" w:eastAsia="Times New Roman" w:hAnsi="Times New Roman"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hchr.ch/huridocda/huridoca.nsf/(Symbol)/A.52.469.Add.1%20and%20Corr.1.En?Open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6ABF3-2824-4D63-A43A-ABCCA36C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1363</Words>
  <Characters>7775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Kuruc</dc:creator>
  <cp:lastModifiedBy>Lota Pufflerova</cp:lastModifiedBy>
  <cp:revision>4</cp:revision>
  <dcterms:created xsi:type="dcterms:W3CDTF">2014-04-05T18:07:00Z</dcterms:created>
  <dcterms:modified xsi:type="dcterms:W3CDTF">2014-05-12T14:45:00Z</dcterms:modified>
</cp:coreProperties>
</file>