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F7" w:rsidRPr="00C805F4" w:rsidRDefault="007D7B74" w:rsidP="00C805F4">
      <w:pPr>
        <w:pStyle w:val="Nadpis2"/>
        <w:shd w:val="clear" w:color="auto" w:fill="FFFFFF" w:themeFill="background1"/>
        <w:spacing w:before="120" w:line="240" w:lineRule="auto"/>
        <w:ind w:left="720" w:hanging="360"/>
        <w:rPr>
          <w:color w:val="auto"/>
          <w:sz w:val="24"/>
          <w:szCs w:val="24"/>
        </w:rPr>
      </w:pPr>
      <w:r w:rsidRPr="00C805F4">
        <w:rPr>
          <w:color w:val="auto"/>
          <w:sz w:val="24"/>
          <w:szCs w:val="24"/>
        </w:rPr>
        <w:t>P</w:t>
      </w:r>
      <w:r w:rsidR="008C47F7" w:rsidRPr="00C805F4">
        <w:rPr>
          <w:color w:val="auto"/>
          <w:sz w:val="24"/>
          <w:szCs w:val="24"/>
        </w:rPr>
        <w:t>rehlaď najčastejších predsudkov a</w:t>
      </w:r>
      <w:r w:rsidR="003B1A64" w:rsidRPr="00C805F4">
        <w:rPr>
          <w:color w:val="auto"/>
          <w:sz w:val="24"/>
          <w:szCs w:val="24"/>
        </w:rPr>
        <w:t> argumenty o ich nesprávnosti</w:t>
      </w:r>
      <w:r w:rsidR="008C47F7" w:rsidRPr="00C805F4">
        <w:rPr>
          <w:color w:val="auto"/>
          <w:sz w:val="24"/>
          <w:szCs w:val="24"/>
        </w:rPr>
        <w:t xml:space="preserve"> vypracované Parlam</w:t>
      </w:r>
      <w:r w:rsidR="00C805F4" w:rsidRPr="00C805F4">
        <w:rPr>
          <w:color w:val="auto"/>
          <w:sz w:val="24"/>
          <w:szCs w:val="24"/>
        </w:rPr>
        <w:t>entným zhromaždením Rady Európy</w:t>
      </w:r>
      <w:r w:rsidR="00402F5F" w:rsidRPr="00C805F4">
        <w:rPr>
          <w:color w:val="auto"/>
          <w:sz w:val="24"/>
          <w:szCs w:val="24"/>
          <w:vertAlign w:val="superscript"/>
        </w:rPr>
        <w:footnoteReference w:id="1"/>
      </w:r>
      <w:r w:rsidR="008C47F7" w:rsidRPr="00C805F4">
        <w:rPr>
          <w:color w:val="auto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EB6E89" w:rsidRPr="001F458F" w:rsidTr="001F458F">
        <w:tc>
          <w:tcPr>
            <w:tcW w:w="4077" w:type="dxa"/>
          </w:tcPr>
          <w:p w:rsidR="00EB6E89" w:rsidRPr="001F458F" w:rsidRDefault="00396892" w:rsidP="00EB6E89">
            <w:pPr>
              <w:pStyle w:val="Nadpis2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Najbežnejšie</w:t>
            </w:r>
            <w:r w:rsidR="00EB6E89" w:rsidRPr="001F458F">
              <w:rPr>
                <w:sz w:val="22"/>
                <w:szCs w:val="22"/>
              </w:rPr>
              <w:t xml:space="preserve"> </w:t>
            </w:r>
            <w:r w:rsidRPr="001F458F">
              <w:rPr>
                <w:sz w:val="22"/>
                <w:szCs w:val="22"/>
              </w:rPr>
              <w:t>predsudky</w:t>
            </w:r>
          </w:p>
          <w:p w:rsidR="00EB6E89" w:rsidRPr="001F458F" w:rsidRDefault="00EB6E89" w:rsidP="00EB6E89"/>
        </w:tc>
        <w:tc>
          <w:tcPr>
            <w:tcW w:w="5135" w:type="dxa"/>
          </w:tcPr>
          <w:p w:rsidR="00EB6E89" w:rsidRPr="001F458F" w:rsidRDefault="00396892" w:rsidP="00EB6E89">
            <w:pPr>
              <w:pStyle w:val="Nadpis2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Odpovede</w:t>
            </w:r>
          </w:p>
        </w:tc>
      </w:tr>
      <w:tr w:rsidR="00EB6E89" w:rsidTr="001F458F">
        <w:tc>
          <w:tcPr>
            <w:tcW w:w="4077" w:type="dxa"/>
          </w:tcPr>
          <w:p w:rsidR="00EB6E89" w:rsidRDefault="00402F5F" w:rsidP="008C47F7">
            <w:r>
              <w:t>„</w:t>
            </w:r>
            <w:r w:rsidR="00EB6E89" w:rsidRPr="00EB6E89">
              <w:t>Homosexualita je choroba”</w:t>
            </w:r>
          </w:p>
        </w:tc>
        <w:tc>
          <w:tcPr>
            <w:tcW w:w="5135" w:type="dxa"/>
          </w:tcPr>
          <w:p w:rsidR="00EB6E89" w:rsidRDefault="00EB6E89" w:rsidP="00EB6E89">
            <w:r w:rsidRPr="00EB6E89">
              <w:t>Svetová z</w:t>
            </w:r>
            <w:r>
              <w:t>dravotní</w:t>
            </w:r>
            <w:r w:rsidR="00A03D3A">
              <w:t>c</w:t>
            </w:r>
            <w:r>
              <w:t xml:space="preserve">ka organizácia rozhodla </w:t>
            </w:r>
            <w:r w:rsidRPr="00EB6E89">
              <w:t xml:space="preserve">pred </w:t>
            </w:r>
            <w:r>
              <w:t xml:space="preserve">vyše </w:t>
            </w:r>
            <w:r w:rsidRPr="00EB6E89">
              <w:t>dvadsiatimi rokmi, že homosexualita nie je choroba.</w:t>
            </w:r>
            <w:r>
              <w:rPr>
                <w:rStyle w:val="Odkaznapoznmkupodiarou"/>
              </w:rPr>
              <w:footnoteReference w:id="2"/>
            </w:r>
          </w:p>
        </w:tc>
      </w:tr>
      <w:tr w:rsidR="00EB6E89" w:rsidTr="001F458F">
        <w:tc>
          <w:tcPr>
            <w:tcW w:w="4077" w:type="dxa"/>
          </w:tcPr>
          <w:p w:rsidR="00EB6E89" w:rsidRDefault="00402F5F" w:rsidP="008C47F7">
            <w:r>
              <w:t>„</w:t>
            </w:r>
            <w:r w:rsidR="00EB6E89" w:rsidRPr="00EB6E89">
              <w:t>Homos</w:t>
            </w:r>
            <w:r>
              <w:t>exualita je abnormálna”, je to „</w:t>
            </w:r>
            <w:r w:rsidR="00EB6E89" w:rsidRPr="00EB6E89">
              <w:t>porucha osobnosti”</w:t>
            </w:r>
          </w:p>
        </w:tc>
        <w:tc>
          <w:tcPr>
            <w:tcW w:w="5135" w:type="dxa"/>
          </w:tcPr>
          <w:p w:rsidR="00EB6E89" w:rsidRDefault="00EB6E89" w:rsidP="008C47F7">
            <w:r w:rsidRPr="00EB6E89">
              <w:t>Väčšinový vedecký a medicínsky ná</w:t>
            </w:r>
            <w:r w:rsidR="00A26024">
              <w:t>zor potvrdzuje, že homosexuálna orientácia</w:t>
            </w:r>
            <w:r w:rsidRPr="00EB6E89">
              <w:t xml:space="preserve"> je prirodzený</w:t>
            </w:r>
            <w:r>
              <w:t>m variantom ľudského správania.</w:t>
            </w:r>
            <w:r>
              <w:rPr>
                <w:rStyle w:val="Odkaznapoznmkupodiarou"/>
              </w:rPr>
              <w:footnoteReference w:id="3"/>
            </w:r>
          </w:p>
        </w:tc>
      </w:tr>
      <w:tr w:rsidR="00EB6E89" w:rsidTr="001F458F">
        <w:tc>
          <w:tcPr>
            <w:tcW w:w="4077" w:type="dxa"/>
          </w:tcPr>
          <w:p w:rsidR="00EB6E89" w:rsidRDefault="00402F5F" w:rsidP="008C47F7">
            <w:r>
              <w:t>„</w:t>
            </w:r>
            <w:r w:rsidRPr="00402F5F">
              <w:t>Homosexualita je nemorálna”</w:t>
            </w:r>
          </w:p>
        </w:tc>
        <w:tc>
          <w:tcPr>
            <w:tcW w:w="5135" w:type="dxa"/>
          </w:tcPr>
          <w:p w:rsidR="00EB6E89" w:rsidRDefault="00402F5F" w:rsidP="008C47F7">
            <w:r w:rsidRPr="00402F5F">
              <w:t>Tento subjektívny pohľad je väčšinou založený na náboženskej dogme. V demokratickej spoločnosti teda nemôže byť dôvodom pre obmedzenie práv druhých.</w:t>
            </w:r>
          </w:p>
        </w:tc>
      </w:tr>
      <w:tr w:rsidR="00EB6E89" w:rsidTr="001F458F">
        <w:tc>
          <w:tcPr>
            <w:tcW w:w="4077" w:type="dxa"/>
          </w:tcPr>
          <w:p w:rsidR="00EB6E89" w:rsidRDefault="00402F5F" w:rsidP="008C47F7">
            <w:r>
              <w:t>„</w:t>
            </w:r>
            <w:r w:rsidRPr="00402F5F">
              <w:t>Počet homosexuálov sa zvyšuje”</w:t>
            </w:r>
          </w:p>
        </w:tc>
        <w:tc>
          <w:tcPr>
            <w:tcW w:w="5135" w:type="dxa"/>
          </w:tcPr>
          <w:p w:rsidR="00EB6E89" w:rsidRDefault="00402F5F" w:rsidP="008C47F7">
            <w:r w:rsidRPr="00402F5F">
              <w:t xml:space="preserve">Počet </w:t>
            </w:r>
            <w:proofErr w:type="spellStart"/>
            <w:r w:rsidRPr="00402F5F">
              <w:t>lesieb</w:t>
            </w:r>
            <w:proofErr w:type="spellEnd"/>
            <w:r w:rsidRPr="00402F5F">
              <w:t xml:space="preserve">, </w:t>
            </w:r>
            <w:proofErr w:type="spellStart"/>
            <w:r w:rsidRPr="00402F5F">
              <w:t>gejov</w:t>
            </w:r>
            <w:proofErr w:type="spellEnd"/>
            <w:r w:rsidRPr="00402F5F">
              <w:t xml:space="preserve"> a bisexuálnych ľudí sa nezvyšuje. Títo ľudia sa iba stávajú viditeľnými.</w:t>
            </w:r>
            <w:r>
              <w:rPr>
                <w:rStyle w:val="Odkaznapoznmkupodiarou"/>
              </w:rPr>
              <w:footnoteReference w:id="4"/>
            </w:r>
          </w:p>
        </w:tc>
      </w:tr>
      <w:tr w:rsidR="00EB6E89" w:rsidTr="001F458F">
        <w:tc>
          <w:tcPr>
            <w:tcW w:w="4077" w:type="dxa"/>
          </w:tcPr>
          <w:p w:rsidR="00EB6E89" w:rsidRDefault="000E11B0" w:rsidP="008C47F7">
            <w:r>
              <w:t>„</w:t>
            </w:r>
            <w:r w:rsidR="00402F5F" w:rsidRPr="00402F5F">
              <w:t>Homosexualita</w:t>
            </w:r>
            <w:r w:rsidR="00A26024">
              <w:t xml:space="preserve"> zhoršuje demografickú krízu a</w:t>
            </w:r>
            <w:r w:rsidR="00402F5F" w:rsidRPr="00402F5F">
              <w:t xml:space="preserve"> ohrozuje budúcnosť národa”</w:t>
            </w:r>
          </w:p>
        </w:tc>
        <w:tc>
          <w:tcPr>
            <w:tcW w:w="5135" w:type="dxa"/>
          </w:tcPr>
          <w:p w:rsidR="00EB6E89" w:rsidRDefault="000E11B0" w:rsidP="008C47F7">
            <w:r w:rsidRPr="000E11B0">
              <w:t>Obviňovanie malej menšiny za národný demografický pokles je nelogické a slúži iba na odvedenie pozornosti od jeho skutočných príčin.</w:t>
            </w:r>
            <w:r>
              <w:rPr>
                <w:rStyle w:val="Odkaznapoznmkupodiarou"/>
              </w:rPr>
              <w:footnoteReference w:id="5"/>
            </w:r>
          </w:p>
        </w:tc>
      </w:tr>
      <w:tr w:rsidR="00EB6E89" w:rsidTr="001F458F">
        <w:tc>
          <w:tcPr>
            <w:tcW w:w="4077" w:type="dxa"/>
          </w:tcPr>
          <w:p w:rsidR="00EB6E89" w:rsidRDefault="000E11B0" w:rsidP="00ED0F34">
            <w:r>
              <w:t>„</w:t>
            </w:r>
            <w:r w:rsidR="00402F5F" w:rsidRPr="00402F5F">
              <w:t xml:space="preserve">Právne </w:t>
            </w:r>
            <w:r w:rsidR="00402F5F">
              <w:t>uznanie</w:t>
            </w:r>
            <w:r w:rsidR="00ED0F34">
              <w:t xml:space="preserve"> </w:t>
            </w:r>
            <w:r w:rsidR="00402F5F" w:rsidRPr="00402F5F">
              <w:t xml:space="preserve">vzťahov </w:t>
            </w:r>
            <w:r w:rsidR="00ED0F34">
              <w:t xml:space="preserve">párov rovnakého pohlavia </w:t>
            </w:r>
            <w:r w:rsidR="00402F5F" w:rsidRPr="00402F5F">
              <w:t>je nebezpečenstvom pre tradičnú rodinu”</w:t>
            </w:r>
          </w:p>
        </w:tc>
        <w:tc>
          <w:tcPr>
            <w:tcW w:w="5135" w:type="dxa"/>
          </w:tcPr>
          <w:p w:rsidR="00EB6E89" w:rsidRDefault="000E11B0" w:rsidP="008C47F7">
            <w:r w:rsidRPr="000E11B0">
              <w:t>Uzákonenie právnej formy spolužitia párov rovnakého pohlavia nemá žiadny vplyv na manželstvo či rodičovstvo heterosexuálov.</w:t>
            </w:r>
            <w:r>
              <w:rPr>
                <w:rStyle w:val="Odkaznapoznmkupodiarou"/>
              </w:rPr>
              <w:footnoteReference w:id="6"/>
            </w:r>
          </w:p>
        </w:tc>
      </w:tr>
      <w:tr w:rsidR="000E11B0" w:rsidTr="001F458F">
        <w:tc>
          <w:tcPr>
            <w:tcW w:w="4077" w:type="dxa"/>
          </w:tcPr>
          <w:p w:rsidR="000E11B0" w:rsidRDefault="000E11B0" w:rsidP="008C47F7">
            <w:r>
              <w:t>„</w:t>
            </w:r>
            <w:r w:rsidRPr="000E11B0">
              <w:t>Propaganda môže mladých ľudí konvertovať na homosexuálov”</w:t>
            </w:r>
          </w:p>
        </w:tc>
        <w:tc>
          <w:tcPr>
            <w:tcW w:w="5135" w:type="dxa"/>
          </w:tcPr>
          <w:p w:rsidR="000E11B0" w:rsidRDefault="000E11B0" w:rsidP="008C47F7">
            <w:r w:rsidRPr="000E11B0">
              <w:t>Neexistuje dôkaz na podporu tohto tvrdenia.</w:t>
            </w:r>
            <w:r>
              <w:rPr>
                <w:rStyle w:val="Odkaznapoznmkupodiarou"/>
              </w:rPr>
              <w:footnoteReference w:id="7"/>
            </w:r>
          </w:p>
        </w:tc>
      </w:tr>
      <w:tr w:rsidR="00EB6E89" w:rsidTr="001F458F">
        <w:tc>
          <w:tcPr>
            <w:tcW w:w="4077" w:type="dxa"/>
          </w:tcPr>
          <w:p w:rsidR="00EB6E89" w:rsidRDefault="000E11B0" w:rsidP="008C47F7">
            <w:r>
              <w:t>„</w:t>
            </w:r>
            <w:r w:rsidRPr="000E11B0">
              <w:t>Homosexuáli sú nebezpeční pre deti”</w:t>
            </w:r>
          </w:p>
        </w:tc>
        <w:tc>
          <w:tcPr>
            <w:tcW w:w="5135" w:type="dxa"/>
          </w:tcPr>
          <w:p w:rsidR="00EB6E89" w:rsidRDefault="000E11B0" w:rsidP="008C47F7">
            <w:proofErr w:type="spellStart"/>
            <w:r>
              <w:t>Gejovia</w:t>
            </w:r>
            <w:proofErr w:type="spellEnd"/>
            <w:r w:rsidRPr="000E11B0">
              <w:t xml:space="preserve">, </w:t>
            </w:r>
            <w:proofErr w:type="spellStart"/>
            <w:r w:rsidRPr="000E11B0">
              <w:t>lesby</w:t>
            </w:r>
            <w:proofErr w:type="spellEnd"/>
            <w:r w:rsidRPr="000E11B0">
              <w:t xml:space="preserve"> a bisexuálni ľudia nie sú o nič väčším nebezpečen</w:t>
            </w:r>
            <w:r w:rsidR="00A26024">
              <w:t>stvom pre deti ako heterosexuálni ľudia</w:t>
            </w:r>
            <w:r w:rsidRPr="000E11B0">
              <w:t>.</w:t>
            </w:r>
            <w:r w:rsidR="00337692">
              <w:rPr>
                <w:rStyle w:val="Odkaznapoznmkupodiarou"/>
              </w:rPr>
              <w:footnoteReference w:id="8"/>
            </w:r>
          </w:p>
        </w:tc>
      </w:tr>
    </w:tbl>
    <w:tbl>
      <w:tblPr>
        <w:tblStyle w:val="Mriekatabuky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F458F" w:rsidTr="001F458F">
        <w:tc>
          <w:tcPr>
            <w:tcW w:w="4606" w:type="dxa"/>
          </w:tcPr>
          <w:p w:rsidR="001F458F" w:rsidRPr="001F458F" w:rsidRDefault="001F458F" w:rsidP="001F458F">
            <w:pPr>
              <w:pStyle w:val="Nadpis2"/>
              <w:jc w:val="center"/>
              <w:outlineLvl w:val="1"/>
              <w:rPr>
                <w:sz w:val="22"/>
                <w:szCs w:val="22"/>
              </w:rPr>
            </w:pPr>
            <w:r w:rsidRPr="001F458F">
              <w:rPr>
                <w:sz w:val="22"/>
                <w:szCs w:val="22"/>
              </w:rPr>
              <w:lastRenderedPageBreak/>
              <w:t>Predsudky</w:t>
            </w:r>
          </w:p>
          <w:p w:rsidR="001F458F" w:rsidRPr="001F458F" w:rsidRDefault="001F458F" w:rsidP="001F458F"/>
        </w:tc>
        <w:tc>
          <w:tcPr>
            <w:tcW w:w="4606" w:type="dxa"/>
          </w:tcPr>
          <w:p w:rsidR="001F458F" w:rsidRPr="001F458F" w:rsidRDefault="00396892" w:rsidP="001F458F">
            <w:pPr>
              <w:pStyle w:val="Nadpis2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Odpovede</w:t>
            </w:r>
            <w:r w:rsidR="001F458F" w:rsidRPr="001F458F">
              <w:rPr>
                <w:sz w:val="22"/>
                <w:szCs w:val="22"/>
              </w:rPr>
              <w:t xml:space="preserve"> na základe </w:t>
            </w:r>
            <w:proofErr w:type="spellStart"/>
            <w:r w:rsidR="001F458F" w:rsidRPr="001F458F">
              <w:rPr>
                <w:sz w:val="22"/>
                <w:szCs w:val="22"/>
              </w:rPr>
              <w:t>ľudskoprávneho</w:t>
            </w:r>
            <w:proofErr w:type="spellEnd"/>
            <w:r w:rsidR="001F458F" w:rsidRPr="001F458F">
              <w:rPr>
                <w:sz w:val="22"/>
                <w:szCs w:val="22"/>
              </w:rPr>
              <w:t xml:space="preserve"> princípu</w:t>
            </w:r>
          </w:p>
        </w:tc>
      </w:tr>
      <w:tr w:rsidR="001F458F" w:rsidTr="001F458F">
        <w:tc>
          <w:tcPr>
            <w:tcW w:w="4606" w:type="dxa"/>
          </w:tcPr>
          <w:p w:rsidR="001F458F" w:rsidRDefault="001F458F" w:rsidP="001F458F">
            <w:r>
              <w:t>„</w:t>
            </w:r>
            <w:r w:rsidRPr="00CA360B">
              <w:t xml:space="preserve">Homosexualita je neakceptovateľná pre veľkú časť spoločnosti, </w:t>
            </w:r>
            <w:r>
              <w:t>ktorá ospravedlňuje</w:t>
            </w:r>
            <w:r w:rsidRPr="00CA360B">
              <w:t xml:space="preserve"> diskrimináciu</w:t>
            </w:r>
            <w:r>
              <w:t xml:space="preserve"> náboženskými a sociálnymi normami</w:t>
            </w:r>
            <w:r w:rsidRPr="00CA360B">
              <w:t>”</w:t>
            </w:r>
          </w:p>
        </w:tc>
        <w:tc>
          <w:tcPr>
            <w:tcW w:w="4606" w:type="dxa"/>
          </w:tcPr>
          <w:p w:rsidR="001F458F" w:rsidRDefault="001F458F" w:rsidP="001F458F">
            <w:r w:rsidRPr="00CA360B">
              <w:t>Európsky súd pre ľudské práva rozhodol, že predsudky a postoje heterosexuálnej väčšiny nemôžu byť použité pre ospravedlnenie diskriminácie.</w:t>
            </w:r>
            <w:r>
              <w:rPr>
                <w:rStyle w:val="Odkaznapoznmkupodiarou"/>
              </w:rPr>
              <w:footnoteReference w:id="9"/>
            </w:r>
          </w:p>
        </w:tc>
      </w:tr>
      <w:tr w:rsidR="001F458F" w:rsidTr="001F458F">
        <w:tc>
          <w:tcPr>
            <w:tcW w:w="4606" w:type="dxa"/>
          </w:tcPr>
          <w:p w:rsidR="001F458F" w:rsidRDefault="001F458F" w:rsidP="001F458F">
            <w:r>
              <w:t>„</w:t>
            </w:r>
            <w:r w:rsidRPr="00CA360B">
              <w:t xml:space="preserve">Obmedzenia voči homosexuálom sú opodstatnené. Nie sú </w:t>
            </w:r>
            <w:r>
              <w:t>považované za diskrimináciu</w:t>
            </w:r>
            <w:r w:rsidRPr="00CA360B">
              <w:t>”</w:t>
            </w:r>
          </w:p>
        </w:tc>
        <w:tc>
          <w:tcPr>
            <w:tcW w:w="4606" w:type="dxa"/>
          </w:tcPr>
          <w:p w:rsidR="001F458F" w:rsidRDefault="001F458F" w:rsidP="001F458F">
            <w:r w:rsidRPr="00CA360B">
              <w:t>Európsky súd pre ľudské práva rozhodol, že diskriminácia na základe sexuálnej orientáci</w:t>
            </w:r>
            <w:r>
              <w:t>e je všeobecne neakceptovateľná</w:t>
            </w:r>
            <w:r w:rsidRPr="00CA360B">
              <w:t xml:space="preserve"> rovnako ako diskriminácia na základe pohlavia, rasy alebo náboženstva.</w:t>
            </w:r>
            <w:r>
              <w:rPr>
                <w:rStyle w:val="Odkaznapoznmkupodiarou"/>
              </w:rPr>
              <w:footnoteReference w:id="10"/>
            </w:r>
          </w:p>
        </w:tc>
      </w:tr>
      <w:tr w:rsidR="001F458F" w:rsidTr="001F458F">
        <w:tc>
          <w:tcPr>
            <w:tcW w:w="4606" w:type="dxa"/>
          </w:tcPr>
          <w:p w:rsidR="001F458F" w:rsidRDefault="001F458F" w:rsidP="001F458F">
            <w:r>
              <w:t>„</w:t>
            </w:r>
            <w:r w:rsidRPr="0012166E">
              <w:t>Homosexuáli požadujú špeciálne práva”</w:t>
            </w:r>
          </w:p>
        </w:tc>
        <w:tc>
          <w:tcPr>
            <w:tcW w:w="4606" w:type="dxa"/>
          </w:tcPr>
          <w:p w:rsidR="001F458F" w:rsidRDefault="001F458F" w:rsidP="001F458F">
            <w:r w:rsidRPr="0012166E">
              <w:t>Požadované práva sú tie, k</w:t>
            </w:r>
            <w:r>
              <w:t>toré sú garantované všetkým ľuďom podľa m</w:t>
            </w:r>
            <w:r w:rsidRPr="0012166E">
              <w:t xml:space="preserve">edzinárodného </w:t>
            </w:r>
            <w:r>
              <w:t>práva</w:t>
            </w:r>
            <w:r w:rsidRPr="0012166E">
              <w:t>, nie viac a nie menej.</w:t>
            </w:r>
          </w:p>
        </w:tc>
      </w:tr>
      <w:tr w:rsidR="001F458F" w:rsidTr="001F458F">
        <w:tc>
          <w:tcPr>
            <w:tcW w:w="4606" w:type="dxa"/>
          </w:tcPr>
          <w:p w:rsidR="001F458F" w:rsidRDefault="001F458F" w:rsidP="001F458F">
            <w:r>
              <w:t>„</w:t>
            </w:r>
            <w:r w:rsidRPr="0012166E">
              <w:t>Priz</w:t>
            </w:r>
            <w:r>
              <w:t>n</w:t>
            </w:r>
            <w:r w:rsidRPr="0012166E">
              <w:t xml:space="preserve">anie práv homosexuálom odoberá práva druhým, </w:t>
            </w:r>
            <w:r>
              <w:t>špeciálne nábožensky založeným ľuďom</w:t>
            </w:r>
            <w:r w:rsidRPr="0012166E">
              <w:t>”</w:t>
            </w:r>
          </w:p>
        </w:tc>
        <w:tc>
          <w:tcPr>
            <w:tcW w:w="4606" w:type="dxa"/>
          </w:tcPr>
          <w:p w:rsidR="001F458F" w:rsidRDefault="001F458F" w:rsidP="001F458F">
            <w:r>
              <w:t>Jediné „</w:t>
            </w:r>
            <w:r w:rsidRPr="0012166E">
              <w:t xml:space="preserve">právo”, ktoré </w:t>
            </w:r>
            <w:r>
              <w:t>je v tomto prípade odobraté je „</w:t>
            </w:r>
            <w:r w:rsidRPr="0012166E">
              <w:t>právo” na diskrimináciu, ktoré nie je ľudským právom. Povolené sú ojedinelé výnimky, ak sú opodstatnené ochranou náboženskej slobody.</w:t>
            </w:r>
          </w:p>
        </w:tc>
      </w:tr>
      <w:tr w:rsidR="001F458F" w:rsidTr="001F458F">
        <w:tc>
          <w:tcPr>
            <w:tcW w:w="4606" w:type="dxa"/>
          </w:tcPr>
          <w:p w:rsidR="001F458F" w:rsidRDefault="001F458F" w:rsidP="001F458F">
            <w:r>
              <w:t>„</w:t>
            </w:r>
            <w:r w:rsidRPr="0012166E">
              <w:t>Homosexuálna propaganda môže byť zamedzená, pretože sa nedá hovoriť o slobode zhromažďovania alebo vyjadrenia”</w:t>
            </w:r>
          </w:p>
        </w:tc>
        <w:tc>
          <w:tcPr>
            <w:tcW w:w="4606" w:type="dxa"/>
          </w:tcPr>
          <w:p w:rsidR="001F458F" w:rsidRDefault="001F458F" w:rsidP="001F458F">
            <w:r w:rsidRPr="0012166E">
              <w:t>Európsky súd pre ľudské</w:t>
            </w:r>
            <w:r>
              <w:t xml:space="preserve"> práva rozhodol, že nesúhlas s „</w:t>
            </w:r>
            <w:r w:rsidRPr="0012166E">
              <w:t xml:space="preserve">homosexuálnou propagandou” nie je opodstatnením pre upieranie </w:t>
            </w:r>
            <w:r>
              <w:t>slobody prejavu alebo práva na zhromažďovanie.</w:t>
            </w:r>
            <w:r>
              <w:rPr>
                <w:rStyle w:val="Odkaznapoznmkupodiarou"/>
              </w:rPr>
              <w:footnoteReference w:id="11"/>
            </w:r>
          </w:p>
        </w:tc>
      </w:tr>
      <w:tr w:rsidR="001F458F" w:rsidTr="001F458F">
        <w:tc>
          <w:tcPr>
            <w:tcW w:w="4606" w:type="dxa"/>
          </w:tcPr>
          <w:p w:rsidR="001F458F" w:rsidRDefault="001F458F" w:rsidP="001F458F">
            <w:r>
              <w:t>„</w:t>
            </w:r>
            <w:r w:rsidRPr="0012166E">
              <w:t>Ochrana mládeže si vyžaduje diskriminačné zaobchádzanie”</w:t>
            </w:r>
          </w:p>
        </w:tc>
        <w:tc>
          <w:tcPr>
            <w:tcW w:w="4606" w:type="dxa"/>
          </w:tcPr>
          <w:p w:rsidR="001F458F" w:rsidRDefault="001F458F" w:rsidP="00A26024">
            <w:r w:rsidRPr="0012166E">
              <w:t>Európsky súd pre ľuds</w:t>
            </w:r>
            <w:r w:rsidR="00A03D3A">
              <w:t>ké práva zamietol toto tvrdenie</w:t>
            </w:r>
            <w:r w:rsidRPr="0012166E">
              <w:t xml:space="preserve"> so záverom, ž</w:t>
            </w:r>
            <w:r>
              <w:t>e nedospelí chlapci nemôžu byť „</w:t>
            </w:r>
            <w:r w:rsidRPr="0012166E">
              <w:t xml:space="preserve">zlákaní” homosexualitou </w:t>
            </w:r>
            <w:r>
              <w:t>prostredníctvom homosexuálnej</w:t>
            </w:r>
            <w:r w:rsidRPr="0012166E">
              <w:t xml:space="preserve"> skúseno</w:t>
            </w:r>
            <w:r>
              <w:t xml:space="preserve">sti. Sexuálna orientácia sa </w:t>
            </w:r>
            <w:r w:rsidRPr="0012166E">
              <w:t>vytvára pred dosiahnutím puberty.</w:t>
            </w:r>
            <w:r>
              <w:rPr>
                <w:rStyle w:val="Odkaznapoznmkupodiarou"/>
              </w:rPr>
              <w:footnoteReference w:id="12"/>
            </w:r>
          </w:p>
        </w:tc>
      </w:tr>
      <w:tr w:rsidR="001F458F" w:rsidTr="001F458F">
        <w:tc>
          <w:tcPr>
            <w:tcW w:w="4606" w:type="dxa"/>
          </w:tcPr>
          <w:p w:rsidR="001F458F" w:rsidRDefault="001F458F" w:rsidP="001F458F">
            <w:r>
              <w:t>„</w:t>
            </w:r>
            <w:r w:rsidRPr="007A4BC1">
              <w:t>Ochrana tradičnej rod</w:t>
            </w:r>
            <w:r>
              <w:t xml:space="preserve">iny ospravedlňuje diskrimináciu </w:t>
            </w:r>
            <w:r w:rsidRPr="007A4BC1">
              <w:t>párov</w:t>
            </w:r>
            <w:r>
              <w:t xml:space="preserve"> rovnakého pohlavia</w:t>
            </w:r>
            <w:r w:rsidRPr="007A4BC1">
              <w:t>”</w:t>
            </w:r>
          </w:p>
        </w:tc>
        <w:tc>
          <w:tcPr>
            <w:tcW w:w="4606" w:type="dxa"/>
          </w:tcPr>
          <w:p w:rsidR="001F458F" w:rsidRDefault="001F458F" w:rsidP="001F458F">
            <w:r w:rsidRPr="007A4BC1">
              <w:t xml:space="preserve">Európsky súd pre ľudské práva rozhodol, že </w:t>
            </w:r>
            <w:r>
              <w:t>štát</w:t>
            </w:r>
            <w:r w:rsidRPr="007A4BC1">
              <w:t xml:space="preserve"> musí dokázať, prečo je nevyhnutné </w:t>
            </w:r>
            <w:r>
              <w:t>neposkytnúť párom</w:t>
            </w:r>
            <w:r w:rsidRPr="007A4BC1">
              <w:t xml:space="preserve"> rovnakého pohlavia </w:t>
            </w:r>
            <w:r>
              <w:t>práva a podporu</w:t>
            </w:r>
            <w:r w:rsidRPr="007A4BC1">
              <w:t>, ktorá je garantovaná tradičným rodinám</w:t>
            </w:r>
            <w:r>
              <w:t xml:space="preserve"> za účelom ich ochrany</w:t>
            </w:r>
            <w:r w:rsidRPr="007A4BC1">
              <w:t>.</w:t>
            </w:r>
            <w:r>
              <w:rPr>
                <w:rStyle w:val="Odkaznapoznmkupodiarou"/>
              </w:rPr>
              <w:footnoteReference w:id="13"/>
            </w:r>
          </w:p>
        </w:tc>
      </w:tr>
      <w:tr w:rsidR="001F458F" w:rsidTr="001F458F">
        <w:tc>
          <w:tcPr>
            <w:tcW w:w="4606" w:type="dxa"/>
          </w:tcPr>
          <w:p w:rsidR="001F458F" w:rsidRDefault="001F458F" w:rsidP="001F458F">
            <w:r>
              <w:t xml:space="preserve">„Homosexuáli nie sú spôsobilí pre výchovu </w:t>
            </w:r>
          </w:p>
          <w:p w:rsidR="001F458F" w:rsidRDefault="001F458F" w:rsidP="001F458F">
            <w:r>
              <w:t xml:space="preserve"> detí”</w:t>
            </w:r>
          </w:p>
        </w:tc>
        <w:tc>
          <w:tcPr>
            <w:tcW w:w="4606" w:type="dxa"/>
          </w:tcPr>
          <w:p w:rsidR="001F458F" w:rsidRDefault="001F458F" w:rsidP="001F458F">
            <w:r w:rsidRPr="007A4BC1">
              <w:t xml:space="preserve">Európsky súd pre ľudské práva rozhodol, že s </w:t>
            </w:r>
            <w:proofErr w:type="spellStart"/>
            <w:r w:rsidRPr="007A4BC1">
              <w:t>lesbami</w:t>
            </w:r>
            <w:proofErr w:type="spellEnd"/>
            <w:r w:rsidRPr="007A4BC1">
              <w:t xml:space="preserve"> a </w:t>
            </w:r>
            <w:proofErr w:type="spellStart"/>
            <w:r w:rsidRPr="007A4BC1">
              <w:t>gejmi</w:t>
            </w:r>
            <w:proofErr w:type="spellEnd"/>
            <w:r w:rsidRPr="007A4BC1">
              <w:t xml:space="preserve"> musí byť zaobchádzané rovnako ako s h</w:t>
            </w:r>
            <w:r w:rsidR="00A03D3A">
              <w:t>eterosexuálmi, vo vzťahu k</w:t>
            </w:r>
            <w:r w:rsidRPr="007A4BC1">
              <w:t xml:space="preserve"> opatere dieťaťa, alebo ich spôsobilosti pre adopciu.</w:t>
            </w:r>
            <w:r>
              <w:rPr>
                <w:rStyle w:val="Odkaznapoznmkupodiarou"/>
              </w:rPr>
              <w:footnoteReference w:id="14"/>
            </w:r>
          </w:p>
        </w:tc>
      </w:tr>
    </w:tbl>
    <w:p w:rsidR="00CA360B" w:rsidRDefault="00CA360B" w:rsidP="008C47F7"/>
    <w:sectPr w:rsidR="00CA36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9D" w:rsidRDefault="00DE749D" w:rsidP="00EB6E89">
      <w:pPr>
        <w:spacing w:after="0" w:line="240" w:lineRule="auto"/>
      </w:pPr>
      <w:r>
        <w:separator/>
      </w:r>
    </w:p>
  </w:endnote>
  <w:endnote w:type="continuationSeparator" w:id="0">
    <w:p w:rsidR="00DE749D" w:rsidRDefault="00DE749D" w:rsidP="00EB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9D" w:rsidRDefault="00DE749D" w:rsidP="00EB6E89">
      <w:pPr>
        <w:spacing w:after="0" w:line="240" w:lineRule="auto"/>
      </w:pPr>
      <w:r>
        <w:separator/>
      </w:r>
    </w:p>
  </w:footnote>
  <w:footnote w:type="continuationSeparator" w:id="0">
    <w:p w:rsidR="00DE749D" w:rsidRDefault="00DE749D" w:rsidP="00EB6E89">
      <w:pPr>
        <w:spacing w:after="0" w:line="240" w:lineRule="auto"/>
      </w:pPr>
      <w:r>
        <w:continuationSeparator/>
      </w:r>
    </w:p>
  </w:footnote>
  <w:footnote w:id="1">
    <w:p w:rsidR="00402F5F" w:rsidRPr="00C805F4" w:rsidRDefault="00402F5F" w:rsidP="00402F5F">
      <w:pPr>
        <w:pStyle w:val="Textpoznmkypodiarou"/>
        <w:rPr>
          <w:sz w:val="18"/>
          <w:szCs w:val="18"/>
        </w:rPr>
      </w:pPr>
      <w:r w:rsidRPr="00C805F4">
        <w:rPr>
          <w:rStyle w:val="Odkaznapoznmkupodiarou"/>
          <w:sz w:val="18"/>
          <w:szCs w:val="18"/>
        </w:rPr>
        <w:footnoteRef/>
      </w:r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Discrimination</w:t>
      </w:r>
      <w:proofErr w:type="spellEnd"/>
      <w:r w:rsidRPr="00C805F4">
        <w:rPr>
          <w:sz w:val="18"/>
          <w:szCs w:val="18"/>
        </w:rPr>
        <w:t xml:space="preserve"> on </w:t>
      </w:r>
      <w:proofErr w:type="spellStart"/>
      <w:r w:rsidRPr="00C805F4">
        <w:rPr>
          <w:sz w:val="18"/>
          <w:szCs w:val="18"/>
        </w:rPr>
        <w:t>the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basis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of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sexual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orientation</w:t>
      </w:r>
      <w:proofErr w:type="spellEnd"/>
      <w:r w:rsidRPr="00C805F4">
        <w:rPr>
          <w:sz w:val="18"/>
          <w:szCs w:val="18"/>
        </w:rPr>
        <w:t xml:space="preserve"> and </w:t>
      </w:r>
      <w:proofErr w:type="spellStart"/>
      <w:r w:rsidRPr="00C805F4">
        <w:rPr>
          <w:sz w:val="18"/>
          <w:szCs w:val="18"/>
        </w:rPr>
        <w:t>gender</w:t>
      </w:r>
      <w:proofErr w:type="spellEnd"/>
      <w:r w:rsidRPr="00C805F4">
        <w:rPr>
          <w:sz w:val="18"/>
          <w:szCs w:val="18"/>
        </w:rPr>
        <w:t xml:space="preserve"> identity</w:t>
      </w:r>
      <w:r w:rsidR="000E11B0" w:rsidRPr="00C805F4">
        <w:rPr>
          <w:sz w:val="18"/>
          <w:szCs w:val="18"/>
        </w:rPr>
        <w:t xml:space="preserve">, Report, Doc. 12185, </w:t>
      </w:r>
      <w:proofErr w:type="spellStart"/>
      <w:r w:rsidRPr="00C805F4">
        <w:rPr>
          <w:sz w:val="18"/>
          <w:szCs w:val="18"/>
        </w:rPr>
        <w:t>Committee</w:t>
      </w:r>
      <w:proofErr w:type="spellEnd"/>
      <w:r w:rsidRPr="00C805F4">
        <w:rPr>
          <w:sz w:val="18"/>
          <w:szCs w:val="18"/>
        </w:rPr>
        <w:t xml:space="preserve"> on </w:t>
      </w:r>
      <w:proofErr w:type="spellStart"/>
      <w:r w:rsidRPr="00C805F4">
        <w:rPr>
          <w:sz w:val="18"/>
          <w:szCs w:val="18"/>
        </w:rPr>
        <w:t>Legal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Affairs</w:t>
      </w:r>
      <w:proofErr w:type="spellEnd"/>
      <w:r w:rsidRPr="00C805F4">
        <w:rPr>
          <w:sz w:val="18"/>
          <w:szCs w:val="18"/>
        </w:rPr>
        <w:t xml:space="preserve"> and </w:t>
      </w:r>
      <w:proofErr w:type="spellStart"/>
      <w:r w:rsidRPr="00C805F4">
        <w:rPr>
          <w:sz w:val="18"/>
          <w:szCs w:val="18"/>
        </w:rPr>
        <w:t>Human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Rights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of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The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Parliamentary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Assembly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of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the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Council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of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Europe</w:t>
      </w:r>
      <w:proofErr w:type="spellEnd"/>
      <w:r w:rsidR="000E11B0" w:rsidRPr="00C805F4">
        <w:rPr>
          <w:sz w:val="18"/>
          <w:szCs w:val="18"/>
        </w:rPr>
        <w:t>,</w:t>
      </w:r>
      <w:r w:rsidRPr="00C805F4">
        <w:rPr>
          <w:sz w:val="18"/>
          <w:szCs w:val="18"/>
        </w:rPr>
        <w:t xml:space="preserve"> 23 </w:t>
      </w:r>
      <w:proofErr w:type="spellStart"/>
      <w:r w:rsidRPr="00C805F4">
        <w:rPr>
          <w:sz w:val="18"/>
          <w:szCs w:val="18"/>
        </w:rPr>
        <w:t>March</w:t>
      </w:r>
      <w:proofErr w:type="spellEnd"/>
      <w:r w:rsidRPr="00C805F4">
        <w:rPr>
          <w:sz w:val="18"/>
          <w:szCs w:val="18"/>
        </w:rPr>
        <w:t xml:space="preserve"> 2010.</w:t>
      </w:r>
    </w:p>
  </w:footnote>
  <w:footnote w:id="2">
    <w:p w:rsidR="00EB6E89" w:rsidRPr="00C805F4" w:rsidRDefault="00EB6E89">
      <w:pPr>
        <w:pStyle w:val="Textpoznmkypodiarou"/>
        <w:rPr>
          <w:sz w:val="18"/>
          <w:szCs w:val="18"/>
        </w:rPr>
      </w:pPr>
      <w:r w:rsidRPr="00C805F4">
        <w:rPr>
          <w:rStyle w:val="Odkaznapoznmkupodiarou"/>
          <w:sz w:val="18"/>
          <w:szCs w:val="18"/>
        </w:rPr>
        <w:footnoteRef/>
      </w:r>
      <w:r w:rsidRPr="00C805F4">
        <w:rPr>
          <w:sz w:val="18"/>
          <w:szCs w:val="18"/>
        </w:rPr>
        <w:t xml:space="preserve"> </w:t>
      </w:r>
      <w:r w:rsidRPr="00C805F4">
        <w:rPr>
          <w:sz w:val="18"/>
          <w:szCs w:val="18"/>
        </w:rPr>
        <w:t>Svetová zdravotnícka organizácia odstránila homosexualitu z jej Medzinárodnej klasifikácie chorôb v roku 1991.</w:t>
      </w:r>
    </w:p>
  </w:footnote>
  <w:footnote w:id="3">
    <w:p w:rsidR="00EB6E89" w:rsidRPr="00C805F4" w:rsidRDefault="00EB6E89">
      <w:pPr>
        <w:pStyle w:val="Textpoznmkypodiarou"/>
        <w:rPr>
          <w:sz w:val="18"/>
          <w:szCs w:val="18"/>
        </w:rPr>
      </w:pPr>
      <w:r w:rsidRPr="00C805F4">
        <w:rPr>
          <w:rStyle w:val="Odkaznapoznmkupodiarou"/>
          <w:sz w:val="18"/>
          <w:szCs w:val="18"/>
        </w:rPr>
        <w:footnoteRef/>
      </w:r>
      <w:r w:rsidRPr="00C805F4">
        <w:rPr>
          <w:sz w:val="18"/>
          <w:szCs w:val="18"/>
        </w:rPr>
        <w:t xml:space="preserve"> </w:t>
      </w:r>
      <w:r w:rsidRPr="00C805F4">
        <w:rPr>
          <w:sz w:val="18"/>
          <w:szCs w:val="18"/>
        </w:rPr>
        <w:t xml:space="preserve">„Napriek pretrvávajúcim stereotypom, ktoré zobrazujú </w:t>
      </w:r>
      <w:proofErr w:type="spellStart"/>
      <w:r w:rsidRPr="00C805F4">
        <w:rPr>
          <w:sz w:val="18"/>
          <w:szCs w:val="18"/>
        </w:rPr>
        <w:t>lesby</w:t>
      </w:r>
      <w:proofErr w:type="spellEnd"/>
      <w:r w:rsidRPr="00C805F4">
        <w:rPr>
          <w:sz w:val="18"/>
          <w:szCs w:val="18"/>
        </w:rPr>
        <w:t xml:space="preserve">, </w:t>
      </w:r>
      <w:proofErr w:type="spellStart"/>
      <w:r w:rsidRPr="00C805F4">
        <w:rPr>
          <w:sz w:val="18"/>
          <w:szCs w:val="18"/>
        </w:rPr>
        <w:t>gejov</w:t>
      </w:r>
      <w:proofErr w:type="spellEnd"/>
      <w:r w:rsidRPr="00C805F4">
        <w:rPr>
          <w:sz w:val="18"/>
          <w:szCs w:val="18"/>
        </w:rPr>
        <w:t xml:space="preserve"> a bisexuálnych ľudí ako </w:t>
      </w:r>
      <w:r w:rsidR="00396892" w:rsidRPr="00C805F4">
        <w:rPr>
          <w:sz w:val="18"/>
          <w:szCs w:val="18"/>
        </w:rPr>
        <w:t>narušených</w:t>
      </w:r>
      <w:r w:rsidRPr="00C805F4">
        <w:rPr>
          <w:sz w:val="18"/>
          <w:szCs w:val="18"/>
        </w:rPr>
        <w:t>, ni</w:t>
      </w:r>
      <w:r w:rsidR="00402F5F" w:rsidRPr="00C805F4">
        <w:rPr>
          <w:sz w:val="18"/>
          <w:szCs w:val="18"/>
        </w:rPr>
        <w:t>ekoľko dekád výskumu a klinických</w:t>
      </w:r>
      <w:r w:rsidR="00A26024" w:rsidRPr="00C805F4">
        <w:rPr>
          <w:sz w:val="18"/>
          <w:szCs w:val="18"/>
        </w:rPr>
        <w:t xml:space="preserve"> overení</w:t>
      </w:r>
      <w:r w:rsidRPr="00C805F4">
        <w:rPr>
          <w:sz w:val="18"/>
          <w:szCs w:val="18"/>
        </w:rPr>
        <w:t xml:space="preserve"> viedlo</w:t>
      </w:r>
      <w:r w:rsidR="00A26024" w:rsidRPr="00C805F4">
        <w:rPr>
          <w:sz w:val="18"/>
          <w:szCs w:val="18"/>
        </w:rPr>
        <w:t xml:space="preserve"> všetky relevantné medicínske, </w:t>
      </w:r>
      <w:r w:rsidRPr="00C805F4">
        <w:rPr>
          <w:sz w:val="18"/>
          <w:szCs w:val="18"/>
        </w:rPr>
        <w:t>psychologické</w:t>
      </w:r>
      <w:r w:rsidR="00A26024" w:rsidRPr="00C805F4">
        <w:rPr>
          <w:sz w:val="18"/>
          <w:szCs w:val="18"/>
        </w:rPr>
        <w:t xml:space="preserve"> a </w:t>
      </w:r>
      <w:r w:rsidRPr="00C805F4">
        <w:rPr>
          <w:sz w:val="18"/>
          <w:szCs w:val="18"/>
        </w:rPr>
        <w:t>psy</w:t>
      </w:r>
      <w:r w:rsidR="00A26024" w:rsidRPr="00C805F4">
        <w:rPr>
          <w:sz w:val="18"/>
          <w:szCs w:val="18"/>
        </w:rPr>
        <w:t>chiatrické organizácie</w:t>
      </w:r>
      <w:r w:rsidRPr="00C805F4">
        <w:rPr>
          <w:sz w:val="18"/>
          <w:szCs w:val="18"/>
        </w:rPr>
        <w:t xml:space="preserve"> ku konštatovaniu, že tieto sexuálne orientácie reprezentujú normálne formy ľudského prežívania.“ (Americká psychologická asociácia, </w:t>
      </w:r>
      <w:hyperlink r:id="rId1" w:anchor="whatcauses" w:history="1">
        <w:r w:rsidR="00402F5F" w:rsidRPr="00C805F4">
          <w:rPr>
            <w:rStyle w:val="Hypertextovprepojenie"/>
            <w:sz w:val="18"/>
            <w:szCs w:val="18"/>
          </w:rPr>
          <w:t>http://www.apa.org/topics/sexuality/index.aspx#whatcauses</w:t>
        </w:r>
      </w:hyperlink>
      <w:r w:rsidRPr="00C805F4">
        <w:rPr>
          <w:sz w:val="18"/>
          <w:szCs w:val="18"/>
        </w:rPr>
        <w:t>)</w:t>
      </w:r>
      <w:r w:rsidR="00402F5F" w:rsidRPr="00C805F4">
        <w:rPr>
          <w:sz w:val="18"/>
          <w:szCs w:val="18"/>
        </w:rPr>
        <w:t xml:space="preserve"> </w:t>
      </w:r>
    </w:p>
  </w:footnote>
  <w:footnote w:id="4">
    <w:p w:rsidR="00402F5F" w:rsidRPr="00C805F4" w:rsidRDefault="00402F5F">
      <w:pPr>
        <w:pStyle w:val="Textpoznmkypodiarou"/>
        <w:rPr>
          <w:sz w:val="18"/>
          <w:szCs w:val="18"/>
        </w:rPr>
      </w:pPr>
      <w:r w:rsidRPr="00C805F4">
        <w:rPr>
          <w:rStyle w:val="Odkaznapoznmkupodiarou"/>
          <w:sz w:val="18"/>
          <w:szCs w:val="18"/>
        </w:rPr>
        <w:footnoteRef/>
      </w:r>
      <w:r w:rsidRPr="00C805F4">
        <w:rPr>
          <w:sz w:val="18"/>
          <w:szCs w:val="18"/>
        </w:rPr>
        <w:t xml:space="preserve"> </w:t>
      </w:r>
      <w:r w:rsidRPr="00C805F4">
        <w:rPr>
          <w:sz w:val="18"/>
          <w:szCs w:val="18"/>
        </w:rPr>
        <w:t>Vláda Veľkej Británie odhaduje</w:t>
      </w:r>
      <w:r w:rsidR="00A03D3A" w:rsidRPr="00C805F4">
        <w:rPr>
          <w:sz w:val="18"/>
          <w:szCs w:val="18"/>
        </w:rPr>
        <w:t>,</w:t>
      </w:r>
      <w:r w:rsidRPr="00C805F4">
        <w:rPr>
          <w:sz w:val="18"/>
          <w:szCs w:val="18"/>
        </w:rPr>
        <w:t xml:space="preserve"> že v populácii žije 5% až 7% </w:t>
      </w:r>
      <w:proofErr w:type="spellStart"/>
      <w:r w:rsidRPr="00C805F4">
        <w:rPr>
          <w:sz w:val="18"/>
          <w:szCs w:val="18"/>
        </w:rPr>
        <w:t>lesieb</w:t>
      </w:r>
      <w:proofErr w:type="spellEnd"/>
      <w:r w:rsidRPr="00C805F4">
        <w:rPr>
          <w:sz w:val="18"/>
          <w:szCs w:val="18"/>
        </w:rPr>
        <w:t xml:space="preserve">, </w:t>
      </w:r>
      <w:proofErr w:type="spellStart"/>
      <w:r w:rsidRPr="00C805F4">
        <w:rPr>
          <w:sz w:val="18"/>
          <w:szCs w:val="18"/>
        </w:rPr>
        <w:t>gejov</w:t>
      </w:r>
      <w:proofErr w:type="spellEnd"/>
      <w:r w:rsidRPr="00C805F4">
        <w:rPr>
          <w:sz w:val="18"/>
          <w:szCs w:val="18"/>
        </w:rPr>
        <w:t xml:space="preserve"> alebo </w:t>
      </w:r>
      <w:r w:rsidR="00A03D3A" w:rsidRPr="00C805F4">
        <w:rPr>
          <w:sz w:val="18"/>
          <w:szCs w:val="18"/>
        </w:rPr>
        <w:t>bisexuálnych</w:t>
      </w:r>
      <w:r w:rsidRPr="00C805F4">
        <w:rPr>
          <w:sz w:val="18"/>
          <w:szCs w:val="18"/>
        </w:rPr>
        <w:t xml:space="preserve"> ľudí. </w:t>
      </w:r>
      <w:r w:rsidR="00A03D3A" w:rsidRPr="00C805F4">
        <w:rPr>
          <w:sz w:val="18"/>
          <w:szCs w:val="18"/>
        </w:rPr>
        <w:t>So znižujúcou sa diskrimináciou</w:t>
      </w:r>
      <w:r w:rsidRPr="00C805F4">
        <w:rPr>
          <w:sz w:val="18"/>
          <w:szCs w:val="18"/>
        </w:rPr>
        <w:t xml:space="preserve"> viac a viac ľudí otvorene hovorí o svojej sexuálnej orientácii, takže sa môže zdať, že ich počet sa zvyšuje.</w:t>
      </w:r>
    </w:p>
  </w:footnote>
  <w:footnote w:id="5">
    <w:p w:rsidR="000E11B0" w:rsidRPr="00C805F4" w:rsidRDefault="000E11B0" w:rsidP="000E11B0">
      <w:pPr>
        <w:pStyle w:val="Textpoznmkypodiarou"/>
        <w:rPr>
          <w:sz w:val="18"/>
          <w:szCs w:val="18"/>
        </w:rPr>
      </w:pPr>
      <w:r w:rsidRPr="00C805F4">
        <w:rPr>
          <w:rStyle w:val="Odkaznapoznmkupodiarou"/>
          <w:sz w:val="18"/>
          <w:szCs w:val="18"/>
        </w:rPr>
        <w:footnoteRef/>
      </w:r>
      <w:r w:rsidRPr="00C805F4">
        <w:rPr>
          <w:sz w:val="18"/>
          <w:szCs w:val="18"/>
        </w:rPr>
        <w:t xml:space="preserve"> </w:t>
      </w:r>
      <w:r w:rsidRPr="00C805F4">
        <w:rPr>
          <w:sz w:val="18"/>
          <w:szCs w:val="18"/>
        </w:rPr>
        <w:t xml:space="preserve">Neexistuje súvislosť medzi podporou práv </w:t>
      </w:r>
      <w:proofErr w:type="spellStart"/>
      <w:r w:rsidRPr="00C805F4">
        <w:rPr>
          <w:sz w:val="18"/>
          <w:szCs w:val="18"/>
        </w:rPr>
        <w:t>lesieb</w:t>
      </w:r>
      <w:proofErr w:type="spellEnd"/>
      <w:r w:rsidRPr="00C805F4">
        <w:rPr>
          <w:sz w:val="18"/>
          <w:szCs w:val="18"/>
        </w:rPr>
        <w:t xml:space="preserve">, </w:t>
      </w:r>
      <w:proofErr w:type="spellStart"/>
      <w:r w:rsidRPr="00C805F4">
        <w:rPr>
          <w:sz w:val="18"/>
          <w:szCs w:val="18"/>
        </w:rPr>
        <w:t>gejov</w:t>
      </w:r>
      <w:proofErr w:type="spellEnd"/>
      <w:r w:rsidRPr="00C805F4">
        <w:rPr>
          <w:sz w:val="18"/>
          <w:szCs w:val="18"/>
        </w:rPr>
        <w:t xml:space="preserve"> a bisexuálnych ľudí a demogr</w:t>
      </w:r>
      <w:r w:rsidR="00A03D3A" w:rsidRPr="00C805F4">
        <w:rPr>
          <w:sz w:val="18"/>
          <w:szCs w:val="18"/>
        </w:rPr>
        <w:t>afickým poklesom. V skutočnosti</w:t>
      </w:r>
      <w:r w:rsidRPr="00C805F4">
        <w:rPr>
          <w:sz w:val="18"/>
          <w:szCs w:val="18"/>
        </w:rPr>
        <w:t xml:space="preserve"> niektoré krajiny Európy, ktoré sú najúspešnejšie v riešení demografických pr</w:t>
      </w:r>
      <w:r w:rsidR="00A03D3A" w:rsidRPr="00C805F4">
        <w:rPr>
          <w:sz w:val="18"/>
          <w:szCs w:val="18"/>
        </w:rPr>
        <w:t>oblémov – š</w:t>
      </w:r>
      <w:r w:rsidRPr="00C805F4">
        <w:rPr>
          <w:sz w:val="18"/>
          <w:szCs w:val="18"/>
        </w:rPr>
        <w:t xml:space="preserve">kandinávske krajiny  – zvolili cestu podpory práv </w:t>
      </w:r>
      <w:proofErr w:type="spellStart"/>
      <w:r w:rsidRPr="00C805F4">
        <w:rPr>
          <w:sz w:val="18"/>
          <w:szCs w:val="18"/>
        </w:rPr>
        <w:t>lesieb</w:t>
      </w:r>
      <w:proofErr w:type="spellEnd"/>
      <w:r w:rsidRPr="00C805F4">
        <w:rPr>
          <w:sz w:val="18"/>
          <w:szCs w:val="18"/>
        </w:rPr>
        <w:t xml:space="preserve">, </w:t>
      </w:r>
      <w:proofErr w:type="spellStart"/>
      <w:r w:rsidRPr="00C805F4">
        <w:rPr>
          <w:sz w:val="18"/>
          <w:szCs w:val="18"/>
        </w:rPr>
        <w:t>gejov</w:t>
      </w:r>
      <w:proofErr w:type="spellEnd"/>
      <w:r w:rsidRPr="00C805F4">
        <w:rPr>
          <w:sz w:val="18"/>
          <w:szCs w:val="18"/>
        </w:rPr>
        <w:t xml:space="preserve"> a bisexuálnych ľudí,  zatiaľ čo krajiny, ktoré tieto práva najviac potláčajú, čelia najväčším demografickým problémom. (</w:t>
      </w:r>
      <w:proofErr w:type="spellStart"/>
      <w:r w:rsidRPr="00C805F4">
        <w:rPr>
          <w:sz w:val="18"/>
          <w:szCs w:val="18"/>
        </w:rPr>
        <w:t>Demographic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challenges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for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social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cohesion</w:t>
      </w:r>
      <w:proofErr w:type="spellEnd"/>
      <w:r w:rsidRPr="00C805F4">
        <w:rPr>
          <w:sz w:val="18"/>
          <w:szCs w:val="18"/>
        </w:rPr>
        <w:t xml:space="preserve">, Doc. 10923, </w:t>
      </w:r>
      <w:proofErr w:type="spellStart"/>
      <w:r w:rsidRPr="00C805F4">
        <w:rPr>
          <w:sz w:val="18"/>
          <w:szCs w:val="18"/>
        </w:rPr>
        <w:t>Committee</w:t>
      </w:r>
      <w:proofErr w:type="spellEnd"/>
      <w:r w:rsidRPr="00C805F4">
        <w:rPr>
          <w:sz w:val="18"/>
          <w:szCs w:val="18"/>
        </w:rPr>
        <w:t xml:space="preserve"> on </w:t>
      </w:r>
      <w:proofErr w:type="spellStart"/>
      <w:r w:rsidRPr="00C805F4">
        <w:rPr>
          <w:sz w:val="18"/>
          <w:szCs w:val="18"/>
        </w:rPr>
        <w:t>Migration</w:t>
      </w:r>
      <w:proofErr w:type="spellEnd"/>
      <w:r w:rsidRPr="00C805F4">
        <w:rPr>
          <w:sz w:val="18"/>
          <w:szCs w:val="18"/>
        </w:rPr>
        <w:t xml:space="preserve">, </w:t>
      </w:r>
      <w:proofErr w:type="spellStart"/>
      <w:r w:rsidRPr="00C805F4">
        <w:rPr>
          <w:sz w:val="18"/>
          <w:szCs w:val="18"/>
        </w:rPr>
        <w:t>Refugees</w:t>
      </w:r>
      <w:proofErr w:type="spellEnd"/>
      <w:r w:rsidRPr="00C805F4">
        <w:rPr>
          <w:sz w:val="18"/>
          <w:szCs w:val="18"/>
        </w:rPr>
        <w:t xml:space="preserve"> and </w:t>
      </w:r>
      <w:proofErr w:type="spellStart"/>
      <w:r w:rsidRPr="00C805F4">
        <w:rPr>
          <w:sz w:val="18"/>
          <w:szCs w:val="18"/>
        </w:rPr>
        <w:t>Population</w:t>
      </w:r>
      <w:proofErr w:type="spellEnd"/>
      <w:r w:rsidRPr="00C805F4">
        <w:rPr>
          <w:sz w:val="18"/>
          <w:szCs w:val="18"/>
        </w:rPr>
        <w:t xml:space="preserve">, 3 </w:t>
      </w:r>
      <w:proofErr w:type="spellStart"/>
      <w:r w:rsidRPr="00C805F4">
        <w:rPr>
          <w:sz w:val="18"/>
          <w:szCs w:val="18"/>
        </w:rPr>
        <w:t>May</w:t>
      </w:r>
      <w:proofErr w:type="spellEnd"/>
      <w:r w:rsidRPr="00C805F4">
        <w:rPr>
          <w:sz w:val="18"/>
          <w:szCs w:val="18"/>
        </w:rPr>
        <w:t xml:space="preserve"> 2006, </w:t>
      </w:r>
      <w:proofErr w:type="spellStart"/>
      <w:r w:rsidRPr="00C805F4">
        <w:rPr>
          <w:sz w:val="18"/>
          <w:szCs w:val="18"/>
        </w:rPr>
        <w:t>paragraph</w:t>
      </w:r>
      <w:proofErr w:type="spellEnd"/>
      <w:r w:rsidRPr="00C805F4">
        <w:rPr>
          <w:sz w:val="18"/>
          <w:szCs w:val="18"/>
        </w:rPr>
        <w:t xml:space="preserve"> 30: “[</w:t>
      </w:r>
      <w:proofErr w:type="spellStart"/>
      <w:r w:rsidRPr="00C805F4">
        <w:rPr>
          <w:sz w:val="18"/>
          <w:szCs w:val="18"/>
        </w:rPr>
        <w:t>the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Nordic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countries</w:t>
      </w:r>
      <w:proofErr w:type="spellEnd"/>
      <w:r w:rsidRPr="00C805F4">
        <w:rPr>
          <w:sz w:val="18"/>
          <w:szCs w:val="18"/>
        </w:rPr>
        <w:t xml:space="preserve">] </w:t>
      </w:r>
      <w:proofErr w:type="spellStart"/>
      <w:r w:rsidRPr="00C805F4">
        <w:rPr>
          <w:sz w:val="18"/>
          <w:szCs w:val="18"/>
        </w:rPr>
        <w:t>have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best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succeeded</w:t>
      </w:r>
      <w:proofErr w:type="spellEnd"/>
      <w:r w:rsidRPr="00C805F4">
        <w:rPr>
          <w:sz w:val="18"/>
          <w:szCs w:val="18"/>
        </w:rPr>
        <w:t xml:space="preserve"> in </w:t>
      </w:r>
      <w:proofErr w:type="spellStart"/>
      <w:r w:rsidRPr="00C805F4">
        <w:rPr>
          <w:sz w:val="18"/>
          <w:szCs w:val="18"/>
        </w:rPr>
        <w:t>creating</w:t>
      </w:r>
      <w:proofErr w:type="spellEnd"/>
      <w:r w:rsidRPr="00C805F4">
        <w:rPr>
          <w:sz w:val="18"/>
          <w:szCs w:val="18"/>
        </w:rPr>
        <w:t xml:space="preserve"> a </w:t>
      </w:r>
      <w:proofErr w:type="spellStart"/>
      <w:r w:rsidRPr="00C805F4">
        <w:rPr>
          <w:sz w:val="18"/>
          <w:szCs w:val="18"/>
        </w:rPr>
        <w:t>woman-friendly</w:t>
      </w:r>
      <w:proofErr w:type="spellEnd"/>
      <w:r w:rsidRPr="00C805F4">
        <w:rPr>
          <w:sz w:val="18"/>
          <w:szCs w:val="18"/>
        </w:rPr>
        <w:t xml:space="preserve">, </w:t>
      </w:r>
      <w:proofErr w:type="spellStart"/>
      <w:r w:rsidRPr="00C805F4">
        <w:rPr>
          <w:sz w:val="18"/>
          <w:szCs w:val="18"/>
        </w:rPr>
        <w:t>child-friendly</w:t>
      </w:r>
      <w:proofErr w:type="spellEnd"/>
      <w:r w:rsidRPr="00C805F4">
        <w:rPr>
          <w:sz w:val="18"/>
          <w:szCs w:val="18"/>
        </w:rPr>
        <w:t xml:space="preserve"> and </w:t>
      </w:r>
      <w:proofErr w:type="spellStart"/>
      <w:r w:rsidRPr="00C805F4">
        <w:rPr>
          <w:sz w:val="18"/>
          <w:szCs w:val="18"/>
        </w:rPr>
        <w:t>family-friendly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policy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framework</w:t>
      </w:r>
      <w:proofErr w:type="spellEnd"/>
      <w:r w:rsidRPr="00C805F4">
        <w:rPr>
          <w:sz w:val="18"/>
          <w:szCs w:val="18"/>
        </w:rPr>
        <w:t xml:space="preserve">, </w:t>
      </w:r>
      <w:proofErr w:type="spellStart"/>
      <w:r w:rsidRPr="00C805F4">
        <w:rPr>
          <w:sz w:val="18"/>
          <w:szCs w:val="18"/>
        </w:rPr>
        <w:t>thus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also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reaching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relatively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high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fertility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rates</w:t>
      </w:r>
      <w:proofErr w:type="spellEnd"/>
      <w:r w:rsidRPr="00C805F4">
        <w:rPr>
          <w:sz w:val="18"/>
          <w:szCs w:val="18"/>
        </w:rPr>
        <w:t>”.)</w:t>
      </w:r>
    </w:p>
  </w:footnote>
  <w:footnote w:id="6">
    <w:p w:rsidR="000E11B0" w:rsidRPr="00C805F4" w:rsidRDefault="000E11B0">
      <w:pPr>
        <w:pStyle w:val="Textpoznmkypodiarou"/>
        <w:rPr>
          <w:sz w:val="18"/>
          <w:szCs w:val="18"/>
        </w:rPr>
      </w:pPr>
      <w:r w:rsidRPr="00C805F4">
        <w:rPr>
          <w:rStyle w:val="Odkaznapoznmkupodiarou"/>
          <w:sz w:val="18"/>
          <w:szCs w:val="18"/>
        </w:rPr>
        <w:footnoteRef/>
      </w:r>
      <w:r w:rsidRPr="00C805F4">
        <w:rPr>
          <w:sz w:val="18"/>
          <w:szCs w:val="18"/>
        </w:rPr>
        <w:t xml:space="preserve"> </w:t>
      </w:r>
      <w:r w:rsidRPr="00C805F4">
        <w:rPr>
          <w:sz w:val="18"/>
          <w:szCs w:val="18"/>
        </w:rPr>
        <w:t>„Tradičná rodina” (heterosexuál</w:t>
      </w:r>
      <w:r w:rsidR="00A03D3A" w:rsidRPr="00C805F4">
        <w:rPr>
          <w:sz w:val="18"/>
          <w:szCs w:val="18"/>
        </w:rPr>
        <w:t>ny pár s deťmi) a jej výskyt v e</w:t>
      </w:r>
      <w:r w:rsidRPr="00C805F4">
        <w:rPr>
          <w:sz w:val="18"/>
          <w:szCs w:val="18"/>
        </w:rPr>
        <w:t>urópskych krajinách sa znižuje, primárne z dôvodu zvyšujúceho sa počtu heterosexuálov, ktorí nevstupujú do manželstva, vysokej</w:t>
      </w:r>
      <w:r w:rsidR="00A03D3A" w:rsidRPr="00C805F4">
        <w:rPr>
          <w:sz w:val="18"/>
          <w:szCs w:val="18"/>
        </w:rPr>
        <w:t xml:space="preserve"> rozvodovosti, alebo zvyšujúceho</w:t>
      </w:r>
      <w:r w:rsidRPr="00C805F4">
        <w:rPr>
          <w:sz w:val="18"/>
          <w:szCs w:val="18"/>
        </w:rPr>
        <w:t xml:space="preserve"> sa počtu heterosexuálov, ktorí sa rozhodnú nemať dieťa/deti. Uzákonenie zväzkov dvoch ľudí rovnakého pohlavia ovplyvní tento trend iba v znížení počtu </w:t>
      </w:r>
      <w:proofErr w:type="spellStart"/>
      <w:r w:rsidRPr="00C805F4">
        <w:rPr>
          <w:sz w:val="18"/>
          <w:szCs w:val="18"/>
        </w:rPr>
        <w:t>lesieb</w:t>
      </w:r>
      <w:proofErr w:type="spellEnd"/>
      <w:r w:rsidRPr="00C805F4">
        <w:rPr>
          <w:sz w:val="18"/>
          <w:szCs w:val="18"/>
        </w:rPr>
        <w:t xml:space="preserve"> a </w:t>
      </w:r>
      <w:proofErr w:type="spellStart"/>
      <w:r w:rsidRPr="00C805F4">
        <w:rPr>
          <w:sz w:val="18"/>
          <w:szCs w:val="18"/>
        </w:rPr>
        <w:t>gejov</w:t>
      </w:r>
      <w:proofErr w:type="spellEnd"/>
      <w:r w:rsidRPr="00C805F4">
        <w:rPr>
          <w:sz w:val="18"/>
          <w:szCs w:val="18"/>
        </w:rPr>
        <w:t>, ktorí sa cítia nútení vstúpiť do heterosexuálneho manželstva a v znížení počtu rozvodov, ktoré z</w:t>
      </w:r>
      <w:bookmarkStart w:id="0" w:name="_GoBack"/>
      <w:bookmarkEnd w:id="0"/>
      <w:r w:rsidRPr="00C805F4">
        <w:rPr>
          <w:sz w:val="18"/>
          <w:szCs w:val="18"/>
        </w:rPr>
        <w:t xml:space="preserve"> nich väčšinou vyplývajú.</w:t>
      </w:r>
    </w:p>
  </w:footnote>
  <w:footnote w:id="7">
    <w:p w:rsidR="000E11B0" w:rsidRPr="00C805F4" w:rsidRDefault="000E11B0">
      <w:pPr>
        <w:pStyle w:val="Textpoznmkypodiarou"/>
        <w:rPr>
          <w:sz w:val="18"/>
          <w:szCs w:val="18"/>
        </w:rPr>
      </w:pPr>
      <w:r w:rsidRPr="00C805F4">
        <w:rPr>
          <w:rStyle w:val="Odkaznapoznmkupodiarou"/>
          <w:sz w:val="18"/>
          <w:szCs w:val="18"/>
        </w:rPr>
        <w:footnoteRef/>
      </w:r>
      <w:r w:rsidRPr="00C805F4">
        <w:rPr>
          <w:sz w:val="18"/>
          <w:szCs w:val="18"/>
        </w:rPr>
        <w:t xml:space="preserve"> </w:t>
      </w:r>
      <w:r w:rsidRPr="00C805F4">
        <w:rPr>
          <w:sz w:val="18"/>
          <w:szCs w:val="18"/>
        </w:rPr>
        <w:t xml:space="preserve">Ak 1600 rokov perzekúcie  – zahŕňajúcej trest smrti, uväznenie, diskrimináciu a spoločenské vylúčenie  – nedokázali “konvertovať” homosexuálov na heterosexuálov, viac informácií o homosexualite skutočne neovplyvní sexuálnu orientáciu heterosexuálnych ľudí, bez ohľadu na ich vek. (Homosexualita bola prvý krát v Európe dokázateľne </w:t>
      </w:r>
      <w:r w:rsidR="00337692" w:rsidRPr="00C805F4">
        <w:rPr>
          <w:sz w:val="18"/>
          <w:szCs w:val="18"/>
        </w:rPr>
        <w:t xml:space="preserve">zo zákona </w:t>
      </w:r>
      <w:r w:rsidRPr="00C805F4">
        <w:rPr>
          <w:sz w:val="18"/>
          <w:szCs w:val="18"/>
        </w:rPr>
        <w:t xml:space="preserve">zakázaná v roku </w:t>
      </w:r>
      <w:r w:rsidR="00337692" w:rsidRPr="00C805F4">
        <w:rPr>
          <w:sz w:val="18"/>
          <w:szCs w:val="18"/>
        </w:rPr>
        <w:t>390)</w:t>
      </w:r>
    </w:p>
  </w:footnote>
  <w:footnote w:id="8">
    <w:p w:rsidR="00337692" w:rsidRPr="00C805F4" w:rsidRDefault="00337692" w:rsidP="00337692">
      <w:pPr>
        <w:pStyle w:val="Textpoznmkypodiarou"/>
        <w:rPr>
          <w:sz w:val="18"/>
          <w:szCs w:val="18"/>
        </w:rPr>
      </w:pPr>
      <w:r w:rsidRPr="00C805F4">
        <w:rPr>
          <w:rStyle w:val="Odkaznapoznmkupodiarou"/>
          <w:sz w:val="18"/>
          <w:szCs w:val="18"/>
        </w:rPr>
        <w:footnoteRef/>
      </w:r>
      <w:r w:rsidRPr="00C805F4">
        <w:rPr>
          <w:sz w:val="18"/>
          <w:szCs w:val="18"/>
        </w:rPr>
        <w:t xml:space="preserve"> </w:t>
      </w:r>
      <w:r w:rsidRPr="00C805F4">
        <w:rPr>
          <w:sz w:val="18"/>
          <w:szCs w:val="18"/>
        </w:rPr>
        <w:t>„Americká akadémia pre psychiatriu detí a mládeže sa uzniesla, že neexistuje dôkaz</w:t>
      </w:r>
      <w:r w:rsidR="00A03D3A" w:rsidRPr="00C805F4">
        <w:rPr>
          <w:sz w:val="18"/>
          <w:szCs w:val="18"/>
        </w:rPr>
        <w:t>,</w:t>
      </w:r>
      <w:r w:rsidRPr="00C805F4">
        <w:rPr>
          <w:sz w:val="18"/>
          <w:szCs w:val="18"/>
        </w:rPr>
        <w:t xml:space="preserve"> že </w:t>
      </w:r>
      <w:proofErr w:type="spellStart"/>
      <w:r w:rsidRPr="00C805F4">
        <w:rPr>
          <w:sz w:val="18"/>
          <w:szCs w:val="18"/>
        </w:rPr>
        <w:t>gejovia</w:t>
      </w:r>
      <w:proofErr w:type="spellEnd"/>
      <w:r w:rsidRPr="00C805F4">
        <w:rPr>
          <w:sz w:val="18"/>
          <w:szCs w:val="18"/>
        </w:rPr>
        <w:t xml:space="preserve"> a </w:t>
      </w:r>
      <w:proofErr w:type="spellStart"/>
      <w:r w:rsidRPr="00C805F4">
        <w:rPr>
          <w:sz w:val="18"/>
          <w:szCs w:val="18"/>
        </w:rPr>
        <w:t>lesby</w:t>
      </w:r>
      <w:proofErr w:type="spellEnd"/>
      <w:r w:rsidRPr="00C805F4">
        <w:rPr>
          <w:sz w:val="18"/>
          <w:szCs w:val="18"/>
        </w:rPr>
        <w:t xml:space="preserve"> ako takí predstavujú hrozbu pre zdravý vývoj detí a mládeže a odsúdila všetky obmedzenia zamestnávania alebo poskytovania služieb založené na sexuálnej orientácii v pozíciách zahŕňajúcich poskytovanie služieb alebo starostlivosti o deti a mládež.“ (</w:t>
      </w:r>
      <w:proofErr w:type="spellStart"/>
      <w:r w:rsidRPr="00C805F4">
        <w:rPr>
          <w:sz w:val="18"/>
          <w:szCs w:val="18"/>
        </w:rPr>
        <w:t>Policy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Statement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of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the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American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Academy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of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Child</w:t>
      </w:r>
      <w:proofErr w:type="spellEnd"/>
      <w:r w:rsidRPr="00C805F4">
        <w:rPr>
          <w:sz w:val="18"/>
          <w:szCs w:val="18"/>
        </w:rPr>
        <w:t xml:space="preserve"> and Adolescent </w:t>
      </w:r>
      <w:proofErr w:type="spellStart"/>
      <w:r w:rsidRPr="00C805F4">
        <w:rPr>
          <w:sz w:val="18"/>
          <w:szCs w:val="18"/>
        </w:rPr>
        <w:t>Psychiatry</w:t>
      </w:r>
      <w:proofErr w:type="spellEnd"/>
      <w:r w:rsidRPr="00C805F4">
        <w:rPr>
          <w:sz w:val="18"/>
          <w:szCs w:val="18"/>
        </w:rPr>
        <w:t xml:space="preserve">, </w:t>
      </w:r>
      <w:proofErr w:type="spellStart"/>
      <w:r w:rsidRPr="00C805F4">
        <w:rPr>
          <w:sz w:val="18"/>
          <w:szCs w:val="18"/>
        </w:rPr>
        <w:t>adopted</w:t>
      </w:r>
      <w:proofErr w:type="spellEnd"/>
      <w:r w:rsidRPr="00C805F4">
        <w:rPr>
          <w:sz w:val="18"/>
          <w:szCs w:val="18"/>
        </w:rPr>
        <w:t xml:space="preserve"> in </w:t>
      </w:r>
      <w:proofErr w:type="spellStart"/>
      <w:r w:rsidRPr="00C805F4">
        <w:rPr>
          <w:sz w:val="18"/>
          <w:szCs w:val="18"/>
        </w:rPr>
        <w:t>October</w:t>
      </w:r>
      <w:proofErr w:type="spellEnd"/>
      <w:r w:rsidRPr="00C805F4">
        <w:rPr>
          <w:sz w:val="18"/>
          <w:szCs w:val="18"/>
        </w:rPr>
        <w:t xml:space="preserve"> 1992.)</w:t>
      </w:r>
    </w:p>
  </w:footnote>
  <w:footnote w:id="9">
    <w:p w:rsidR="001F458F" w:rsidRPr="00C805F4" w:rsidRDefault="001F458F" w:rsidP="001F458F">
      <w:pPr>
        <w:pStyle w:val="Textpoznmkypodiarou"/>
        <w:rPr>
          <w:sz w:val="18"/>
          <w:szCs w:val="18"/>
        </w:rPr>
      </w:pPr>
      <w:r w:rsidRPr="00C805F4">
        <w:rPr>
          <w:rStyle w:val="Odkaznapoznmkupodiarou"/>
          <w:sz w:val="18"/>
          <w:szCs w:val="18"/>
        </w:rPr>
        <w:footnoteRef/>
      </w:r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Lustig-Prean</w:t>
      </w:r>
      <w:proofErr w:type="spellEnd"/>
      <w:r w:rsidRPr="00C805F4">
        <w:rPr>
          <w:sz w:val="18"/>
          <w:szCs w:val="18"/>
        </w:rPr>
        <w:t xml:space="preserve"> and </w:t>
      </w:r>
      <w:proofErr w:type="spellStart"/>
      <w:r w:rsidRPr="00C805F4">
        <w:rPr>
          <w:sz w:val="18"/>
          <w:szCs w:val="18"/>
        </w:rPr>
        <w:t>Beckett</w:t>
      </w:r>
      <w:proofErr w:type="spellEnd"/>
      <w:r w:rsidRPr="00C805F4">
        <w:rPr>
          <w:sz w:val="18"/>
          <w:szCs w:val="18"/>
        </w:rPr>
        <w:t xml:space="preserve"> v. </w:t>
      </w:r>
      <w:proofErr w:type="spellStart"/>
      <w:r w:rsidRPr="00C805F4">
        <w:rPr>
          <w:sz w:val="18"/>
          <w:szCs w:val="18"/>
        </w:rPr>
        <w:t>the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United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Kingdom</w:t>
      </w:r>
      <w:proofErr w:type="spellEnd"/>
      <w:r w:rsidRPr="00C805F4">
        <w:rPr>
          <w:sz w:val="18"/>
          <w:szCs w:val="18"/>
        </w:rPr>
        <w:t xml:space="preserve"> (1999), </w:t>
      </w:r>
      <w:proofErr w:type="spellStart"/>
      <w:r w:rsidRPr="00C805F4">
        <w:rPr>
          <w:sz w:val="18"/>
          <w:szCs w:val="18"/>
        </w:rPr>
        <w:t>paragraph</w:t>
      </w:r>
      <w:proofErr w:type="spellEnd"/>
      <w:r w:rsidRPr="00C805F4">
        <w:rPr>
          <w:sz w:val="18"/>
          <w:szCs w:val="18"/>
        </w:rPr>
        <w:t xml:space="preserve"> 90; S.L. v. </w:t>
      </w:r>
      <w:proofErr w:type="spellStart"/>
      <w:r w:rsidRPr="00C805F4">
        <w:rPr>
          <w:sz w:val="18"/>
          <w:szCs w:val="18"/>
        </w:rPr>
        <w:t>Austria</w:t>
      </w:r>
      <w:proofErr w:type="spellEnd"/>
      <w:r w:rsidRPr="00C805F4">
        <w:rPr>
          <w:sz w:val="18"/>
          <w:szCs w:val="18"/>
        </w:rPr>
        <w:t xml:space="preserve"> (2003), </w:t>
      </w:r>
      <w:proofErr w:type="spellStart"/>
      <w:r w:rsidRPr="00C805F4">
        <w:rPr>
          <w:sz w:val="18"/>
          <w:szCs w:val="18"/>
        </w:rPr>
        <w:t>paragraph</w:t>
      </w:r>
      <w:proofErr w:type="spellEnd"/>
      <w:r w:rsidRPr="00C805F4">
        <w:rPr>
          <w:sz w:val="18"/>
          <w:szCs w:val="18"/>
        </w:rPr>
        <w:t xml:space="preserve"> 44.</w:t>
      </w:r>
    </w:p>
  </w:footnote>
  <w:footnote w:id="10">
    <w:p w:rsidR="001F458F" w:rsidRPr="00C805F4" w:rsidRDefault="001F458F" w:rsidP="001F458F">
      <w:pPr>
        <w:pStyle w:val="Textpoznmkypodiarou"/>
        <w:rPr>
          <w:sz w:val="18"/>
          <w:szCs w:val="18"/>
        </w:rPr>
      </w:pPr>
      <w:r w:rsidRPr="00C805F4">
        <w:rPr>
          <w:rStyle w:val="Odkaznapoznmkupodiarou"/>
          <w:sz w:val="18"/>
          <w:szCs w:val="18"/>
        </w:rPr>
        <w:footnoteRef/>
      </w:r>
      <w:r w:rsidRPr="00C805F4">
        <w:rPr>
          <w:sz w:val="18"/>
          <w:szCs w:val="18"/>
        </w:rPr>
        <w:t xml:space="preserve"> </w:t>
      </w:r>
      <w:r w:rsidRPr="00C805F4">
        <w:rPr>
          <w:sz w:val="18"/>
          <w:szCs w:val="18"/>
        </w:rPr>
        <w:t xml:space="preserve">Pohlavie (S.L. v. </w:t>
      </w:r>
      <w:proofErr w:type="spellStart"/>
      <w:r w:rsidRPr="00C805F4">
        <w:rPr>
          <w:sz w:val="18"/>
          <w:szCs w:val="18"/>
        </w:rPr>
        <w:t>Austria</w:t>
      </w:r>
      <w:proofErr w:type="spellEnd"/>
      <w:r w:rsidRPr="00C805F4">
        <w:rPr>
          <w:sz w:val="18"/>
          <w:szCs w:val="18"/>
        </w:rPr>
        <w:t>), rasa (</w:t>
      </w:r>
      <w:proofErr w:type="spellStart"/>
      <w:r w:rsidRPr="00C805F4">
        <w:rPr>
          <w:sz w:val="18"/>
          <w:szCs w:val="18"/>
        </w:rPr>
        <w:t>Smith</w:t>
      </w:r>
      <w:proofErr w:type="spellEnd"/>
      <w:r w:rsidRPr="00C805F4">
        <w:rPr>
          <w:sz w:val="18"/>
          <w:szCs w:val="18"/>
        </w:rPr>
        <w:t xml:space="preserve"> and </w:t>
      </w:r>
      <w:proofErr w:type="spellStart"/>
      <w:r w:rsidRPr="00C805F4">
        <w:rPr>
          <w:sz w:val="18"/>
          <w:szCs w:val="18"/>
        </w:rPr>
        <w:t>Grady</w:t>
      </w:r>
      <w:proofErr w:type="spellEnd"/>
      <w:r w:rsidRPr="00C805F4">
        <w:rPr>
          <w:sz w:val="18"/>
          <w:szCs w:val="18"/>
        </w:rPr>
        <w:t xml:space="preserve"> v. </w:t>
      </w:r>
      <w:proofErr w:type="spellStart"/>
      <w:r w:rsidRPr="00C805F4">
        <w:rPr>
          <w:sz w:val="18"/>
          <w:szCs w:val="18"/>
        </w:rPr>
        <w:t>the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United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Kingdom</w:t>
      </w:r>
      <w:proofErr w:type="spellEnd"/>
      <w:r w:rsidRPr="00C805F4">
        <w:rPr>
          <w:sz w:val="18"/>
          <w:szCs w:val="18"/>
        </w:rPr>
        <w:t xml:space="preserve">; </w:t>
      </w:r>
      <w:proofErr w:type="spellStart"/>
      <w:r w:rsidRPr="00C805F4">
        <w:rPr>
          <w:sz w:val="18"/>
          <w:szCs w:val="18"/>
        </w:rPr>
        <w:t>Lustig-Prean</w:t>
      </w:r>
      <w:proofErr w:type="spellEnd"/>
      <w:r w:rsidRPr="00C805F4">
        <w:rPr>
          <w:sz w:val="18"/>
          <w:szCs w:val="18"/>
        </w:rPr>
        <w:t xml:space="preserve"> and </w:t>
      </w:r>
      <w:proofErr w:type="spellStart"/>
      <w:r w:rsidRPr="00C805F4">
        <w:rPr>
          <w:sz w:val="18"/>
          <w:szCs w:val="18"/>
        </w:rPr>
        <w:t>Beckett</w:t>
      </w:r>
      <w:proofErr w:type="spellEnd"/>
      <w:r w:rsidRPr="00C805F4">
        <w:rPr>
          <w:sz w:val="18"/>
          <w:szCs w:val="18"/>
        </w:rPr>
        <w:t xml:space="preserve"> v. </w:t>
      </w:r>
      <w:proofErr w:type="spellStart"/>
      <w:r w:rsidRPr="00C805F4">
        <w:rPr>
          <w:sz w:val="18"/>
          <w:szCs w:val="18"/>
        </w:rPr>
        <w:t>the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United</w:t>
      </w:r>
      <w:proofErr w:type="spellEnd"/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Kingdom</w:t>
      </w:r>
      <w:proofErr w:type="spellEnd"/>
      <w:r w:rsidRPr="00C805F4">
        <w:rPr>
          <w:sz w:val="18"/>
          <w:szCs w:val="18"/>
        </w:rPr>
        <w:t>) a náboženstvo (</w:t>
      </w:r>
      <w:proofErr w:type="spellStart"/>
      <w:r w:rsidRPr="00C805F4">
        <w:rPr>
          <w:sz w:val="18"/>
          <w:szCs w:val="18"/>
        </w:rPr>
        <w:t>Mouta</w:t>
      </w:r>
      <w:proofErr w:type="spellEnd"/>
      <w:r w:rsidRPr="00C805F4">
        <w:rPr>
          <w:sz w:val="18"/>
          <w:szCs w:val="18"/>
        </w:rPr>
        <w:t xml:space="preserve"> v. </w:t>
      </w:r>
      <w:proofErr w:type="spellStart"/>
      <w:r w:rsidRPr="00C805F4">
        <w:rPr>
          <w:sz w:val="18"/>
          <w:szCs w:val="18"/>
        </w:rPr>
        <w:t>Portugal</w:t>
      </w:r>
      <w:proofErr w:type="spellEnd"/>
      <w:r w:rsidRPr="00C805F4">
        <w:rPr>
          <w:sz w:val="18"/>
          <w:szCs w:val="18"/>
        </w:rPr>
        <w:t>).</w:t>
      </w:r>
    </w:p>
  </w:footnote>
  <w:footnote w:id="11">
    <w:p w:rsidR="001F458F" w:rsidRPr="00C805F4" w:rsidRDefault="001F458F" w:rsidP="001F458F">
      <w:pPr>
        <w:pStyle w:val="Textpoznmkypodiarou"/>
        <w:rPr>
          <w:sz w:val="18"/>
          <w:szCs w:val="18"/>
        </w:rPr>
      </w:pPr>
      <w:r w:rsidRPr="00C805F4">
        <w:rPr>
          <w:rStyle w:val="Odkaznapoznmkupodiarou"/>
          <w:sz w:val="18"/>
          <w:szCs w:val="18"/>
        </w:rPr>
        <w:footnoteRef/>
      </w:r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Bączkowski</w:t>
      </w:r>
      <w:proofErr w:type="spellEnd"/>
      <w:r w:rsidRPr="00C805F4">
        <w:rPr>
          <w:sz w:val="18"/>
          <w:szCs w:val="18"/>
        </w:rPr>
        <w:t xml:space="preserve"> and </w:t>
      </w:r>
      <w:proofErr w:type="spellStart"/>
      <w:r w:rsidRPr="00C805F4">
        <w:rPr>
          <w:sz w:val="18"/>
          <w:szCs w:val="18"/>
        </w:rPr>
        <w:t>Others</w:t>
      </w:r>
      <w:proofErr w:type="spellEnd"/>
      <w:r w:rsidRPr="00C805F4">
        <w:rPr>
          <w:sz w:val="18"/>
          <w:szCs w:val="18"/>
        </w:rPr>
        <w:t xml:space="preserve"> v. </w:t>
      </w:r>
      <w:proofErr w:type="spellStart"/>
      <w:r w:rsidRPr="00C805F4">
        <w:rPr>
          <w:sz w:val="18"/>
          <w:szCs w:val="18"/>
        </w:rPr>
        <w:t>Poland</w:t>
      </w:r>
      <w:proofErr w:type="spellEnd"/>
      <w:r w:rsidRPr="00C805F4">
        <w:rPr>
          <w:sz w:val="18"/>
          <w:szCs w:val="18"/>
        </w:rPr>
        <w:t xml:space="preserve"> (2007).</w:t>
      </w:r>
    </w:p>
  </w:footnote>
  <w:footnote w:id="12">
    <w:p w:rsidR="001F458F" w:rsidRPr="00C805F4" w:rsidRDefault="001F458F" w:rsidP="001F458F">
      <w:pPr>
        <w:pStyle w:val="Textpoznmkypodiarou"/>
        <w:rPr>
          <w:sz w:val="18"/>
          <w:szCs w:val="18"/>
        </w:rPr>
      </w:pPr>
      <w:r w:rsidRPr="00C805F4">
        <w:rPr>
          <w:rStyle w:val="Odkaznapoznmkupodiarou"/>
          <w:sz w:val="18"/>
          <w:szCs w:val="18"/>
        </w:rPr>
        <w:footnoteRef/>
      </w:r>
      <w:r w:rsidRPr="00C805F4">
        <w:rPr>
          <w:sz w:val="18"/>
          <w:szCs w:val="18"/>
        </w:rPr>
        <w:t xml:space="preserve"> </w:t>
      </w:r>
      <w:r w:rsidRPr="00C805F4">
        <w:rPr>
          <w:sz w:val="18"/>
          <w:szCs w:val="18"/>
        </w:rPr>
        <w:t xml:space="preserve">S.L. v. </w:t>
      </w:r>
      <w:proofErr w:type="spellStart"/>
      <w:r w:rsidRPr="00C805F4">
        <w:rPr>
          <w:sz w:val="18"/>
          <w:szCs w:val="18"/>
        </w:rPr>
        <w:t>Austria</w:t>
      </w:r>
      <w:proofErr w:type="spellEnd"/>
      <w:r w:rsidRPr="00C805F4">
        <w:rPr>
          <w:sz w:val="18"/>
          <w:szCs w:val="18"/>
        </w:rPr>
        <w:t xml:space="preserve"> (2003), </w:t>
      </w:r>
      <w:proofErr w:type="spellStart"/>
      <w:r w:rsidRPr="00C805F4">
        <w:rPr>
          <w:sz w:val="18"/>
          <w:szCs w:val="18"/>
        </w:rPr>
        <w:t>paragraph</w:t>
      </w:r>
      <w:proofErr w:type="spellEnd"/>
      <w:r w:rsidRPr="00C805F4">
        <w:rPr>
          <w:sz w:val="18"/>
          <w:szCs w:val="18"/>
        </w:rPr>
        <w:t xml:space="preserve"> 43.</w:t>
      </w:r>
    </w:p>
  </w:footnote>
  <w:footnote w:id="13">
    <w:p w:rsidR="001F458F" w:rsidRPr="00C805F4" w:rsidRDefault="001F458F" w:rsidP="001F458F">
      <w:pPr>
        <w:pStyle w:val="Textpoznmkypodiarou"/>
        <w:rPr>
          <w:sz w:val="18"/>
          <w:szCs w:val="18"/>
        </w:rPr>
      </w:pPr>
      <w:r w:rsidRPr="00C805F4">
        <w:rPr>
          <w:rStyle w:val="Odkaznapoznmkupodiarou"/>
          <w:sz w:val="18"/>
          <w:szCs w:val="18"/>
        </w:rPr>
        <w:footnoteRef/>
      </w:r>
      <w:r w:rsidRPr="00C805F4">
        <w:rPr>
          <w:sz w:val="18"/>
          <w:szCs w:val="18"/>
        </w:rPr>
        <w:t xml:space="preserve"> </w:t>
      </w:r>
      <w:r w:rsidRPr="00C805F4">
        <w:rPr>
          <w:sz w:val="18"/>
          <w:szCs w:val="18"/>
        </w:rPr>
        <w:t xml:space="preserve">Karner v. </w:t>
      </w:r>
      <w:proofErr w:type="spellStart"/>
      <w:r w:rsidRPr="00C805F4">
        <w:rPr>
          <w:sz w:val="18"/>
          <w:szCs w:val="18"/>
        </w:rPr>
        <w:t>Austria</w:t>
      </w:r>
      <w:proofErr w:type="spellEnd"/>
      <w:r w:rsidRPr="00C805F4">
        <w:rPr>
          <w:sz w:val="18"/>
          <w:szCs w:val="18"/>
        </w:rPr>
        <w:t xml:space="preserve"> (2003).</w:t>
      </w:r>
    </w:p>
  </w:footnote>
  <w:footnote w:id="14">
    <w:p w:rsidR="001F458F" w:rsidRPr="00C805F4" w:rsidRDefault="001F458F" w:rsidP="001F458F">
      <w:pPr>
        <w:pStyle w:val="Textpoznmkypodiarou"/>
        <w:rPr>
          <w:sz w:val="18"/>
          <w:szCs w:val="18"/>
        </w:rPr>
      </w:pPr>
      <w:r w:rsidRPr="00C805F4">
        <w:rPr>
          <w:rStyle w:val="Odkaznapoznmkupodiarou"/>
          <w:sz w:val="18"/>
          <w:szCs w:val="18"/>
        </w:rPr>
        <w:footnoteRef/>
      </w:r>
      <w:r w:rsidRPr="00C805F4">
        <w:rPr>
          <w:sz w:val="18"/>
          <w:szCs w:val="18"/>
        </w:rPr>
        <w:t xml:space="preserve"> </w:t>
      </w:r>
      <w:proofErr w:type="spellStart"/>
      <w:r w:rsidRPr="00C805F4">
        <w:rPr>
          <w:sz w:val="18"/>
          <w:szCs w:val="18"/>
        </w:rPr>
        <w:t>Mouta</w:t>
      </w:r>
      <w:proofErr w:type="spellEnd"/>
      <w:r w:rsidRPr="00C805F4">
        <w:rPr>
          <w:sz w:val="18"/>
          <w:szCs w:val="18"/>
        </w:rPr>
        <w:t xml:space="preserve"> v. </w:t>
      </w:r>
      <w:proofErr w:type="spellStart"/>
      <w:r w:rsidRPr="00C805F4">
        <w:rPr>
          <w:sz w:val="18"/>
          <w:szCs w:val="18"/>
        </w:rPr>
        <w:t>Portugal</w:t>
      </w:r>
      <w:proofErr w:type="spellEnd"/>
      <w:r w:rsidRPr="00C805F4">
        <w:rPr>
          <w:sz w:val="18"/>
          <w:szCs w:val="18"/>
        </w:rPr>
        <w:t xml:space="preserve"> (1999), ktorý sa týkal práva muža – </w:t>
      </w:r>
      <w:proofErr w:type="spellStart"/>
      <w:r w:rsidRPr="00C805F4">
        <w:rPr>
          <w:sz w:val="18"/>
          <w:szCs w:val="18"/>
        </w:rPr>
        <w:t>geja</w:t>
      </w:r>
      <w:proofErr w:type="spellEnd"/>
      <w:r w:rsidRPr="00C805F4">
        <w:rPr>
          <w:sz w:val="18"/>
          <w:szCs w:val="18"/>
        </w:rPr>
        <w:t xml:space="preserve"> na opateru jeho biologickej dcéry; B. v. </w:t>
      </w:r>
      <w:proofErr w:type="spellStart"/>
      <w:r w:rsidRPr="00C805F4">
        <w:rPr>
          <w:sz w:val="18"/>
          <w:szCs w:val="18"/>
        </w:rPr>
        <w:t>France</w:t>
      </w:r>
      <w:proofErr w:type="spellEnd"/>
    </w:p>
    <w:p w:rsidR="001F458F" w:rsidRPr="00C805F4" w:rsidRDefault="001F458F" w:rsidP="001F458F">
      <w:pPr>
        <w:pStyle w:val="Textpoznmkypodiarou"/>
        <w:rPr>
          <w:sz w:val="18"/>
          <w:szCs w:val="18"/>
        </w:rPr>
      </w:pPr>
      <w:r w:rsidRPr="00C805F4">
        <w:rPr>
          <w:sz w:val="18"/>
          <w:szCs w:val="18"/>
        </w:rPr>
        <w:t>(2008), ktorý sa týkal práva lesbickej ženy na rovné zaobchádzanie pri posudzovaní ako uchádzačky o adopciu.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F4" w:rsidRPr="00C805F4" w:rsidRDefault="00C805F4" w:rsidP="00C805F4">
    <w:pPr>
      <w:pStyle w:val="Hlavika"/>
    </w:pPr>
    <w:r w:rsidRPr="00C805F4">
      <w:t xml:space="preserve">Východiskový materiál - Práva </w:t>
    </w:r>
    <w:proofErr w:type="spellStart"/>
    <w:r w:rsidRPr="00C805F4">
      <w:t>lesieb</w:t>
    </w:r>
    <w:proofErr w:type="spellEnd"/>
    <w:r w:rsidRPr="00C805F4">
      <w:t xml:space="preserve">, </w:t>
    </w:r>
    <w:proofErr w:type="spellStart"/>
    <w:r w:rsidRPr="00C805F4">
      <w:t>gejov</w:t>
    </w:r>
    <w:proofErr w:type="spellEnd"/>
    <w:r w:rsidRPr="00C805F4">
      <w:t xml:space="preserve">, bisexuálnych, </w:t>
    </w:r>
    <w:proofErr w:type="spellStart"/>
    <w:r w:rsidRPr="00C805F4">
      <w:t>transrodových</w:t>
    </w:r>
    <w:proofErr w:type="spellEnd"/>
    <w:r w:rsidRPr="00C805F4">
      <w:t xml:space="preserve"> a </w:t>
    </w:r>
    <w:proofErr w:type="spellStart"/>
    <w:r w:rsidRPr="00C805F4">
      <w:t>in</w:t>
    </w:r>
    <w:r>
      <w:t>tersexuálnych</w:t>
    </w:r>
    <w:proofErr w:type="spellEnd"/>
    <w:r>
      <w:t xml:space="preserve"> ľudí: Príloha č. 2</w:t>
    </w:r>
  </w:p>
  <w:p w:rsidR="00C805F4" w:rsidRDefault="00C805F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1C"/>
    <w:rsid w:val="000E11B0"/>
    <w:rsid w:val="0012166E"/>
    <w:rsid w:val="001F458F"/>
    <w:rsid w:val="00261D1C"/>
    <w:rsid w:val="003030FD"/>
    <w:rsid w:val="00306C83"/>
    <w:rsid w:val="00337692"/>
    <w:rsid w:val="00396892"/>
    <w:rsid w:val="003B1A64"/>
    <w:rsid w:val="003E65FD"/>
    <w:rsid w:val="003F3E65"/>
    <w:rsid w:val="00402F5F"/>
    <w:rsid w:val="007A4BC1"/>
    <w:rsid w:val="007D7B74"/>
    <w:rsid w:val="008C3979"/>
    <w:rsid w:val="008C47F7"/>
    <w:rsid w:val="00925DD8"/>
    <w:rsid w:val="009925D1"/>
    <w:rsid w:val="009F7352"/>
    <w:rsid w:val="00A03D3A"/>
    <w:rsid w:val="00A26024"/>
    <w:rsid w:val="00A65395"/>
    <w:rsid w:val="00A76B50"/>
    <w:rsid w:val="00AE1E92"/>
    <w:rsid w:val="00BD7141"/>
    <w:rsid w:val="00C2609B"/>
    <w:rsid w:val="00C805F4"/>
    <w:rsid w:val="00CA360B"/>
    <w:rsid w:val="00DE749D"/>
    <w:rsid w:val="00DF155F"/>
    <w:rsid w:val="00EB6E89"/>
    <w:rsid w:val="00ED0F34"/>
    <w:rsid w:val="00F0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06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B6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06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7F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B6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EB6E8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B6E8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B6E89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EB6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EB6E8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8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05F4"/>
  </w:style>
  <w:style w:type="paragraph" w:styleId="Pta">
    <w:name w:val="footer"/>
    <w:basedOn w:val="Normlny"/>
    <w:link w:val="PtaChar"/>
    <w:uiPriority w:val="99"/>
    <w:unhideWhenUsed/>
    <w:rsid w:val="00C8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0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06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B6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06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7F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B6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EB6E8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B6E8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B6E89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EB6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EB6E8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8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05F4"/>
  </w:style>
  <w:style w:type="paragraph" w:styleId="Pta">
    <w:name w:val="footer"/>
    <w:basedOn w:val="Normlny"/>
    <w:link w:val="PtaChar"/>
    <w:uiPriority w:val="99"/>
    <w:unhideWhenUsed/>
    <w:rsid w:val="00C8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a.org/topics/sexuality/index.asp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34E83-D891-48F3-9298-7F2872A4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Inakost</dc:creator>
  <cp:lastModifiedBy>Inakost</cp:lastModifiedBy>
  <cp:revision>3</cp:revision>
  <dcterms:created xsi:type="dcterms:W3CDTF">2014-05-16T09:29:00Z</dcterms:created>
  <dcterms:modified xsi:type="dcterms:W3CDTF">2014-05-16T09:33:00Z</dcterms:modified>
</cp:coreProperties>
</file>