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48" w:rsidRPr="00B0162F" w:rsidRDefault="00B07548" w:rsidP="00D20353">
      <w:pPr>
        <w:pStyle w:val="Nadpis1"/>
        <w:spacing w:before="0"/>
        <w:rPr>
          <w:lang w:val="sk-SK"/>
        </w:rPr>
      </w:pPr>
      <w:r w:rsidRPr="00B0162F">
        <w:rPr>
          <w:lang w:val="sk-SK"/>
        </w:rPr>
        <w:t>Dôvodová správa</w:t>
      </w:r>
    </w:p>
    <w:p w:rsidR="00B07548" w:rsidRPr="00B0162F" w:rsidRDefault="00B07548" w:rsidP="00FE68BA">
      <w:pPr>
        <w:pStyle w:val="Nadpis3"/>
        <w:numPr>
          <w:ilvl w:val="0"/>
          <w:numId w:val="7"/>
        </w:numPr>
        <w:rPr>
          <w:lang w:val="sk-SK"/>
        </w:rPr>
      </w:pPr>
      <w:r w:rsidRPr="00B0162F">
        <w:rPr>
          <w:lang w:val="sk-SK"/>
        </w:rPr>
        <w:t>Všeobecná časť</w:t>
      </w:r>
    </w:p>
    <w:p w:rsidR="002641E3" w:rsidRPr="00B0162F" w:rsidRDefault="002641E3" w:rsidP="00DF5FA6">
      <w:pPr>
        <w:pStyle w:val="odsek"/>
        <w:keepLines/>
        <w:ind w:right="4"/>
      </w:pPr>
      <w:r w:rsidRPr="00B0162F">
        <w:t xml:space="preserve">Návrh zákona, ktorým sa mení a dopĺňa zákon Slovenskej národnej rady č. 330/1991 Zb. o pozemkových úpravách, usporiadaní pozemkového vlastníctva, pozemkových úradoch, pozemkovom fonde a o pozemkových spoločenstvách v znení neskorších predpisov a ktorým sa </w:t>
      </w:r>
      <w:r w:rsidR="00917679">
        <w:t>mení a </w:t>
      </w:r>
      <w:r w:rsidRPr="00B0162F">
        <w:t xml:space="preserve">dopĺňa zákon č. 504/2003 Z. z. o nájme poľnohospodárskych pozemkov, poľnohospodárskeho podniku a lesných pozemkov a o zmene niektorých zákonov v znení neskorších predpisov bol vypracovaný </w:t>
      </w:r>
      <w:r w:rsidR="00865C76">
        <w:t>na plnenie bodov C.2 a C.3 uznesenia vlády Slovenskej republiky č. 33 z 22. januára 2014</w:t>
      </w:r>
      <w:r w:rsidRPr="00B0162F">
        <w:t xml:space="preserve">, </w:t>
      </w:r>
      <w:r w:rsidR="00865C76">
        <w:t xml:space="preserve">ktoré riešia rozvíjanie špeciálnej rastlinnej výroby a tiež rozvíjanie živočíšnej výroby a zároveň, </w:t>
      </w:r>
      <w:r w:rsidRPr="00B0162F">
        <w:t>aby boli vytvorené podmienky pre mladých poľnohospodárov</w:t>
      </w:r>
      <w:r w:rsidR="00BF071F" w:rsidRPr="00B0162F">
        <w:t xml:space="preserve"> a poľnohospodárov</w:t>
      </w:r>
      <w:r w:rsidRPr="00B0162F">
        <w:t xml:space="preserve">, </w:t>
      </w:r>
      <w:r w:rsidR="00157F48" w:rsidRPr="00B0162F">
        <w:t>ktorí podnikajú v </w:t>
      </w:r>
      <w:r w:rsidRPr="00B0162F">
        <w:t>mal</w:t>
      </w:r>
      <w:r w:rsidR="00157F48" w:rsidRPr="00B0162F">
        <w:t>ých</w:t>
      </w:r>
      <w:r w:rsidRPr="00B0162F">
        <w:t xml:space="preserve"> a </w:t>
      </w:r>
      <w:proofErr w:type="spellStart"/>
      <w:r w:rsidRPr="00B0162F">
        <w:t>mikro</w:t>
      </w:r>
      <w:proofErr w:type="spellEnd"/>
      <w:r w:rsidRPr="00B0162F">
        <w:t xml:space="preserve"> podnik</w:t>
      </w:r>
      <w:r w:rsidR="00157F48" w:rsidRPr="00B0162F">
        <w:t>och</w:t>
      </w:r>
      <w:r w:rsidRPr="00B0162F">
        <w:t xml:space="preserve"> zaoberajúc</w:t>
      </w:r>
      <w:r w:rsidR="00157F48" w:rsidRPr="00B0162F">
        <w:t>ich</w:t>
      </w:r>
      <w:r w:rsidRPr="00B0162F">
        <w:t xml:space="preserve"> sa poľnohospodárskou prvovýrobou dostať sa k hlavnému výrobnému prostriedku, ktorým je poľnohospodárska pôda.</w:t>
      </w:r>
    </w:p>
    <w:p w:rsidR="002641E3" w:rsidRPr="00B0162F" w:rsidRDefault="002641E3" w:rsidP="00FE68BA">
      <w:pPr>
        <w:pStyle w:val="odsek"/>
        <w:keepLines/>
      </w:pPr>
      <w:r w:rsidRPr="00B0162F">
        <w:t xml:space="preserve">Návrh zákona bol vypracovaný s cieľom vytvoriť priaznivejšie podmienky pre podnikanie v poľnohospodárstve pre mladých poľnohospodárov. Súčasne tým chce </w:t>
      </w:r>
      <w:r w:rsidR="0076017D" w:rsidRPr="00B0162F">
        <w:t>prispieť k riešeniu ge</w:t>
      </w:r>
      <w:r w:rsidRPr="00B0162F">
        <w:t>neračn</w:t>
      </w:r>
      <w:r w:rsidR="0076017D" w:rsidRPr="00B0162F">
        <w:t>ej výmeny</w:t>
      </w:r>
      <w:r w:rsidRPr="00B0162F">
        <w:t xml:space="preserve"> v poľnohospodárstve a podporiť zamestnanosť na slovenskom vidieku, kde jedným z rozhodujúcich odvetví tvorby pracovných príležitostí je poľnohospodárstvo. </w:t>
      </w:r>
      <w:r w:rsidRPr="00B0162F">
        <w:rPr>
          <w:rFonts w:eastAsia="Times New Roman"/>
        </w:rPr>
        <w:t>Vidiek je a stále bude spätý s poľnohospodárstvom a v súčasnosti existuje príležitosť pre uplatnenie viacerých mladých ľudí v tomto odvetví národného hospodárstva</w:t>
      </w:r>
      <w:r w:rsidRPr="00B0162F">
        <w:t>. Tento zámer je prioritou vlády Slovenskej republiky</w:t>
      </w:r>
      <w:r w:rsidR="0076017D" w:rsidRPr="00B0162F">
        <w:t>,</w:t>
      </w:r>
      <w:r w:rsidRPr="00B0162F">
        <w:t xml:space="preserve"> </w:t>
      </w:r>
      <w:r w:rsidR="0076017D" w:rsidRPr="00B0162F">
        <w:t xml:space="preserve">zodpovedá </w:t>
      </w:r>
      <w:r w:rsidRPr="00B0162F">
        <w:t>spoločnej poľnohospodárskej politike Európskej únie a slúži k stabilizácii udržateľného rozvoja slovenského vidieka a zvyšovania potravinovej sebestačnosti Slovenskej republiky.</w:t>
      </w:r>
    </w:p>
    <w:p w:rsidR="00241258" w:rsidRPr="00B0162F" w:rsidRDefault="00241258" w:rsidP="00FE68BA">
      <w:pPr>
        <w:pStyle w:val="odsek"/>
        <w:keepLines/>
        <w:rPr>
          <w:color w:val="000000" w:themeColor="text1"/>
        </w:rPr>
      </w:pPr>
      <w:r w:rsidRPr="00B0162F">
        <w:rPr>
          <w:color w:val="000000" w:themeColor="text1"/>
        </w:rPr>
        <w:t>Návrh zákona vytvára pre mladých poľnohospodárov</w:t>
      </w:r>
      <w:r w:rsidR="00157F48" w:rsidRPr="00B0162F">
        <w:rPr>
          <w:color w:val="000000" w:themeColor="text1"/>
        </w:rPr>
        <w:t xml:space="preserve"> </w:t>
      </w:r>
      <w:r w:rsidR="00BF071F" w:rsidRPr="00B0162F">
        <w:rPr>
          <w:color w:val="000000" w:themeColor="text1"/>
        </w:rPr>
        <w:t xml:space="preserve">a poľnohospodárov </w:t>
      </w:r>
      <w:r w:rsidR="00157F48" w:rsidRPr="00B0162F">
        <w:rPr>
          <w:color w:val="000000" w:themeColor="text1"/>
        </w:rPr>
        <w:t>podnikajúcich v </w:t>
      </w:r>
      <w:r w:rsidRPr="00B0162F">
        <w:rPr>
          <w:color w:val="000000" w:themeColor="text1"/>
        </w:rPr>
        <w:t>mal</w:t>
      </w:r>
      <w:r w:rsidR="00157F48" w:rsidRPr="00B0162F">
        <w:rPr>
          <w:color w:val="000000" w:themeColor="text1"/>
        </w:rPr>
        <w:t>ých</w:t>
      </w:r>
      <w:r w:rsidRPr="00B0162F">
        <w:rPr>
          <w:color w:val="000000" w:themeColor="text1"/>
        </w:rPr>
        <w:t xml:space="preserve"> a</w:t>
      </w:r>
      <w:r w:rsidR="00157F48" w:rsidRPr="00B0162F">
        <w:rPr>
          <w:color w:val="000000" w:themeColor="text1"/>
        </w:rPr>
        <w:t xml:space="preserve">lebo </w:t>
      </w:r>
      <w:proofErr w:type="spellStart"/>
      <w:r w:rsidRPr="00B0162F">
        <w:rPr>
          <w:color w:val="000000" w:themeColor="text1"/>
        </w:rPr>
        <w:t>mikro</w:t>
      </w:r>
      <w:proofErr w:type="spellEnd"/>
      <w:r w:rsidRPr="00B0162F">
        <w:rPr>
          <w:color w:val="000000" w:themeColor="text1"/>
        </w:rPr>
        <w:t xml:space="preserve"> podnik</w:t>
      </w:r>
      <w:r w:rsidR="00157F48" w:rsidRPr="00B0162F">
        <w:rPr>
          <w:color w:val="000000" w:themeColor="text1"/>
        </w:rPr>
        <w:t>och</w:t>
      </w:r>
      <w:r w:rsidRPr="00B0162F">
        <w:rPr>
          <w:color w:val="000000" w:themeColor="text1"/>
        </w:rPr>
        <w:t xml:space="preserve"> podmienky, aby sa dostali k poľnohospodárskym pozemkom, ktoré majú v súčasnej dobe v prenájme veľký poľnohospodári a veľké podniky. Súčasťou prístupu je však zmluvný záväzok na využívanie týchto poľnohospodárskych pozemkov na špeciálnu rastlinnú a živočíšnu výrobu, </w:t>
      </w:r>
      <w:r w:rsidR="0076017D" w:rsidRPr="00B0162F">
        <w:rPr>
          <w:color w:val="000000" w:themeColor="text1"/>
        </w:rPr>
        <w:t>teda v odvetviach pozitívne stimulujúcich zamestnanosť.</w:t>
      </w:r>
    </w:p>
    <w:p w:rsidR="00241258" w:rsidRPr="00B0162F" w:rsidRDefault="00241258" w:rsidP="00FE68BA">
      <w:pPr>
        <w:pStyle w:val="odsek"/>
        <w:keepLines/>
      </w:pPr>
      <w:r w:rsidRPr="00B0162F">
        <w:rPr>
          <w:color w:val="000000" w:themeColor="text1"/>
        </w:rPr>
        <w:t>Obmedzená disponibilita poľnohospodárskej pôdy, ktorú majú dlhodobo v prenájme etablované poľnohospodárske podniky determinuje zameranie mladých a malých poľnohospodárov na špecializovanú rastlinnú výrobu a živočíšnu výrobu, pri ktorej sa dá aj na menších výmerách dosiahnuť ekonomická efektívnosť.</w:t>
      </w:r>
      <w:r w:rsidR="005418CA" w:rsidRPr="00B0162F">
        <w:rPr>
          <w:color w:val="000000" w:themeColor="text1"/>
        </w:rPr>
        <w:t xml:space="preserve"> Prístup k pôde budú môcť mladí poľnohospodári </w:t>
      </w:r>
      <w:r w:rsidR="00BF071F" w:rsidRPr="00B0162F">
        <w:rPr>
          <w:color w:val="000000" w:themeColor="text1"/>
        </w:rPr>
        <w:t xml:space="preserve">a poľnohospodári podnikajúci v malých alebo </w:t>
      </w:r>
      <w:proofErr w:type="spellStart"/>
      <w:r w:rsidR="00BF071F" w:rsidRPr="00B0162F">
        <w:rPr>
          <w:color w:val="000000" w:themeColor="text1"/>
        </w:rPr>
        <w:t>mikro</w:t>
      </w:r>
      <w:proofErr w:type="spellEnd"/>
      <w:r w:rsidR="00BF071F" w:rsidRPr="00B0162F">
        <w:rPr>
          <w:color w:val="000000" w:themeColor="text1"/>
        </w:rPr>
        <w:t xml:space="preserve"> podnikoch </w:t>
      </w:r>
      <w:r w:rsidR="005418CA" w:rsidRPr="00B0162F">
        <w:rPr>
          <w:color w:val="000000" w:themeColor="text1"/>
        </w:rPr>
        <w:t>získať prenájmom od Slovenského pozemkového fondu, kúpou doteraz nevyužívanej poľnohospodárskej pôdy od vlastníkov alebo prenájmom od veľkých podnikov, ku ktorým môžu byť v satelitnom postavení.</w:t>
      </w:r>
    </w:p>
    <w:p w:rsidR="002641E3" w:rsidRPr="00B0162F" w:rsidRDefault="002641E3" w:rsidP="00FE68BA">
      <w:pPr>
        <w:pStyle w:val="odsek"/>
        <w:keepLines/>
      </w:pPr>
      <w:r w:rsidRPr="00B0162F">
        <w:t xml:space="preserve">Návrh zákona nebude mať vplyv na rozpočet verejnej správy ani na životné prostredie. Navrhovaný zákon nebude mať vplyv ani na podnikateľské prostredie, pretože dôjde len ku prenajatiu poľnohospodárskej pôdy iným subjektom za tých istých podmienok. Návrh zákona bude mať pozitívne sociálne vplyvy </w:t>
      </w:r>
      <w:r w:rsidR="00FE68BA" w:rsidRPr="00B0162F">
        <w:t xml:space="preserve">hlavne </w:t>
      </w:r>
      <w:r w:rsidRPr="00B0162F">
        <w:t>na zamestnanosť, nakoľko je predpoklad, že prenajatie väčšieho objemu poľnohospodárskej pôdy mladým poľnohospodárom</w:t>
      </w:r>
      <w:r w:rsidR="00157F48" w:rsidRPr="00B0162F">
        <w:t xml:space="preserve"> </w:t>
      </w:r>
      <w:r w:rsidR="00BF071F" w:rsidRPr="00B0162F">
        <w:t xml:space="preserve">alebo poľnohospodárom </w:t>
      </w:r>
      <w:r w:rsidR="00157F48" w:rsidRPr="00B0162F">
        <w:t>podnikajúcim v </w:t>
      </w:r>
      <w:r w:rsidRPr="00B0162F">
        <w:t>malý</w:t>
      </w:r>
      <w:r w:rsidR="00157F48" w:rsidRPr="00B0162F">
        <w:t>ch</w:t>
      </w:r>
      <w:r w:rsidRPr="00B0162F">
        <w:t xml:space="preserve"> a </w:t>
      </w:r>
      <w:proofErr w:type="spellStart"/>
      <w:r w:rsidRPr="00B0162F">
        <w:t>mikro</w:t>
      </w:r>
      <w:proofErr w:type="spellEnd"/>
      <w:r w:rsidRPr="00B0162F">
        <w:t xml:space="preserve"> podniko</w:t>
      </w:r>
      <w:r w:rsidR="00157F48" w:rsidRPr="00B0162F">
        <w:t>ch</w:t>
      </w:r>
      <w:r w:rsidRPr="00B0162F">
        <w:t xml:space="preserve"> bude pre nich znamenať potrebu zvýšenia počtu zamestnancov. Tieto vplyvy sú uverejnené v doložke vybraných vplyvov.</w:t>
      </w:r>
    </w:p>
    <w:p w:rsidR="002641E3" w:rsidRPr="00B0162F" w:rsidRDefault="002641E3" w:rsidP="00FE68BA">
      <w:pPr>
        <w:pStyle w:val="odsek"/>
        <w:keepLines/>
      </w:pPr>
      <w:r w:rsidRPr="00B0162F">
        <w:lastRenderedPageBreak/>
        <w:t>Návrh zákona je v súlade s Ústavou Slovenskej republiky a súvisiacimi všeobecne záväznými právnymi predpismi a medzinárodnými zmluvami, ktorými je Slovenská republika viazaná.</w:t>
      </w:r>
    </w:p>
    <w:p w:rsidR="002641E3" w:rsidRPr="00B0162F" w:rsidRDefault="002641E3" w:rsidP="00FE68BA">
      <w:pPr>
        <w:pStyle w:val="odsek"/>
        <w:keepLines/>
      </w:pPr>
      <w:r w:rsidRPr="00B0162F">
        <w:t xml:space="preserve">Návrh zákona nebude predmetom </w:t>
      </w:r>
      <w:proofErr w:type="spellStart"/>
      <w:r w:rsidRPr="00B0162F">
        <w:t>vnútro-komunitárneho</w:t>
      </w:r>
      <w:proofErr w:type="spellEnd"/>
      <w:r w:rsidRPr="00B0162F">
        <w:t xml:space="preserve"> pripomienkového konania.</w:t>
      </w:r>
    </w:p>
    <w:p w:rsidR="002641E3" w:rsidRPr="00B0162F" w:rsidRDefault="002641E3" w:rsidP="00FE68BA">
      <w:pPr>
        <w:pStyle w:val="odsek"/>
        <w:keepLines/>
      </w:pPr>
      <w:r w:rsidRPr="00B0162F">
        <w:t xml:space="preserve">Vzhľadom na upravované ustanovenia a navrhovanú účinnosť je zabezpečená dostatočná </w:t>
      </w:r>
      <w:proofErr w:type="spellStart"/>
      <w:r w:rsidRPr="00B0162F">
        <w:t>legisvakančná</w:t>
      </w:r>
      <w:proofErr w:type="spellEnd"/>
      <w:r w:rsidRPr="00B0162F">
        <w:t xml:space="preserve"> doba.</w:t>
      </w:r>
    </w:p>
    <w:p w:rsidR="00BF071F" w:rsidRDefault="002641E3" w:rsidP="00BF071F">
      <w:pPr>
        <w:pStyle w:val="odsek"/>
        <w:keepLines/>
        <w:rPr>
          <w:rStyle w:val="Textzstupnhosymbolu"/>
          <w:color w:val="000000"/>
        </w:rPr>
      </w:pPr>
      <w:r w:rsidRPr="00B0162F">
        <w:rPr>
          <w:rStyle w:val="Textzstupnhosymbolu"/>
          <w:color w:val="000000"/>
        </w:rPr>
        <w:t xml:space="preserve">Účinnosť zákona sa navrhuje od 1. </w:t>
      </w:r>
      <w:r w:rsidR="00BF071F" w:rsidRPr="00B0162F">
        <w:rPr>
          <w:rStyle w:val="Textzstupnhosymbolu"/>
          <w:color w:val="000000"/>
        </w:rPr>
        <w:t>januára</w:t>
      </w:r>
      <w:r w:rsidRPr="00B0162F">
        <w:rPr>
          <w:rStyle w:val="Textzstupnhosymbolu"/>
          <w:color w:val="000000"/>
        </w:rPr>
        <w:t xml:space="preserve"> 201</w:t>
      </w:r>
      <w:r w:rsidR="00BF071F" w:rsidRPr="00B0162F">
        <w:rPr>
          <w:rStyle w:val="Textzstupnhosymbolu"/>
          <w:color w:val="000000"/>
        </w:rPr>
        <w:t>5</w:t>
      </w:r>
      <w:r w:rsidRPr="00B0162F">
        <w:rPr>
          <w:rStyle w:val="Textzstupnhosymbolu"/>
          <w:color w:val="000000"/>
        </w:rPr>
        <w:t xml:space="preserve"> </w:t>
      </w:r>
      <w:r w:rsidRPr="00B0162F">
        <w:t>nakoľko Slovenský pozemkový fond má približne 75 % zmlúv, ktoré končia ku koncu roku 2014</w:t>
      </w:r>
      <w:r w:rsidRPr="00B0162F">
        <w:rPr>
          <w:rStyle w:val="Textzstupnhosymbolu"/>
          <w:color w:val="000000"/>
        </w:rPr>
        <w:t>.</w:t>
      </w:r>
      <w:r w:rsidR="0076017D" w:rsidRPr="00B0162F">
        <w:rPr>
          <w:rStyle w:val="Textzstupnhosymbolu"/>
          <w:color w:val="000000"/>
        </w:rPr>
        <w:t xml:space="preserve"> Neskoršia účinnosť navrhovanej legislatívnej úpravy by mohla spôsobiť jej normalizovateľnosť v nasledujúcom zmluvnom období, ktoré predstavuje v jednotlivých individuálnych prípadoch 5 až 15 rokov.</w:t>
      </w:r>
    </w:p>
    <w:p w:rsidR="00B6412B" w:rsidRPr="00063806" w:rsidRDefault="00B6412B" w:rsidP="00B6412B">
      <w:pPr>
        <w:pStyle w:val="odsek"/>
      </w:pPr>
      <w:r>
        <w:rPr>
          <w:rStyle w:val="Textzstupnhosymbolu"/>
          <w:color w:val="000000"/>
        </w:rPr>
        <w:t>Návrh zákona bol predmetom pripomienkového konania, ktorého vyhodnotenie je priložené, materiál sa predkladá na ďalšie rokovanie bez rozporov.</w:t>
      </w:r>
    </w:p>
    <w:p w:rsidR="00B07548" w:rsidRPr="00B0162F" w:rsidRDefault="00B07548" w:rsidP="00FE68BA">
      <w:pPr>
        <w:pStyle w:val="Nadpis1"/>
        <w:spacing w:after="0"/>
        <w:rPr>
          <w:lang w:val="sk-SK"/>
        </w:rPr>
      </w:pPr>
      <w:r w:rsidRPr="00B0162F">
        <w:rPr>
          <w:lang w:val="sk-SK"/>
        </w:rPr>
        <w:t>Doložka zlučiteľnosti</w:t>
      </w:r>
    </w:p>
    <w:p w:rsidR="00B07548" w:rsidRPr="00B0162F" w:rsidRDefault="00B07548" w:rsidP="00FE68BA">
      <w:pPr>
        <w:pStyle w:val="Nadpis2"/>
        <w:spacing w:before="0"/>
        <w:rPr>
          <w:lang w:val="sk-SK"/>
        </w:rPr>
      </w:pPr>
      <w:r w:rsidRPr="00B0162F">
        <w:rPr>
          <w:lang w:val="sk-SK"/>
        </w:rPr>
        <w:t>právneho predpisu s právom</w:t>
      </w:r>
      <w:r w:rsidR="00157913" w:rsidRPr="00B0162F">
        <w:rPr>
          <w:lang w:val="sk-SK"/>
        </w:rPr>
        <w:t xml:space="preserve"> Európskej únie</w:t>
      </w:r>
    </w:p>
    <w:p w:rsidR="00B07548" w:rsidRPr="00B0162F" w:rsidRDefault="00B07548" w:rsidP="005712C2">
      <w:pPr>
        <w:keepLines/>
        <w:numPr>
          <w:ilvl w:val="0"/>
          <w:numId w:val="19"/>
        </w:numPr>
        <w:rPr>
          <w:b/>
        </w:rPr>
      </w:pPr>
      <w:r w:rsidRPr="00B0162F">
        <w:rPr>
          <w:b/>
        </w:rPr>
        <w:t>Predkladateľ právneho predpisu:</w:t>
      </w:r>
      <w:r w:rsidRPr="00B0162F">
        <w:t xml:space="preserve"> vláda Slovenskej republiky </w:t>
      </w:r>
    </w:p>
    <w:p w:rsidR="0019554C" w:rsidRPr="00B0162F" w:rsidRDefault="00B07548" w:rsidP="005712C2">
      <w:pPr>
        <w:keepLines/>
        <w:numPr>
          <w:ilvl w:val="0"/>
          <w:numId w:val="19"/>
        </w:numPr>
        <w:rPr>
          <w:rStyle w:val="Textzstupnhosymbolu"/>
          <w:color w:val="000000"/>
        </w:rPr>
      </w:pPr>
      <w:r w:rsidRPr="00B0162F">
        <w:rPr>
          <w:b/>
        </w:rPr>
        <w:t>Názov návrhu právneho predpisu:</w:t>
      </w:r>
      <w:r w:rsidRPr="00B0162F">
        <w:t xml:space="preserve"> </w:t>
      </w:r>
      <w:r w:rsidR="0019554C" w:rsidRPr="00B0162F">
        <w:rPr>
          <w:rStyle w:val="Textzstupnhosymbolu"/>
          <w:color w:val="000000"/>
        </w:rPr>
        <w:t xml:space="preserve">Návrh zákona, </w:t>
      </w:r>
      <w:r w:rsidR="002641E3" w:rsidRPr="00B0162F">
        <w:t>ktorým sa mení a dopĺňa zákon Slovenskej národnej rady č. 330/1991 Zb. o pozemkových úpravách, usporiadaní pozemkového vlastníctva, pozemkových úradoch, pozemkovom fonde a</w:t>
      </w:r>
      <w:r w:rsidR="00FC1E6C">
        <w:t> </w:t>
      </w:r>
      <w:r w:rsidR="002641E3" w:rsidRPr="00B0162F">
        <w:t>o</w:t>
      </w:r>
      <w:r w:rsidR="00FC1E6C">
        <w:t> </w:t>
      </w:r>
      <w:r w:rsidR="002641E3" w:rsidRPr="00B0162F">
        <w:t>pozemkových</w:t>
      </w:r>
      <w:r w:rsidR="00FC1E6C">
        <w:t xml:space="preserve"> </w:t>
      </w:r>
      <w:r w:rsidR="002641E3" w:rsidRPr="00B0162F">
        <w:t xml:space="preserve">spoločenstvách v znení neskorších predpisov a ktorým sa </w:t>
      </w:r>
      <w:r w:rsidR="00917679">
        <w:t>mení a </w:t>
      </w:r>
      <w:r w:rsidR="002641E3" w:rsidRPr="00B0162F">
        <w:t>dopĺňa zákon č. 504/2003 Z. z. o nájme poľnohospodárskych pozemkov, poľnohospodárskeho podniku a lesných pozemkov a o zmene niektorých zákonov v</w:t>
      </w:r>
      <w:r w:rsidR="00FC1E6C">
        <w:t> </w:t>
      </w:r>
      <w:r w:rsidR="002641E3" w:rsidRPr="00B0162F">
        <w:t>znení</w:t>
      </w:r>
      <w:r w:rsidR="00FC1E6C">
        <w:t xml:space="preserve"> </w:t>
      </w:r>
      <w:r w:rsidR="002641E3" w:rsidRPr="00B0162F">
        <w:t>neskorších predpisov</w:t>
      </w:r>
    </w:p>
    <w:p w:rsidR="00C87559" w:rsidRPr="007A6064" w:rsidRDefault="00C87559" w:rsidP="005712C2">
      <w:pPr>
        <w:numPr>
          <w:ilvl w:val="0"/>
          <w:numId w:val="19"/>
        </w:numPr>
        <w:spacing w:before="60" w:after="60"/>
        <w:rPr>
          <w:b/>
        </w:rPr>
      </w:pPr>
      <w:r w:rsidRPr="007A6064">
        <w:rPr>
          <w:b/>
        </w:rPr>
        <w:t>Problematika návrhu právneho predpisu:</w:t>
      </w:r>
    </w:p>
    <w:p w:rsidR="00C87559" w:rsidRPr="0089309F" w:rsidRDefault="00C87559" w:rsidP="005712C2">
      <w:pPr>
        <w:widowControl w:val="0"/>
        <w:numPr>
          <w:ilvl w:val="1"/>
          <w:numId w:val="19"/>
        </w:numPr>
        <w:suppressAutoHyphens/>
        <w:spacing w:before="60" w:after="60"/>
      </w:pPr>
      <w:r w:rsidRPr="0089309F">
        <w:t xml:space="preserve">je upravená v práve Európskej únie </w:t>
      </w:r>
    </w:p>
    <w:p w:rsidR="00C87559" w:rsidRPr="0089309F" w:rsidRDefault="00C87559" w:rsidP="005712C2">
      <w:pPr>
        <w:widowControl w:val="0"/>
        <w:numPr>
          <w:ilvl w:val="0"/>
          <w:numId w:val="22"/>
        </w:numPr>
        <w:spacing w:before="60" w:after="60"/>
      </w:pPr>
      <w:r w:rsidRPr="0089309F">
        <w:t xml:space="preserve">primárnom: </w:t>
      </w:r>
    </w:p>
    <w:p w:rsidR="00C87559" w:rsidRPr="0089309F" w:rsidRDefault="00C87559" w:rsidP="00C87559">
      <w:pPr>
        <w:widowControl w:val="0"/>
        <w:spacing w:before="60" w:after="60"/>
        <w:ind w:left="708" w:hanging="8"/>
      </w:pPr>
      <w:r w:rsidRPr="0089309F">
        <w:t>v článk</w:t>
      </w:r>
      <w:r>
        <w:t>och</w:t>
      </w:r>
      <w:r w:rsidRPr="0089309F">
        <w:t xml:space="preserve"> </w:t>
      </w:r>
      <w:r>
        <w:t xml:space="preserve">38 až </w:t>
      </w:r>
      <w:r w:rsidRPr="0089309F">
        <w:t>4</w:t>
      </w:r>
      <w:r>
        <w:t>4</w:t>
      </w:r>
      <w:r w:rsidRPr="0089309F">
        <w:t xml:space="preserve"> Zmluvy o fungovaní Európskej únie </w:t>
      </w:r>
    </w:p>
    <w:p w:rsidR="00C87559" w:rsidRPr="0089309F" w:rsidRDefault="00C87559" w:rsidP="005712C2">
      <w:pPr>
        <w:widowControl w:val="0"/>
        <w:numPr>
          <w:ilvl w:val="0"/>
          <w:numId w:val="22"/>
        </w:numPr>
        <w:suppressAutoHyphens/>
        <w:spacing w:before="60" w:after="60"/>
      </w:pPr>
      <w:r w:rsidRPr="0089309F">
        <w:t>sekundárnom (prijatom po nadobudnutím platnosti Lisabonskej zmluvy, ktorou sa mení a dopĺňa Zmluva o Európskej únii a Zmluva o založení Európskeho spoločenstva – po 30. novembra 2009):</w:t>
      </w:r>
    </w:p>
    <w:p w:rsidR="00C87559" w:rsidRDefault="00C87559" w:rsidP="00C87559">
      <w:pPr>
        <w:widowControl w:val="0"/>
        <w:suppressAutoHyphens/>
        <w:spacing w:before="60" w:after="60"/>
        <w:ind w:left="540"/>
      </w:pPr>
      <w:r w:rsidRPr="0089309F">
        <w:t>1. legislatívne akty</w:t>
      </w:r>
      <w:r>
        <w:t>,</w:t>
      </w:r>
    </w:p>
    <w:p w:rsidR="00C87559" w:rsidRPr="00C87559" w:rsidRDefault="00C87559" w:rsidP="005712C2">
      <w:pPr>
        <w:widowControl w:val="0"/>
        <w:suppressAutoHyphens/>
        <w:spacing w:before="60" w:after="60"/>
        <w:ind w:left="1134"/>
      </w:pPr>
      <w:r>
        <w:rPr>
          <w:rStyle w:val="ppp-input-value1"/>
          <w:rFonts w:ascii="Times New Roman" w:hAnsi="Times New Roman" w:cs="Times New Roman"/>
          <w:color w:val="auto"/>
          <w:sz w:val="24"/>
          <w:szCs w:val="24"/>
        </w:rPr>
        <w:t>N</w:t>
      </w:r>
      <w:r w:rsidRPr="00C87559">
        <w:rPr>
          <w:rStyle w:val="ppp-input-value1"/>
          <w:rFonts w:ascii="Times New Roman" w:hAnsi="Times New Roman" w:cs="Times New Roman"/>
          <w:color w:val="auto"/>
          <w:sz w:val="24"/>
          <w:szCs w:val="24"/>
        </w:rPr>
        <w:t>ariadenie Európskeho parlamentu a Rady (EÚ) č. 1305/2013 zo 17. decembra 2013 o</w:t>
      </w:r>
      <w:r>
        <w:rPr>
          <w:rStyle w:val="ppp-input-value1"/>
          <w:rFonts w:ascii="Times New Roman" w:hAnsi="Times New Roman" w:cs="Times New Roman"/>
          <w:color w:val="auto"/>
          <w:sz w:val="24"/>
          <w:szCs w:val="24"/>
        </w:rPr>
        <w:t> </w:t>
      </w:r>
      <w:r w:rsidRPr="00C87559">
        <w:rPr>
          <w:rStyle w:val="ppp-input-value1"/>
          <w:rFonts w:ascii="Times New Roman" w:hAnsi="Times New Roman" w:cs="Times New Roman"/>
          <w:color w:val="auto"/>
          <w:sz w:val="24"/>
          <w:szCs w:val="24"/>
        </w:rPr>
        <w:t>podpore</w:t>
      </w:r>
      <w:r>
        <w:rPr>
          <w:rStyle w:val="ppp-input-value1"/>
          <w:rFonts w:ascii="Times New Roman" w:hAnsi="Times New Roman" w:cs="Times New Roman"/>
          <w:color w:val="auto"/>
          <w:sz w:val="24"/>
          <w:szCs w:val="24"/>
        </w:rPr>
        <w:t xml:space="preserve"> </w:t>
      </w:r>
      <w:r w:rsidRPr="00C87559">
        <w:rPr>
          <w:rStyle w:val="ppp-input-value1"/>
          <w:rFonts w:ascii="Times New Roman" w:hAnsi="Times New Roman" w:cs="Times New Roman"/>
          <w:color w:val="auto"/>
          <w:sz w:val="24"/>
          <w:szCs w:val="24"/>
        </w:rPr>
        <w:t>rozvoja vidieka prostredníctvom Európskeho poľnohospodárskeho fondu pre rozvoj vidieka (EPFRV) a o zrušení nariadenia Rady (ES) č. 1698/2005 (Ú. v. EÚ L 347, 20.12.2013) v platnom znení</w:t>
      </w:r>
    </w:p>
    <w:p w:rsidR="00C87559" w:rsidRDefault="00C87559" w:rsidP="00C87559">
      <w:pPr>
        <w:widowControl w:val="0"/>
        <w:suppressAutoHyphens/>
        <w:spacing w:before="60" w:after="60"/>
        <w:ind w:left="540"/>
      </w:pPr>
      <w:r w:rsidRPr="0089309F">
        <w:t>2. nelegislatívne akty:</w:t>
      </w:r>
    </w:p>
    <w:p w:rsidR="00C87559" w:rsidRPr="00C87559" w:rsidRDefault="00C87559" w:rsidP="005712C2">
      <w:pPr>
        <w:widowControl w:val="0"/>
        <w:suppressAutoHyphens/>
        <w:spacing w:before="60" w:after="60"/>
        <w:ind w:left="1134"/>
      </w:pPr>
      <w:r>
        <w:rPr>
          <w:rStyle w:val="ppp-input-value1"/>
          <w:rFonts w:ascii="Times New Roman" w:hAnsi="Times New Roman" w:cs="Times New Roman"/>
          <w:color w:val="auto"/>
          <w:sz w:val="24"/>
          <w:szCs w:val="24"/>
        </w:rPr>
        <w:t>N</w:t>
      </w:r>
      <w:r w:rsidRPr="00C87559">
        <w:rPr>
          <w:rStyle w:val="ppp-input-value1"/>
          <w:rFonts w:ascii="Times New Roman" w:hAnsi="Times New Roman" w:cs="Times New Roman"/>
          <w:color w:val="auto"/>
          <w:sz w:val="24"/>
          <w:szCs w:val="24"/>
        </w:rPr>
        <w:t xml:space="preserve">ariadenie </w:t>
      </w:r>
      <w:r w:rsidR="00B6412B" w:rsidRPr="002B1301">
        <w:rPr>
          <w:rStyle w:val="ppp-input-value1"/>
          <w:rFonts w:ascii="Times New Roman" w:hAnsi="Times New Roman" w:cs="Times New Roman"/>
          <w:color w:val="auto"/>
          <w:sz w:val="24"/>
          <w:szCs w:val="24"/>
        </w:rPr>
        <w:t>Komisie (EÚ) č. 651/2014 Z. z. zo 17. júna 2014 o</w:t>
      </w:r>
      <w:r w:rsidR="00B6412B">
        <w:rPr>
          <w:rStyle w:val="ppp-input-value1"/>
          <w:rFonts w:ascii="Times New Roman" w:hAnsi="Times New Roman" w:cs="Times New Roman"/>
          <w:color w:val="auto"/>
          <w:sz w:val="24"/>
          <w:szCs w:val="24"/>
        </w:rPr>
        <w:t> </w:t>
      </w:r>
      <w:r w:rsidR="00B6412B" w:rsidRPr="002B1301">
        <w:rPr>
          <w:rStyle w:val="ppp-input-value1"/>
          <w:rFonts w:ascii="Times New Roman" w:hAnsi="Times New Roman" w:cs="Times New Roman"/>
          <w:color w:val="auto"/>
          <w:sz w:val="24"/>
          <w:szCs w:val="24"/>
        </w:rPr>
        <w:t>vyhlásení</w:t>
      </w:r>
      <w:r w:rsidR="00B6412B">
        <w:rPr>
          <w:rStyle w:val="ppp-input-value1"/>
          <w:rFonts w:ascii="Times New Roman" w:hAnsi="Times New Roman" w:cs="Times New Roman"/>
          <w:color w:val="auto"/>
          <w:sz w:val="24"/>
          <w:szCs w:val="24"/>
        </w:rPr>
        <w:t xml:space="preserve"> </w:t>
      </w:r>
      <w:r w:rsidR="00B6412B" w:rsidRPr="002B1301">
        <w:rPr>
          <w:rStyle w:val="ppp-input-value1"/>
          <w:rFonts w:ascii="Times New Roman" w:hAnsi="Times New Roman" w:cs="Times New Roman"/>
          <w:color w:val="auto"/>
          <w:sz w:val="24"/>
          <w:szCs w:val="24"/>
        </w:rPr>
        <w:t>určitých kategórií pomoci za zlučiteľné s</w:t>
      </w:r>
      <w:r w:rsidR="00B6412B">
        <w:rPr>
          <w:rStyle w:val="ppp-input-value1"/>
          <w:rFonts w:ascii="Times New Roman" w:hAnsi="Times New Roman" w:cs="Times New Roman"/>
          <w:color w:val="auto"/>
          <w:sz w:val="24"/>
          <w:szCs w:val="24"/>
        </w:rPr>
        <w:t> </w:t>
      </w:r>
      <w:r w:rsidR="00B6412B" w:rsidRPr="002B1301">
        <w:rPr>
          <w:rStyle w:val="ppp-input-value1"/>
          <w:rFonts w:ascii="Times New Roman" w:hAnsi="Times New Roman" w:cs="Times New Roman"/>
          <w:color w:val="auto"/>
          <w:sz w:val="24"/>
          <w:szCs w:val="24"/>
        </w:rPr>
        <w:t>vnútorným</w:t>
      </w:r>
      <w:r w:rsidR="00B6412B">
        <w:rPr>
          <w:rStyle w:val="ppp-input-value1"/>
          <w:rFonts w:ascii="Times New Roman" w:hAnsi="Times New Roman" w:cs="Times New Roman"/>
          <w:color w:val="auto"/>
          <w:sz w:val="24"/>
          <w:szCs w:val="24"/>
        </w:rPr>
        <w:t xml:space="preserve"> </w:t>
      </w:r>
      <w:r w:rsidR="00B6412B" w:rsidRPr="002B1301">
        <w:rPr>
          <w:rStyle w:val="ppp-input-value1"/>
          <w:rFonts w:ascii="Times New Roman" w:hAnsi="Times New Roman" w:cs="Times New Roman"/>
          <w:color w:val="auto"/>
          <w:sz w:val="24"/>
          <w:szCs w:val="24"/>
        </w:rPr>
        <w:t>trhom podľa článkov 107 a 108 zmluvy (Ú. v. EÚ L 187, 17. 6. 2014)</w:t>
      </w:r>
    </w:p>
    <w:p w:rsidR="00C87559" w:rsidRPr="0089309F" w:rsidRDefault="00C87559" w:rsidP="005712C2">
      <w:pPr>
        <w:widowControl w:val="0"/>
        <w:numPr>
          <w:ilvl w:val="1"/>
          <w:numId w:val="19"/>
        </w:numPr>
        <w:suppressAutoHyphens/>
        <w:spacing w:before="60" w:after="60"/>
      </w:pPr>
      <w:r w:rsidRPr="0089309F">
        <w:t>nie je obsiahnutá v judikatúre Súdneho dvora Euró</w:t>
      </w:r>
      <w:r>
        <w:t xml:space="preserve">pskych spoločenstiev alebo Súdu </w:t>
      </w:r>
      <w:r w:rsidRPr="0089309F">
        <w:t>prvého stupňa Európskych spoločenstiev.</w:t>
      </w:r>
    </w:p>
    <w:p w:rsidR="00C87559" w:rsidRPr="0089309F" w:rsidRDefault="00C87559" w:rsidP="005712C2">
      <w:pPr>
        <w:widowControl w:val="0"/>
        <w:numPr>
          <w:ilvl w:val="0"/>
          <w:numId w:val="19"/>
        </w:numPr>
        <w:suppressAutoHyphens/>
        <w:spacing w:before="60" w:after="60"/>
        <w:rPr>
          <w:b/>
        </w:rPr>
      </w:pPr>
      <w:r w:rsidRPr="0089309F">
        <w:rPr>
          <w:b/>
        </w:rPr>
        <w:t>Záväzky Slovenskej republiky vo vzťahu k Európskej únii:</w:t>
      </w:r>
    </w:p>
    <w:p w:rsidR="00C87559" w:rsidRPr="0089309F" w:rsidRDefault="00C87559" w:rsidP="00C87559">
      <w:pPr>
        <w:widowControl w:val="0"/>
        <w:numPr>
          <w:ilvl w:val="0"/>
          <w:numId w:val="16"/>
        </w:numPr>
        <w:tabs>
          <w:tab w:val="num" w:pos="720"/>
        </w:tabs>
        <w:suppressAutoHyphens/>
        <w:spacing w:before="60" w:after="60"/>
        <w:ind w:left="720"/>
        <w:rPr>
          <w:bCs/>
        </w:rPr>
      </w:pPr>
      <w:r w:rsidRPr="0089309F">
        <w:rPr>
          <w:bCs/>
        </w:rPr>
        <w:t>lehota na prebratie smernice alebo lehota na implementáciu nariadenia alebo rozhodnutia</w:t>
      </w:r>
    </w:p>
    <w:p w:rsidR="00C87559" w:rsidRPr="0089309F" w:rsidRDefault="00C87559" w:rsidP="005712C2">
      <w:pPr>
        <w:widowControl w:val="0"/>
        <w:suppressAutoHyphens/>
        <w:spacing w:before="60" w:after="60"/>
        <w:ind w:left="709"/>
        <w:rPr>
          <w:bCs/>
        </w:rPr>
      </w:pPr>
      <w:r w:rsidRPr="0089309F">
        <w:rPr>
          <w:bCs/>
        </w:rPr>
        <w:t xml:space="preserve">bezpredmetné, </w:t>
      </w:r>
    </w:p>
    <w:p w:rsidR="00C87559" w:rsidRPr="0089309F" w:rsidRDefault="00C87559" w:rsidP="00C87559">
      <w:pPr>
        <w:widowControl w:val="0"/>
        <w:numPr>
          <w:ilvl w:val="0"/>
          <w:numId w:val="16"/>
        </w:numPr>
        <w:tabs>
          <w:tab w:val="num" w:pos="720"/>
        </w:tabs>
        <w:suppressAutoHyphens/>
        <w:spacing w:before="60" w:after="60"/>
        <w:ind w:left="720"/>
        <w:rPr>
          <w:bCs/>
        </w:rPr>
      </w:pPr>
      <w:r w:rsidRPr="0089309F">
        <w:rPr>
          <w:bCs/>
        </w:rPr>
        <w:t>lehota určená na predloženie návrhu právneho predpisu na rokovanie vlády, podľa určenie gestorských ústredných orgánov štátnej správy zodpovedných za transpozíciu smerníc a vypracovania tabuliek zhody k návrhom všeobecne záväzných právnych predpisov</w:t>
      </w:r>
    </w:p>
    <w:p w:rsidR="00C87559" w:rsidRPr="0089309F" w:rsidRDefault="00C87559" w:rsidP="005712C2">
      <w:pPr>
        <w:widowControl w:val="0"/>
        <w:suppressAutoHyphens/>
        <w:spacing w:before="60" w:after="60"/>
        <w:ind w:left="720" w:hanging="11"/>
        <w:rPr>
          <w:bCs/>
        </w:rPr>
      </w:pPr>
      <w:r w:rsidRPr="0089309F">
        <w:rPr>
          <w:bCs/>
        </w:rPr>
        <w:t>bezpredmetné</w:t>
      </w:r>
    </w:p>
    <w:p w:rsidR="00C87559" w:rsidRPr="0089309F" w:rsidRDefault="00C87559" w:rsidP="00C87559">
      <w:pPr>
        <w:widowControl w:val="0"/>
        <w:numPr>
          <w:ilvl w:val="0"/>
          <w:numId w:val="16"/>
        </w:numPr>
        <w:tabs>
          <w:tab w:val="num" w:pos="720"/>
        </w:tabs>
        <w:suppressAutoHyphens/>
        <w:spacing w:before="60" w:after="60"/>
        <w:ind w:left="720"/>
        <w:rPr>
          <w:bCs/>
        </w:rPr>
      </w:pPr>
      <w:r w:rsidRPr="0089309F">
        <w:rPr>
          <w:bCs/>
        </w:rPr>
        <w:t>informácia o konaní začatom proti Slovenskej republike o porušení podľa čl. 258 až 260 Zmluvy o fungovaní Európskej únie</w:t>
      </w:r>
    </w:p>
    <w:p w:rsidR="00C87559" w:rsidRPr="0089309F" w:rsidRDefault="00C87559" w:rsidP="00C87559">
      <w:pPr>
        <w:widowControl w:val="0"/>
        <w:suppressAutoHyphens/>
        <w:spacing w:before="60" w:after="60"/>
        <w:ind w:left="720"/>
        <w:rPr>
          <w:bCs/>
        </w:rPr>
      </w:pPr>
      <w:r w:rsidRPr="0089309F">
        <w:rPr>
          <w:bCs/>
        </w:rPr>
        <w:t xml:space="preserve">proti Slovenskej republike nebolo začaté konanie o porušení Zmluvy o fungovaní </w:t>
      </w:r>
      <w:r w:rsidRPr="0089309F">
        <w:t>Európskej únie</w:t>
      </w:r>
      <w:r w:rsidRPr="0089309F">
        <w:rPr>
          <w:bCs/>
        </w:rPr>
        <w:t xml:space="preserve"> v platnom znení podľa čl. 258 až 260 tejto zmluvy,</w:t>
      </w:r>
    </w:p>
    <w:p w:rsidR="00C87559" w:rsidRPr="0089309F" w:rsidRDefault="00C87559" w:rsidP="00C87559">
      <w:pPr>
        <w:widowControl w:val="0"/>
        <w:numPr>
          <w:ilvl w:val="0"/>
          <w:numId w:val="16"/>
        </w:numPr>
        <w:tabs>
          <w:tab w:val="num" w:pos="720"/>
        </w:tabs>
        <w:suppressAutoHyphens/>
        <w:spacing w:before="60" w:after="60"/>
        <w:ind w:left="720"/>
        <w:rPr>
          <w:bCs/>
        </w:rPr>
      </w:pPr>
      <w:r w:rsidRPr="0089309F">
        <w:rPr>
          <w:bCs/>
        </w:rPr>
        <w:t>informácia o právnych predpisoch, v ktorých sú preberané smernice už prebraté spolu s uvedením rozsahu tohto prebratia</w:t>
      </w:r>
    </w:p>
    <w:p w:rsidR="00C87559" w:rsidRPr="0089309F" w:rsidRDefault="00C87559" w:rsidP="005712C2">
      <w:pPr>
        <w:widowControl w:val="0"/>
        <w:numPr>
          <w:ilvl w:val="0"/>
          <w:numId w:val="19"/>
        </w:numPr>
        <w:suppressAutoHyphens/>
        <w:spacing w:before="60" w:after="60"/>
        <w:rPr>
          <w:b/>
        </w:rPr>
      </w:pPr>
      <w:r w:rsidRPr="0089309F">
        <w:rPr>
          <w:b/>
        </w:rPr>
        <w:t>Stupeň zlučiteľnosti návrhu právneho predpisu s právom Európskej únie:</w:t>
      </w:r>
    </w:p>
    <w:p w:rsidR="00C87559" w:rsidRPr="0089309F" w:rsidRDefault="00C87559" w:rsidP="00C87559">
      <w:pPr>
        <w:widowControl w:val="0"/>
        <w:suppressAutoHyphens/>
        <w:spacing w:before="60" w:after="60"/>
        <w:ind w:firstLine="360"/>
      </w:pPr>
      <w:r w:rsidRPr="0089309F">
        <w:t>Úplná zlučiteľnosť.</w:t>
      </w:r>
    </w:p>
    <w:p w:rsidR="00C87559" w:rsidRPr="0089309F" w:rsidRDefault="00C87559" w:rsidP="005712C2">
      <w:pPr>
        <w:widowControl w:val="0"/>
        <w:numPr>
          <w:ilvl w:val="0"/>
          <w:numId w:val="19"/>
        </w:numPr>
        <w:suppressAutoHyphens/>
        <w:spacing w:before="60" w:after="60"/>
        <w:rPr>
          <w:b/>
        </w:rPr>
      </w:pPr>
      <w:r w:rsidRPr="0089309F">
        <w:rPr>
          <w:b/>
        </w:rPr>
        <w:t>Gestor a spolupracujúce rezorty:</w:t>
      </w:r>
    </w:p>
    <w:p w:rsidR="00C87559" w:rsidRPr="0089309F" w:rsidRDefault="00C87559" w:rsidP="00C87559">
      <w:pPr>
        <w:widowControl w:val="0"/>
        <w:suppressAutoHyphens/>
        <w:spacing w:before="60" w:after="60"/>
        <w:ind w:firstLine="360"/>
      </w:pPr>
      <w:r w:rsidRPr="0089309F">
        <w:t>Ministerstvo pôdohospodárstva a rozvoja vidieka Slovenskej republiky.</w:t>
      </w:r>
    </w:p>
    <w:p w:rsidR="00B07548" w:rsidRPr="00B0162F" w:rsidRDefault="00B07548" w:rsidP="00FE68BA">
      <w:pPr>
        <w:pStyle w:val="Nadpis1"/>
        <w:rPr>
          <w:lang w:val="sk-SK" w:eastAsia="en-US"/>
        </w:rPr>
      </w:pPr>
      <w:r w:rsidRPr="00B0162F">
        <w:rPr>
          <w:lang w:val="sk-SK" w:eastAsia="en-US"/>
        </w:rPr>
        <w:t>Doložka</w:t>
      </w:r>
    </w:p>
    <w:p w:rsidR="00B07548" w:rsidRPr="00B0162F" w:rsidRDefault="00B07548" w:rsidP="00FE68BA">
      <w:pPr>
        <w:pStyle w:val="Nadpis2"/>
        <w:rPr>
          <w:lang w:val="sk-SK" w:eastAsia="en-US"/>
        </w:rPr>
      </w:pPr>
      <w:r w:rsidRPr="00B0162F">
        <w:rPr>
          <w:lang w:val="sk-SK" w:eastAsia="en-US"/>
        </w:rPr>
        <w:t>vybraných vplyvov</w:t>
      </w:r>
    </w:p>
    <w:p w:rsidR="00B07548" w:rsidRPr="00B0162F" w:rsidRDefault="00B07548" w:rsidP="00FE68BA">
      <w:pPr>
        <w:keepLines/>
        <w:adjustRightInd w:val="0"/>
        <w:rPr>
          <w:color w:val="000000"/>
          <w:lang w:eastAsia="en-US"/>
        </w:rPr>
      </w:pPr>
    </w:p>
    <w:p w:rsidR="00B07548" w:rsidRPr="00B0162F" w:rsidRDefault="00B07548" w:rsidP="00FE68BA">
      <w:pPr>
        <w:keepLines/>
        <w:adjustRightInd w:val="0"/>
        <w:rPr>
          <w:color w:val="000000"/>
        </w:rPr>
      </w:pPr>
      <w:r w:rsidRPr="00B0162F">
        <w:rPr>
          <w:b/>
          <w:bCs/>
          <w:color w:val="000000"/>
          <w:lang w:eastAsia="en-US"/>
        </w:rPr>
        <w:t xml:space="preserve">A.1. Názov materiálu: </w:t>
      </w:r>
      <w:r w:rsidR="0019554C" w:rsidRPr="00B0162F">
        <w:rPr>
          <w:rStyle w:val="Textzstupnhosymbolu"/>
          <w:color w:val="000000"/>
        </w:rPr>
        <w:t xml:space="preserve">Návrh zákona, </w:t>
      </w:r>
      <w:r w:rsidR="002641E3" w:rsidRPr="00B0162F">
        <w:t xml:space="preserve">ktorým sa mení a dopĺňa zákon Slovenskej národnej rady č. 330/1991 Zb. o pozemkových úpravách, usporiadaní pozemkového vlastníctva, pozemkových úradoch, pozemkovom fonde a o pozemkových spoločenstvách v znení neskorších predpisov a ktorým sa </w:t>
      </w:r>
      <w:r w:rsidR="00917679">
        <w:t>mení a </w:t>
      </w:r>
      <w:r w:rsidR="002641E3" w:rsidRPr="00B0162F">
        <w:t>dopĺňa zákon č. 504/2003 Z. z. o nájme poľnohospodárskych pozemkov, poľnohospodárskeho podniku a lesných pozemkov a o zmene niektorých zákonov v znení neskorších predpisov</w:t>
      </w:r>
    </w:p>
    <w:p w:rsidR="00FE68BA" w:rsidRPr="00B0162F" w:rsidRDefault="00B07548" w:rsidP="00FE68BA">
      <w:pPr>
        <w:keepLines/>
        <w:adjustRightInd w:val="0"/>
        <w:ind w:left="709"/>
        <w:rPr>
          <w:color w:val="000000"/>
          <w:lang w:eastAsia="en-US"/>
        </w:rPr>
      </w:pPr>
      <w:r w:rsidRPr="00B0162F">
        <w:rPr>
          <w:b/>
          <w:bCs/>
          <w:color w:val="000000"/>
          <w:lang w:eastAsia="en-US"/>
        </w:rPr>
        <w:t>Termín začatia a ukončenia PPK:</w:t>
      </w:r>
      <w:r w:rsidR="00157913" w:rsidRPr="00B0162F">
        <w:rPr>
          <w:color w:val="000000"/>
          <w:lang w:eastAsia="en-US"/>
        </w:rPr>
        <w:t xml:space="preserve"> -</w:t>
      </w:r>
      <w:r w:rsidR="00FE68BA" w:rsidRPr="00B0162F">
        <w:rPr>
          <w:color w:val="000000"/>
          <w:lang w:eastAsia="en-US"/>
        </w:rPr>
        <w:t xml:space="preserve"> </w:t>
      </w:r>
    </w:p>
    <w:p w:rsidR="00B07548" w:rsidRPr="00B0162F" w:rsidRDefault="00B07548" w:rsidP="00FE68BA">
      <w:pPr>
        <w:keepLines/>
        <w:adjustRightInd w:val="0"/>
        <w:rPr>
          <w:b/>
          <w:bCs/>
          <w:color w:val="000000"/>
          <w:lang w:eastAsia="en-US"/>
        </w:rPr>
      </w:pPr>
      <w:r w:rsidRPr="00B0162F">
        <w:rPr>
          <w:b/>
          <w:bCs/>
          <w:color w:val="000000"/>
          <w:lang w:eastAsia="en-US"/>
        </w:rPr>
        <w:t>A.2. Vplyvy:</w:t>
      </w:r>
    </w:p>
    <w:tbl>
      <w:tblPr>
        <w:tblW w:w="4478"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57"/>
        <w:gridCol w:w="1080"/>
        <w:gridCol w:w="1080"/>
        <w:gridCol w:w="1080"/>
      </w:tblGrid>
      <w:tr w:rsidR="00B07548" w:rsidRPr="00B0162F" w:rsidTr="00FE68BA">
        <w:trPr>
          <w:trHeight w:val="269"/>
        </w:trPr>
        <w:tc>
          <w:tcPr>
            <w:tcW w:w="5140" w:type="dxa"/>
            <w:tcBorders>
              <w:top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rPr>
                <w:color w:val="000000"/>
                <w:lang w:eastAsia="en-US"/>
              </w:rPr>
            </w:pP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r w:rsidRPr="00B0162F">
              <w:rPr>
                <w:color w:val="000000"/>
                <w:lang w:eastAsia="en-US"/>
              </w:rPr>
              <w:t>Pozitívne</w:t>
            </w: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r w:rsidRPr="00B0162F">
              <w:rPr>
                <w:color w:val="000000"/>
                <w:lang w:eastAsia="en-US"/>
              </w:rPr>
              <w:t>Žiadne</w:t>
            </w:r>
          </w:p>
        </w:tc>
        <w:tc>
          <w:tcPr>
            <w:tcW w:w="1076" w:type="dxa"/>
            <w:tcBorders>
              <w:top w:val="outset" w:sz="6" w:space="0" w:color="auto"/>
              <w:left w:val="outset" w:sz="6" w:space="0" w:color="auto"/>
              <w:bottom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r w:rsidRPr="00B0162F">
              <w:rPr>
                <w:color w:val="000000"/>
                <w:lang w:eastAsia="en-US"/>
              </w:rPr>
              <w:t>Negatívne</w:t>
            </w:r>
          </w:p>
        </w:tc>
      </w:tr>
      <w:tr w:rsidR="00B07548" w:rsidRPr="00B0162F" w:rsidTr="00FE68BA">
        <w:trPr>
          <w:trHeight w:val="275"/>
        </w:trPr>
        <w:tc>
          <w:tcPr>
            <w:tcW w:w="5140" w:type="dxa"/>
            <w:tcBorders>
              <w:top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rPr>
                <w:color w:val="000000"/>
                <w:lang w:eastAsia="en-US"/>
              </w:rPr>
            </w:pPr>
            <w:r w:rsidRPr="00B0162F">
              <w:rPr>
                <w:color w:val="000000"/>
                <w:lang w:eastAsia="en-US"/>
              </w:rPr>
              <w:t>1. Vplyvy na rozpočet verejnej správy</w:t>
            </w: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DF5FA6" w:rsidP="00FE68BA">
            <w:pPr>
              <w:keepLines/>
              <w:adjustRightInd w:val="0"/>
              <w:spacing w:line="276" w:lineRule="auto"/>
              <w:jc w:val="center"/>
              <w:rPr>
                <w:color w:val="000000"/>
                <w:lang w:eastAsia="en-US"/>
              </w:rPr>
            </w:pPr>
            <w:r>
              <w:rPr>
                <w:color w:val="000000"/>
                <w:lang w:eastAsia="en-US"/>
              </w:rPr>
              <w:t>x</w:t>
            </w:r>
          </w:p>
        </w:tc>
        <w:tc>
          <w:tcPr>
            <w:tcW w:w="1076" w:type="dxa"/>
            <w:tcBorders>
              <w:top w:val="outset" w:sz="6" w:space="0" w:color="auto"/>
              <w:left w:val="outset" w:sz="6" w:space="0" w:color="auto"/>
              <w:bottom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r>
      <w:tr w:rsidR="00B07548" w:rsidRPr="00B0162F" w:rsidTr="00FE68BA">
        <w:trPr>
          <w:trHeight w:val="546"/>
        </w:trPr>
        <w:tc>
          <w:tcPr>
            <w:tcW w:w="5140" w:type="dxa"/>
            <w:tcBorders>
              <w:top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rPr>
                <w:color w:val="000000"/>
                <w:lang w:eastAsia="en-US"/>
              </w:rPr>
            </w:pPr>
            <w:r w:rsidRPr="00B0162F">
              <w:rPr>
                <w:color w:val="000000"/>
                <w:lang w:eastAsia="en-US"/>
              </w:rPr>
              <w:t>2. Vplyvy na podnikateľské prostredie – dochádza k zvýšeniu regulačného zaťaženia?</w:t>
            </w: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39573E" w:rsidP="00FE68BA">
            <w:pPr>
              <w:keepLines/>
              <w:adjustRightInd w:val="0"/>
              <w:spacing w:line="276" w:lineRule="auto"/>
              <w:jc w:val="center"/>
              <w:rPr>
                <w:color w:val="000000"/>
                <w:lang w:eastAsia="en-US"/>
              </w:rPr>
            </w:pPr>
            <w:r>
              <w:rPr>
                <w:color w:val="000000"/>
                <w:lang w:eastAsia="en-US"/>
              </w:rPr>
              <w:t>x</w:t>
            </w: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c>
          <w:tcPr>
            <w:tcW w:w="1076" w:type="dxa"/>
            <w:tcBorders>
              <w:top w:val="outset" w:sz="6" w:space="0" w:color="auto"/>
              <w:left w:val="outset" w:sz="6" w:space="0" w:color="auto"/>
              <w:bottom w:val="outset" w:sz="6" w:space="0" w:color="auto"/>
            </w:tcBorders>
            <w:vAlign w:val="center"/>
          </w:tcPr>
          <w:p w:rsidR="00B07548" w:rsidRPr="00B0162F" w:rsidRDefault="0039573E" w:rsidP="00FE68BA">
            <w:pPr>
              <w:keepLines/>
              <w:adjustRightInd w:val="0"/>
              <w:spacing w:line="276" w:lineRule="auto"/>
              <w:jc w:val="center"/>
              <w:rPr>
                <w:color w:val="000000"/>
                <w:lang w:eastAsia="en-US"/>
              </w:rPr>
            </w:pPr>
            <w:r>
              <w:rPr>
                <w:color w:val="000000"/>
                <w:lang w:eastAsia="en-US"/>
              </w:rPr>
              <w:t>x</w:t>
            </w:r>
          </w:p>
        </w:tc>
      </w:tr>
      <w:tr w:rsidR="00B07548" w:rsidRPr="00B0162F" w:rsidTr="00FE68BA">
        <w:trPr>
          <w:trHeight w:val="269"/>
        </w:trPr>
        <w:tc>
          <w:tcPr>
            <w:tcW w:w="5140" w:type="dxa"/>
            <w:tcBorders>
              <w:top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rPr>
                <w:color w:val="000000"/>
                <w:lang w:eastAsia="en-US"/>
              </w:rPr>
            </w:pPr>
            <w:r w:rsidRPr="00B0162F">
              <w:rPr>
                <w:color w:val="000000"/>
                <w:lang w:eastAsia="en-US"/>
              </w:rPr>
              <w:t>3. Sociálne vplyvy</w:t>
            </w: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c>
          <w:tcPr>
            <w:tcW w:w="1076" w:type="dxa"/>
            <w:tcBorders>
              <w:top w:val="outset" w:sz="6" w:space="0" w:color="auto"/>
              <w:left w:val="outset" w:sz="6" w:space="0" w:color="auto"/>
              <w:bottom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r>
      <w:tr w:rsidR="00B07548" w:rsidRPr="00B0162F" w:rsidTr="00FE68BA">
        <w:trPr>
          <w:trHeight w:val="275"/>
        </w:trPr>
        <w:tc>
          <w:tcPr>
            <w:tcW w:w="5140" w:type="dxa"/>
            <w:tcBorders>
              <w:top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rPr>
                <w:color w:val="000000"/>
                <w:lang w:eastAsia="en-US"/>
              </w:rPr>
            </w:pPr>
            <w:r w:rsidRPr="00B0162F">
              <w:rPr>
                <w:color w:val="000000"/>
                <w:lang w:eastAsia="en-US"/>
              </w:rPr>
              <w:t>– vplyvy na hospodárenie obyvateľstva,</w:t>
            </w:r>
          </w:p>
        </w:tc>
        <w:tc>
          <w:tcPr>
            <w:tcW w:w="0" w:type="auto"/>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c>
          <w:tcPr>
            <w:tcW w:w="0" w:type="auto"/>
            <w:tcBorders>
              <w:top w:val="outset" w:sz="6" w:space="0" w:color="auto"/>
              <w:left w:val="outset" w:sz="6" w:space="0" w:color="auto"/>
              <w:bottom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r>
      <w:tr w:rsidR="00B07548" w:rsidRPr="00B0162F" w:rsidTr="00FE68BA">
        <w:trPr>
          <w:trHeight w:val="269"/>
        </w:trPr>
        <w:tc>
          <w:tcPr>
            <w:tcW w:w="5140" w:type="dxa"/>
            <w:tcBorders>
              <w:top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rPr>
                <w:color w:val="000000"/>
                <w:lang w:eastAsia="en-US"/>
              </w:rPr>
            </w:pPr>
            <w:r w:rsidRPr="00B0162F">
              <w:rPr>
                <w:color w:val="000000"/>
                <w:lang w:eastAsia="en-US"/>
              </w:rPr>
              <w:t xml:space="preserve">– sociálnu </w:t>
            </w:r>
            <w:proofErr w:type="spellStart"/>
            <w:r w:rsidRPr="00B0162F">
              <w:rPr>
                <w:color w:val="000000"/>
                <w:lang w:eastAsia="en-US"/>
              </w:rPr>
              <w:t>exklúziu</w:t>
            </w:r>
            <w:proofErr w:type="spellEnd"/>
            <w:r w:rsidRPr="00B0162F">
              <w:rPr>
                <w:color w:val="000000"/>
                <w:lang w:eastAsia="en-US"/>
              </w:rPr>
              <w:t>,</w:t>
            </w: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c>
          <w:tcPr>
            <w:tcW w:w="1076" w:type="dxa"/>
            <w:tcBorders>
              <w:top w:val="outset" w:sz="6" w:space="0" w:color="auto"/>
              <w:left w:val="outset" w:sz="6" w:space="0" w:color="auto"/>
              <w:bottom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r>
      <w:tr w:rsidR="00B07548" w:rsidRPr="00B0162F" w:rsidTr="00FE68BA">
        <w:trPr>
          <w:trHeight w:val="546"/>
        </w:trPr>
        <w:tc>
          <w:tcPr>
            <w:tcW w:w="5140" w:type="dxa"/>
            <w:tcBorders>
              <w:top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rPr>
                <w:color w:val="000000"/>
                <w:lang w:eastAsia="en-US"/>
              </w:rPr>
            </w:pPr>
            <w:r w:rsidRPr="00B0162F">
              <w:rPr>
                <w:color w:val="000000"/>
                <w:lang w:eastAsia="en-US"/>
              </w:rPr>
              <w:t>– rovnosť príležitostí a rodovú rovnosť a vplyvy na zamestnanosť</w:t>
            </w: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19554C" w:rsidP="00FE68BA">
            <w:pPr>
              <w:keepLines/>
              <w:adjustRightInd w:val="0"/>
              <w:spacing w:line="276" w:lineRule="auto"/>
              <w:jc w:val="center"/>
              <w:rPr>
                <w:color w:val="000000"/>
                <w:lang w:eastAsia="en-US"/>
              </w:rPr>
            </w:pPr>
            <w:r w:rsidRPr="00B0162F">
              <w:rPr>
                <w:color w:val="000000"/>
                <w:lang w:eastAsia="en-US"/>
              </w:rPr>
              <w:t>x</w:t>
            </w: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c>
          <w:tcPr>
            <w:tcW w:w="1076" w:type="dxa"/>
            <w:tcBorders>
              <w:top w:val="outset" w:sz="6" w:space="0" w:color="auto"/>
              <w:left w:val="outset" w:sz="6" w:space="0" w:color="auto"/>
              <w:bottom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r>
      <w:tr w:rsidR="00B07548" w:rsidRPr="00B0162F" w:rsidTr="00FE68BA">
        <w:trPr>
          <w:trHeight w:val="269"/>
        </w:trPr>
        <w:tc>
          <w:tcPr>
            <w:tcW w:w="5140" w:type="dxa"/>
            <w:tcBorders>
              <w:top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rPr>
                <w:color w:val="000000"/>
                <w:lang w:eastAsia="en-US"/>
              </w:rPr>
            </w:pPr>
            <w:r w:rsidRPr="00B0162F">
              <w:rPr>
                <w:color w:val="000000"/>
                <w:lang w:eastAsia="en-US"/>
              </w:rPr>
              <w:t>4. Vplyvy na životné prostredie</w:t>
            </w: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157913" w:rsidP="00FE68BA">
            <w:pPr>
              <w:keepLines/>
              <w:adjustRightInd w:val="0"/>
              <w:spacing w:line="276" w:lineRule="auto"/>
              <w:jc w:val="center"/>
              <w:rPr>
                <w:color w:val="000000"/>
                <w:lang w:eastAsia="en-US"/>
              </w:rPr>
            </w:pPr>
            <w:r w:rsidRPr="00B0162F">
              <w:rPr>
                <w:color w:val="000000"/>
                <w:lang w:eastAsia="en-US"/>
              </w:rPr>
              <w:t>x</w:t>
            </w:r>
          </w:p>
        </w:tc>
        <w:tc>
          <w:tcPr>
            <w:tcW w:w="1076" w:type="dxa"/>
            <w:tcBorders>
              <w:top w:val="outset" w:sz="6" w:space="0" w:color="auto"/>
              <w:left w:val="outset" w:sz="6" w:space="0" w:color="auto"/>
              <w:bottom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r>
      <w:tr w:rsidR="00B07548" w:rsidRPr="00B0162F" w:rsidTr="00FE68BA">
        <w:trPr>
          <w:trHeight w:val="275"/>
        </w:trPr>
        <w:tc>
          <w:tcPr>
            <w:tcW w:w="5140" w:type="dxa"/>
            <w:tcBorders>
              <w:top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rPr>
                <w:color w:val="000000"/>
                <w:lang w:eastAsia="en-US"/>
              </w:rPr>
            </w:pPr>
            <w:r w:rsidRPr="00B0162F">
              <w:rPr>
                <w:color w:val="000000"/>
                <w:lang w:eastAsia="en-US"/>
              </w:rPr>
              <w:t>5. Vplyvy na informatizáciu spoločnosti</w:t>
            </w: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c>
          <w:tcPr>
            <w:tcW w:w="1076" w:type="dxa"/>
            <w:tcBorders>
              <w:top w:val="outset" w:sz="6" w:space="0" w:color="auto"/>
              <w:left w:val="outset" w:sz="6" w:space="0" w:color="auto"/>
              <w:bottom w:val="outset" w:sz="6" w:space="0" w:color="auto"/>
              <w:right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r w:rsidRPr="00B0162F">
              <w:rPr>
                <w:color w:val="000000"/>
                <w:lang w:eastAsia="en-US"/>
              </w:rPr>
              <w:t>x</w:t>
            </w:r>
          </w:p>
        </w:tc>
        <w:tc>
          <w:tcPr>
            <w:tcW w:w="1076" w:type="dxa"/>
            <w:tcBorders>
              <w:top w:val="outset" w:sz="6" w:space="0" w:color="auto"/>
              <w:left w:val="outset" w:sz="6" w:space="0" w:color="auto"/>
              <w:bottom w:val="outset" w:sz="6" w:space="0" w:color="auto"/>
            </w:tcBorders>
            <w:vAlign w:val="center"/>
          </w:tcPr>
          <w:p w:rsidR="00B07548" w:rsidRPr="00B0162F" w:rsidRDefault="00B07548" w:rsidP="00FE68BA">
            <w:pPr>
              <w:keepLines/>
              <w:adjustRightInd w:val="0"/>
              <w:spacing w:line="276" w:lineRule="auto"/>
              <w:jc w:val="center"/>
              <w:rPr>
                <w:color w:val="000000"/>
                <w:lang w:eastAsia="en-US"/>
              </w:rPr>
            </w:pPr>
          </w:p>
        </w:tc>
      </w:tr>
    </w:tbl>
    <w:p w:rsidR="00B07548" w:rsidRDefault="00B07548" w:rsidP="00FE68BA">
      <w:pPr>
        <w:keepLines/>
        <w:adjustRightInd w:val="0"/>
        <w:rPr>
          <w:b/>
          <w:bCs/>
          <w:color w:val="000000"/>
          <w:lang w:eastAsia="en-US"/>
        </w:rPr>
      </w:pPr>
      <w:r w:rsidRPr="00B0162F">
        <w:rPr>
          <w:b/>
          <w:bCs/>
          <w:color w:val="000000"/>
          <w:lang w:eastAsia="en-US"/>
        </w:rPr>
        <w:t>A.3. Poznámky</w:t>
      </w:r>
    </w:p>
    <w:p w:rsidR="00B07548" w:rsidRPr="00B0162F" w:rsidRDefault="00B07548" w:rsidP="00FE68BA">
      <w:pPr>
        <w:keepLines/>
        <w:adjustRightInd w:val="0"/>
        <w:rPr>
          <w:b/>
          <w:bCs/>
          <w:color w:val="000000"/>
          <w:lang w:eastAsia="en-US"/>
        </w:rPr>
      </w:pPr>
      <w:r w:rsidRPr="00B0162F">
        <w:rPr>
          <w:b/>
          <w:bCs/>
          <w:color w:val="000000"/>
          <w:lang w:eastAsia="en-US"/>
        </w:rPr>
        <w:t>A.4. Alternatívne riešenia</w:t>
      </w:r>
    </w:p>
    <w:p w:rsidR="00B07548" w:rsidRPr="00B0162F" w:rsidRDefault="00B07548" w:rsidP="00FE68BA">
      <w:pPr>
        <w:keepLines/>
        <w:adjustRightInd w:val="0"/>
        <w:rPr>
          <w:bCs/>
          <w:color w:val="000000"/>
          <w:lang w:eastAsia="en-US"/>
        </w:rPr>
      </w:pPr>
      <w:r w:rsidRPr="00B0162F">
        <w:rPr>
          <w:bCs/>
          <w:color w:val="000000"/>
          <w:lang w:eastAsia="en-US"/>
        </w:rPr>
        <w:t>Bezpredmetné.</w:t>
      </w:r>
    </w:p>
    <w:p w:rsidR="00FC1E6C" w:rsidRDefault="00B07548" w:rsidP="00FC1E6C">
      <w:pPr>
        <w:keepLines/>
        <w:rPr>
          <w:b/>
          <w:bCs/>
          <w:color w:val="000000"/>
          <w:lang w:eastAsia="en-US"/>
        </w:rPr>
      </w:pPr>
      <w:r w:rsidRPr="00B0162F">
        <w:rPr>
          <w:b/>
          <w:bCs/>
          <w:color w:val="000000"/>
          <w:lang w:eastAsia="en-US"/>
        </w:rPr>
        <w:t>A.5. Stanovisko gestorov</w:t>
      </w:r>
    </w:p>
    <w:p w:rsidR="006E277B" w:rsidRDefault="006E277B"/>
    <w:p w:rsidR="00D20353" w:rsidRDefault="00D20353">
      <w:r>
        <w:br w:type="page"/>
      </w:r>
    </w:p>
    <w:tbl>
      <w:tblPr>
        <w:tblW w:w="0" w:type="auto"/>
        <w:tblInd w:w="55" w:type="dxa"/>
        <w:tblLayout w:type="fixed"/>
        <w:tblCellMar>
          <w:left w:w="70" w:type="dxa"/>
          <w:right w:w="70" w:type="dxa"/>
        </w:tblCellMar>
        <w:tblLook w:val="0000" w:firstRow="0" w:lastRow="0" w:firstColumn="0" w:lastColumn="0" w:noHBand="0" w:noVBand="0"/>
      </w:tblPr>
      <w:tblGrid>
        <w:gridCol w:w="3701"/>
        <w:gridCol w:w="4961"/>
      </w:tblGrid>
      <w:tr w:rsidR="0039573E" w:rsidRPr="00204418" w:rsidTr="006E277B">
        <w:tc>
          <w:tcPr>
            <w:tcW w:w="86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39573E" w:rsidRPr="00204418" w:rsidRDefault="0039573E" w:rsidP="0039573E">
            <w:pPr>
              <w:jc w:val="center"/>
              <w:rPr>
                <w:b/>
                <w:bCs/>
                <w:sz w:val="20"/>
                <w:szCs w:val="20"/>
              </w:rPr>
            </w:pPr>
            <w:r w:rsidRPr="00204418">
              <w:rPr>
                <w:b/>
                <w:bCs/>
                <w:sz w:val="20"/>
                <w:szCs w:val="20"/>
              </w:rPr>
              <w:t>Vplyvy na podnikateľské prostredie</w:t>
            </w:r>
          </w:p>
        </w:tc>
      </w:tr>
      <w:tr w:rsidR="0039573E" w:rsidRPr="00204418" w:rsidTr="006E277B">
        <w:trPr>
          <w:trHeight w:val="600"/>
        </w:trPr>
        <w:tc>
          <w:tcPr>
            <w:tcW w:w="3701" w:type="dxa"/>
            <w:tcBorders>
              <w:top w:val="nil"/>
              <w:left w:val="single" w:sz="8" w:space="0" w:color="auto"/>
              <w:bottom w:val="single" w:sz="4" w:space="0" w:color="auto"/>
              <w:right w:val="single" w:sz="4" w:space="0" w:color="auto"/>
            </w:tcBorders>
            <w:noWrap/>
            <w:vAlign w:val="center"/>
          </w:tcPr>
          <w:p w:rsidR="0039573E" w:rsidRPr="00204418" w:rsidRDefault="0039573E" w:rsidP="00B148E0">
            <w:pPr>
              <w:rPr>
                <w:sz w:val="20"/>
                <w:szCs w:val="20"/>
              </w:rPr>
            </w:pPr>
            <w:r w:rsidRPr="00204418">
              <w:rPr>
                <w:b/>
                <w:sz w:val="20"/>
                <w:szCs w:val="20"/>
              </w:rPr>
              <w:t>3.1</w:t>
            </w:r>
            <w:r w:rsidRPr="00204418">
              <w:rPr>
                <w:sz w:val="20"/>
                <w:szCs w:val="20"/>
              </w:rPr>
              <w:t>. Ktoré podnikateľské subjekty budú predkladaným návrhom ovplyvnené a aký je ich počet?</w:t>
            </w:r>
          </w:p>
        </w:tc>
        <w:tc>
          <w:tcPr>
            <w:tcW w:w="4961" w:type="dxa"/>
            <w:tcBorders>
              <w:top w:val="nil"/>
              <w:left w:val="nil"/>
              <w:bottom w:val="single" w:sz="4" w:space="0" w:color="auto"/>
              <w:right w:val="single" w:sz="8" w:space="0" w:color="auto"/>
            </w:tcBorders>
            <w:noWrap/>
            <w:vAlign w:val="center"/>
          </w:tcPr>
          <w:p w:rsidR="0039573E" w:rsidRPr="00204418" w:rsidRDefault="00204418" w:rsidP="00B148E0">
            <w:pPr>
              <w:rPr>
                <w:sz w:val="20"/>
                <w:szCs w:val="20"/>
              </w:rPr>
            </w:pPr>
            <w:r w:rsidRPr="00204418">
              <w:rPr>
                <w:sz w:val="20"/>
                <w:szCs w:val="20"/>
              </w:rPr>
              <w:t>Ide o veľké poľnohospodárske podniky v celkovom objeme 505</w:t>
            </w:r>
          </w:p>
        </w:tc>
      </w:tr>
      <w:tr w:rsidR="0039573E" w:rsidRPr="00204418" w:rsidTr="006E277B">
        <w:trPr>
          <w:trHeight w:val="395"/>
        </w:trPr>
        <w:tc>
          <w:tcPr>
            <w:tcW w:w="3701" w:type="dxa"/>
            <w:tcBorders>
              <w:top w:val="nil"/>
              <w:left w:val="single" w:sz="8" w:space="0" w:color="auto"/>
              <w:bottom w:val="single" w:sz="4" w:space="0" w:color="auto"/>
              <w:right w:val="single" w:sz="4" w:space="0" w:color="auto"/>
            </w:tcBorders>
            <w:noWrap/>
            <w:vAlign w:val="center"/>
          </w:tcPr>
          <w:p w:rsidR="0039573E" w:rsidRPr="00204418" w:rsidRDefault="0039573E" w:rsidP="00B148E0">
            <w:pPr>
              <w:rPr>
                <w:sz w:val="20"/>
                <w:szCs w:val="20"/>
              </w:rPr>
            </w:pPr>
            <w:r w:rsidRPr="00204418">
              <w:rPr>
                <w:b/>
                <w:sz w:val="20"/>
                <w:szCs w:val="20"/>
              </w:rPr>
              <w:t>3.2</w:t>
            </w:r>
            <w:r w:rsidRPr="00204418">
              <w:rPr>
                <w:sz w:val="20"/>
                <w:szCs w:val="20"/>
              </w:rPr>
              <w:t>. Aký je predpokladaný charakter a rozsah nákladov a prínosov?</w:t>
            </w:r>
          </w:p>
        </w:tc>
        <w:tc>
          <w:tcPr>
            <w:tcW w:w="4961" w:type="dxa"/>
            <w:tcBorders>
              <w:top w:val="nil"/>
              <w:left w:val="nil"/>
              <w:bottom w:val="single" w:sz="4" w:space="0" w:color="auto"/>
              <w:right w:val="single" w:sz="8" w:space="0" w:color="auto"/>
            </w:tcBorders>
            <w:noWrap/>
            <w:vAlign w:val="center"/>
          </w:tcPr>
          <w:p w:rsidR="0039573E" w:rsidRPr="00204418" w:rsidRDefault="00204418" w:rsidP="00B148E0">
            <w:pPr>
              <w:rPr>
                <w:sz w:val="20"/>
                <w:szCs w:val="20"/>
                <w:lang w:val="pt-BR"/>
              </w:rPr>
            </w:pPr>
            <w:r w:rsidRPr="00204418">
              <w:rPr>
                <w:sz w:val="20"/>
                <w:szCs w:val="20"/>
                <w:lang w:val="pt-BR"/>
              </w:rPr>
              <w:t>bezpredmetné</w:t>
            </w:r>
          </w:p>
        </w:tc>
      </w:tr>
      <w:tr w:rsidR="0039573E" w:rsidRPr="00204418" w:rsidTr="006E277B">
        <w:trPr>
          <w:trHeight w:val="600"/>
        </w:trPr>
        <w:tc>
          <w:tcPr>
            <w:tcW w:w="3701" w:type="dxa"/>
            <w:tcBorders>
              <w:top w:val="nil"/>
              <w:left w:val="single" w:sz="8" w:space="0" w:color="auto"/>
              <w:bottom w:val="single" w:sz="4" w:space="0" w:color="auto"/>
              <w:right w:val="single" w:sz="4" w:space="0" w:color="auto"/>
            </w:tcBorders>
            <w:noWrap/>
            <w:vAlign w:val="center"/>
          </w:tcPr>
          <w:p w:rsidR="0039573E" w:rsidRPr="00204418" w:rsidRDefault="0039573E" w:rsidP="0039573E">
            <w:pPr>
              <w:rPr>
                <w:sz w:val="20"/>
                <w:szCs w:val="20"/>
              </w:rPr>
            </w:pPr>
            <w:r w:rsidRPr="00204418">
              <w:rPr>
                <w:b/>
                <w:sz w:val="20"/>
                <w:szCs w:val="20"/>
              </w:rPr>
              <w:t>3.3</w:t>
            </w:r>
            <w:r w:rsidRPr="00204418">
              <w:rPr>
                <w:sz w:val="20"/>
                <w:szCs w:val="20"/>
              </w:rPr>
              <w:t>. Aká je predpokladaná výška administratívnych nákladov, ktoré podniky vynaložia v súvislosti s implementáciou návrhu?</w:t>
            </w:r>
          </w:p>
        </w:tc>
        <w:tc>
          <w:tcPr>
            <w:tcW w:w="4961" w:type="dxa"/>
            <w:tcBorders>
              <w:top w:val="nil"/>
              <w:left w:val="nil"/>
              <w:bottom w:val="single" w:sz="4" w:space="0" w:color="auto"/>
              <w:right w:val="single" w:sz="8" w:space="0" w:color="auto"/>
            </w:tcBorders>
            <w:noWrap/>
            <w:vAlign w:val="center"/>
          </w:tcPr>
          <w:p w:rsidR="0039573E" w:rsidRPr="00204418" w:rsidRDefault="00204418" w:rsidP="00B148E0">
            <w:pPr>
              <w:rPr>
                <w:sz w:val="20"/>
                <w:szCs w:val="20"/>
              </w:rPr>
            </w:pPr>
            <w:r w:rsidRPr="00204418">
              <w:rPr>
                <w:sz w:val="20"/>
                <w:szCs w:val="20"/>
                <w:lang w:val="pt-BR"/>
              </w:rPr>
              <w:t>bezpredmetné</w:t>
            </w:r>
          </w:p>
        </w:tc>
      </w:tr>
      <w:tr w:rsidR="0039573E" w:rsidRPr="00204418" w:rsidTr="006E277B">
        <w:trPr>
          <w:trHeight w:val="600"/>
        </w:trPr>
        <w:tc>
          <w:tcPr>
            <w:tcW w:w="3701" w:type="dxa"/>
            <w:tcBorders>
              <w:top w:val="nil"/>
              <w:left w:val="single" w:sz="8" w:space="0" w:color="auto"/>
              <w:bottom w:val="single" w:sz="4" w:space="0" w:color="auto"/>
              <w:right w:val="single" w:sz="4" w:space="0" w:color="auto"/>
            </w:tcBorders>
            <w:vAlign w:val="center"/>
          </w:tcPr>
          <w:p w:rsidR="0039573E" w:rsidRPr="00204418" w:rsidRDefault="0039573E" w:rsidP="0039573E">
            <w:pPr>
              <w:rPr>
                <w:sz w:val="20"/>
                <w:szCs w:val="20"/>
              </w:rPr>
            </w:pPr>
            <w:r w:rsidRPr="00204418">
              <w:rPr>
                <w:b/>
                <w:sz w:val="20"/>
                <w:szCs w:val="20"/>
              </w:rPr>
              <w:t>3.4</w:t>
            </w:r>
            <w:r w:rsidRPr="00204418">
              <w:rPr>
                <w:sz w:val="20"/>
                <w:szCs w:val="20"/>
              </w:rPr>
              <w:t>. Aké sú dôsledky pripravovaného návrhu pre fungovanie podnikateľských subjektov na slovenskom trhu (ako sa zmenia operácie na trhu?)</w:t>
            </w:r>
          </w:p>
        </w:tc>
        <w:tc>
          <w:tcPr>
            <w:tcW w:w="4961" w:type="dxa"/>
            <w:tcBorders>
              <w:top w:val="nil"/>
              <w:left w:val="nil"/>
              <w:bottom w:val="single" w:sz="4" w:space="0" w:color="auto"/>
              <w:right w:val="single" w:sz="8" w:space="0" w:color="auto"/>
            </w:tcBorders>
            <w:noWrap/>
            <w:vAlign w:val="center"/>
          </w:tcPr>
          <w:p w:rsidR="0039573E" w:rsidRPr="00204418" w:rsidRDefault="0039573E" w:rsidP="00B148E0">
            <w:pPr>
              <w:rPr>
                <w:sz w:val="20"/>
                <w:szCs w:val="20"/>
              </w:rPr>
            </w:pPr>
            <w:r w:rsidRPr="00204418">
              <w:rPr>
                <w:sz w:val="20"/>
                <w:szCs w:val="20"/>
              </w:rPr>
              <w:t xml:space="preserve">pozitívne vplyvy - z dôvodu, že sa určitá časť pozemkov sprístupní širšiemu spektru podnikateľov a vytvoria sa priaznivejšie podmienky pre podnikanie v poľnohospodárstve pre mladých poľnohospodárov, ďalej motivačné </w:t>
            </w:r>
            <w:proofErr w:type="spellStart"/>
            <w:r w:rsidRPr="00204418">
              <w:rPr>
                <w:sz w:val="20"/>
                <w:szCs w:val="20"/>
              </w:rPr>
              <w:t>navyšovanie</w:t>
            </w:r>
            <w:proofErr w:type="spellEnd"/>
            <w:r w:rsidRPr="00204418">
              <w:rPr>
                <w:sz w:val="20"/>
                <w:szCs w:val="20"/>
              </w:rPr>
              <w:t xml:space="preserve"> výmery pozemku, čo by viedlo k zamestnávaniu viacerých osôb, - negatívne vplyvy - pretože sa predloženým návrhom zákona obmedzuje právo pôvodnému nájomcovi z dôvodu vytvorenia podmienok pre iné subjekty.</w:t>
            </w:r>
          </w:p>
        </w:tc>
      </w:tr>
      <w:tr w:rsidR="0039573E" w:rsidRPr="00204418" w:rsidTr="006E277B">
        <w:trPr>
          <w:trHeight w:val="398"/>
        </w:trPr>
        <w:tc>
          <w:tcPr>
            <w:tcW w:w="3701" w:type="dxa"/>
            <w:tcBorders>
              <w:top w:val="nil"/>
              <w:left w:val="single" w:sz="8" w:space="0" w:color="auto"/>
              <w:bottom w:val="single" w:sz="4" w:space="0" w:color="auto"/>
              <w:right w:val="single" w:sz="4" w:space="0" w:color="auto"/>
            </w:tcBorders>
            <w:noWrap/>
            <w:vAlign w:val="center"/>
          </w:tcPr>
          <w:p w:rsidR="0039573E" w:rsidRPr="00204418" w:rsidRDefault="0039573E" w:rsidP="0039573E">
            <w:pPr>
              <w:rPr>
                <w:sz w:val="20"/>
                <w:szCs w:val="20"/>
              </w:rPr>
            </w:pPr>
            <w:r w:rsidRPr="00204418">
              <w:rPr>
                <w:b/>
                <w:sz w:val="20"/>
                <w:szCs w:val="20"/>
              </w:rPr>
              <w:t>3.5</w:t>
            </w:r>
            <w:r w:rsidRPr="00204418">
              <w:rPr>
                <w:sz w:val="20"/>
                <w:szCs w:val="20"/>
              </w:rPr>
              <w:t>. Aké sú predpokladané spoločensko-ekonomické dôsledky pripravovaných regulácií?</w:t>
            </w:r>
          </w:p>
        </w:tc>
        <w:tc>
          <w:tcPr>
            <w:tcW w:w="4961" w:type="dxa"/>
            <w:tcBorders>
              <w:top w:val="nil"/>
              <w:left w:val="nil"/>
              <w:bottom w:val="single" w:sz="4" w:space="0" w:color="auto"/>
              <w:right w:val="single" w:sz="8" w:space="0" w:color="auto"/>
            </w:tcBorders>
            <w:noWrap/>
            <w:vAlign w:val="center"/>
          </w:tcPr>
          <w:p w:rsidR="0039573E" w:rsidRPr="00204418" w:rsidRDefault="00204418" w:rsidP="00B148E0">
            <w:pPr>
              <w:rPr>
                <w:sz w:val="20"/>
                <w:szCs w:val="20"/>
              </w:rPr>
            </w:pPr>
            <w:r w:rsidRPr="00204418">
              <w:rPr>
                <w:sz w:val="20"/>
                <w:szCs w:val="20"/>
                <w:lang w:val="pt-BR"/>
              </w:rPr>
              <w:t>bezpredmetné</w:t>
            </w:r>
          </w:p>
        </w:tc>
      </w:tr>
    </w:tbl>
    <w:p w:rsidR="00FB60FB" w:rsidRPr="00204418" w:rsidRDefault="00FB60FB">
      <w:pPr>
        <w:keepNext w:val="0"/>
        <w:jc w:val="left"/>
        <w:rPr>
          <w:b/>
          <w:bCs/>
          <w:sz w:val="20"/>
          <w:szCs w:val="20"/>
        </w:rPr>
      </w:pPr>
    </w:p>
    <w:tbl>
      <w:tblPr>
        <w:tblW w:w="7992" w:type="dxa"/>
        <w:jc w:val="center"/>
        <w:tblCellMar>
          <w:left w:w="70" w:type="dxa"/>
          <w:right w:w="70" w:type="dxa"/>
        </w:tblCellMar>
        <w:tblLook w:val="04A0" w:firstRow="1" w:lastRow="0" w:firstColumn="1" w:lastColumn="0" w:noHBand="0" w:noVBand="1"/>
      </w:tblPr>
      <w:tblGrid>
        <w:gridCol w:w="4875"/>
        <w:gridCol w:w="3117"/>
      </w:tblGrid>
      <w:tr w:rsidR="00A325A9" w:rsidRPr="00204418" w:rsidTr="006E277B">
        <w:trPr>
          <w:trHeight w:val="660"/>
          <w:jc w:val="center"/>
        </w:trPr>
        <w:tc>
          <w:tcPr>
            <w:tcW w:w="799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325A9" w:rsidRPr="00204418" w:rsidRDefault="00A325A9" w:rsidP="006E277B">
            <w:pPr>
              <w:keepLines/>
              <w:ind w:right="-41"/>
              <w:jc w:val="center"/>
              <w:rPr>
                <w:b/>
                <w:bCs/>
                <w:sz w:val="20"/>
                <w:szCs w:val="20"/>
              </w:rPr>
            </w:pPr>
            <w:r w:rsidRPr="00204418">
              <w:rPr>
                <w:b/>
                <w:bCs/>
                <w:sz w:val="20"/>
                <w:szCs w:val="20"/>
              </w:rPr>
              <w:t>Sociálne vp</w:t>
            </w:r>
            <w:r w:rsidR="009D4433" w:rsidRPr="00204418">
              <w:rPr>
                <w:b/>
                <w:bCs/>
                <w:sz w:val="20"/>
                <w:szCs w:val="20"/>
              </w:rPr>
              <w:t xml:space="preserve">lyvy predkladaného materiálu - </w:t>
            </w:r>
            <w:r w:rsidRPr="00204418">
              <w:rPr>
                <w:b/>
                <w:bCs/>
                <w:sz w:val="20"/>
                <w:szCs w:val="20"/>
              </w:rPr>
              <w:t xml:space="preserve">vplyvy na hospodárenie obyvateľstva, sociálnu </w:t>
            </w:r>
            <w:proofErr w:type="spellStart"/>
            <w:r w:rsidRPr="00204418">
              <w:rPr>
                <w:b/>
                <w:bCs/>
                <w:sz w:val="20"/>
                <w:szCs w:val="20"/>
              </w:rPr>
              <w:t>exklúziu</w:t>
            </w:r>
            <w:proofErr w:type="spellEnd"/>
            <w:r w:rsidRPr="00204418">
              <w:rPr>
                <w:b/>
                <w:bCs/>
                <w:sz w:val="20"/>
                <w:szCs w:val="20"/>
              </w:rPr>
              <w:t>, rovnosť príležitostí a rodovú rovnosť a vplyvy na zamestnanosť</w:t>
            </w:r>
          </w:p>
        </w:tc>
      </w:tr>
      <w:tr w:rsidR="00A325A9" w:rsidRPr="00204418" w:rsidTr="006E277B">
        <w:trPr>
          <w:trHeight w:val="729"/>
          <w:jc w:val="center"/>
        </w:trPr>
        <w:tc>
          <w:tcPr>
            <w:tcW w:w="4875" w:type="dxa"/>
            <w:tcBorders>
              <w:top w:val="single" w:sz="4" w:space="0" w:color="auto"/>
              <w:left w:val="single" w:sz="4" w:space="0" w:color="auto"/>
              <w:bottom w:val="single" w:sz="4" w:space="0" w:color="auto"/>
              <w:right w:val="single" w:sz="4" w:space="0" w:color="auto"/>
            </w:tcBorders>
            <w:vAlign w:val="center"/>
            <w:hideMark/>
          </w:tcPr>
          <w:p w:rsidR="00A325A9" w:rsidRPr="00204418" w:rsidRDefault="00A325A9" w:rsidP="00FE68BA">
            <w:pPr>
              <w:keepLines/>
              <w:rPr>
                <w:sz w:val="20"/>
                <w:szCs w:val="20"/>
              </w:rPr>
            </w:pPr>
            <w:r w:rsidRPr="00204418">
              <w:rPr>
                <w:b/>
                <w:sz w:val="20"/>
                <w:szCs w:val="20"/>
              </w:rPr>
              <w:t>4.1.</w:t>
            </w:r>
            <w:r w:rsidRPr="00204418">
              <w:rPr>
                <w:sz w:val="20"/>
                <w:szCs w:val="20"/>
              </w:rPr>
              <w:t xml:space="preserve"> Identifikujte vplyv na hospodárenie domácností a špecifikujte ovplyvnené skupiny domácností, ktoré budú pozitívne/negatívne ovplyvnené.</w:t>
            </w:r>
          </w:p>
        </w:tc>
        <w:tc>
          <w:tcPr>
            <w:tcW w:w="3117" w:type="dxa"/>
            <w:tcBorders>
              <w:top w:val="single" w:sz="4" w:space="0" w:color="auto"/>
              <w:left w:val="nil"/>
              <w:bottom w:val="single" w:sz="4" w:space="0" w:color="auto"/>
              <w:right w:val="single" w:sz="4" w:space="0" w:color="auto"/>
            </w:tcBorders>
            <w:hideMark/>
          </w:tcPr>
          <w:p w:rsidR="00A325A9" w:rsidRPr="00204418" w:rsidRDefault="00A325A9" w:rsidP="00FE68BA">
            <w:pPr>
              <w:keepLines/>
              <w:rPr>
                <w:sz w:val="20"/>
                <w:szCs w:val="20"/>
              </w:rPr>
            </w:pPr>
            <w:r w:rsidRPr="00204418">
              <w:rPr>
                <w:sz w:val="20"/>
                <w:szCs w:val="20"/>
              </w:rPr>
              <w:t>bezpredmetné</w:t>
            </w:r>
          </w:p>
        </w:tc>
      </w:tr>
      <w:tr w:rsidR="00A325A9" w:rsidRPr="00204418" w:rsidTr="006E277B">
        <w:trPr>
          <w:cantSplit/>
          <w:trHeight w:val="238"/>
          <w:jc w:val="center"/>
        </w:trPr>
        <w:tc>
          <w:tcPr>
            <w:tcW w:w="4875" w:type="dxa"/>
            <w:tcBorders>
              <w:top w:val="single" w:sz="4" w:space="0" w:color="auto"/>
              <w:left w:val="single" w:sz="4" w:space="0" w:color="auto"/>
              <w:bottom w:val="nil"/>
              <w:right w:val="single" w:sz="4" w:space="0" w:color="auto"/>
            </w:tcBorders>
            <w:vAlign w:val="center"/>
            <w:hideMark/>
          </w:tcPr>
          <w:p w:rsidR="00A325A9" w:rsidRPr="00204418" w:rsidRDefault="00A325A9" w:rsidP="00FE68BA">
            <w:pPr>
              <w:keepLines/>
              <w:rPr>
                <w:sz w:val="20"/>
                <w:szCs w:val="20"/>
              </w:rPr>
            </w:pPr>
            <w:r w:rsidRPr="00204418">
              <w:rPr>
                <w:sz w:val="20"/>
                <w:szCs w:val="20"/>
              </w:rPr>
              <w:t>Kvantifikujte:</w:t>
            </w:r>
          </w:p>
        </w:tc>
        <w:tc>
          <w:tcPr>
            <w:tcW w:w="3117" w:type="dxa"/>
            <w:vMerge w:val="restart"/>
            <w:tcBorders>
              <w:top w:val="nil"/>
              <w:left w:val="nil"/>
              <w:bottom w:val="single" w:sz="4" w:space="0" w:color="auto"/>
              <w:right w:val="single" w:sz="4" w:space="0" w:color="auto"/>
            </w:tcBorders>
          </w:tcPr>
          <w:p w:rsidR="00A325A9" w:rsidRPr="00204418" w:rsidRDefault="00A325A9" w:rsidP="00FE68BA">
            <w:pPr>
              <w:keepLines/>
              <w:rPr>
                <w:sz w:val="20"/>
                <w:szCs w:val="20"/>
              </w:rPr>
            </w:pPr>
            <w:r w:rsidRPr="00204418">
              <w:rPr>
                <w:sz w:val="20"/>
                <w:szCs w:val="20"/>
              </w:rPr>
              <w:t>bezpredmetné</w:t>
            </w:r>
          </w:p>
        </w:tc>
      </w:tr>
      <w:tr w:rsidR="00A325A9" w:rsidRPr="00204418" w:rsidTr="006E277B">
        <w:trPr>
          <w:cantSplit/>
          <w:trHeight w:val="549"/>
          <w:jc w:val="center"/>
        </w:trPr>
        <w:tc>
          <w:tcPr>
            <w:tcW w:w="4875" w:type="dxa"/>
            <w:tcBorders>
              <w:top w:val="nil"/>
              <w:left w:val="single" w:sz="4" w:space="0" w:color="auto"/>
              <w:bottom w:val="nil"/>
              <w:right w:val="single" w:sz="4" w:space="0" w:color="auto"/>
            </w:tcBorders>
            <w:vAlign w:val="center"/>
            <w:hideMark/>
          </w:tcPr>
          <w:p w:rsidR="00A325A9" w:rsidRPr="00204418" w:rsidRDefault="00A325A9" w:rsidP="00204418">
            <w:pPr>
              <w:keepLines/>
              <w:numPr>
                <w:ilvl w:val="0"/>
                <w:numId w:val="11"/>
              </w:numPr>
              <w:ind w:left="357" w:hanging="357"/>
              <w:rPr>
                <w:sz w:val="20"/>
                <w:szCs w:val="20"/>
              </w:rPr>
            </w:pPr>
            <w:r w:rsidRPr="00204418">
              <w:rPr>
                <w:sz w:val="20"/>
                <w:szCs w:val="20"/>
              </w:rPr>
              <w:t>Rast alebo pokles príjmov/výdavkov na priemerného obyvateľa</w:t>
            </w:r>
          </w:p>
        </w:tc>
        <w:tc>
          <w:tcPr>
            <w:tcW w:w="3117" w:type="dxa"/>
            <w:vMerge/>
            <w:tcBorders>
              <w:top w:val="nil"/>
              <w:left w:val="nil"/>
              <w:bottom w:val="single" w:sz="4" w:space="0" w:color="auto"/>
              <w:right w:val="single" w:sz="4" w:space="0" w:color="auto"/>
            </w:tcBorders>
            <w:vAlign w:val="center"/>
            <w:hideMark/>
          </w:tcPr>
          <w:p w:rsidR="00A325A9" w:rsidRPr="00204418" w:rsidRDefault="00A325A9" w:rsidP="00FE68BA">
            <w:pPr>
              <w:keepLines/>
              <w:rPr>
                <w:sz w:val="20"/>
                <w:szCs w:val="20"/>
              </w:rPr>
            </w:pPr>
          </w:p>
        </w:tc>
      </w:tr>
      <w:tr w:rsidR="00A325A9" w:rsidRPr="00204418" w:rsidTr="006E277B">
        <w:trPr>
          <w:cantSplit/>
          <w:trHeight w:val="870"/>
          <w:jc w:val="center"/>
        </w:trPr>
        <w:tc>
          <w:tcPr>
            <w:tcW w:w="4875" w:type="dxa"/>
            <w:tcBorders>
              <w:top w:val="nil"/>
              <w:left w:val="single" w:sz="4" w:space="0" w:color="auto"/>
              <w:bottom w:val="nil"/>
              <w:right w:val="single" w:sz="4" w:space="0" w:color="auto"/>
            </w:tcBorders>
            <w:vAlign w:val="center"/>
            <w:hideMark/>
          </w:tcPr>
          <w:p w:rsidR="00A325A9" w:rsidRPr="00204418" w:rsidRDefault="00A325A9" w:rsidP="00FE68BA">
            <w:pPr>
              <w:keepLines/>
              <w:numPr>
                <w:ilvl w:val="0"/>
                <w:numId w:val="11"/>
              </w:numPr>
              <w:ind w:left="357" w:hanging="357"/>
              <w:rPr>
                <w:sz w:val="20"/>
                <w:szCs w:val="20"/>
              </w:rPr>
            </w:pPr>
            <w:r w:rsidRPr="00204418">
              <w:rPr>
                <w:sz w:val="20"/>
                <w:szCs w:val="20"/>
              </w:rPr>
              <w:t>Rast alebo pokles príjmov/výdavkov za jednotlivé ovplyvnené skupiny domácností</w:t>
            </w:r>
          </w:p>
          <w:p w:rsidR="00A325A9" w:rsidRPr="00204418" w:rsidRDefault="00A325A9" w:rsidP="00FE68BA">
            <w:pPr>
              <w:keepLines/>
              <w:numPr>
                <w:ilvl w:val="0"/>
                <w:numId w:val="11"/>
              </w:numPr>
              <w:ind w:left="357" w:hanging="357"/>
              <w:rPr>
                <w:sz w:val="20"/>
                <w:szCs w:val="20"/>
              </w:rPr>
            </w:pPr>
            <w:r w:rsidRPr="00204418">
              <w:rPr>
                <w:sz w:val="20"/>
                <w:szCs w:val="20"/>
              </w:rPr>
              <w:t>Celkový počet obyvateľstva/domácností ovplyvnených predkladaným materiálom</w:t>
            </w:r>
          </w:p>
        </w:tc>
        <w:tc>
          <w:tcPr>
            <w:tcW w:w="3117" w:type="dxa"/>
            <w:vMerge/>
            <w:tcBorders>
              <w:top w:val="nil"/>
              <w:left w:val="nil"/>
              <w:bottom w:val="single" w:sz="4" w:space="0" w:color="auto"/>
              <w:right w:val="single" w:sz="4" w:space="0" w:color="auto"/>
            </w:tcBorders>
            <w:vAlign w:val="center"/>
            <w:hideMark/>
          </w:tcPr>
          <w:p w:rsidR="00A325A9" w:rsidRPr="00204418" w:rsidRDefault="00A325A9" w:rsidP="00FE68BA">
            <w:pPr>
              <w:keepLines/>
              <w:rPr>
                <w:sz w:val="20"/>
                <w:szCs w:val="20"/>
              </w:rPr>
            </w:pPr>
          </w:p>
        </w:tc>
      </w:tr>
      <w:tr w:rsidR="00A325A9" w:rsidRPr="00204418" w:rsidTr="006E277B">
        <w:trPr>
          <w:trHeight w:val="793"/>
          <w:jc w:val="center"/>
        </w:trPr>
        <w:tc>
          <w:tcPr>
            <w:tcW w:w="4875" w:type="dxa"/>
            <w:tcBorders>
              <w:top w:val="single" w:sz="4" w:space="0" w:color="auto"/>
              <w:left w:val="single" w:sz="4" w:space="0" w:color="auto"/>
              <w:bottom w:val="single" w:sz="4" w:space="0" w:color="auto"/>
              <w:right w:val="single" w:sz="4" w:space="0" w:color="auto"/>
            </w:tcBorders>
            <w:vAlign w:val="center"/>
            <w:hideMark/>
          </w:tcPr>
          <w:p w:rsidR="00A325A9" w:rsidRPr="00204418" w:rsidRDefault="00A325A9" w:rsidP="00FE68BA">
            <w:pPr>
              <w:keepLines/>
              <w:rPr>
                <w:sz w:val="20"/>
                <w:szCs w:val="20"/>
              </w:rPr>
            </w:pPr>
            <w:r w:rsidRPr="00204418">
              <w:rPr>
                <w:b/>
                <w:sz w:val="20"/>
                <w:szCs w:val="20"/>
              </w:rPr>
              <w:t>4.2.</w:t>
            </w:r>
            <w:r w:rsidRPr="00204418">
              <w:rPr>
                <w:sz w:val="20"/>
                <w:szCs w:val="20"/>
              </w:rPr>
              <w:t xml:space="preserve"> Zhodnoťte kvalitatívne (prípadne kvantitatívne) vplyvy na prístup k zdrojom, právam, tovarom a službám u jednotlivých ovplyvnených skupín obyvateľstva.</w:t>
            </w:r>
          </w:p>
        </w:tc>
        <w:tc>
          <w:tcPr>
            <w:tcW w:w="3117" w:type="dxa"/>
            <w:tcBorders>
              <w:top w:val="nil"/>
              <w:left w:val="nil"/>
              <w:bottom w:val="single" w:sz="4" w:space="0" w:color="auto"/>
              <w:right w:val="single" w:sz="4" w:space="0" w:color="auto"/>
            </w:tcBorders>
            <w:hideMark/>
          </w:tcPr>
          <w:p w:rsidR="00A325A9" w:rsidRPr="00204418" w:rsidRDefault="00A325A9" w:rsidP="00FE68BA">
            <w:pPr>
              <w:keepLines/>
              <w:rPr>
                <w:sz w:val="20"/>
                <w:szCs w:val="20"/>
              </w:rPr>
            </w:pPr>
            <w:r w:rsidRPr="00204418">
              <w:rPr>
                <w:sz w:val="20"/>
                <w:szCs w:val="20"/>
              </w:rPr>
              <w:t>bezpredmetné</w:t>
            </w:r>
          </w:p>
        </w:tc>
      </w:tr>
      <w:tr w:rsidR="00A325A9" w:rsidRPr="00204418" w:rsidTr="006E277B">
        <w:trPr>
          <w:trHeight w:val="446"/>
          <w:jc w:val="center"/>
        </w:trPr>
        <w:tc>
          <w:tcPr>
            <w:tcW w:w="4875" w:type="dxa"/>
            <w:tcBorders>
              <w:top w:val="single" w:sz="4" w:space="0" w:color="auto"/>
              <w:left w:val="single" w:sz="4" w:space="0" w:color="auto"/>
              <w:bottom w:val="single" w:sz="4" w:space="0" w:color="auto"/>
              <w:right w:val="single" w:sz="4" w:space="0" w:color="auto"/>
            </w:tcBorders>
            <w:vAlign w:val="center"/>
          </w:tcPr>
          <w:p w:rsidR="00A325A9" w:rsidRPr="00204418" w:rsidRDefault="00A325A9" w:rsidP="00FE68BA">
            <w:pPr>
              <w:keepLines/>
              <w:rPr>
                <w:sz w:val="20"/>
                <w:szCs w:val="20"/>
              </w:rPr>
            </w:pPr>
            <w:r w:rsidRPr="00204418">
              <w:rPr>
                <w:b/>
                <w:sz w:val="20"/>
                <w:szCs w:val="20"/>
              </w:rPr>
              <w:t>4.3.</w:t>
            </w:r>
            <w:r w:rsidR="000D3D67" w:rsidRPr="00204418">
              <w:rPr>
                <w:sz w:val="20"/>
                <w:szCs w:val="20"/>
              </w:rPr>
              <w:t xml:space="preserve"> </w:t>
            </w:r>
            <w:r w:rsidRPr="00204418">
              <w:rPr>
                <w:sz w:val="20"/>
                <w:szCs w:val="20"/>
              </w:rPr>
              <w:t>Zhodnoťte vplyv na rovnosť príležitostí:</w:t>
            </w:r>
          </w:p>
          <w:p w:rsidR="00A325A9" w:rsidRPr="00204418" w:rsidRDefault="00A325A9" w:rsidP="00FE68BA">
            <w:pPr>
              <w:keepLines/>
              <w:rPr>
                <w:sz w:val="20"/>
                <w:szCs w:val="20"/>
              </w:rPr>
            </w:pPr>
            <w:r w:rsidRPr="00204418">
              <w:rPr>
                <w:sz w:val="20"/>
                <w:szCs w:val="20"/>
              </w:rPr>
              <w:t>Zhodnoťte vplyv na rodovú rovnosť.</w:t>
            </w:r>
          </w:p>
        </w:tc>
        <w:tc>
          <w:tcPr>
            <w:tcW w:w="3117" w:type="dxa"/>
            <w:tcBorders>
              <w:top w:val="nil"/>
              <w:left w:val="nil"/>
              <w:bottom w:val="single" w:sz="4" w:space="0" w:color="auto"/>
              <w:right w:val="single" w:sz="4" w:space="0" w:color="auto"/>
            </w:tcBorders>
            <w:hideMark/>
          </w:tcPr>
          <w:p w:rsidR="00A325A9" w:rsidRPr="00204418" w:rsidRDefault="00A325A9" w:rsidP="00FE68BA">
            <w:pPr>
              <w:keepLines/>
              <w:rPr>
                <w:sz w:val="20"/>
                <w:szCs w:val="20"/>
              </w:rPr>
            </w:pPr>
            <w:r w:rsidRPr="00204418">
              <w:rPr>
                <w:sz w:val="20"/>
                <w:szCs w:val="20"/>
              </w:rPr>
              <w:t>bezpredmetné</w:t>
            </w:r>
          </w:p>
        </w:tc>
      </w:tr>
      <w:tr w:rsidR="00A325A9" w:rsidRPr="00204418" w:rsidTr="006E277B">
        <w:trPr>
          <w:trHeight w:val="1520"/>
          <w:jc w:val="center"/>
        </w:trPr>
        <w:tc>
          <w:tcPr>
            <w:tcW w:w="4875" w:type="dxa"/>
            <w:tcBorders>
              <w:top w:val="single" w:sz="4" w:space="0" w:color="auto"/>
              <w:left w:val="single" w:sz="4" w:space="0" w:color="auto"/>
              <w:bottom w:val="single" w:sz="4" w:space="0" w:color="auto"/>
              <w:right w:val="single" w:sz="4" w:space="0" w:color="auto"/>
            </w:tcBorders>
            <w:vAlign w:val="center"/>
          </w:tcPr>
          <w:p w:rsidR="00A325A9" w:rsidRPr="00204418" w:rsidRDefault="00A325A9" w:rsidP="00FE68BA">
            <w:pPr>
              <w:keepLines/>
              <w:rPr>
                <w:sz w:val="20"/>
                <w:szCs w:val="20"/>
              </w:rPr>
            </w:pPr>
            <w:r w:rsidRPr="00204418">
              <w:rPr>
                <w:b/>
                <w:sz w:val="20"/>
                <w:szCs w:val="20"/>
              </w:rPr>
              <w:t xml:space="preserve">4.4. </w:t>
            </w:r>
            <w:r w:rsidRPr="00204418">
              <w:rPr>
                <w:sz w:val="20"/>
                <w:szCs w:val="20"/>
              </w:rPr>
              <w:t>Zhodnoťte vplyvy na z</w:t>
            </w:r>
            <w:bookmarkStart w:id="0" w:name="_GoBack"/>
            <w:bookmarkEnd w:id="0"/>
            <w:r w:rsidRPr="00204418">
              <w:rPr>
                <w:sz w:val="20"/>
                <w:szCs w:val="20"/>
              </w:rPr>
              <w:t>amestnanosť.</w:t>
            </w:r>
          </w:p>
          <w:p w:rsidR="00A325A9" w:rsidRPr="00204418" w:rsidRDefault="00A325A9" w:rsidP="00FE68BA">
            <w:pPr>
              <w:keepLines/>
              <w:rPr>
                <w:bCs/>
                <w:sz w:val="20"/>
                <w:szCs w:val="20"/>
              </w:rPr>
            </w:pPr>
            <w:r w:rsidRPr="00204418">
              <w:rPr>
                <w:bCs/>
                <w:sz w:val="20"/>
                <w:szCs w:val="20"/>
              </w:rPr>
              <w:t>Aké sú  vplyvy na zamestnanosť?</w:t>
            </w:r>
          </w:p>
          <w:p w:rsidR="00A325A9" w:rsidRPr="00204418" w:rsidRDefault="00A325A9" w:rsidP="00FE68BA">
            <w:pPr>
              <w:keepLines/>
              <w:rPr>
                <w:sz w:val="20"/>
                <w:szCs w:val="20"/>
              </w:rPr>
            </w:pPr>
            <w:r w:rsidRPr="00204418">
              <w:rPr>
                <w:bCs/>
                <w:sz w:val="20"/>
                <w:szCs w:val="20"/>
              </w:rPr>
              <w:t>Ktoré skupiny zamestnancov budú ohrozené schválením predkladaného materiálu?</w:t>
            </w:r>
          </w:p>
          <w:p w:rsidR="00A325A9" w:rsidRPr="00204418" w:rsidRDefault="00A325A9" w:rsidP="00FE68BA">
            <w:pPr>
              <w:keepLines/>
              <w:rPr>
                <w:bCs/>
                <w:sz w:val="20"/>
                <w:szCs w:val="20"/>
              </w:rPr>
            </w:pPr>
            <w:r w:rsidRPr="00204418">
              <w:rPr>
                <w:bCs/>
                <w:sz w:val="20"/>
                <w:szCs w:val="20"/>
              </w:rPr>
              <w:t>Hrozí v prípade schválenia predkladaného materiálu hromadné prepúšťanie?</w:t>
            </w:r>
          </w:p>
        </w:tc>
        <w:tc>
          <w:tcPr>
            <w:tcW w:w="3117" w:type="dxa"/>
            <w:tcBorders>
              <w:top w:val="single" w:sz="4" w:space="0" w:color="auto"/>
              <w:left w:val="single" w:sz="4" w:space="0" w:color="auto"/>
              <w:bottom w:val="single" w:sz="4" w:space="0" w:color="auto"/>
              <w:right w:val="single" w:sz="4" w:space="0" w:color="auto"/>
            </w:tcBorders>
          </w:tcPr>
          <w:p w:rsidR="00A325A9" w:rsidRPr="00204418" w:rsidRDefault="000D3D67" w:rsidP="00BF071F">
            <w:pPr>
              <w:keepLines/>
              <w:rPr>
                <w:sz w:val="20"/>
                <w:szCs w:val="20"/>
              </w:rPr>
            </w:pPr>
            <w:r w:rsidRPr="00204418">
              <w:rPr>
                <w:sz w:val="20"/>
                <w:szCs w:val="20"/>
              </w:rPr>
              <w:t>V</w:t>
            </w:r>
            <w:r w:rsidR="00A325A9" w:rsidRPr="00204418">
              <w:rPr>
                <w:sz w:val="20"/>
                <w:szCs w:val="20"/>
              </w:rPr>
              <w:t>plyv na zamestnanosť</w:t>
            </w:r>
            <w:r w:rsidRPr="00204418">
              <w:rPr>
                <w:sz w:val="20"/>
                <w:szCs w:val="20"/>
              </w:rPr>
              <w:t xml:space="preserve"> pozitívny</w:t>
            </w:r>
            <w:r w:rsidR="00A325A9" w:rsidRPr="00204418">
              <w:rPr>
                <w:sz w:val="20"/>
                <w:szCs w:val="20"/>
              </w:rPr>
              <w:t>, nakoľko je predpoklad, že prenajatie väčšieho objemu poľnohospodárskej pôdy mladým poľnohospodárom</w:t>
            </w:r>
            <w:r w:rsidR="00BF071F" w:rsidRPr="00204418">
              <w:rPr>
                <w:sz w:val="20"/>
                <w:szCs w:val="20"/>
              </w:rPr>
              <w:t xml:space="preserve"> a poľnohospodárom spĺňajúcim podmienky</w:t>
            </w:r>
            <w:r w:rsidR="00A325A9" w:rsidRPr="00204418">
              <w:rPr>
                <w:sz w:val="20"/>
                <w:szCs w:val="20"/>
              </w:rPr>
              <w:t xml:space="preserve"> malý</w:t>
            </w:r>
            <w:r w:rsidR="00BF071F" w:rsidRPr="00204418">
              <w:rPr>
                <w:sz w:val="20"/>
                <w:szCs w:val="20"/>
              </w:rPr>
              <w:t>ch</w:t>
            </w:r>
            <w:r w:rsidR="00A325A9" w:rsidRPr="00204418">
              <w:rPr>
                <w:sz w:val="20"/>
                <w:szCs w:val="20"/>
              </w:rPr>
              <w:t xml:space="preserve"> a </w:t>
            </w:r>
            <w:proofErr w:type="spellStart"/>
            <w:r w:rsidR="00A325A9" w:rsidRPr="00204418">
              <w:rPr>
                <w:sz w:val="20"/>
                <w:szCs w:val="20"/>
              </w:rPr>
              <w:t>mikro</w:t>
            </w:r>
            <w:proofErr w:type="spellEnd"/>
            <w:r w:rsidR="00A325A9" w:rsidRPr="00204418">
              <w:rPr>
                <w:sz w:val="20"/>
                <w:szCs w:val="20"/>
              </w:rPr>
              <w:t xml:space="preserve"> podniko</w:t>
            </w:r>
            <w:r w:rsidR="00BF071F" w:rsidRPr="00204418">
              <w:rPr>
                <w:sz w:val="20"/>
                <w:szCs w:val="20"/>
              </w:rPr>
              <w:t>v</w:t>
            </w:r>
            <w:r w:rsidR="00A325A9" w:rsidRPr="00204418">
              <w:rPr>
                <w:sz w:val="20"/>
                <w:szCs w:val="20"/>
              </w:rPr>
              <w:t xml:space="preserve"> bude pre nich znamenať potrebu zvýšenia počtu zamestnancov.</w:t>
            </w:r>
          </w:p>
        </w:tc>
      </w:tr>
    </w:tbl>
    <w:p w:rsidR="00B07548" w:rsidRPr="00B0162F" w:rsidRDefault="00B07548" w:rsidP="00FE68BA">
      <w:pPr>
        <w:pStyle w:val="Nadpis2"/>
        <w:rPr>
          <w:lang w:val="sk-SK"/>
        </w:rPr>
      </w:pPr>
      <w:r w:rsidRPr="00B0162F">
        <w:rPr>
          <w:rStyle w:val="Textzstupnhosymbolu"/>
          <w:color w:val="000000"/>
          <w:lang w:val="sk-SK"/>
        </w:rPr>
        <w:br w:type="page"/>
      </w:r>
      <w:r w:rsidRPr="00B0162F">
        <w:rPr>
          <w:lang w:val="sk-SK"/>
        </w:rPr>
        <w:t>Osobitná časť</w:t>
      </w:r>
    </w:p>
    <w:p w:rsidR="00B07548" w:rsidRPr="00B0162F" w:rsidRDefault="00B07548" w:rsidP="00FE68BA">
      <w:pPr>
        <w:pStyle w:val="Nadpis3"/>
        <w:rPr>
          <w:color w:val="000000"/>
          <w:lang w:val="sk-SK"/>
        </w:rPr>
      </w:pPr>
      <w:r w:rsidRPr="00B0162F">
        <w:rPr>
          <w:color w:val="000000"/>
          <w:lang w:val="sk-SK"/>
        </w:rPr>
        <w:t>K článku I</w:t>
      </w:r>
    </w:p>
    <w:p w:rsidR="00C768F5" w:rsidRDefault="00C768F5" w:rsidP="00FE68BA">
      <w:pPr>
        <w:pStyle w:val="Nadpis3"/>
        <w:rPr>
          <w:lang w:val="sk-SK"/>
        </w:rPr>
      </w:pPr>
      <w:r>
        <w:rPr>
          <w:lang w:val="sk-SK"/>
        </w:rPr>
        <w:t>K bodu 1</w:t>
      </w:r>
    </w:p>
    <w:p w:rsidR="00C768F5" w:rsidRDefault="00C768F5" w:rsidP="00C768F5">
      <w:pPr>
        <w:pStyle w:val="odsek"/>
      </w:pPr>
      <w:r>
        <w:t xml:space="preserve">Doplnenie predmetu úpravy z dôvodu rozsiahlejších zmien na štátnej hranici z hľadiska zmeny priebehu štátnej hranice a potreby </w:t>
      </w:r>
      <w:proofErr w:type="spellStart"/>
      <w:r>
        <w:t>vysporiadania</w:t>
      </w:r>
      <w:proofErr w:type="spellEnd"/>
      <w:r>
        <w:t xml:space="preserve"> vlastníckych vzťahov na týchto územiach.</w:t>
      </w:r>
    </w:p>
    <w:p w:rsidR="00C768F5" w:rsidRDefault="00C768F5" w:rsidP="00C768F5">
      <w:pPr>
        <w:pStyle w:val="Nadpis3"/>
        <w:rPr>
          <w:lang w:val="sk-SK"/>
        </w:rPr>
      </w:pPr>
      <w:r>
        <w:rPr>
          <w:lang w:val="sk-SK"/>
        </w:rPr>
        <w:t>K bodu 2</w:t>
      </w:r>
    </w:p>
    <w:p w:rsidR="00C768F5" w:rsidRPr="00C768F5" w:rsidRDefault="00C768F5" w:rsidP="00C768F5">
      <w:pPr>
        <w:pStyle w:val="odsek"/>
      </w:pPr>
      <w:r>
        <w:t xml:space="preserve">Legislatívno-technická úprava vzhľadom na </w:t>
      </w:r>
      <w:r w:rsidR="002B59F2">
        <w:t>doplnenie písmena i).</w:t>
      </w:r>
    </w:p>
    <w:p w:rsidR="00DB073C" w:rsidRPr="00B0162F" w:rsidRDefault="00DB073C" w:rsidP="00FE68BA">
      <w:pPr>
        <w:pStyle w:val="Nadpis3"/>
        <w:rPr>
          <w:lang w:val="sk-SK"/>
        </w:rPr>
      </w:pPr>
      <w:r w:rsidRPr="00B0162F">
        <w:rPr>
          <w:lang w:val="sk-SK"/>
        </w:rPr>
        <w:t xml:space="preserve">K bodu </w:t>
      </w:r>
      <w:r w:rsidR="00C768F5">
        <w:rPr>
          <w:lang w:val="sk-SK"/>
        </w:rPr>
        <w:t>3</w:t>
      </w:r>
    </w:p>
    <w:p w:rsidR="00FE68BA" w:rsidRPr="00B0162F" w:rsidRDefault="00DB073C" w:rsidP="00FE68BA">
      <w:pPr>
        <w:keepLines/>
        <w:ind w:firstLine="708"/>
      </w:pPr>
      <w:r w:rsidRPr="00B0162F">
        <w:t xml:space="preserve">V súčasne platnom zákone (§ </w:t>
      </w:r>
      <w:r w:rsidR="00B96D84" w:rsidRPr="00B0162F">
        <w:t xml:space="preserve">14 </w:t>
      </w:r>
      <w:r w:rsidRPr="00B0162F">
        <w:t xml:space="preserve">ods. </w:t>
      </w:r>
      <w:r w:rsidR="00B96D84" w:rsidRPr="00B0162F">
        <w:t>8</w:t>
      </w:r>
      <w:r w:rsidRPr="00B0162F">
        <w:t xml:space="preserve">) </w:t>
      </w:r>
      <w:r w:rsidR="00B96D84" w:rsidRPr="00B0162F">
        <w:t xml:space="preserve">je zakotvené právo na uzatvorenie zmluvy o nájme poľnohospodárskeho pozemku </w:t>
      </w:r>
      <w:r w:rsidR="002D462C" w:rsidRPr="00B0162F">
        <w:t>pôvodnému nájomcovi, ak riadne a včas plní svoje záväzky. Toto právo je potreba novými odsekmi obmedziť, aby boli vytvorené podmienky aj pre iné subjekty, ktoré nemajú možnosť dostať sa k poľnohospodárskym pozemkom, na ktorých by boli schopní začať alebo rozvinúť svoje podnikateľské zámery, ale samozrejme so zmluvným záväzkom využitia týchto poľnohospodárskych pozemkov na špeciálnu rastlinnú výrobu alebo živočíšnu výrobu, ktorá bude jasne ustanovená vo vykonávacom nariadení vlády Slovenskej republiky, aby týmto spôsobom nedochádzalo k zneužívaniu týchto ustanovení na získanie poľnohospodárskych pozemkov na iné účely poľnohospodárskeho</w:t>
      </w:r>
      <w:r w:rsidR="005418CA" w:rsidRPr="00B0162F">
        <w:t>,</w:t>
      </w:r>
      <w:r w:rsidR="002D462C" w:rsidRPr="00B0162F">
        <w:t xml:space="preserve"> ale i nepoľnohospodárskeho využitia.</w:t>
      </w:r>
      <w:r w:rsidR="00FE68BA" w:rsidRPr="00B0162F">
        <w:t xml:space="preserve"> </w:t>
      </w:r>
      <w:r w:rsidR="004E70EF" w:rsidRPr="00B0162F">
        <w:t>Ustanovenie zároveň určuje hornú hranicu prenajímaného pozemku na 28 ha pre mladého poľnohospodára</w:t>
      </w:r>
      <w:r w:rsidR="00BF071F" w:rsidRPr="00B0162F">
        <w:t xml:space="preserve"> a poľnohospodára spĺňajúceho podmienky malého a </w:t>
      </w:r>
      <w:proofErr w:type="spellStart"/>
      <w:r w:rsidR="00BF071F" w:rsidRPr="00B0162F">
        <w:t>mikro</w:t>
      </w:r>
      <w:proofErr w:type="spellEnd"/>
      <w:r w:rsidR="00BF071F" w:rsidRPr="00B0162F">
        <w:t xml:space="preserve"> podniku</w:t>
      </w:r>
      <w:r w:rsidR="004E70EF" w:rsidRPr="00B0162F">
        <w:t xml:space="preserve">. </w:t>
      </w:r>
      <w:r w:rsidR="006F1E9F" w:rsidRPr="00B0162F">
        <w:t xml:space="preserve">Zároveň sa na zvýšenie zamestnanosti zamýšľa túto výmeru úmerne počtu zamestnancov </w:t>
      </w:r>
      <w:proofErr w:type="spellStart"/>
      <w:r w:rsidR="006F1E9F" w:rsidRPr="00B0162F">
        <w:t>navyšovať</w:t>
      </w:r>
      <w:proofErr w:type="spellEnd"/>
      <w:r w:rsidR="006F1E9F" w:rsidRPr="00B0162F">
        <w:t xml:space="preserve"> a tým motivovať mladého poľnohospodára</w:t>
      </w:r>
      <w:r w:rsidR="00BF071F" w:rsidRPr="00B0162F">
        <w:t xml:space="preserve"> a poľnohospodára spĺňajúceho podmienky malého a </w:t>
      </w:r>
      <w:proofErr w:type="spellStart"/>
      <w:r w:rsidR="00BF071F" w:rsidRPr="00B0162F">
        <w:t>mikro</w:t>
      </w:r>
      <w:proofErr w:type="spellEnd"/>
      <w:r w:rsidR="00BF071F" w:rsidRPr="00B0162F">
        <w:t xml:space="preserve"> podniku</w:t>
      </w:r>
      <w:r w:rsidR="006F1E9F" w:rsidRPr="00B0162F">
        <w:t xml:space="preserve">, aby zamestnával viacej osôb. </w:t>
      </w:r>
      <w:r w:rsidR="00FE68BA" w:rsidRPr="00B0162F">
        <w:t xml:space="preserve">Mladý poľnohospodár </w:t>
      </w:r>
      <w:r w:rsidR="00BF071F" w:rsidRPr="00B0162F">
        <w:t>a poľnohospodár spĺňajúci podmienky malého a </w:t>
      </w:r>
      <w:proofErr w:type="spellStart"/>
      <w:r w:rsidR="00BF071F" w:rsidRPr="00B0162F">
        <w:t>mikro</w:t>
      </w:r>
      <w:proofErr w:type="spellEnd"/>
      <w:r w:rsidR="00BF071F" w:rsidRPr="00B0162F">
        <w:t xml:space="preserve"> podniku </w:t>
      </w:r>
      <w:r w:rsidR="00FE68BA" w:rsidRPr="00B0162F">
        <w:t>sa bude musieť v zmluve zaviazať, že na prenajatej ploche bude uskutočňovať špeciálnu rastlinnú výrobu a</w:t>
      </w:r>
      <w:r w:rsidR="0076017D" w:rsidRPr="00B0162F">
        <w:t xml:space="preserve">lebo </w:t>
      </w:r>
      <w:r w:rsidR="00FE68BA" w:rsidRPr="00B0162F">
        <w:t>že do určitej doby dosiahne zaťaženosť živočíšnej výroby 0,</w:t>
      </w:r>
      <w:r w:rsidR="004503C3">
        <w:t>2</w:t>
      </w:r>
      <w:r w:rsidR="00FE68BA" w:rsidRPr="00B0162F">
        <w:t xml:space="preserve"> VDJ/ha.</w:t>
      </w:r>
    </w:p>
    <w:p w:rsidR="00865C76" w:rsidRDefault="00865C76" w:rsidP="00FE68BA">
      <w:pPr>
        <w:keepLines/>
        <w:ind w:firstLine="708"/>
        <w:rPr>
          <w:color w:val="000000" w:themeColor="text1"/>
        </w:rPr>
      </w:pPr>
      <w:r>
        <w:rPr>
          <w:color w:val="000000" w:themeColor="text1"/>
        </w:rPr>
        <w:t xml:space="preserve">Zároveň však je obmedzené nakladanie s takouto pôdou, aby nedochádzalo k špekulatívnemu nájmu poľnohospodárskych pozemkov, ktoré by boli ihneď postúpené </w:t>
      </w:r>
      <w:r w:rsidR="00A4735E">
        <w:rPr>
          <w:color w:val="000000" w:themeColor="text1"/>
        </w:rPr>
        <w:t>ďalším subjektom, ktoré by na danej pôde podnikali.</w:t>
      </w:r>
    </w:p>
    <w:p w:rsidR="00A4735E" w:rsidRDefault="00A4735E" w:rsidP="00A4735E">
      <w:pPr>
        <w:keepLines/>
        <w:ind w:firstLine="708"/>
        <w:rPr>
          <w:color w:val="000000" w:themeColor="text1"/>
        </w:rPr>
      </w:pPr>
      <w:r>
        <w:rPr>
          <w:color w:val="000000" w:themeColor="text1"/>
        </w:rPr>
        <w:t>Taktiež sa zavádza oprávnenie SPF, aby okamžite odstúpil od zmluvy, ak nebudú plnené podmienky využívania týchto pozemkov na špeciálnu rastlinnú resp. živočíšnu výrobu.</w:t>
      </w:r>
    </w:p>
    <w:p w:rsidR="00C63B7C" w:rsidRPr="00B0162F" w:rsidRDefault="00241258" w:rsidP="00FE68BA">
      <w:pPr>
        <w:keepLines/>
        <w:ind w:firstLine="708"/>
      </w:pPr>
      <w:r w:rsidRPr="00B0162F">
        <w:rPr>
          <w:color w:val="000000" w:themeColor="text1"/>
        </w:rPr>
        <w:t>Obmedzená disponibilita poľnohospodárskej pôdy, ktorú majú dlhodobo v prenájme etablované poľnohospodárske podniky determinuje zameranie mladých a malých poľnohospodárov na špecializovanú rastlinnú výrobu, pri ktorej sa dá aj na menších výmerách dosiahnuť ekonomická efektívnosť.</w:t>
      </w:r>
    </w:p>
    <w:p w:rsidR="002D462C" w:rsidRPr="00B0162F" w:rsidRDefault="002D462C" w:rsidP="00A4735E">
      <w:pPr>
        <w:pStyle w:val="odsek"/>
      </w:pPr>
      <w:r w:rsidRPr="00B0162F">
        <w:t xml:space="preserve">Na druhej strane je však potrebné v primeranom rozsahu chrániť aj pôvodných nájomcov, ktorým nesmú </w:t>
      </w:r>
      <w:r w:rsidR="00CE6368" w:rsidRPr="00B0162F">
        <w:t xml:space="preserve">prijaté opatrenia úplne znemožniť ich podnikanie a preto je diferencovaný prístup k obmedzeniu prenajatých poľnohospodárskych pozemkov pre pôvodných nájomcov, ktorí majú v nájme </w:t>
      </w:r>
      <w:r w:rsidR="00A4735E">
        <w:t xml:space="preserve">101 až 500 ha najviac o 3 % výmery, 501 až 700 ha najviac o 5 % výmery, 701 až 1 500 ha najviac o 7 % </w:t>
      </w:r>
      <w:r w:rsidR="000B3D2C">
        <w:t xml:space="preserve">výmery </w:t>
      </w:r>
      <w:r w:rsidR="00A4735E">
        <w:t>a od 1 501 ha a viac najviac o 10 % výmery.</w:t>
      </w:r>
    </w:p>
    <w:p w:rsidR="00963612" w:rsidRPr="00B0162F" w:rsidRDefault="003E2C1D" w:rsidP="00FE68BA">
      <w:pPr>
        <w:keepLines/>
        <w:spacing w:after="60"/>
        <w:ind w:firstLine="709"/>
      </w:pPr>
      <w:r w:rsidRPr="00B0162F">
        <w:t xml:space="preserve">Pri určovaní </w:t>
      </w:r>
      <w:r w:rsidR="00FE68BA" w:rsidRPr="00B0162F">
        <w:t>podnikov</w:t>
      </w:r>
      <w:r w:rsidRPr="00B0162F">
        <w:t>, ktor</w:t>
      </w:r>
      <w:r w:rsidR="00FE68BA" w:rsidRPr="00B0162F">
        <w:t>ým sa nebude krátiť výmera,</w:t>
      </w:r>
      <w:r w:rsidRPr="00B0162F">
        <w:t xml:space="preserve"> sa vychádzalo z</w:t>
      </w:r>
      <w:r w:rsidR="0076017D" w:rsidRPr="00B0162F">
        <w:t xml:space="preserve"> cieľa, ktorý má byť navrhovanou právnou úpravou dosiahnutý a preto by sa toto krátenie nemalo týkať podnikov, ktoré špeciálnu rastlinnú výrobu alebo živočíšnu výrobu v požadovaných parametroch realizujú. Preto sa </w:t>
      </w:r>
      <w:r w:rsidR="00963612" w:rsidRPr="00B0162F">
        <w:t xml:space="preserve">od pôdy prenajatej zo SPF </w:t>
      </w:r>
      <w:r w:rsidR="00FE68BA" w:rsidRPr="00B0162F">
        <w:t xml:space="preserve">sa </w:t>
      </w:r>
      <w:r w:rsidR="00963612" w:rsidRPr="00B0162F">
        <w:t>odpočíta</w:t>
      </w:r>
      <w:r w:rsidRPr="00B0162F">
        <w:t>la pôda</w:t>
      </w:r>
      <w:r w:rsidR="00963612" w:rsidRPr="00B0162F">
        <w:t>:</w:t>
      </w:r>
    </w:p>
    <w:p w:rsidR="00963612" w:rsidRPr="00B0162F" w:rsidRDefault="00963612" w:rsidP="00FE68BA">
      <w:pPr>
        <w:pStyle w:val="Odsekzoznamu"/>
        <w:numPr>
          <w:ilvl w:val="0"/>
          <w:numId w:val="12"/>
        </w:numPr>
        <w:spacing w:after="60" w:line="276" w:lineRule="auto"/>
        <w:contextualSpacing/>
      </w:pPr>
      <w:r w:rsidRPr="00B0162F">
        <w:t>adekvátn</w:t>
      </w:r>
      <w:r w:rsidR="003E2C1D" w:rsidRPr="00B0162F">
        <w:t>a</w:t>
      </w:r>
      <w:r w:rsidRPr="00B0162F">
        <w:t xml:space="preserve"> k počtu VDJ, t.j. 1 VDJ = 0,8 ha (všetky zvieratá za podnik sa prepočítajú na VDJ a k tomu sa napočíta koeficient 0,8</w:t>
      </w:r>
      <w:r w:rsidR="00AB2465" w:rsidRPr="00B0162F">
        <w:t>;</w:t>
      </w:r>
    </w:p>
    <w:p w:rsidR="00963612" w:rsidRPr="00B0162F" w:rsidRDefault="00963612" w:rsidP="00FE68BA">
      <w:pPr>
        <w:pStyle w:val="Odsekzoznamu"/>
        <w:numPr>
          <w:ilvl w:val="0"/>
          <w:numId w:val="12"/>
        </w:numPr>
        <w:spacing w:after="60" w:line="276" w:lineRule="auto"/>
        <w:contextualSpacing/>
      </w:pPr>
      <w:r w:rsidRPr="00B0162F">
        <w:t>na ktorej majú vysadené trvalé kultúry (ovocné sady, vinice, chmeľnice),</w:t>
      </w:r>
    </w:p>
    <w:p w:rsidR="00963612" w:rsidRPr="00B0162F" w:rsidRDefault="00963612" w:rsidP="00FE68BA">
      <w:pPr>
        <w:pStyle w:val="Odsekzoznamu"/>
        <w:numPr>
          <w:ilvl w:val="0"/>
          <w:numId w:val="12"/>
        </w:numPr>
        <w:spacing w:after="60" w:line="276" w:lineRule="auto"/>
        <w:contextualSpacing/>
      </w:pPr>
      <w:r w:rsidRPr="00B0162F">
        <w:t>na ktorej pestujú špeciálne plodiny (zelenina, zemiaky), skutočná pôda špeciálnych plodín je navýšená o 50% z d</w:t>
      </w:r>
      <w:r w:rsidR="005B15A4" w:rsidRPr="00B0162F">
        <w:t>ôvodu striedania plodín.</w:t>
      </w:r>
    </w:p>
    <w:p w:rsidR="00963612" w:rsidRPr="00B0162F" w:rsidRDefault="00963612" w:rsidP="00FE68BA">
      <w:pPr>
        <w:keepLines/>
        <w:spacing w:after="120"/>
        <w:ind w:firstLine="709"/>
      </w:pPr>
      <w:r w:rsidRPr="00B0162F">
        <w:t xml:space="preserve">Pri tomto postupe vypadne veľa podnikov, ktoré po zohľadnení obmedzení </w:t>
      </w:r>
      <w:r w:rsidR="002A51F0" w:rsidRPr="00B0162F">
        <w:t xml:space="preserve">podľa písmen </w:t>
      </w:r>
      <w:r w:rsidRPr="00B0162F">
        <w:t>a</w:t>
      </w:r>
      <w:r w:rsidR="002A51F0" w:rsidRPr="00B0162F">
        <w:t>) až</w:t>
      </w:r>
      <w:r w:rsidRPr="00B0162F">
        <w:t xml:space="preserve"> c) nemajú k dispozícii žiadnu pôdu na prenajatie pre mladých </w:t>
      </w:r>
      <w:r w:rsidR="002A51F0" w:rsidRPr="00B0162F">
        <w:t>poľnohospodárov</w:t>
      </w:r>
      <w:r w:rsidR="005B15A4" w:rsidRPr="00B0162F">
        <w:t>.</w:t>
      </w:r>
    </w:p>
    <w:p w:rsidR="00963612" w:rsidRPr="00B0162F" w:rsidRDefault="00963612" w:rsidP="00FE68BA">
      <w:pPr>
        <w:keepLines/>
        <w:ind w:firstLine="709"/>
      </w:pPr>
      <w:r w:rsidRPr="00B0162F">
        <w:t xml:space="preserve">Týmto postupom dostaneme súbor 505 podnikov o výmere 158 tis. ha, z ktorej sa vyčíslila disponibilná pôda na prenajatie mladým </w:t>
      </w:r>
      <w:r w:rsidR="002A51F0" w:rsidRPr="00B0162F">
        <w:t>poľnohospodárom</w:t>
      </w:r>
      <w:r w:rsidRPr="00B0162F">
        <w:t xml:space="preserve"> o výmere 11 tis. ha. </w:t>
      </w:r>
    </w:p>
    <w:p w:rsidR="00F3554D" w:rsidRPr="00B0162F" w:rsidRDefault="00963612" w:rsidP="00FE68BA">
      <w:pPr>
        <w:keepLines/>
        <w:spacing w:before="120"/>
        <w:ind w:firstLine="709"/>
      </w:pPr>
      <w:r w:rsidRPr="00B0162F">
        <w:t xml:space="preserve">V ďalšom kroku </w:t>
      </w:r>
      <w:r w:rsidR="00F3554D" w:rsidRPr="00B0162F">
        <w:t>je</w:t>
      </w:r>
      <w:r w:rsidRPr="00B0162F">
        <w:t xml:space="preserve"> súbor 505 podnikov roztriedený do veľkostných intervalov prenajatej poľnohospodárskej pôdy, do ktorých </w:t>
      </w:r>
      <w:r w:rsidR="00F3554D" w:rsidRPr="00B0162F">
        <w:t>sú</w:t>
      </w:r>
      <w:r w:rsidRPr="00B0162F">
        <w:t xml:space="preserve"> podniky podľa spĺňajúceho kritéria zaradené a vyčíslená ich výmera prenajatej poľnohospodárskej pôdy a ostatné obmedzenia </w:t>
      </w:r>
      <w:r w:rsidR="002A51F0" w:rsidRPr="00B0162F">
        <w:t>podľa písmen a) až c)</w:t>
      </w:r>
      <w:r w:rsidRPr="00B0162F">
        <w:t xml:space="preserve"> a</w:t>
      </w:r>
      <w:r w:rsidR="002A51F0" w:rsidRPr="00B0162F">
        <w:t> </w:t>
      </w:r>
      <w:r w:rsidRPr="00B0162F">
        <w:t>vyčlenené podniky a objem pôdy k dispozícii na prenajatie.</w:t>
      </w:r>
    </w:p>
    <w:p w:rsidR="00FB60FB" w:rsidRPr="00B0162F" w:rsidRDefault="00FB60FB" w:rsidP="00FE68BA">
      <w:pPr>
        <w:keepLines/>
        <w:spacing w:before="120"/>
        <w:ind w:firstLine="709"/>
      </w:pPr>
    </w:p>
    <w:p w:rsidR="00963612" w:rsidRPr="00B0162F" w:rsidRDefault="00963612" w:rsidP="00FE68BA">
      <w:pPr>
        <w:pStyle w:val="Odsekzoznamu"/>
        <w:tabs>
          <w:tab w:val="left" w:pos="0"/>
        </w:tabs>
        <w:spacing w:line="276" w:lineRule="auto"/>
        <w:contextualSpacing/>
        <w:jc w:val="left"/>
      </w:pPr>
      <w:r w:rsidRPr="00B0162F">
        <w:rPr>
          <w:b/>
        </w:rPr>
        <w:t>Vyčíslená disponibilná pôda pre mladých farmárov v ha</w:t>
      </w:r>
    </w:p>
    <w:p w:rsidR="00963612" w:rsidRPr="00B0162F" w:rsidRDefault="00963612" w:rsidP="00FE68BA">
      <w:pPr>
        <w:pStyle w:val="Odsekzoznamu"/>
        <w:ind w:right="146" w:firstLine="0"/>
        <w:jc w:val="right"/>
        <w:rPr>
          <w:sz w:val="20"/>
          <w:szCs w:val="20"/>
        </w:rPr>
      </w:pPr>
      <w:r w:rsidRPr="00B0162F">
        <w:rPr>
          <w:sz w:val="20"/>
          <w:szCs w:val="20"/>
        </w:rPr>
        <w:t>Tab</w:t>
      </w:r>
      <w:r w:rsidR="00F3554D" w:rsidRPr="00B0162F">
        <w:rPr>
          <w:sz w:val="20"/>
          <w:szCs w:val="20"/>
        </w:rPr>
        <w:t>uľka č</w:t>
      </w:r>
      <w:r w:rsidRPr="00B0162F">
        <w:rPr>
          <w:sz w:val="20"/>
          <w:szCs w:val="20"/>
        </w:rPr>
        <w:t>.</w:t>
      </w:r>
      <w:r w:rsidR="00126754" w:rsidRPr="00B0162F">
        <w:rPr>
          <w:sz w:val="20"/>
          <w:szCs w:val="20"/>
        </w:rPr>
        <w:t> </w:t>
      </w:r>
      <w:r w:rsidRPr="00B0162F">
        <w:rPr>
          <w:sz w:val="20"/>
          <w:szCs w:val="20"/>
        </w:rPr>
        <w:t>1</w:t>
      </w:r>
    </w:p>
    <w:tbl>
      <w:tblPr>
        <w:tblStyle w:val="Mriekatabuky"/>
        <w:tblW w:w="0" w:type="auto"/>
        <w:tblLayout w:type="fixed"/>
        <w:tblLook w:val="0600" w:firstRow="0" w:lastRow="0" w:firstColumn="0" w:lastColumn="0" w:noHBand="1" w:noVBand="1"/>
      </w:tblPr>
      <w:tblGrid>
        <w:gridCol w:w="1271"/>
        <w:gridCol w:w="1134"/>
        <w:gridCol w:w="992"/>
        <w:gridCol w:w="1134"/>
        <w:gridCol w:w="993"/>
        <w:gridCol w:w="1417"/>
        <w:gridCol w:w="1843"/>
      </w:tblGrid>
      <w:tr w:rsidR="00126754" w:rsidRPr="00B0162F" w:rsidTr="00B93BB9">
        <w:tc>
          <w:tcPr>
            <w:tcW w:w="1271" w:type="dxa"/>
            <w:shd w:val="clear" w:color="auto" w:fill="auto"/>
          </w:tcPr>
          <w:p w:rsidR="00963612" w:rsidRPr="00B0162F" w:rsidRDefault="00963612" w:rsidP="00FE68BA">
            <w:pPr>
              <w:keepLines/>
              <w:jc w:val="center"/>
              <w:rPr>
                <w:rFonts w:ascii="Times New Roman" w:hAnsi="Times New Roman" w:cs="Times New Roman"/>
                <w:sz w:val="20"/>
                <w:szCs w:val="20"/>
              </w:rPr>
            </w:pPr>
            <w:r w:rsidRPr="00B0162F">
              <w:rPr>
                <w:rFonts w:ascii="Times New Roman" w:hAnsi="Times New Roman" w:cs="Times New Roman"/>
                <w:sz w:val="20"/>
                <w:szCs w:val="20"/>
              </w:rPr>
              <w:t xml:space="preserve">Interval prenajatej </w:t>
            </w:r>
            <w:proofErr w:type="spellStart"/>
            <w:r w:rsidRPr="00B0162F">
              <w:rPr>
                <w:rFonts w:ascii="Times New Roman" w:hAnsi="Times New Roman" w:cs="Times New Roman"/>
                <w:sz w:val="20"/>
                <w:szCs w:val="20"/>
              </w:rPr>
              <w:t>poľn</w:t>
            </w:r>
            <w:proofErr w:type="spellEnd"/>
            <w:r w:rsidR="00126754" w:rsidRPr="00B0162F">
              <w:rPr>
                <w:rFonts w:ascii="Times New Roman" w:hAnsi="Times New Roman" w:cs="Times New Roman"/>
                <w:sz w:val="20"/>
                <w:szCs w:val="20"/>
              </w:rPr>
              <w:t>.</w:t>
            </w:r>
            <w:r w:rsidRPr="00B0162F">
              <w:rPr>
                <w:rFonts w:ascii="Times New Roman" w:hAnsi="Times New Roman" w:cs="Times New Roman"/>
                <w:sz w:val="20"/>
                <w:szCs w:val="20"/>
              </w:rPr>
              <w:t xml:space="preserve"> pôdy</w:t>
            </w:r>
          </w:p>
        </w:tc>
        <w:tc>
          <w:tcPr>
            <w:tcW w:w="1134" w:type="dxa"/>
            <w:shd w:val="clear" w:color="auto" w:fill="auto"/>
          </w:tcPr>
          <w:p w:rsidR="00963612" w:rsidRPr="00B0162F" w:rsidRDefault="00963612" w:rsidP="00FE68BA">
            <w:pPr>
              <w:keepLines/>
              <w:jc w:val="center"/>
              <w:rPr>
                <w:rFonts w:ascii="Times New Roman" w:hAnsi="Times New Roman" w:cs="Times New Roman"/>
                <w:sz w:val="20"/>
                <w:szCs w:val="20"/>
              </w:rPr>
            </w:pPr>
            <w:r w:rsidRPr="00B0162F">
              <w:rPr>
                <w:rFonts w:ascii="Times New Roman" w:hAnsi="Times New Roman" w:cs="Times New Roman"/>
                <w:sz w:val="20"/>
                <w:szCs w:val="20"/>
              </w:rPr>
              <w:t xml:space="preserve">Prenajatá </w:t>
            </w:r>
            <w:proofErr w:type="spellStart"/>
            <w:r w:rsidRPr="00B0162F">
              <w:rPr>
                <w:rFonts w:ascii="Times New Roman" w:hAnsi="Times New Roman" w:cs="Times New Roman"/>
                <w:sz w:val="20"/>
                <w:szCs w:val="20"/>
              </w:rPr>
              <w:t>poľn</w:t>
            </w:r>
            <w:proofErr w:type="spellEnd"/>
            <w:r w:rsidR="00126754" w:rsidRPr="00B0162F">
              <w:rPr>
                <w:rFonts w:ascii="Times New Roman" w:hAnsi="Times New Roman" w:cs="Times New Roman"/>
                <w:sz w:val="20"/>
                <w:szCs w:val="20"/>
              </w:rPr>
              <w:t>.</w:t>
            </w:r>
            <w:r w:rsidRPr="00B0162F">
              <w:rPr>
                <w:rFonts w:ascii="Times New Roman" w:hAnsi="Times New Roman" w:cs="Times New Roman"/>
                <w:sz w:val="20"/>
                <w:szCs w:val="20"/>
              </w:rPr>
              <w:t xml:space="preserve"> pôda od SPF</w:t>
            </w:r>
          </w:p>
        </w:tc>
        <w:tc>
          <w:tcPr>
            <w:tcW w:w="992" w:type="dxa"/>
            <w:shd w:val="clear" w:color="auto" w:fill="auto"/>
          </w:tcPr>
          <w:p w:rsidR="00963612" w:rsidRPr="00B0162F" w:rsidRDefault="00963612" w:rsidP="00FE68BA">
            <w:pPr>
              <w:keepLines/>
              <w:jc w:val="center"/>
              <w:rPr>
                <w:rFonts w:ascii="Times New Roman" w:hAnsi="Times New Roman" w:cs="Times New Roman"/>
                <w:sz w:val="20"/>
                <w:szCs w:val="20"/>
              </w:rPr>
            </w:pPr>
            <w:r w:rsidRPr="00B0162F">
              <w:rPr>
                <w:rFonts w:ascii="Times New Roman" w:hAnsi="Times New Roman" w:cs="Times New Roman"/>
                <w:sz w:val="20"/>
                <w:szCs w:val="20"/>
              </w:rPr>
              <w:t>Počet podnikov</w:t>
            </w:r>
          </w:p>
        </w:tc>
        <w:tc>
          <w:tcPr>
            <w:tcW w:w="1134" w:type="dxa"/>
            <w:shd w:val="clear" w:color="auto" w:fill="auto"/>
          </w:tcPr>
          <w:p w:rsidR="00963612" w:rsidRPr="00B0162F" w:rsidRDefault="00126754" w:rsidP="00FE68BA">
            <w:pPr>
              <w:keepLines/>
              <w:jc w:val="center"/>
              <w:rPr>
                <w:rFonts w:ascii="Times New Roman" w:hAnsi="Times New Roman" w:cs="Times New Roman"/>
                <w:sz w:val="20"/>
                <w:szCs w:val="20"/>
              </w:rPr>
            </w:pPr>
            <w:r w:rsidRPr="00B0162F">
              <w:rPr>
                <w:rFonts w:ascii="Times New Roman" w:hAnsi="Times New Roman" w:cs="Times New Roman"/>
                <w:sz w:val="20"/>
                <w:szCs w:val="20"/>
              </w:rPr>
              <w:t xml:space="preserve">Pôda po odpočítaní </w:t>
            </w:r>
            <w:r w:rsidR="00963612" w:rsidRPr="00B0162F">
              <w:rPr>
                <w:rFonts w:ascii="Times New Roman" w:hAnsi="Times New Roman" w:cs="Times New Roman"/>
                <w:sz w:val="20"/>
                <w:szCs w:val="20"/>
              </w:rPr>
              <w:t>obmedzení</w:t>
            </w:r>
          </w:p>
        </w:tc>
        <w:tc>
          <w:tcPr>
            <w:tcW w:w="993" w:type="dxa"/>
            <w:shd w:val="clear" w:color="auto" w:fill="auto"/>
          </w:tcPr>
          <w:p w:rsidR="00963612" w:rsidRPr="00B0162F" w:rsidRDefault="00963612" w:rsidP="00FE68BA">
            <w:pPr>
              <w:keepLines/>
              <w:jc w:val="center"/>
              <w:rPr>
                <w:rFonts w:ascii="Times New Roman" w:hAnsi="Times New Roman" w:cs="Times New Roman"/>
                <w:sz w:val="20"/>
                <w:szCs w:val="20"/>
              </w:rPr>
            </w:pPr>
            <w:r w:rsidRPr="00B0162F">
              <w:rPr>
                <w:rFonts w:ascii="Times New Roman" w:hAnsi="Times New Roman" w:cs="Times New Roman"/>
                <w:sz w:val="20"/>
                <w:szCs w:val="20"/>
              </w:rPr>
              <w:t>Počet podnikov</w:t>
            </w:r>
          </w:p>
        </w:tc>
        <w:tc>
          <w:tcPr>
            <w:tcW w:w="1417" w:type="dxa"/>
            <w:shd w:val="clear" w:color="auto" w:fill="auto"/>
          </w:tcPr>
          <w:p w:rsidR="00963612" w:rsidRPr="00B0162F" w:rsidRDefault="00963612" w:rsidP="00FE68BA">
            <w:pPr>
              <w:keepLines/>
              <w:jc w:val="center"/>
              <w:rPr>
                <w:rFonts w:ascii="Times New Roman" w:hAnsi="Times New Roman" w:cs="Times New Roman"/>
                <w:sz w:val="20"/>
                <w:szCs w:val="20"/>
              </w:rPr>
            </w:pPr>
            <w:r w:rsidRPr="00B0162F">
              <w:rPr>
                <w:rFonts w:ascii="Times New Roman" w:hAnsi="Times New Roman" w:cs="Times New Roman"/>
                <w:sz w:val="20"/>
                <w:szCs w:val="20"/>
              </w:rPr>
              <w:t xml:space="preserve">Navrhované % vyčlenenia </w:t>
            </w:r>
            <w:proofErr w:type="spellStart"/>
            <w:r w:rsidRPr="00B0162F">
              <w:rPr>
                <w:rFonts w:ascii="Times New Roman" w:hAnsi="Times New Roman" w:cs="Times New Roman"/>
                <w:sz w:val="20"/>
                <w:szCs w:val="20"/>
              </w:rPr>
              <w:t>poľn</w:t>
            </w:r>
            <w:proofErr w:type="spellEnd"/>
            <w:r w:rsidR="00126754" w:rsidRPr="00B0162F">
              <w:rPr>
                <w:rFonts w:ascii="Times New Roman" w:hAnsi="Times New Roman" w:cs="Times New Roman"/>
                <w:sz w:val="20"/>
                <w:szCs w:val="20"/>
              </w:rPr>
              <w:t>.</w:t>
            </w:r>
            <w:r w:rsidRPr="00B0162F">
              <w:rPr>
                <w:rFonts w:ascii="Times New Roman" w:hAnsi="Times New Roman" w:cs="Times New Roman"/>
                <w:sz w:val="20"/>
                <w:szCs w:val="20"/>
              </w:rPr>
              <w:t xml:space="preserve"> pôdy</w:t>
            </w:r>
          </w:p>
        </w:tc>
        <w:tc>
          <w:tcPr>
            <w:tcW w:w="1843" w:type="dxa"/>
            <w:shd w:val="clear" w:color="auto" w:fill="auto"/>
          </w:tcPr>
          <w:p w:rsidR="00963612" w:rsidRPr="00B0162F" w:rsidRDefault="00963612" w:rsidP="00FE68BA">
            <w:pPr>
              <w:keepLines/>
              <w:jc w:val="center"/>
              <w:rPr>
                <w:rFonts w:ascii="Times New Roman" w:hAnsi="Times New Roman" w:cs="Times New Roman"/>
                <w:b/>
                <w:sz w:val="20"/>
                <w:szCs w:val="20"/>
              </w:rPr>
            </w:pPr>
            <w:r w:rsidRPr="00B0162F">
              <w:rPr>
                <w:rFonts w:ascii="Times New Roman" w:hAnsi="Times New Roman" w:cs="Times New Roman"/>
                <w:b/>
                <w:sz w:val="20"/>
                <w:szCs w:val="20"/>
              </w:rPr>
              <w:t xml:space="preserve">Vyčlenená </w:t>
            </w:r>
            <w:proofErr w:type="spellStart"/>
            <w:r w:rsidRPr="00B0162F">
              <w:rPr>
                <w:rFonts w:ascii="Times New Roman" w:hAnsi="Times New Roman" w:cs="Times New Roman"/>
                <w:b/>
                <w:sz w:val="20"/>
                <w:szCs w:val="20"/>
              </w:rPr>
              <w:t>poľn</w:t>
            </w:r>
            <w:proofErr w:type="spellEnd"/>
            <w:r w:rsidR="00126754" w:rsidRPr="00B0162F">
              <w:rPr>
                <w:rFonts w:ascii="Times New Roman" w:hAnsi="Times New Roman" w:cs="Times New Roman"/>
                <w:b/>
                <w:sz w:val="20"/>
                <w:szCs w:val="20"/>
              </w:rPr>
              <w:t>.</w:t>
            </w:r>
            <w:r w:rsidRPr="00B0162F">
              <w:rPr>
                <w:rFonts w:ascii="Times New Roman" w:hAnsi="Times New Roman" w:cs="Times New Roman"/>
                <w:b/>
                <w:sz w:val="20"/>
                <w:szCs w:val="20"/>
              </w:rPr>
              <w:t xml:space="preserve"> pôda pre mlad</w:t>
            </w:r>
            <w:r w:rsidR="002A51F0" w:rsidRPr="00B0162F">
              <w:rPr>
                <w:rFonts w:ascii="Times New Roman" w:hAnsi="Times New Roman" w:cs="Times New Roman"/>
                <w:b/>
                <w:sz w:val="20"/>
                <w:szCs w:val="20"/>
              </w:rPr>
              <w:t>ých</w:t>
            </w:r>
            <w:r w:rsidRPr="00B0162F">
              <w:rPr>
                <w:rFonts w:ascii="Times New Roman" w:hAnsi="Times New Roman" w:cs="Times New Roman"/>
                <w:b/>
                <w:sz w:val="20"/>
                <w:szCs w:val="20"/>
              </w:rPr>
              <w:t xml:space="preserve"> </w:t>
            </w:r>
            <w:r w:rsidR="002A51F0" w:rsidRPr="00B0162F">
              <w:rPr>
                <w:rFonts w:ascii="Times New Roman" w:hAnsi="Times New Roman" w:cs="Times New Roman"/>
                <w:b/>
                <w:sz w:val="20"/>
                <w:szCs w:val="20"/>
              </w:rPr>
              <w:t>poľnohospodárov</w:t>
            </w:r>
          </w:p>
        </w:tc>
      </w:tr>
      <w:tr w:rsidR="00963612" w:rsidRPr="00B0162F" w:rsidTr="00B93BB9">
        <w:tc>
          <w:tcPr>
            <w:tcW w:w="1271" w:type="dxa"/>
          </w:tcPr>
          <w:p w:rsidR="00963612" w:rsidRPr="00B0162F" w:rsidRDefault="00963612" w:rsidP="00FE68BA">
            <w:pPr>
              <w:keepLines/>
              <w:tabs>
                <w:tab w:val="left" w:pos="0"/>
                <w:tab w:val="left" w:pos="172"/>
              </w:tabs>
              <w:spacing w:line="276" w:lineRule="auto"/>
              <w:jc w:val="center"/>
              <w:rPr>
                <w:rFonts w:ascii="Times New Roman" w:hAnsi="Times New Roman" w:cs="Times New Roman"/>
                <w:sz w:val="18"/>
                <w:szCs w:val="18"/>
              </w:rPr>
            </w:pPr>
            <w:r w:rsidRPr="00B0162F">
              <w:rPr>
                <w:rFonts w:ascii="Times New Roman" w:hAnsi="Times New Roman" w:cs="Times New Roman"/>
                <w:sz w:val="18"/>
                <w:szCs w:val="18"/>
              </w:rPr>
              <w:t>101 - 200</w:t>
            </w:r>
          </w:p>
        </w:tc>
        <w:tc>
          <w:tcPr>
            <w:tcW w:w="1134" w:type="dxa"/>
            <w:vAlign w:val="bottom"/>
          </w:tcPr>
          <w:p w:rsidR="00963612" w:rsidRPr="00B0162F" w:rsidRDefault="00963612" w:rsidP="00FE68BA">
            <w:pPr>
              <w:keepLines/>
              <w:spacing w:line="276" w:lineRule="auto"/>
              <w:jc w:val="center"/>
              <w:rPr>
                <w:rFonts w:ascii="Times New Roman" w:hAnsi="Times New Roman" w:cs="Times New Roman"/>
                <w:bCs/>
                <w:color w:val="000000"/>
                <w:sz w:val="18"/>
                <w:szCs w:val="18"/>
              </w:rPr>
            </w:pPr>
            <w:r w:rsidRPr="00B0162F">
              <w:rPr>
                <w:rFonts w:ascii="Times New Roman" w:hAnsi="Times New Roman" w:cs="Times New Roman"/>
                <w:bCs/>
                <w:color w:val="000000"/>
                <w:sz w:val="18"/>
                <w:szCs w:val="18"/>
              </w:rPr>
              <w:t>35 443</w:t>
            </w:r>
          </w:p>
        </w:tc>
        <w:tc>
          <w:tcPr>
            <w:tcW w:w="992" w:type="dxa"/>
            <w:vAlign w:val="bottom"/>
          </w:tcPr>
          <w:p w:rsidR="00963612" w:rsidRPr="00B0162F" w:rsidRDefault="00963612" w:rsidP="00FE68BA">
            <w:pPr>
              <w:keepLines/>
              <w:spacing w:line="276" w:lineRule="auto"/>
              <w:jc w:val="center"/>
              <w:rPr>
                <w:rFonts w:ascii="Times New Roman" w:hAnsi="Times New Roman" w:cs="Times New Roman"/>
                <w:bCs/>
                <w:color w:val="000000"/>
                <w:sz w:val="20"/>
                <w:szCs w:val="20"/>
              </w:rPr>
            </w:pPr>
            <w:r w:rsidRPr="00B0162F">
              <w:rPr>
                <w:rFonts w:ascii="Times New Roman" w:hAnsi="Times New Roman" w:cs="Times New Roman"/>
                <w:bCs/>
                <w:color w:val="000000"/>
                <w:sz w:val="20"/>
                <w:szCs w:val="20"/>
              </w:rPr>
              <w:t>240</w:t>
            </w:r>
          </w:p>
        </w:tc>
        <w:tc>
          <w:tcPr>
            <w:tcW w:w="1134" w:type="dxa"/>
            <w:vAlign w:val="bottom"/>
          </w:tcPr>
          <w:p w:rsidR="00963612" w:rsidRPr="00B0162F" w:rsidRDefault="00963612" w:rsidP="00FE68BA">
            <w:pPr>
              <w:keepLines/>
              <w:spacing w:line="276" w:lineRule="auto"/>
              <w:jc w:val="right"/>
              <w:rPr>
                <w:rFonts w:ascii="Times New Roman" w:hAnsi="Times New Roman" w:cs="Times New Roman"/>
                <w:sz w:val="20"/>
                <w:szCs w:val="20"/>
              </w:rPr>
            </w:pPr>
            <w:r w:rsidRPr="00B0162F">
              <w:rPr>
                <w:rFonts w:ascii="Times New Roman" w:hAnsi="Times New Roman" w:cs="Times New Roman"/>
                <w:sz w:val="20"/>
                <w:szCs w:val="20"/>
              </w:rPr>
              <w:t>6 724</w:t>
            </w:r>
          </w:p>
        </w:tc>
        <w:tc>
          <w:tcPr>
            <w:tcW w:w="993" w:type="dxa"/>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94</w:t>
            </w:r>
          </w:p>
        </w:tc>
        <w:tc>
          <w:tcPr>
            <w:tcW w:w="1417" w:type="dxa"/>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5</w:t>
            </w:r>
          </w:p>
        </w:tc>
        <w:tc>
          <w:tcPr>
            <w:tcW w:w="1843" w:type="dxa"/>
          </w:tcPr>
          <w:p w:rsidR="00963612" w:rsidRPr="00B0162F" w:rsidRDefault="00963612" w:rsidP="00FE68BA">
            <w:pPr>
              <w:keepLines/>
              <w:spacing w:line="276" w:lineRule="auto"/>
              <w:jc w:val="center"/>
              <w:rPr>
                <w:rFonts w:ascii="Times New Roman" w:hAnsi="Times New Roman" w:cs="Times New Roman"/>
                <w:b/>
                <w:sz w:val="20"/>
                <w:szCs w:val="20"/>
              </w:rPr>
            </w:pPr>
            <w:r w:rsidRPr="00B0162F">
              <w:rPr>
                <w:rFonts w:ascii="Times New Roman" w:hAnsi="Times New Roman" w:cs="Times New Roman"/>
                <w:b/>
                <w:sz w:val="20"/>
                <w:szCs w:val="20"/>
              </w:rPr>
              <w:t>336</w:t>
            </w:r>
          </w:p>
        </w:tc>
      </w:tr>
      <w:tr w:rsidR="00963612" w:rsidRPr="00B0162F" w:rsidTr="00B93BB9">
        <w:tc>
          <w:tcPr>
            <w:tcW w:w="1271" w:type="dxa"/>
          </w:tcPr>
          <w:p w:rsidR="00963612" w:rsidRPr="00B0162F" w:rsidRDefault="00963612" w:rsidP="00FE68BA">
            <w:pPr>
              <w:keepLines/>
              <w:tabs>
                <w:tab w:val="left" w:pos="0"/>
                <w:tab w:val="left" w:pos="172"/>
              </w:tabs>
              <w:spacing w:line="276" w:lineRule="auto"/>
              <w:jc w:val="center"/>
              <w:rPr>
                <w:rFonts w:ascii="Times New Roman" w:hAnsi="Times New Roman" w:cs="Times New Roman"/>
                <w:sz w:val="18"/>
                <w:szCs w:val="18"/>
              </w:rPr>
            </w:pPr>
            <w:r w:rsidRPr="00B0162F">
              <w:rPr>
                <w:rFonts w:ascii="Times New Roman" w:hAnsi="Times New Roman" w:cs="Times New Roman"/>
                <w:sz w:val="18"/>
                <w:szCs w:val="18"/>
              </w:rPr>
              <w:t>201 - 300</w:t>
            </w:r>
          </w:p>
        </w:tc>
        <w:tc>
          <w:tcPr>
            <w:tcW w:w="1134" w:type="dxa"/>
            <w:vAlign w:val="bottom"/>
          </w:tcPr>
          <w:p w:rsidR="00963612" w:rsidRPr="00B0162F" w:rsidRDefault="00963612" w:rsidP="00FE68BA">
            <w:pPr>
              <w:keepLines/>
              <w:spacing w:line="276" w:lineRule="auto"/>
              <w:jc w:val="center"/>
              <w:rPr>
                <w:rFonts w:ascii="Times New Roman" w:hAnsi="Times New Roman" w:cs="Times New Roman"/>
                <w:bCs/>
                <w:color w:val="000000"/>
                <w:sz w:val="18"/>
                <w:szCs w:val="18"/>
              </w:rPr>
            </w:pPr>
            <w:r w:rsidRPr="00B0162F">
              <w:rPr>
                <w:rFonts w:ascii="Times New Roman" w:hAnsi="Times New Roman" w:cs="Times New Roman"/>
                <w:bCs/>
                <w:color w:val="000000"/>
                <w:sz w:val="18"/>
                <w:szCs w:val="18"/>
              </w:rPr>
              <w:t>42 386</w:t>
            </w:r>
          </w:p>
        </w:tc>
        <w:tc>
          <w:tcPr>
            <w:tcW w:w="992" w:type="dxa"/>
            <w:vAlign w:val="bottom"/>
          </w:tcPr>
          <w:p w:rsidR="00963612" w:rsidRPr="00B0162F" w:rsidRDefault="00963612" w:rsidP="00FE68BA">
            <w:pPr>
              <w:keepLines/>
              <w:spacing w:line="276" w:lineRule="auto"/>
              <w:jc w:val="center"/>
              <w:rPr>
                <w:rFonts w:ascii="Times New Roman" w:hAnsi="Times New Roman" w:cs="Times New Roman"/>
                <w:bCs/>
                <w:color w:val="000000"/>
                <w:sz w:val="20"/>
                <w:szCs w:val="20"/>
              </w:rPr>
            </w:pPr>
            <w:r w:rsidRPr="00B0162F">
              <w:rPr>
                <w:rFonts w:ascii="Times New Roman" w:hAnsi="Times New Roman" w:cs="Times New Roman"/>
                <w:bCs/>
                <w:color w:val="000000"/>
                <w:sz w:val="20"/>
                <w:szCs w:val="20"/>
              </w:rPr>
              <w:t>170</w:t>
            </w:r>
          </w:p>
        </w:tc>
        <w:tc>
          <w:tcPr>
            <w:tcW w:w="1134" w:type="dxa"/>
            <w:vAlign w:val="bottom"/>
          </w:tcPr>
          <w:p w:rsidR="00963612" w:rsidRPr="00B0162F" w:rsidRDefault="00963612" w:rsidP="00FE68BA">
            <w:pPr>
              <w:keepLines/>
              <w:spacing w:line="276" w:lineRule="auto"/>
              <w:jc w:val="right"/>
              <w:rPr>
                <w:rFonts w:ascii="Times New Roman" w:hAnsi="Times New Roman" w:cs="Times New Roman"/>
                <w:sz w:val="20"/>
                <w:szCs w:val="20"/>
              </w:rPr>
            </w:pPr>
            <w:r w:rsidRPr="00B0162F">
              <w:rPr>
                <w:rFonts w:ascii="Times New Roman" w:hAnsi="Times New Roman" w:cs="Times New Roman"/>
                <w:sz w:val="20"/>
                <w:szCs w:val="20"/>
              </w:rPr>
              <w:t>11 298</w:t>
            </w:r>
          </w:p>
        </w:tc>
        <w:tc>
          <w:tcPr>
            <w:tcW w:w="993" w:type="dxa"/>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91</w:t>
            </w:r>
          </w:p>
        </w:tc>
        <w:tc>
          <w:tcPr>
            <w:tcW w:w="1417" w:type="dxa"/>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5</w:t>
            </w:r>
          </w:p>
        </w:tc>
        <w:tc>
          <w:tcPr>
            <w:tcW w:w="1843" w:type="dxa"/>
          </w:tcPr>
          <w:p w:rsidR="00963612" w:rsidRPr="00B0162F" w:rsidRDefault="00963612" w:rsidP="00FE68BA">
            <w:pPr>
              <w:keepLines/>
              <w:spacing w:line="276" w:lineRule="auto"/>
              <w:jc w:val="center"/>
              <w:rPr>
                <w:rFonts w:ascii="Times New Roman" w:hAnsi="Times New Roman" w:cs="Times New Roman"/>
                <w:b/>
                <w:sz w:val="20"/>
                <w:szCs w:val="20"/>
              </w:rPr>
            </w:pPr>
            <w:r w:rsidRPr="00B0162F">
              <w:rPr>
                <w:rFonts w:ascii="Times New Roman" w:hAnsi="Times New Roman" w:cs="Times New Roman"/>
                <w:b/>
                <w:sz w:val="20"/>
                <w:szCs w:val="20"/>
              </w:rPr>
              <w:t>565</w:t>
            </w:r>
          </w:p>
        </w:tc>
      </w:tr>
      <w:tr w:rsidR="00963612" w:rsidRPr="00B0162F" w:rsidTr="00B93BB9">
        <w:tc>
          <w:tcPr>
            <w:tcW w:w="1271" w:type="dxa"/>
          </w:tcPr>
          <w:p w:rsidR="00963612" w:rsidRPr="00B0162F" w:rsidRDefault="00963612" w:rsidP="00FE68BA">
            <w:pPr>
              <w:keepLines/>
              <w:tabs>
                <w:tab w:val="left" w:pos="0"/>
                <w:tab w:val="left" w:pos="172"/>
              </w:tabs>
              <w:spacing w:line="276" w:lineRule="auto"/>
              <w:jc w:val="center"/>
              <w:rPr>
                <w:rFonts w:ascii="Times New Roman" w:hAnsi="Times New Roman" w:cs="Times New Roman"/>
                <w:sz w:val="18"/>
                <w:szCs w:val="18"/>
              </w:rPr>
            </w:pPr>
            <w:r w:rsidRPr="00B0162F">
              <w:rPr>
                <w:rFonts w:ascii="Times New Roman" w:hAnsi="Times New Roman" w:cs="Times New Roman"/>
                <w:sz w:val="18"/>
                <w:szCs w:val="18"/>
              </w:rPr>
              <w:t>301 - 400</w:t>
            </w:r>
          </w:p>
        </w:tc>
        <w:tc>
          <w:tcPr>
            <w:tcW w:w="1134" w:type="dxa"/>
            <w:vAlign w:val="bottom"/>
          </w:tcPr>
          <w:p w:rsidR="00963612" w:rsidRPr="00B0162F" w:rsidRDefault="00963612" w:rsidP="00FE68BA">
            <w:pPr>
              <w:keepLines/>
              <w:spacing w:line="276" w:lineRule="auto"/>
              <w:jc w:val="center"/>
              <w:rPr>
                <w:rFonts w:ascii="Times New Roman" w:hAnsi="Times New Roman" w:cs="Times New Roman"/>
                <w:bCs/>
                <w:color w:val="000000"/>
                <w:sz w:val="18"/>
                <w:szCs w:val="18"/>
              </w:rPr>
            </w:pPr>
            <w:r w:rsidRPr="00B0162F">
              <w:rPr>
                <w:rFonts w:ascii="Times New Roman" w:hAnsi="Times New Roman" w:cs="Times New Roman"/>
                <w:bCs/>
                <w:color w:val="000000"/>
                <w:sz w:val="18"/>
                <w:szCs w:val="18"/>
              </w:rPr>
              <w:t>33 779</w:t>
            </w:r>
          </w:p>
        </w:tc>
        <w:tc>
          <w:tcPr>
            <w:tcW w:w="992" w:type="dxa"/>
            <w:vAlign w:val="bottom"/>
          </w:tcPr>
          <w:p w:rsidR="00963612" w:rsidRPr="00B0162F" w:rsidRDefault="00963612" w:rsidP="00FE68BA">
            <w:pPr>
              <w:keepLines/>
              <w:spacing w:line="276" w:lineRule="auto"/>
              <w:jc w:val="center"/>
              <w:rPr>
                <w:rFonts w:ascii="Times New Roman" w:hAnsi="Times New Roman" w:cs="Times New Roman"/>
                <w:bCs/>
                <w:color w:val="000000"/>
                <w:sz w:val="20"/>
                <w:szCs w:val="20"/>
              </w:rPr>
            </w:pPr>
            <w:r w:rsidRPr="00B0162F">
              <w:rPr>
                <w:rFonts w:ascii="Times New Roman" w:hAnsi="Times New Roman" w:cs="Times New Roman"/>
                <w:bCs/>
                <w:color w:val="000000"/>
                <w:sz w:val="20"/>
                <w:szCs w:val="20"/>
              </w:rPr>
              <w:t>97</w:t>
            </w:r>
          </w:p>
        </w:tc>
        <w:tc>
          <w:tcPr>
            <w:tcW w:w="1134" w:type="dxa"/>
            <w:vAlign w:val="bottom"/>
          </w:tcPr>
          <w:p w:rsidR="00963612" w:rsidRPr="00B0162F" w:rsidRDefault="00963612" w:rsidP="00FE68BA">
            <w:pPr>
              <w:keepLines/>
              <w:spacing w:line="276" w:lineRule="auto"/>
              <w:jc w:val="right"/>
              <w:rPr>
                <w:rFonts w:ascii="Times New Roman" w:hAnsi="Times New Roman" w:cs="Times New Roman"/>
                <w:sz w:val="20"/>
                <w:szCs w:val="20"/>
              </w:rPr>
            </w:pPr>
            <w:r w:rsidRPr="00B0162F">
              <w:rPr>
                <w:rFonts w:ascii="Times New Roman" w:hAnsi="Times New Roman" w:cs="Times New Roman"/>
                <w:sz w:val="20"/>
                <w:szCs w:val="20"/>
              </w:rPr>
              <w:t>9 842</w:t>
            </w:r>
          </w:p>
        </w:tc>
        <w:tc>
          <w:tcPr>
            <w:tcW w:w="993" w:type="dxa"/>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59</w:t>
            </w:r>
          </w:p>
        </w:tc>
        <w:tc>
          <w:tcPr>
            <w:tcW w:w="1417" w:type="dxa"/>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5</w:t>
            </w:r>
          </w:p>
        </w:tc>
        <w:tc>
          <w:tcPr>
            <w:tcW w:w="1843" w:type="dxa"/>
            <w:vAlign w:val="bottom"/>
          </w:tcPr>
          <w:p w:rsidR="00963612" w:rsidRPr="00B0162F" w:rsidRDefault="00963612" w:rsidP="00FE68BA">
            <w:pPr>
              <w:keepLines/>
              <w:spacing w:line="276" w:lineRule="auto"/>
              <w:jc w:val="center"/>
              <w:rPr>
                <w:rFonts w:ascii="Times New Roman" w:hAnsi="Times New Roman" w:cs="Times New Roman"/>
                <w:b/>
                <w:sz w:val="20"/>
                <w:szCs w:val="20"/>
              </w:rPr>
            </w:pPr>
            <w:r w:rsidRPr="00B0162F">
              <w:rPr>
                <w:rFonts w:ascii="Times New Roman" w:hAnsi="Times New Roman" w:cs="Times New Roman"/>
                <w:b/>
                <w:sz w:val="20"/>
                <w:szCs w:val="20"/>
              </w:rPr>
              <w:t>492</w:t>
            </w:r>
          </w:p>
        </w:tc>
      </w:tr>
      <w:tr w:rsidR="00963612" w:rsidRPr="00B0162F" w:rsidTr="00B93BB9">
        <w:tc>
          <w:tcPr>
            <w:tcW w:w="1271" w:type="dxa"/>
            <w:tcBorders>
              <w:bottom w:val="single" w:sz="4" w:space="0" w:color="auto"/>
            </w:tcBorders>
          </w:tcPr>
          <w:p w:rsidR="00963612" w:rsidRPr="00B0162F" w:rsidRDefault="00963612" w:rsidP="00FE68BA">
            <w:pPr>
              <w:keepLines/>
              <w:tabs>
                <w:tab w:val="left" w:pos="0"/>
                <w:tab w:val="left" w:pos="172"/>
              </w:tabs>
              <w:spacing w:line="276" w:lineRule="auto"/>
              <w:jc w:val="center"/>
              <w:rPr>
                <w:rFonts w:ascii="Times New Roman" w:hAnsi="Times New Roman" w:cs="Times New Roman"/>
                <w:sz w:val="18"/>
                <w:szCs w:val="18"/>
              </w:rPr>
            </w:pPr>
            <w:r w:rsidRPr="00B0162F">
              <w:rPr>
                <w:rFonts w:ascii="Times New Roman" w:hAnsi="Times New Roman" w:cs="Times New Roman"/>
                <w:sz w:val="18"/>
                <w:szCs w:val="18"/>
              </w:rPr>
              <w:t>401 - 500</w:t>
            </w:r>
          </w:p>
        </w:tc>
        <w:tc>
          <w:tcPr>
            <w:tcW w:w="1134" w:type="dxa"/>
            <w:tcBorders>
              <w:bottom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bCs/>
                <w:color w:val="000000"/>
                <w:sz w:val="18"/>
                <w:szCs w:val="18"/>
              </w:rPr>
            </w:pPr>
            <w:r w:rsidRPr="00B0162F">
              <w:rPr>
                <w:rFonts w:ascii="Times New Roman" w:hAnsi="Times New Roman" w:cs="Times New Roman"/>
                <w:bCs/>
                <w:color w:val="000000"/>
                <w:sz w:val="18"/>
                <w:szCs w:val="18"/>
              </w:rPr>
              <w:t>37 093</w:t>
            </w:r>
          </w:p>
        </w:tc>
        <w:tc>
          <w:tcPr>
            <w:tcW w:w="992" w:type="dxa"/>
            <w:tcBorders>
              <w:bottom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bCs/>
                <w:color w:val="000000"/>
                <w:sz w:val="20"/>
                <w:szCs w:val="20"/>
              </w:rPr>
            </w:pPr>
            <w:r w:rsidRPr="00B0162F">
              <w:rPr>
                <w:rFonts w:ascii="Times New Roman" w:hAnsi="Times New Roman" w:cs="Times New Roman"/>
                <w:bCs/>
                <w:color w:val="000000"/>
                <w:sz w:val="20"/>
                <w:szCs w:val="20"/>
              </w:rPr>
              <w:t>83</w:t>
            </w:r>
          </w:p>
        </w:tc>
        <w:tc>
          <w:tcPr>
            <w:tcW w:w="1134" w:type="dxa"/>
            <w:tcBorders>
              <w:bottom w:val="single" w:sz="4" w:space="0" w:color="auto"/>
            </w:tcBorders>
            <w:vAlign w:val="bottom"/>
          </w:tcPr>
          <w:p w:rsidR="00963612" w:rsidRPr="00B0162F" w:rsidRDefault="00126754" w:rsidP="00FE68BA">
            <w:pPr>
              <w:keepLines/>
              <w:spacing w:line="276" w:lineRule="auto"/>
              <w:jc w:val="right"/>
              <w:rPr>
                <w:rFonts w:ascii="Times New Roman" w:hAnsi="Times New Roman" w:cs="Times New Roman"/>
                <w:sz w:val="20"/>
                <w:szCs w:val="20"/>
              </w:rPr>
            </w:pPr>
            <w:r w:rsidRPr="00B0162F">
              <w:rPr>
                <w:rFonts w:ascii="Times New Roman" w:hAnsi="Times New Roman" w:cs="Times New Roman"/>
                <w:sz w:val="20"/>
                <w:szCs w:val="20"/>
              </w:rPr>
              <w:t>12 557</w:t>
            </w:r>
          </w:p>
        </w:tc>
        <w:tc>
          <w:tcPr>
            <w:tcW w:w="993" w:type="dxa"/>
            <w:tcBorders>
              <w:bottom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56</w:t>
            </w:r>
          </w:p>
        </w:tc>
        <w:tc>
          <w:tcPr>
            <w:tcW w:w="1417" w:type="dxa"/>
            <w:tcBorders>
              <w:bottom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5</w:t>
            </w:r>
          </w:p>
        </w:tc>
        <w:tc>
          <w:tcPr>
            <w:tcW w:w="1843" w:type="dxa"/>
            <w:tcBorders>
              <w:bottom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b/>
                <w:sz w:val="20"/>
                <w:szCs w:val="20"/>
              </w:rPr>
            </w:pPr>
            <w:r w:rsidRPr="00B0162F">
              <w:rPr>
                <w:rFonts w:ascii="Times New Roman" w:hAnsi="Times New Roman" w:cs="Times New Roman"/>
                <w:b/>
                <w:sz w:val="20"/>
                <w:szCs w:val="20"/>
              </w:rPr>
              <w:t>628</w:t>
            </w:r>
          </w:p>
        </w:tc>
      </w:tr>
      <w:tr w:rsidR="00963612" w:rsidRPr="00B0162F" w:rsidTr="00B93BB9">
        <w:tc>
          <w:tcPr>
            <w:tcW w:w="1271" w:type="dxa"/>
            <w:tcBorders>
              <w:bottom w:val="single" w:sz="4" w:space="0" w:color="auto"/>
            </w:tcBorders>
          </w:tcPr>
          <w:p w:rsidR="00963612" w:rsidRPr="00B0162F" w:rsidRDefault="00963612" w:rsidP="00FE68BA">
            <w:pPr>
              <w:keepLines/>
              <w:tabs>
                <w:tab w:val="left" w:pos="0"/>
                <w:tab w:val="left" w:pos="172"/>
              </w:tabs>
              <w:spacing w:line="276" w:lineRule="auto"/>
              <w:jc w:val="center"/>
              <w:rPr>
                <w:rFonts w:ascii="Times New Roman" w:hAnsi="Times New Roman" w:cs="Times New Roman"/>
                <w:sz w:val="18"/>
                <w:szCs w:val="18"/>
              </w:rPr>
            </w:pPr>
            <w:r w:rsidRPr="00B0162F">
              <w:rPr>
                <w:rFonts w:ascii="Times New Roman" w:hAnsi="Times New Roman" w:cs="Times New Roman"/>
                <w:sz w:val="18"/>
                <w:szCs w:val="18"/>
              </w:rPr>
              <w:t>501 - 1000</w:t>
            </w:r>
          </w:p>
        </w:tc>
        <w:tc>
          <w:tcPr>
            <w:tcW w:w="1134" w:type="dxa"/>
            <w:tcBorders>
              <w:bottom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bCs/>
                <w:color w:val="000000"/>
                <w:sz w:val="18"/>
                <w:szCs w:val="18"/>
              </w:rPr>
            </w:pPr>
            <w:r w:rsidRPr="00B0162F">
              <w:rPr>
                <w:rFonts w:ascii="Times New Roman" w:hAnsi="Times New Roman" w:cs="Times New Roman"/>
                <w:bCs/>
                <w:color w:val="000000"/>
                <w:sz w:val="18"/>
                <w:szCs w:val="18"/>
              </w:rPr>
              <w:t>131 027</w:t>
            </w:r>
          </w:p>
        </w:tc>
        <w:tc>
          <w:tcPr>
            <w:tcW w:w="992" w:type="dxa"/>
            <w:tcBorders>
              <w:bottom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bCs/>
                <w:color w:val="000000"/>
                <w:sz w:val="20"/>
                <w:szCs w:val="20"/>
              </w:rPr>
            </w:pPr>
            <w:r w:rsidRPr="00B0162F">
              <w:rPr>
                <w:rFonts w:ascii="Times New Roman" w:hAnsi="Times New Roman" w:cs="Times New Roman"/>
                <w:bCs/>
                <w:color w:val="000000"/>
                <w:sz w:val="20"/>
                <w:szCs w:val="20"/>
              </w:rPr>
              <w:t>187</w:t>
            </w:r>
          </w:p>
        </w:tc>
        <w:tc>
          <w:tcPr>
            <w:tcW w:w="1134" w:type="dxa"/>
            <w:tcBorders>
              <w:bottom w:val="single" w:sz="4" w:space="0" w:color="auto"/>
            </w:tcBorders>
            <w:vAlign w:val="bottom"/>
          </w:tcPr>
          <w:p w:rsidR="00963612" w:rsidRPr="00B0162F" w:rsidRDefault="00963612" w:rsidP="00FE68BA">
            <w:pPr>
              <w:keepLines/>
              <w:spacing w:line="276" w:lineRule="auto"/>
              <w:jc w:val="right"/>
              <w:rPr>
                <w:rFonts w:ascii="Times New Roman" w:hAnsi="Times New Roman" w:cs="Times New Roman"/>
                <w:sz w:val="20"/>
                <w:szCs w:val="20"/>
              </w:rPr>
            </w:pPr>
            <w:r w:rsidRPr="00B0162F">
              <w:rPr>
                <w:rFonts w:ascii="Times New Roman" w:hAnsi="Times New Roman" w:cs="Times New Roman"/>
                <w:sz w:val="20"/>
                <w:szCs w:val="20"/>
              </w:rPr>
              <w:t>56 887</w:t>
            </w:r>
          </w:p>
        </w:tc>
        <w:tc>
          <w:tcPr>
            <w:tcW w:w="993" w:type="dxa"/>
            <w:tcBorders>
              <w:bottom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150</w:t>
            </w:r>
          </w:p>
        </w:tc>
        <w:tc>
          <w:tcPr>
            <w:tcW w:w="1417" w:type="dxa"/>
            <w:tcBorders>
              <w:bottom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5</w:t>
            </w:r>
          </w:p>
        </w:tc>
        <w:tc>
          <w:tcPr>
            <w:tcW w:w="1843" w:type="dxa"/>
            <w:tcBorders>
              <w:bottom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b/>
                <w:sz w:val="20"/>
                <w:szCs w:val="20"/>
              </w:rPr>
            </w:pPr>
            <w:r w:rsidRPr="00B0162F">
              <w:rPr>
                <w:rFonts w:ascii="Times New Roman" w:hAnsi="Times New Roman" w:cs="Times New Roman"/>
                <w:b/>
                <w:sz w:val="20"/>
                <w:szCs w:val="20"/>
              </w:rPr>
              <w:t>2 844</w:t>
            </w:r>
          </w:p>
        </w:tc>
      </w:tr>
      <w:tr w:rsidR="00963612" w:rsidRPr="00B0162F" w:rsidTr="00B93BB9">
        <w:tc>
          <w:tcPr>
            <w:tcW w:w="1271" w:type="dxa"/>
            <w:tcBorders>
              <w:top w:val="single" w:sz="4" w:space="0" w:color="auto"/>
            </w:tcBorders>
          </w:tcPr>
          <w:p w:rsidR="00963612" w:rsidRPr="00B0162F" w:rsidRDefault="00963612" w:rsidP="00FE68BA">
            <w:pPr>
              <w:keepLines/>
              <w:tabs>
                <w:tab w:val="left" w:pos="0"/>
                <w:tab w:val="left" w:pos="172"/>
              </w:tabs>
              <w:spacing w:line="276" w:lineRule="auto"/>
              <w:jc w:val="center"/>
              <w:rPr>
                <w:rFonts w:ascii="Times New Roman" w:hAnsi="Times New Roman" w:cs="Times New Roman"/>
                <w:sz w:val="18"/>
                <w:szCs w:val="18"/>
              </w:rPr>
            </w:pPr>
            <w:r w:rsidRPr="00B0162F">
              <w:rPr>
                <w:rFonts w:ascii="Times New Roman" w:hAnsi="Times New Roman" w:cs="Times New Roman"/>
                <w:sz w:val="18"/>
                <w:szCs w:val="18"/>
              </w:rPr>
              <w:t>1001 - 1500</w:t>
            </w:r>
          </w:p>
        </w:tc>
        <w:tc>
          <w:tcPr>
            <w:tcW w:w="1134" w:type="dxa"/>
            <w:tcBorders>
              <w:top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bCs/>
                <w:color w:val="000000"/>
                <w:sz w:val="18"/>
                <w:szCs w:val="18"/>
              </w:rPr>
            </w:pPr>
            <w:r w:rsidRPr="00B0162F">
              <w:rPr>
                <w:rFonts w:ascii="Times New Roman" w:hAnsi="Times New Roman" w:cs="Times New Roman"/>
                <w:bCs/>
                <w:color w:val="000000"/>
                <w:sz w:val="18"/>
                <w:szCs w:val="18"/>
              </w:rPr>
              <w:t>46 301</w:t>
            </w:r>
          </w:p>
        </w:tc>
        <w:tc>
          <w:tcPr>
            <w:tcW w:w="992" w:type="dxa"/>
            <w:tcBorders>
              <w:top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bCs/>
                <w:color w:val="000000"/>
                <w:sz w:val="20"/>
                <w:szCs w:val="20"/>
              </w:rPr>
            </w:pPr>
            <w:r w:rsidRPr="00B0162F">
              <w:rPr>
                <w:rFonts w:ascii="Times New Roman" w:hAnsi="Times New Roman" w:cs="Times New Roman"/>
                <w:bCs/>
                <w:color w:val="000000"/>
                <w:sz w:val="20"/>
                <w:szCs w:val="20"/>
              </w:rPr>
              <w:t>38</w:t>
            </w:r>
          </w:p>
        </w:tc>
        <w:tc>
          <w:tcPr>
            <w:tcW w:w="1134" w:type="dxa"/>
            <w:tcBorders>
              <w:top w:val="single" w:sz="4" w:space="0" w:color="auto"/>
            </w:tcBorders>
            <w:vAlign w:val="bottom"/>
          </w:tcPr>
          <w:p w:rsidR="00963612" w:rsidRPr="00B0162F" w:rsidRDefault="00963612" w:rsidP="00FE68BA">
            <w:pPr>
              <w:keepLines/>
              <w:spacing w:line="276" w:lineRule="auto"/>
              <w:jc w:val="right"/>
              <w:rPr>
                <w:rFonts w:ascii="Times New Roman" w:hAnsi="Times New Roman" w:cs="Times New Roman"/>
                <w:sz w:val="20"/>
                <w:szCs w:val="20"/>
              </w:rPr>
            </w:pPr>
            <w:r w:rsidRPr="00B0162F">
              <w:rPr>
                <w:rFonts w:ascii="Times New Roman" w:hAnsi="Times New Roman" w:cs="Times New Roman"/>
                <w:sz w:val="20"/>
                <w:szCs w:val="20"/>
              </w:rPr>
              <w:t>23 994</w:t>
            </w:r>
          </w:p>
        </w:tc>
        <w:tc>
          <w:tcPr>
            <w:tcW w:w="993" w:type="dxa"/>
            <w:tcBorders>
              <w:top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30</w:t>
            </w:r>
          </w:p>
        </w:tc>
        <w:tc>
          <w:tcPr>
            <w:tcW w:w="1417" w:type="dxa"/>
            <w:tcBorders>
              <w:top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10</w:t>
            </w:r>
          </w:p>
        </w:tc>
        <w:tc>
          <w:tcPr>
            <w:tcW w:w="1843" w:type="dxa"/>
            <w:tcBorders>
              <w:top w:val="single" w:sz="4" w:space="0" w:color="auto"/>
            </w:tcBorders>
            <w:vAlign w:val="bottom"/>
          </w:tcPr>
          <w:p w:rsidR="00963612" w:rsidRPr="00B0162F" w:rsidRDefault="00963612" w:rsidP="00FE68BA">
            <w:pPr>
              <w:keepLines/>
              <w:spacing w:line="276" w:lineRule="auto"/>
              <w:jc w:val="center"/>
              <w:rPr>
                <w:rFonts w:ascii="Times New Roman" w:hAnsi="Times New Roman" w:cs="Times New Roman"/>
                <w:b/>
                <w:sz w:val="20"/>
                <w:szCs w:val="20"/>
              </w:rPr>
            </w:pPr>
            <w:r w:rsidRPr="00B0162F">
              <w:rPr>
                <w:rFonts w:ascii="Times New Roman" w:hAnsi="Times New Roman" w:cs="Times New Roman"/>
                <w:b/>
                <w:sz w:val="20"/>
                <w:szCs w:val="20"/>
              </w:rPr>
              <w:t>2 399</w:t>
            </w:r>
          </w:p>
        </w:tc>
      </w:tr>
      <w:tr w:rsidR="00963612" w:rsidRPr="00B0162F" w:rsidTr="00B93BB9">
        <w:tc>
          <w:tcPr>
            <w:tcW w:w="1271" w:type="dxa"/>
          </w:tcPr>
          <w:p w:rsidR="00963612" w:rsidRPr="00B0162F" w:rsidRDefault="00963612" w:rsidP="00FE68BA">
            <w:pPr>
              <w:keepLines/>
              <w:tabs>
                <w:tab w:val="left" w:pos="0"/>
                <w:tab w:val="left" w:pos="172"/>
              </w:tabs>
              <w:spacing w:line="276" w:lineRule="auto"/>
              <w:jc w:val="center"/>
              <w:rPr>
                <w:rFonts w:ascii="Times New Roman" w:hAnsi="Times New Roman" w:cs="Times New Roman"/>
                <w:sz w:val="18"/>
                <w:szCs w:val="18"/>
              </w:rPr>
            </w:pPr>
            <w:r w:rsidRPr="00B0162F">
              <w:rPr>
                <w:rFonts w:ascii="Times New Roman" w:hAnsi="Times New Roman" w:cs="Times New Roman"/>
                <w:sz w:val="18"/>
                <w:szCs w:val="18"/>
              </w:rPr>
              <w:t>1501 - 2000</w:t>
            </w:r>
          </w:p>
        </w:tc>
        <w:tc>
          <w:tcPr>
            <w:tcW w:w="1134" w:type="dxa"/>
            <w:vAlign w:val="bottom"/>
          </w:tcPr>
          <w:p w:rsidR="00963612" w:rsidRPr="00B0162F" w:rsidRDefault="00963612" w:rsidP="00FE68BA">
            <w:pPr>
              <w:keepLines/>
              <w:spacing w:line="276" w:lineRule="auto"/>
              <w:jc w:val="center"/>
              <w:rPr>
                <w:rFonts w:ascii="Times New Roman" w:hAnsi="Times New Roman" w:cs="Times New Roman"/>
                <w:bCs/>
                <w:color w:val="000000"/>
                <w:sz w:val="18"/>
                <w:szCs w:val="18"/>
              </w:rPr>
            </w:pPr>
            <w:r w:rsidRPr="00B0162F">
              <w:rPr>
                <w:rFonts w:ascii="Times New Roman" w:hAnsi="Times New Roman" w:cs="Times New Roman"/>
                <w:bCs/>
                <w:color w:val="000000"/>
                <w:sz w:val="18"/>
                <w:szCs w:val="18"/>
              </w:rPr>
              <w:t>27 308</w:t>
            </w:r>
          </w:p>
        </w:tc>
        <w:tc>
          <w:tcPr>
            <w:tcW w:w="992" w:type="dxa"/>
            <w:vAlign w:val="bottom"/>
          </w:tcPr>
          <w:p w:rsidR="00963612" w:rsidRPr="00B0162F" w:rsidRDefault="00963612" w:rsidP="00FE68BA">
            <w:pPr>
              <w:keepLines/>
              <w:spacing w:line="276" w:lineRule="auto"/>
              <w:jc w:val="center"/>
              <w:rPr>
                <w:rFonts w:ascii="Times New Roman" w:hAnsi="Times New Roman" w:cs="Times New Roman"/>
                <w:bCs/>
                <w:color w:val="000000"/>
                <w:sz w:val="20"/>
                <w:szCs w:val="20"/>
              </w:rPr>
            </w:pPr>
            <w:r w:rsidRPr="00B0162F">
              <w:rPr>
                <w:rFonts w:ascii="Times New Roman" w:hAnsi="Times New Roman" w:cs="Times New Roman"/>
                <w:bCs/>
                <w:color w:val="000000"/>
                <w:sz w:val="20"/>
                <w:szCs w:val="20"/>
              </w:rPr>
              <w:t>16</w:t>
            </w:r>
          </w:p>
        </w:tc>
        <w:tc>
          <w:tcPr>
            <w:tcW w:w="1134" w:type="dxa"/>
            <w:vAlign w:val="bottom"/>
          </w:tcPr>
          <w:p w:rsidR="00963612" w:rsidRPr="00B0162F" w:rsidRDefault="00963612" w:rsidP="00FE68BA">
            <w:pPr>
              <w:keepLines/>
              <w:spacing w:line="276" w:lineRule="auto"/>
              <w:jc w:val="right"/>
              <w:rPr>
                <w:rFonts w:ascii="Times New Roman" w:hAnsi="Times New Roman" w:cs="Times New Roman"/>
                <w:sz w:val="20"/>
                <w:szCs w:val="20"/>
              </w:rPr>
            </w:pPr>
            <w:r w:rsidRPr="00B0162F">
              <w:rPr>
                <w:rFonts w:ascii="Times New Roman" w:hAnsi="Times New Roman" w:cs="Times New Roman"/>
                <w:sz w:val="20"/>
                <w:szCs w:val="20"/>
              </w:rPr>
              <w:t>17 493</w:t>
            </w:r>
          </w:p>
        </w:tc>
        <w:tc>
          <w:tcPr>
            <w:tcW w:w="993" w:type="dxa"/>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16</w:t>
            </w:r>
          </w:p>
        </w:tc>
        <w:tc>
          <w:tcPr>
            <w:tcW w:w="1417" w:type="dxa"/>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10</w:t>
            </w:r>
          </w:p>
        </w:tc>
        <w:tc>
          <w:tcPr>
            <w:tcW w:w="1843" w:type="dxa"/>
            <w:vAlign w:val="bottom"/>
          </w:tcPr>
          <w:p w:rsidR="00963612" w:rsidRPr="00B0162F" w:rsidRDefault="00963612" w:rsidP="00FE68BA">
            <w:pPr>
              <w:keepLines/>
              <w:spacing w:line="276" w:lineRule="auto"/>
              <w:jc w:val="center"/>
              <w:rPr>
                <w:rFonts w:ascii="Times New Roman" w:hAnsi="Times New Roman" w:cs="Times New Roman"/>
                <w:b/>
                <w:sz w:val="20"/>
                <w:szCs w:val="20"/>
              </w:rPr>
            </w:pPr>
            <w:r w:rsidRPr="00B0162F">
              <w:rPr>
                <w:rFonts w:ascii="Times New Roman" w:hAnsi="Times New Roman" w:cs="Times New Roman"/>
                <w:b/>
                <w:sz w:val="20"/>
                <w:szCs w:val="20"/>
              </w:rPr>
              <w:t>1 749</w:t>
            </w:r>
          </w:p>
        </w:tc>
      </w:tr>
      <w:tr w:rsidR="00963612" w:rsidRPr="00B0162F" w:rsidTr="00B93BB9">
        <w:tc>
          <w:tcPr>
            <w:tcW w:w="1271" w:type="dxa"/>
          </w:tcPr>
          <w:p w:rsidR="00963612" w:rsidRPr="00B0162F" w:rsidRDefault="00963612" w:rsidP="00FE68BA">
            <w:pPr>
              <w:keepLines/>
              <w:tabs>
                <w:tab w:val="left" w:pos="0"/>
                <w:tab w:val="left" w:pos="172"/>
              </w:tabs>
              <w:spacing w:line="276" w:lineRule="auto"/>
              <w:jc w:val="center"/>
              <w:rPr>
                <w:rFonts w:ascii="Times New Roman" w:hAnsi="Times New Roman" w:cs="Times New Roman"/>
                <w:sz w:val="18"/>
                <w:szCs w:val="18"/>
              </w:rPr>
            </w:pPr>
            <w:r w:rsidRPr="00B0162F">
              <w:rPr>
                <w:rFonts w:ascii="Times New Roman" w:hAnsi="Times New Roman" w:cs="Times New Roman"/>
                <w:sz w:val="18"/>
                <w:szCs w:val="18"/>
              </w:rPr>
              <w:t>2001 - 3000</w:t>
            </w:r>
          </w:p>
        </w:tc>
        <w:tc>
          <w:tcPr>
            <w:tcW w:w="1134" w:type="dxa"/>
            <w:vAlign w:val="bottom"/>
          </w:tcPr>
          <w:p w:rsidR="00963612" w:rsidRPr="00B0162F" w:rsidRDefault="00963612" w:rsidP="00FE68BA">
            <w:pPr>
              <w:keepLines/>
              <w:spacing w:line="276" w:lineRule="auto"/>
              <w:jc w:val="center"/>
              <w:rPr>
                <w:rFonts w:ascii="Times New Roman" w:hAnsi="Times New Roman" w:cs="Times New Roman"/>
                <w:bCs/>
                <w:color w:val="000000"/>
                <w:sz w:val="18"/>
                <w:szCs w:val="18"/>
              </w:rPr>
            </w:pPr>
            <w:r w:rsidRPr="00B0162F">
              <w:rPr>
                <w:rFonts w:ascii="Times New Roman" w:hAnsi="Times New Roman" w:cs="Times New Roman"/>
                <w:bCs/>
                <w:color w:val="000000"/>
                <w:sz w:val="18"/>
                <w:szCs w:val="18"/>
              </w:rPr>
              <w:t>15 218</w:t>
            </w:r>
          </w:p>
        </w:tc>
        <w:tc>
          <w:tcPr>
            <w:tcW w:w="992" w:type="dxa"/>
            <w:vAlign w:val="bottom"/>
          </w:tcPr>
          <w:p w:rsidR="00963612" w:rsidRPr="00B0162F" w:rsidRDefault="00963612" w:rsidP="00FE68BA">
            <w:pPr>
              <w:keepLines/>
              <w:spacing w:line="276" w:lineRule="auto"/>
              <w:jc w:val="center"/>
              <w:rPr>
                <w:rFonts w:ascii="Times New Roman" w:hAnsi="Times New Roman" w:cs="Times New Roman"/>
                <w:bCs/>
                <w:color w:val="000000"/>
                <w:sz w:val="20"/>
                <w:szCs w:val="20"/>
              </w:rPr>
            </w:pPr>
            <w:r w:rsidRPr="00B0162F">
              <w:rPr>
                <w:rFonts w:ascii="Times New Roman" w:hAnsi="Times New Roman" w:cs="Times New Roman"/>
                <w:bCs/>
                <w:color w:val="000000"/>
                <w:sz w:val="20"/>
                <w:szCs w:val="20"/>
              </w:rPr>
              <w:t>7</w:t>
            </w:r>
          </w:p>
        </w:tc>
        <w:tc>
          <w:tcPr>
            <w:tcW w:w="1134" w:type="dxa"/>
            <w:vAlign w:val="bottom"/>
          </w:tcPr>
          <w:p w:rsidR="00963612" w:rsidRPr="00B0162F" w:rsidRDefault="00963612" w:rsidP="00FE68BA">
            <w:pPr>
              <w:keepLines/>
              <w:spacing w:line="276" w:lineRule="auto"/>
              <w:jc w:val="right"/>
              <w:rPr>
                <w:rFonts w:ascii="Times New Roman" w:hAnsi="Times New Roman" w:cs="Times New Roman"/>
                <w:sz w:val="20"/>
                <w:szCs w:val="20"/>
              </w:rPr>
            </w:pPr>
            <w:r w:rsidRPr="00B0162F">
              <w:rPr>
                <w:rFonts w:ascii="Times New Roman" w:hAnsi="Times New Roman" w:cs="Times New Roman"/>
                <w:sz w:val="20"/>
                <w:szCs w:val="20"/>
              </w:rPr>
              <w:t>11 992</w:t>
            </w:r>
          </w:p>
        </w:tc>
        <w:tc>
          <w:tcPr>
            <w:tcW w:w="993" w:type="dxa"/>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7</w:t>
            </w:r>
          </w:p>
        </w:tc>
        <w:tc>
          <w:tcPr>
            <w:tcW w:w="1417" w:type="dxa"/>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10</w:t>
            </w:r>
          </w:p>
        </w:tc>
        <w:tc>
          <w:tcPr>
            <w:tcW w:w="1843" w:type="dxa"/>
            <w:vAlign w:val="bottom"/>
          </w:tcPr>
          <w:p w:rsidR="00963612" w:rsidRPr="00B0162F" w:rsidRDefault="00963612" w:rsidP="00FE68BA">
            <w:pPr>
              <w:keepLines/>
              <w:spacing w:line="276" w:lineRule="auto"/>
              <w:jc w:val="center"/>
              <w:rPr>
                <w:rFonts w:ascii="Times New Roman" w:hAnsi="Times New Roman" w:cs="Times New Roman"/>
                <w:b/>
                <w:sz w:val="20"/>
                <w:szCs w:val="20"/>
              </w:rPr>
            </w:pPr>
            <w:r w:rsidRPr="00B0162F">
              <w:rPr>
                <w:rFonts w:ascii="Times New Roman" w:hAnsi="Times New Roman" w:cs="Times New Roman"/>
                <w:b/>
                <w:sz w:val="20"/>
                <w:szCs w:val="20"/>
              </w:rPr>
              <w:t>1 199</w:t>
            </w:r>
          </w:p>
        </w:tc>
      </w:tr>
      <w:tr w:rsidR="00963612" w:rsidRPr="00B0162F" w:rsidTr="00B93BB9">
        <w:tc>
          <w:tcPr>
            <w:tcW w:w="1271" w:type="dxa"/>
          </w:tcPr>
          <w:p w:rsidR="00963612" w:rsidRPr="00B0162F" w:rsidRDefault="00963612" w:rsidP="00FE68BA">
            <w:pPr>
              <w:keepLines/>
              <w:tabs>
                <w:tab w:val="left" w:pos="0"/>
                <w:tab w:val="left" w:pos="172"/>
              </w:tabs>
              <w:spacing w:line="276" w:lineRule="auto"/>
              <w:jc w:val="center"/>
              <w:rPr>
                <w:rFonts w:ascii="Times New Roman" w:hAnsi="Times New Roman" w:cs="Times New Roman"/>
                <w:sz w:val="18"/>
                <w:szCs w:val="18"/>
              </w:rPr>
            </w:pPr>
            <w:r w:rsidRPr="00B0162F">
              <w:rPr>
                <w:rFonts w:ascii="Times New Roman" w:hAnsi="Times New Roman" w:cs="Times New Roman"/>
                <w:sz w:val="18"/>
                <w:szCs w:val="18"/>
              </w:rPr>
              <w:t>nad 3000</w:t>
            </w:r>
          </w:p>
        </w:tc>
        <w:tc>
          <w:tcPr>
            <w:tcW w:w="1134" w:type="dxa"/>
            <w:vAlign w:val="bottom"/>
          </w:tcPr>
          <w:p w:rsidR="00963612" w:rsidRPr="00B0162F" w:rsidRDefault="00963612" w:rsidP="00FE68BA">
            <w:pPr>
              <w:keepLines/>
              <w:spacing w:line="276" w:lineRule="auto"/>
              <w:jc w:val="center"/>
              <w:rPr>
                <w:rFonts w:ascii="Times New Roman" w:hAnsi="Times New Roman" w:cs="Times New Roman"/>
                <w:bCs/>
                <w:color w:val="000000"/>
                <w:sz w:val="18"/>
                <w:szCs w:val="18"/>
              </w:rPr>
            </w:pPr>
            <w:r w:rsidRPr="00B0162F">
              <w:rPr>
                <w:rFonts w:ascii="Times New Roman" w:hAnsi="Times New Roman" w:cs="Times New Roman"/>
                <w:bCs/>
                <w:color w:val="000000"/>
                <w:sz w:val="18"/>
                <w:szCs w:val="18"/>
              </w:rPr>
              <w:t>9 249</w:t>
            </w:r>
          </w:p>
        </w:tc>
        <w:tc>
          <w:tcPr>
            <w:tcW w:w="992" w:type="dxa"/>
            <w:vAlign w:val="bottom"/>
          </w:tcPr>
          <w:p w:rsidR="00963612" w:rsidRPr="00B0162F" w:rsidRDefault="00963612" w:rsidP="00FE68BA">
            <w:pPr>
              <w:keepLines/>
              <w:spacing w:line="276" w:lineRule="auto"/>
              <w:jc w:val="center"/>
              <w:rPr>
                <w:rFonts w:ascii="Times New Roman" w:hAnsi="Times New Roman" w:cs="Times New Roman"/>
                <w:bCs/>
                <w:color w:val="000000"/>
                <w:sz w:val="20"/>
                <w:szCs w:val="20"/>
              </w:rPr>
            </w:pPr>
            <w:r w:rsidRPr="00B0162F">
              <w:rPr>
                <w:rFonts w:ascii="Times New Roman" w:hAnsi="Times New Roman" w:cs="Times New Roman"/>
                <w:bCs/>
                <w:color w:val="000000"/>
                <w:sz w:val="20"/>
                <w:szCs w:val="20"/>
              </w:rPr>
              <w:t>2</w:t>
            </w:r>
          </w:p>
        </w:tc>
        <w:tc>
          <w:tcPr>
            <w:tcW w:w="1134" w:type="dxa"/>
            <w:vAlign w:val="bottom"/>
          </w:tcPr>
          <w:p w:rsidR="00963612" w:rsidRPr="00B0162F" w:rsidRDefault="00963612" w:rsidP="00FE68BA">
            <w:pPr>
              <w:keepLines/>
              <w:spacing w:line="276" w:lineRule="auto"/>
              <w:jc w:val="right"/>
              <w:rPr>
                <w:rFonts w:ascii="Times New Roman" w:hAnsi="Times New Roman" w:cs="Times New Roman"/>
                <w:sz w:val="20"/>
                <w:szCs w:val="20"/>
              </w:rPr>
            </w:pPr>
            <w:r w:rsidRPr="00B0162F">
              <w:rPr>
                <w:rFonts w:ascii="Times New Roman" w:hAnsi="Times New Roman" w:cs="Times New Roman"/>
                <w:sz w:val="20"/>
                <w:szCs w:val="20"/>
              </w:rPr>
              <w:t>8 057</w:t>
            </w:r>
          </w:p>
        </w:tc>
        <w:tc>
          <w:tcPr>
            <w:tcW w:w="993" w:type="dxa"/>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2</w:t>
            </w:r>
          </w:p>
        </w:tc>
        <w:tc>
          <w:tcPr>
            <w:tcW w:w="1417" w:type="dxa"/>
            <w:vAlign w:val="bottom"/>
          </w:tcPr>
          <w:p w:rsidR="00963612" w:rsidRPr="00B0162F" w:rsidRDefault="00963612" w:rsidP="00FE68BA">
            <w:pPr>
              <w:keepLines/>
              <w:spacing w:line="276" w:lineRule="auto"/>
              <w:jc w:val="center"/>
              <w:rPr>
                <w:rFonts w:ascii="Times New Roman" w:hAnsi="Times New Roman" w:cs="Times New Roman"/>
                <w:sz w:val="20"/>
                <w:szCs w:val="20"/>
              </w:rPr>
            </w:pPr>
            <w:r w:rsidRPr="00B0162F">
              <w:rPr>
                <w:rFonts w:ascii="Times New Roman" w:hAnsi="Times New Roman" w:cs="Times New Roman"/>
                <w:sz w:val="20"/>
                <w:szCs w:val="20"/>
              </w:rPr>
              <w:t>10</w:t>
            </w:r>
          </w:p>
        </w:tc>
        <w:tc>
          <w:tcPr>
            <w:tcW w:w="1843" w:type="dxa"/>
            <w:vAlign w:val="bottom"/>
          </w:tcPr>
          <w:p w:rsidR="00963612" w:rsidRPr="00B0162F" w:rsidRDefault="00963612" w:rsidP="00FE68BA">
            <w:pPr>
              <w:keepLines/>
              <w:spacing w:line="276" w:lineRule="auto"/>
              <w:jc w:val="center"/>
              <w:rPr>
                <w:rFonts w:ascii="Times New Roman" w:hAnsi="Times New Roman" w:cs="Times New Roman"/>
                <w:b/>
                <w:sz w:val="20"/>
                <w:szCs w:val="20"/>
              </w:rPr>
            </w:pPr>
            <w:r w:rsidRPr="00B0162F">
              <w:rPr>
                <w:rFonts w:ascii="Times New Roman" w:hAnsi="Times New Roman" w:cs="Times New Roman"/>
                <w:b/>
                <w:sz w:val="20"/>
                <w:szCs w:val="20"/>
              </w:rPr>
              <w:t>806</w:t>
            </w:r>
          </w:p>
        </w:tc>
      </w:tr>
      <w:tr w:rsidR="00B93BB9" w:rsidRPr="00B0162F" w:rsidTr="00B93BB9">
        <w:tc>
          <w:tcPr>
            <w:tcW w:w="1271" w:type="dxa"/>
            <w:shd w:val="clear" w:color="auto" w:fill="auto"/>
          </w:tcPr>
          <w:p w:rsidR="00963612" w:rsidRPr="00B0162F" w:rsidRDefault="00963612" w:rsidP="00FE68BA">
            <w:pPr>
              <w:keepLines/>
              <w:spacing w:line="276" w:lineRule="auto"/>
              <w:jc w:val="center"/>
              <w:rPr>
                <w:rFonts w:ascii="Times New Roman" w:hAnsi="Times New Roman" w:cs="Times New Roman"/>
                <w:b/>
                <w:sz w:val="20"/>
                <w:szCs w:val="20"/>
              </w:rPr>
            </w:pPr>
            <w:r w:rsidRPr="00B0162F">
              <w:rPr>
                <w:rFonts w:ascii="Times New Roman" w:hAnsi="Times New Roman" w:cs="Times New Roman"/>
                <w:b/>
                <w:sz w:val="20"/>
                <w:szCs w:val="20"/>
              </w:rPr>
              <w:t>Spolu</w:t>
            </w:r>
          </w:p>
        </w:tc>
        <w:tc>
          <w:tcPr>
            <w:tcW w:w="1134" w:type="dxa"/>
            <w:shd w:val="clear" w:color="auto" w:fill="auto"/>
            <w:vAlign w:val="bottom"/>
          </w:tcPr>
          <w:p w:rsidR="00963612" w:rsidRPr="00B0162F" w:rsidRDefault="00963612" w:rsidP="00FE68BA">
            <w:pPr>
              <w:keepLines/>
              <w:spacing w:line="276" w:lineRule="auto"/>
              <w:jc w:val="center"/>
              <w:rPr>
                <w:rFonts w:ascii="Times New Roman" w:hAnsi="Times New Roman" w:cs="Times New Roman"/>
                <w:b/>
                <w:bCs/>
                <w:color w:val="000000"/>
                <w:sz w:val="18"/>
                <w:szCs w:val="18"/>
              </w:rPr>
            </w:pPr>
            <w:r w:rsidRPr="00B0162F">
              <w:rPr>
                <w:rFonts w:ascii="Times New Roman" w:hAnsi="Times New Roman" w:cs="Times New Roman"/>
                <w:b/>
                <w:bCs/>
                <w:color w:val="000000"/>
                <w:sz w:val="18"/>
                <w:szCs w:val="18"/>
              </w:rPr>
              <w:t>377 805</w:t>
            </w:r>
          </w:p>
        </w:tc>
        <w:tc>
          <w:tcPr>
            <w:tcW w:w="992" w:type="dxa"/>
            <w:shd w:val="clear" w:color="auto" w:fill="auto"/>
            <w:vAlign w:val="bottom"/>
          </w:tcPr>
          <w:p w:rsidR="00963612" w:rsidRPr="00B0162F" w:rsidRDefault="00963612" w:rsidP="00FE68BA">
            <w:pPr>
              <w:keepLines/>
              <w:spacing w:line="276" w:lineRule="auto"/>
              <w:jc w:val="center"/>
              <w:rPr>
                <w:rFonts w:ascii="Times New Roman" w:hAnsi="Times New Roman" w:cs="Times New Roman"/>
                <w:b/>
                <w:bCs/>
                <w:color w:val="000000"/>
                <w:sz w:val="20"/>
                <w:szCs w:val="20"/>
              </w:rPr>
            </w:pPr>
            <w:r w:rsidRPr="00B0162F">
              <w:rPr>
                <w:rFonts w:ascii="Times New Roman" w:hAnsi="Times New Roman" w:cs="Times New Roman"/>
                <w:b/>
                <w:bCs/>
                <w:color w:val="000000"/>
                <w:sz w:val="20"/>
                <w:szCs w:val="20"/>
              </w:rPr>
              <w:t>840</w:t>
            </w:r>
          </w:p>
        </w:tc>
        <w:tc>
          <w:tcPr>
            <w:tcW w:w="1134" w:type="dxa"/>
            <w:shd w:val="clear" w:color="auto" w:fill="auto"/>
            <w:vAlign w:val="bottom"/>
          </w:tcPr>
          <w:p w:rsidR="00963612" w:rsidRPr="00B0162F" w:rsidRDefault="00963612" w:rsidP="00FE68BA">
            <w:pPr>
              <w:keepLines/>
              <w:spacing w:line="276" w:lineRule="auto"/>
              <w:jc w:val="right"/>
              <w:rPr>
                <w:rFonts w:ascii="Times New Roman" w:hAnsi="Times New Roman" w:cs="Times New Roman"/>
                <w:b/>
                <w:sz w:val="20"/>
                <w:szCs w:val="20"/>
              </w:rPr>
            </w:pPr>
            <w:r w:rsidRPr="00B0162F">
              <w:rPr>
                <w:rFonts w:ascii="Times New Roman" w:hAnsi="Times New Roman" w:cs="Times New Roman"/>
                <w:b/>
                <w:sz w:val="20"/>
                <w:szCs w:val="20"/>
              </w:rPr>
              <w:t>158 843</w:t>
            </w:r>
          </w:p>
        </w:tc>
        <w:tc>
          <w:tcPr>
            <w:tcW w:w="993" w:type="dxa"/>
            <w:shd w:val="clear" w:color="auto" w:fill="auto"/>
            <w:vAlign w:val="bottom"/>
          </w:tcPr>
          <w:p w:rsidR="00963612" w:rsidRPr="00B0162F" w:rsidRDefault="00963612" w:rsidP="00FE68BA">
            <w:pPr>
              <w:keepLines/>
              <w:spacing w:line="276" w:lineRule="auto"/>
              <w:jc w:val="center"/>
              <w:rPr>
                <w:rFonts w:ascii="Times New Roman" w:hAnsi="Times New Roman" w:cs="Times New Roman"/>
                <w:b/>
                <w:sz w:val="20"/>
                <w:szCs w:val="20"/>
              </w:rPr>
            </w:pPr>
            <w:r w:rsidRPr="00B0162F">
              <w:rPr>
                <w:rFonts w:ascii="Times New Roman" w:hAnsi="Times New Roman" w:cs="Times New Roman"/>
                <w:b/>
                <w:sz w:val="20"/>
                <w:szCs w:val="20"/>
              </w:rPr>
              <w:t>505</w:t>
            </w:r>
          </w:p>
        </w:tc>
        <w:tc>
          <w:tcPr>
            <w:tcW w:w="1417" w:type="dxa"/>
            <w:shd w:val="clear" w:color="auto" w:fill="auto"/>
            <w:vAlign w:val="bottom"/>
          </w:tcPr>
          <w:p w:rsidR="00963612" w:rsidRPr="00B0162F" w:rsidRDefault="00963612" w:rsidP="00FE68BA">
            <w:pPr>
              <w:pStyle w:val="Odsekzoznamu"/>
              <w:spacing w:line="276" w:lineRule="auto"/>
              <w:ind w:firstLine="0"/>
              <w:contextualSpacing/>
              <w:jc w:val="center"/>
              <w:rPr>
                <w:rFonts w:ascii="Times New Roman" w:hAnsi="Times New Roman" w:cs="Times New Roman"/>
                <w:b/>
                <w:sz w:val="20"/>
                <w:szCs w:val="20"/>
              </w:rPr>
            </w:pPr>
          </w:p>
        </w:tc>
        <w:tc>
          <w:tcPr>
            <w:tcW w:w="1843" w:type="dxa"/>
            <w:shd w:val="clear" w:color="auto" w:fill="auto"/>
            <w:vAlign w:val="bottom"/>
          </w:tcPr>
          <w:p w:rsidR="00963612" w:rsidRPr="00B0162F" w:rsidRDefault="00963612" w:rsidP="00FE68BA">
            <w:pPr>
              <w:keepLines/>
              <w:spacing w:line="276" w:lineRule="auto"/>
              <w:jc w:val="center"/>
              <w:rPr>
                <w:rFonts w:ascii="Times New Roman" w:hAnsi="Times New Roman" w:cs="Times New Roman"/>
                <w:b/>
                <w:sz w:val="20"/>
                <w:szCs w:val="20"/>
              </w:rPr>
            </w:pPr>
            <w:r w:rsidRPr="00B0162F">
              <w:rPr>
                <w:rFonts w:ascii="Times New Roman" w:hAnsi="Times New Roman" w:cs="Times New Roman"/>
                <w:b/>
                <w:sz w:val="20"/>
                <w:szCs w:val="20"/>
              </w:rPr>
              <w:t>11 019</w:t>
            </w:r>
          </w:p>
        </w:tc>
      </w:tr>
    </w:tbl>
    <w:p w:rsidR="00963612" w:rsidRPr="00B0162F" w:rsidRDefault="00963612" w:rsidP="00FE68BA">
      <w:pPr>
        <w:keepLines/>
        <w:rPr>
          <w:sz w:val="20"/>
          <w:szCs w:val="20"/>
        </w:rPr>
      </w:pPr>
      <w:r w:rsidRPr="00B0162F">
        <w:rPr>
          <w:sz w:val="20"/>
          <w:szCs w:val="20"/>
        </w:rPr>
        <w:t>Prameň: SPF, Výpočty VÚEPP</w:t>
      </w:r>
    </w:p>
    <w:p w:rsidR="00B6412B" w:rsidRDefault="00B6412B">
      <w:pPr>
        <w:keepNext w:val="0"/>
        <w:jc w:val="left"/>
        <w:rPr>
          <w:b/>
        </w:rPr>
      </w:pPr>
      <w:r>
        <w:rPr>
          <w:b/>
        </w:rPr>
        <w:br w:type="page"/>
      </w:r>
    </w:p>
    <w:p w:rsidR="00514D43" w:rsidRPr="00B0162F" w:rsidRDefault="00514D43" w:rsidP="00FE68BA">
      <w:pPr>
        <w:keepLines/>
        <w:spacing w:before="480"/>
        <w:rPr>
          <w:sz w:val="20"/>
          <w:szCs w:val="20"/>
        </w:rPr>
      </w:pPr>
      <w:r w:rsidRPr="00B0162F">
        <w:rPr>
          <w:b/>
        </w:rPr>
        <w:t>Disponibilná pôda pre mladých farmárov podľa okresov</w:t>
      </w:r>
    </w:p>
    <w:p w:rsidR="00963612" w:rsidRPr="00B0162F" w:rsidRDefault="00514D43" w:rsidP="00FE68BA">
      <w:pPr>
        <w:keepLines/>
        <w:jc w:val="left"/>
      </w:pPr>
      <w:r w:rsidRPr="00B0162F">
        <w:rPr>
          <w:noProof/>
        </w:rPr>
        <w:drawing>
          <wp:inline distT="0" distB="0" distL="0" distR="0">
            <wp:extent cx="5743575" cy="275209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752090"/>
                    </a:xfrm>
                    <a:prstGeom prst="rect">
                      <a:avLst/>
                    </a:prstGeom>
                    <a:noFill/>
                    <a:ln>
                      <a:noFill/>
                    </a:ln>
                  </pic:spPr>
                </pic:pic>
              </a:graphicData>
            </a:graphic>
          </wp:inline>
        </w:drawing>
      </w:r>
    </w:p>
    <w:p w:rsidR="009D6ED3" w:rsidRPr="00B0162F" w:rsidRDefault="009D6ED3" w:rsidP="00FE68BA">
      <w:pPr>
        <w:pStyle w:val="Nadpis3"/>
        <w:rPr>
          <w:lang w:val="sk-SK"/>
        </w:rPr>
      </w:pPr>
      <w:r w:rsidRPr="00B0162F">
        <w:rPr>
          <w:lang w:val="sk-SK"/>
        </w:rPr>
        <w:t xml:space="preserve">K bodu </w:t>
      </w:r>
      <w:r w:rsidR="00C768F5">
        <w:rPr>
          <w:lang w:val="sk-SK"/>
        </w:rPr>
        <w:t>4</w:t>
      </w:r>
    </w:p>
    <w:p w:rsidR="00F3554D" w:rsidRPr="00B0162F" w:rsidRDefault="00CE6368" w:rsidP="00FE68BA">
      <w:pPr>
        <w:pStyle w:val="Nadpis3"/>
        <w:ind w:firstLine="720"/>
        <w:rPr>
          <w:b w:val="0"/>
          <w:szCs w:val="24"/>
          <w:lang w:val="sk-SK"/>
        </w:rPr>
      </w:pPr>
      <w:r w:rsidRPr="00B0162F">
        <w:rPr>
          <w:b w:val="0"/>
          <w:szCs w:val="24"/>
          <w:lang w:val="sk-SK"/>
        </w:rPr>
        <w:t xml:space="preserve">Vzhľadom na to, že Slovenský pozemkový fond má zriadenú </w:t>
      </w:r>
      <w:r w:rsidRPr="00B0162F">
        <w:rPr>
          <w:b w:val="0"/>
          <w:lang w:val="sk-SK" w:eastAsia="sk-SK"/>
        </w:rPr>
        <w:t>centrálnu evidenciu elektronickej podateľne</w:t>
      </w:r>
      <w:r w:rsidRPr="00B0162F">
        <w:rPr>
          <w:b w:val="0"/>
          <w:szCs w:val="24"/>
          <w:lang w:val="sk-SK"/>
        </w:rPr>
        <w:t xml:space="preserve"> na celom území Slovenskej republiky a zoraďovanie požiadaviek vzhľadom na potrebu ich prerokovania v rade SPF by nebolo reálne možné zavádza sa poradie podľa doručenia do centrály SPF v Bratislave.</w:t>
      </w:r>
    </w:p>
    <w:p w:rsidR="009D6ED3" w:rsidRDefault="00C63B7C" w:rsidP="00FE68BA">
      <w:pPr>
        <w:pStyle w:val="Nadpis3"/>
        <w:rPr>
          <w:lang w:val="sk-SK"/>
        </w:rPr>
      </w:pPr>
      <w:r w:rsidRPr="00B0162F">
        <w:rPr>
          <w:lang w:val="sk-SK"/>
        </w:rPr>
        <w:t xml:space="preserve">K bodu </w:t>
      </w:r>
      <w:r w:rsidR="00C768F5">
        <w:rPr>
          <w:lang w:val="sk-SK"/>
        </w:rPr>
        <w:t>5</w:t>
      </w:r>
    </w:p>
    <w:p w:rsidR="001B0DED" w:rsidRPr="001B0DED" w:rsidRDefault="001B0DED" w:rsidP="001B0DED">
      <w:pPr>
        <w:pStyle w:val="odsek"/>
      </w:pPr>
      <w:r>
        <w:t xml:space="preserve">Dopĺňa sa povinnosť pre SPF viesť podľa poradia doručenia žiadostí o prenájom pozemkov mladých poľnohospodárov alebo poľnohospodárov spĺňajúcich podmienky malého podniku alebo </w:t>
      </w:r>
      <w:proofErr w:type="spellStart"/>
      <w:r>
        <w:t>mikropodniku</w:t>
      </w:r>
      <w:proofErr w:type="spellEnd"/>
      <w:r>
        <w:t xml:space="preserve"> na svojom webovom sídle, aby bol celkový prehľad záujmu a zároveň zabezpečené, že sú žiadosti vybavované podľa poradia.</w:t>
      </w:r>
    </w:p>
    <w:p w:rsidR="001B0DED" w:rsidRPr="001B0DED" w:rsidRDefault="001B0DED" w:rsidP="001B0DED">
      <w:pPr>
        <w:pStyle w:val="Nadpis3"/>
        <w:rPr>
          <w:lang w:val="sk-SK"/>
        </w:rPr>
      </w:pPr>
      <w:r>
        <w:rPr>
          <w:lang w:val="sk-SK"/>
        </w:rPr>
        <w:t>K bodu 6</w:t>
      </w:r>
    </w:p>
    <w:p w:rsidR="00D132D9" w:rsidRPr="00B0162F" w:rsidRDefault="00CE6368" w:rsidP="00FE68BA">
      <w:pPr>
        <w:pStyle w:val="Nadpis3"/>
        <w:ind w:firstLine="720"/>
        <w:rPr>
          <w:b w:val="0"/>
          <w:lang w:val="sk-SK"/>
        </w:rPr>
      </w:pPr>
      <w:r w:rsidRPr="00B0162F">
        <w:rPr>
          <w:b w:val="0"/>
          <w:lang w:val="sk-SK"/>
        </w:rPr>
        <w:t>Prechodné ustanovenie sa vzťahuje na návrhy zmlúv, ktoré ešte neboli prerokované v rade Slovenského pozemkového fondu</w:t>
      </w:r>
      <w:r w:rsidR="00CD0D01" w:rsidRPr="00B0162F">
        <w:rPr>
          <w:b w:val="0"/>
          <w:lang w:val="sk-SK"/>
        </w:rPr>
        <w:t>, aby aj v týchto prípadoch už bolo brané do úvahy v prípade, že pri uzatváraní týchto nájomných zmlúv bol záujem zo strany mladých poľnohospodárov</w:t>
      </w:r>
      <w:r w:rsidR="00B0162F" w:rsidRPr="00B0162F">
        <w:rPr>
          <w:b w:val="0"/>
          <w:lang w:val="sk-SK"/>
        </w:rPr>
        <w:t xml:space="preserve"> a poľnohospodárov spĺňajúcich podmienky malého a </w:t>
      </w:r>
      <w:proofErr w:type="spellStart"/>
      <w:r w:rsidR="00B0162F" w:rsidRPr="00B0162F">
        <w:rPr>
          <w:b w:val="0"/>
          <w:lang w:val="sk-SK"/>
        </w:rPr>
        <w:t>mikro</w:t>
      </w:r>
      <w:proofErr w:type="spellEnd"/>
      <w:r w:rsidR="00B0162F" w:rsidRPr="00B0162F">
        <w:rPr>
          <w:b w:val="0"/>
          <w:lang w:val="sk-SK"/>
        </w:rPr>
        <w:t xml:space="preserve"> podniku</w:t>
      </w:r>
      <w:r w:rsidR="00CD0D01" w:rsidRPr="00B0162F">
        <w:rPr>
          <w:b w:val="0"/>
          <w:lang w:val="sk-SK"/>
        </w:rPr>
        <w:t>, aby mohli byť už nájomné zmluvy upravené podľa tohto zákona</w:t>
      </w:r>
      <w:r w:rsidR="00D132D9" w:rsidRPr="00B0162F">
        <w:rPr>
          <w:b w:val="0"/>
          <w:lang w:val="sk-SK"/>
        </w:rPr>
        <w:t>.</w:t>
      </w:r>
    </w:p>
    <w:p w:rsidR="0009422B" w:rsidRPr="00B0162F" w:rsidRDefault="0009422B" w:rsidP="00FE68BA">
      <w:pPr>
        <w:pStyle w:val="Nadpis3"/>
        <w:rPr>
          <w:lang w:val="sk-SK"/>
        </w:rPr>
      </w:pPr>
      <w:r w:rsidRPr="00B0162F">
        <w:rPr>
          <w:lang w:val="sk-SK"/>
        </w:rPr>
        <w:t>K článku II</w:t>
      </w:r>
    </w:p>
    <w:p w:rsidR="00CD0D01" w:rsidRPr="00B0162F" w:rsidRDefault="00CD0D01" w:rsidP="00FE68BA">
      <w:pPr>
        <w:pStyle w:val="Nadpis3"/>
        <w:rPr>
          <w:lang w:val="sk-SK"/>
        </w:rPr>
      </w:pPr>
      <w:r w:rsidRPr="00B0162F">
        <w:rPr>
          <w:lang w:val="sk-SK"/>
        </w:rPr>
        <w:t>K bodu 1</w:t>
      </w:r>
    </w:p>
    <w:p w:rsidR="000200F2" w:rsidRDefault="000200F2" w:rsidP="000200F2">
      <w:pPr>
        <w:pStyle w:val="odsek"/>
      </w:pPr>
      <w:r>
        <w:t>N</w:t>
      </w:r>
      <w:r w:rsidRPr="000200F2">
        <w:t>ahr</w:t>
      </w:r>
      <w:r>
        <w:t>ádzajú sa</w:t>
      </w:r>
      <w:r w:rsidRPr="000200F2">
        <w:t xml:space="preserve"> slová „obvodný pozemkový úrad“ v príslušnom tvare, slovami „okresný úrad</w:t>
      </w:r>
      <w:r w:rsidR="004503C3">
        <w:t>“</w:t>
      </w:r>
      <w:r w:rsidRPr="000200F2">
        <w:t xml:space="preserve"> v príslušnom tvare. Ustanovenia § 9 ods. 16 zákona č. 180/2013 Z. z. o organizácii miestnej štátnej správy a o zmene a doplnení niektorých zákonov síce vo všeobecnosti to rieši, avšak automatizované systémy právnych informácií tieto zmeny nezapracúvajú.</w:t>
      </w:r>
    </w:p>
    <w:p w:rsidR="00B6412B" w:rsidRDefault="00B6412B">
      <w:pPr>
        <w:keepNext w:val="0"/>
        <w:jc w:val="left"/>
        <w:rPr>
          <w:rFonts w:cs="Arial"/>
          <w:b/>
          <w:bCs/>
          <w:szCs w:val="20"/>
          <w:lang w:eastAsia="x-none"/>
        </w:rPr>
      </w:pPr>
      <w:r>
        <w:br w:type="page"/>
      </w:r>
    </w:p>
    <w:p w:rsidR="000200F2" w:rsidRPr="000200F2" w:rsidRDefault="000200F2" w:rsidP="000200F2">
      <w:pPr>
        <w:pStyle w:val="Nadpis3"/>
        <w:rPr>
          <w:lang w:val="sk-SK"/>
        </w:rPr>
      </w:pPr>
      <w:r>
        <w:rPr>
          <w:lang w:val="sk-SK"/>
        </w:rPr>
        <w:t>K bodu 2</w:t>
      </w:r>
    </w:p>
    <w:p w:rsidR="009D4433" w:rsidRPr="00B0162F" w:rsidRDefault="00CD0D01" w:rsidP="00FE68BA">
      <w:pPr>
        <w:pStyle w:val="odsek"/>
        <w:keepLines/>
      </w:pPr>
      <w:r w:rsidRPr="00B0162F">
        <w:t>Doplnenie nového odseku 5 je potrebné z toho dôvodu, aby aj Slovenský pozemkový fond mal možnosť uzatvorenia podnájomnej zmluvy s novým vlastníkom, ak o to fond požiada a to v prípadoch, kedy podnájomná zmluva vytvorí podmienky pre racionálne využitie poľnohospodárskych pozemkov</w:t>
      </w:r>
      <w:r w:rsidR="009D4433" w:rsidRPr="00B0162F">
        <w:t>.</w:t>
      </w:r>
    </w:p>
    <w:p w:rsidR="00CD0D01" w:rsidRDefault="00CD0D01" w:rsidP="00FE68BA">
      <w:pPr>
        <w:pStyle w:val="Nadpis3"/>
        <w:rPr>
          <w:lang w:val="sk-SK"/>
        </w:rPr>
      </w:pPr>
      <w:r w:rsidRPr="00B0162F">
        <w:rPr>
          <w:lang w:val="sk-SK"/>
        </w:rPr>
        <w:t>K bod</w:t>
      </w:r>
      <w:r w:rsidR="000200F2">
        <w:rPr>
          <w:lang w:val="sk-SK"/>
        </w:rPr>
        <w:t>om</w:t>
      </w:r>
      <w:r w:rsidRPr="00B0162F">
        <w:rPr>
          <w:lang w:val="sk-SK"/>
        </w:rPr>
        <w:t xml:space="preserve"> </w:t>
      </w:r>
      <w:r w:rsidR="000200F2">
        <w:rPr>
          <w:lang w:val="sk-SK"/>
        </w:rPr>
        <w:t>3 a 4</w:t>
      </w:r>
    </w:p>
    <w:p w:rsidR="000200F2" w:rsidRDefault="000200F2" w:rsidP="000200F2">
      <w:pPr>
        <w:pStyle w:val="odsek"/>
      </w:pPr>
      <w:r>
        <w:t>Legislatívno-technická úprava vzhľadom na prečíslovanie odsekov.</w:t>
      </w:r>
    </w:p>
    <w:p w:rsidR="000200F2" w:rsidRPr="000200F2" w:rsidRDefault="000200F2" w:rsidP="000200F2">
      <w:pPr>
        <w:pStyle w:val="Nadpis3"/>
        <w:rPr>
          <w:lang w:val="sk-SK"/>
        </w:rPr>
      </w:pPr>
      <w:r>
        <w:rPr>
          <w:lang w:val="sk-SK"/>
        </w:rPr>
        <w:t>K bodu 5</w:t>
      </w:r>
    </w:p>
    <w:p w:rsidR="00AB2465" w:rsidRPr="00B0162F" w:rsidRDefault="00CD0D01" w:rsidP="00FE68BA">
      <w:pPr>
        <w:keepLines/>
        <w:ind w:firstLine="708"/>
      </w:pPr>
      <w:r w:rsidRPr="00B0162F">
        <w:t>V súčasne platnom zákone (§ 1</w:t>
      </w:r>
      <w:r w:rsidR="00EA2699" w:rsidRPr="00B0162F">
        <w:t>3</w:t>
      </w:r>
      <w:r w:rsidRPr="00B0162F">
        <w:t xml:space="preserve"> ods. </w:t>
      </w:r>
      <w:r w:rsidR="00EA2699" w:rsidRPr="00B0162F">
        <w:t>3</w:t>
      </w:r>
      <w:r w:rsidRPr="00B0162F">
        <w:t xml:space="preserve">) je zakotvené právo na uzatvorenie zmluvy o nájme poľnohospodárskeho pozemku pôvodnému nájomcovi, ak riadne a včas plní svoje záväzky. Toto právo je potreba novými odsekmi obmedziť, aby boli vytvorené podmienky aj pre iné subjekty, ktoré nemajú možnosť dostať sa k poľnohospodárskym pozemkom, na ktorých by boli schopní začať alebo rozvinúť svoje podnikateľské zámery, ale samozrejme so zmluvným záväzkom využitia týchto poľnohospodárskych pozemkov na špeciálnu rastlinnú výrobu alebo </w:t>
      </w:r>
      <w:r w:rsidR="005418CA" w:rsidRPr="00B0162F">
        <w:t xml:space="preserve">živočíšnu výrobu, ktorá bude jasne ustanovená vo vykonávacom nariadení vlády Slovenskej republiky, aby týmto spôsobom nedochádzalo k zneužívaniu týchto ustanovení na získanie poľnohospodárskych pozemkov na iné účely poľnohospodárskeho, ale i nepoľnohospodárskeho využitia. </w:t>
      </w:r>
      <w:r w:rsidR="00AB2465" w:rsidRPr="00B0162F">
        <w:t xml:space="preserve">Mladý poľnohospodár </w:t>
      </w:r>
      <w:r w:rsidR="00B0162F">
        <w:t>a poľnohospodár spĺňajúci podmienky malého a </w:t>
      </w:r>
      <w:proofErr w:type="spellStart"/>
      <w:r w:rsidR="00B0162F">
        <w:t>mikro</w:t>
      </w:r>
      <w:proofErr w:type="spellEnd"/>
      <w:r w:rsidR="00B0162F">
        <w:t xml:space="preserve"> podniku</w:t>
      </w:r>
      <w:r w:rsidR="00B0162F" w:rsidRPr="00B0162F">
        <w:t xml:space="preserve"> </w:t>
      </w:r>
      <w:r w:rsidR="00AB2465" w:rsidRPr="00B0162F">
        <w:t>sa bude musieť v zmluve zaviazať, že na prenajatej ploche bude uskutočňovať špeciálnu rastlinnú výrobu a že do určitej doby dosiahne zaťaženosť živočíšnej výroby 0,</w:t>
      </w:r>
      <w:r w:rsidR="004503C3">
        <w:t>2</w:t>
      </w:r>
      <w:r w:rsidR="00AB2465" w:rsidRPr="00B0162F">
        <w:t xml:space="preserve"> VDJ/ha.</w:t>
      </w:r>
    </w:p>
    <w:p w:rsidR="00A4735E" w:rsidRDefault="00A4735E" w:rsidP="00A4735E">
      <w:pPr>
        <w:keepLines/>
        <w:ind w:firstLine="708"/>
        <w:rPr>
          <w:color w:val="000000" w:themeColor="text1"/>
        </w:rPr>
      </w:pPr>
      <w:r>
        <w:rPr>
          <w:color w:val="000000" w:themeColor="text1"/>
        </w:rPr>
        <w:t>Zároveň však je obmedzené nakladanie s takouto pôdou, aby nedochádzalo k špekulatívnemu nájmu poľnohospodárskych pozemkov, ktoré by boli ihneď postúpené ďalším subjektom, ktoré by na danej pôde podnikali.</w:t>
      </w:r>
    </w:p>
    <w:p w:rsidR="00A4735E" w:rsidRDefault="00A4735E" w:rsidP="00A4735E">
      <w:pPr>
        <w:keepLines/>
        <w:ind w:firstLine="708"/>
        <w:rPr>
          <w:color w:val="000000" w:themeColor="text1"/>
        </w:rPr>
      </w:pPr>
      <w:r>
        <w:rPr>
          <w:color w:val="000000" w:themeColor="text1"/>
        </w:rPr>
        <w:t>Taktiež sa zavádza oprávnenie SPF, aby okamžite odstúpil od zmluvy, ak nebudú plnené podmienky využívania týchto pozemkov na špeciálnu rastlinnú resp. živočíšnu výrobu.</w:t>
      </w:r>
    </w:p>
    <w:p w:rsidR="00CD0D01" w:rsidRPr="00B0162F" w:rsidRDefault="005418CA" w:rsidP="00FE68BA">
      <w:pPr>
        <w:keepLines/>
        <w:ind w:firstLine="708"/>
      </w:pPr>
      <w:r w:rsidRPr="00B0162F">
        <w:rPr>
          <w:color w:val="000000" w:themeColor="text1"/>
        </w:rPr>
        <w:t>Obmedzená disponibilita poľnohospodárskej pôdy, ktorú majú dlhodobo v prenájme etablované poľnohospodárske podniky determinuje zameranie mladých a malých poľnohospodárov na špecializovanú rastlinnú výrobu, pri ktorej sa dá aj na menších výmerách dosiahnuť ekonomická efektívnosť.</w:t>
      </w:r>
    </w:p>
    <w:p w:rsidR="00CD0D01" w:rsidRPr="00B0162F" w:rsidRDefault="00CD0D01" w:rsidP="00FE68BA">
      <w:pPr>
        <w:keepLines/>
        <w:ind w:firstLine="708"/>
      </w:pPr>
      <w:r w:rsidRPr="00B0162F">
        <w:t xml:space="preserve">Na druhej strane je však potrebné v primeranom rozsahu chrániť aj pôvodných nájomcov, ktorým nesmú prijaté opatrenia úplne znemožniť ich podnikanie a preto je diferencovaný prístup k obmedzeniu prenajatých poľnohospodárskych pozemkov pre pôvodných nájomcov, ktorí majú v nájme </w:t>
      </w:r>
      <w:r w:rsidR="000B3D2C">
        <w:t>101 až 500 ha najviac o 3 % výmery, 501 až 700 ha najviac o 5 % výmery, 701 až 1 500 ha najviac o 7 % výmery a od 1 501 ha a viac najviac o 10 % výmery</w:t>
      </w:r>
      <w:r w:rsidRPr="00B0162F">
        <w:t>.</w:t>
      </w:r>
    </w:p>
    <w:p w:rsidR="00B30FAC" w:rsidRPr="00B0162F" w:rsidRDefault="00CD0D01" w:rsidP="00FE68BA">
      <w:pPr>
        <w:pStyle w:val="Nadpis3"/>
        <w:rPr>
          <w:lang w:val="sk-SK"/>
        </w:rPr>
      </w:pPr>
      <w:r w:rsidRPr="00B0162F">
        <w:rPr>
          <w:lang w:val="sk-SK"/>
        </w:rPr>
        <w:t>K b</w:t>
      </w:r>
      <w:r w:rsidR="00B30FAC" w:rsidRPr="00B0162F">
        <w:rPr>
          <w:lang w:val="sk-SK"/>
        </w:rPr>
        <w:t>od</w:t>
      </w:r>
      <w:r w:rsidRPr="00B0162F">
        <w:rPr>
          <w:lang w:val="sk-SK"/>
        </w:rPr>
        <w:t>om</w:t>
      </w:r>
      <w:r w:rsidR="00B30FAC" w:rsidRPr="00B0162F">
        <w:rPr>
          <w:lang w:val="sk-SK"/>
        </w:rPr>
        <w:t xml:space="preserve"> </w:t>
      </w:r>
      <w:r w:rsidR="000200F2">
        <w:rPr>
          <w:lang w:val="sk-SK"/>
        </w:rPr>
        <w:t>6</w:t>
      </w:r>
      <w:r w:rsidR="00B30FAC" w:rsidRPr="00B0162F">
        <w:rPr>
          <w:lang w:val="sk-SK"/>
        </w:rPr>
        <w:t xml:space="preserve"> a </w:t>
      </w:r>
      <w:r w:rsidR="000200F2">
        <w:rPr>
          <w:lang w:val="sk-SK"/>
        </w:rPr>
        <w:t>7</w:t>
      </w:r>
    </w:p>
    <w:p w:rsidR="0009422B" w:rsidRDefault="0009422B" w:rsidP="00FE68BA">
      <w:pPr>
        <w:keepLines/>
        <w:ind w:firstLine="709"/>
      </w:pPr>
      <w:r w:rsidRPr="00B0162F">
        <w:t>Navrhovanú úpravu v zákone o nájme poľnohospodárskych pozemkov, poľnohospodárskeho podniku a lesných pozemkov, si vyžiadala doterajšia skúsenosť pri aplikovaní doteraz platných ustanovení. Minimálna dĺžka nájmu lesných pozemkov stanovená na obdobie platnosti programu starostlivosti o lesy, vyplýva hlavne zo skutočnosti, že výsledky obhospodarovania lesných pozemkov (výnos, strata) sú zrejm</w:t>
      </w:r>
      <w:r w:rsidR="009D4433" w:rsidRPr="00B0162F">
        <w:t>é až po ukončení tohto obdobia.</w:t>
      </w:r>
    </w:p>
    <w:p w:rsidR="00FA5B06" w:rsidRDefault="00FA5B06" w:rsidP="00FA5B06">
      <w:pPr>
        <w:pStyle w:val="Nadpis3"/>
        <w:rPr>
          <w:lang w:val="sk-SK"/>
        </w:rPr>
      </w:pPr>
      <w:r>
        <w:rPr>
          <w:lang w:val="sk-SK"/>
        </w:rPr>
        <w:t xml:space="preserve">K bodu </w:t>
      </w:r>
      <w:r w:rsidR="000200F2">
        <w:rPr>
          <w:lang w:val="sk-SK"/>
        </w:rPr>
        <w:t>8</w:t>
      </w:r>
    </w:p>
    <w:p w:rsidR="00FA5B06" w:rsidRPr="00FA5B06" w:rsidRDefault="00FA5B06" w:rsidP="00FA5B06">
      <w:pPr>
        <w:pStyle w:val="odsek"/>
        <w:rPr>
          <w:lang w:eastAsia="x-none"/>
        </w:rPr>
      </w:pPr>
      <w:r w:rsidRPr="00B0162F">
        <w:t>Prechodné ustanovenie sa vzťahuje na návrhy zmlúv, ktoré ešte neboli prerokované v rade Slovenského pozemkového fondu, aby aj v týchto prípadoch už bolo brané do úvahy v prípade, že pri uzatváraní týchto nájomných zmlúv bol záujem zo strany mladých poľnohospodárov a poľnohospodárov spĺňajúcich podmienky malého a </w:t>
      </w:r>
      <w:proofErr w:type="spellStart"/>
      <w:r w:rsidRPr="00B0162F">
        <w:t>mikro</w:t>
      </w:r>
      <w:proofErr w:type="spellEnd"/>
      <w:r w:rsidRPr="00B0162F">
        <w:t xml:space="preserve"> podniku, aby mohli byť už nájomné zmluvy upravené podľa tohto zákona.</w:t>
      </w:r>
    </w:p>
    <w:p w:rsidR="0009422B" w:rsidRPr="00B0162F" w:rsidRDefault="0009422B" w:rsidP="00FE68BA">
      <w:pPr>
        <w:pStyle w:val="Nadpis3"/>
        <w:rPr>
          <w:lang w:val="sk-SK"/>
        </w:rPr>
      </w:pPr>
      <w:r w:rsidRPr="00B0162F">
        <w:rPr>
          <w:lang w:val="sk-SK"/>
        </w:rPr>
        <w:t>K článku III</w:t>
      </w:r>
    </w:p>
    <w:p w:rsidR="0009422B" w:rsidRPr="00B0162F" w:rsidRDefault="0009422B" w:rsidP="00FE68BA">
      <w:pPr>
        <w:pStyle w:val="Odsekzoznamu"/>
        <w:rPr>
          <w:color w:val="000000"/>
        </w:rPr>
      </w:pPr>
      <w:r w:rsidRPr="00B0162F">
        <w:rPr>
          <w:color w:val="000000"/>
        </w:rPr>
        <w:t>Účinnosť zákona sa navrhuje od 1</w:t>
      </w:r>
      <w:r w:rsidR="00B0162F">
        <w:rPr>
          <w:color w:val="000000"/>
        </w:rPr>
        <w:t>.</w:t>
      </w:r>
      <w:r w:rsidR="00B30FAC" w:rsidRPr="00B0162F">
        <w:rPr>
          <w:color w:val="000000"/>
        </w:rPr>
        <w:t xml:space="preserve"> </w:t>
      </w:r>
      <w:r w:rsidR="00B0162F">
        <w:rPr>
          <w:color w:val="000000"/>
        </w:rPr>
        <w:t>januára</w:t>
      </w:r>
      <w:r w:rsidR="00B30FAC" w:rsidRPr="00B0162F">
        <w:rPr>
          <w:color w:val="000000"/>
        </w:rPr>
        <w:t xml:space="preserve"> 201</w:t>
      </w:r>
      <w:r w:rsidR="00B0162F">
        <w:rPr>
          <w:color w:val="000000"/>
        </w:rPr>
        <w:t>5</w:t>
      </w:r>
      <w:r w:rsidR="00B30FAC" w:rsidRPr="00B0162F">
        <w:rPr>
          <w:color w:val="000000"/>
        </w:rPr>
        <w:t xml:space="preserve"> nakoľko Slovenský pozemkový fond má </w:t>
      </w:r>
      <w:r w:rsidR="002641E3" w:rsidRPr="00B0162F">
        <w:rPr>
          <w:color w:val="000000"/>
        </w:rPr>
        <w:t>približne</w:t>
      </w:r>
      <w:r w:rsidR="00B30FAC" w:rsidRPr="00B0162F">
        <w:rPr>
          <w:color w:val="000000"/>
        </w:rPr>
        <w:t xml:space="preserve"> 75 % zmlúv, ktoré končia ku koncu roku 2014 a bolo by vhodné uplatniť zníženie prenajímania pôdy veľkým farmárom </w:t>
      </w:r>
      <w:r w:rsidR="00EA2699" w:rsidRPr="00B0162F">
        <w:rPr>
          <w:color w:val="000000"/>
        </w:rPr>
        <w:t>v prospech</w:t>
      </w:r>
      <w:r w:rsidR="00B30FAC" w:rsidRPr="00B0162F">
        <w:rPr>
          <w:color w:val="000000"/>
        </w:rPr>
        <w:t xml:space="preserve"> malých a mladých poľnohospodárov.</w:t>
      </w:r>
    </w:p>
    <w:sectPr w:rsidR="0009422B" w:rsidRPr="00B0162F" w:rsidSect="00D20353">
      <w:footerReference w:type="default" r:id="rId9"/>
      <w:pgSz w:w="12240" w:h="15840"/>
      <w:pgMar w:top="1417"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01" w:rsidRDefault="00CD0D01" w:rsidP="000C109E">
      <w:r>
        <w:separator/>
      </w:r>
    </w:p>
  </w:endnote>
  <w:endnote w:type="continuationSeparator" w:id="0">
    <w:p w:rsidR="00CD0D01" w:rsidRDefault="00CD0D01" w:rsidP="000C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01" w:rsidRDefault="00CD0D01" w:rsidP="000D3D67">
    <w:pPr>
      <w:pStyle w:val="Pta"/>
      <w:jc w:val="center"/>
    </w:pPr>
    <w:r>
      <w:fldChar w:fldCharType="begin"/>
    </w:r>
    <w:r>
      <w:instrText>PAGE   \* MERGEFORMAT</w:instrText>
    </w:r>
    <w:r>
      <w:fldChar w:fldCharType="separate"/>
    </w:r>
    <w:r w:rsidR="00D20353">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01" w:rsidRDefault="00CD0D01" w:rsidP="000C109E">
      <w:r>
        <w:separator/>
      </w:r>
    </w:p>
  </w:footnote>
  <w:footnote w:type="continuationSeparator" w:id="0">
    <w:p w:rsidR="00CD0D01" w:rsidRDefault="00CD0D01" w:rsidP="000C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B21"/>
    <w:multiLevelType w:val="hybridMultilevel"/>
    <w:tmpl w:val="DBA61522"/>
    <w:lvl w:ilvl="0" w:tplc="041B0001">
      <w:start w:val="1"/>
      <w:numFmt w:val="bullet"/>
      <w:lvlText w:val=""/>
      <w:lvlJc w:val="left"/>
      <w:pPr>
        <w:ind w:left="1420" w:hanging="360"/>
      </w:pPr>
      <w:rPr>
        <w:rFonts w:ascii="Symbol" w:hAnsi="Symbol" w:hint="default"/>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1">
    <w:nsid w:val="08415537"/>
    <w:multiLevelType w:val="hybridMultilevel"/>
    <w:tmpl w:val="A9BC3118"/>
    <w:lvl w:ilvl="0" w:tplc="4FC82F4A">
      <w:start w:val="2"/>
      <w:numFmt w:val="bullet"/>
      <w:lvlText w:val="-"/>
      <w:lvlJc w:val="left"/>
      <w:pPr>
        <w:ind w:left="1060" w:hanging="360"/>
      </w:pPr>
      <w:rPr>
        <w:rFonts w:ascii="Times New Roman" w:eastAsia="Calibri" w:hAnsi="Times New Roman" w:cs="Times New Roman"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2">
    <w:nsid w:val="132F2C4A"/>
    <w:multiLevelType w:val="hybridMultilevel"/>
    <w:tmpl w:val="9FEA7F9E"/>
    <w:lvl w:ilvl="0" w:tplc="C818CCA6">
      <w:start w:val="1"/>
      <w:numFmt w:val="lowerLetter"/>
      <w:lvlText w:val="%1)"/>
      <w:lvlJc w:val="left"/>
      <w:pPr>
        <w:tabs>
          <w:tab w:val="num" w:pos="1416"/>
        </w:tabs>
        <w:ind w:left="1416" w:hanging="360"/>
      </w:pPr>
      <w:rPr>
        <w:rFonts w:ascii="Times New Roman" w:eastAsia="Times New Roman" w:hAnsi="Times New Roman" w:cs="Times New Roman"/>
      </w:rPr>
    </w:lvl>
    <w:lvl w:ilvl="1" w:tplc="C7D00F12">
      <w:start w:val="4"/>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15EF2411"/>
    <w:multiLevelType w:val="hybridMultilevel"/>
    <w:tmpl w:val="0EE49702"/>
    <w:lvl w:ilvl="0" w:tplc="27CC4698">
      <w:start w:val="1"/>
      <w:numFmt w:val="bullet"/>
      <w:lvlText w:val="-"/>
      <w:lvlJc w:val="left"/>
      <w:pPr>
        <w:ind w:left="1440" w:hanging="360"/>
      </w:pPr>
      <w:rPr>
        <w:rFonts w:ascii="Times New Roman" w:eastAsia="Calibri" w:hAnsi="Times New Roman" w:cs="Times New Roman" w:hint="default"/>
      </w:rPr>
    </w:lvl>
    <w:lvl w:ilvl="1" w:tplc="8236EC94">
      <w:numFmt w:val="bullet"/>
      <w:lvlText w:val="-"/>
      <w:lvlJc w:val="left"/>
      <w:pPr>
        <w:ind w:left="2160" w:hanging="360"/>
      </w:pPr>
      <w:rPr>
        <w:rFonts w:ascii="Times New Roman" w:eastAsia="Calibri" w:hAnsi="Times New Roman" w:cs="Times New Roman"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16130A5B"/>
    <w:multiLevelType w:val="hybridMultilevel"/>
    <w:tmpl w:val="ED2682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E049B7"/>
    <w:multiLevelType w:val="singleLevel"/>
    <w:tmpl w:val="6B28517C"/>
    <w:lvl w:ilvl="0">
      <w:start w:val="2"/>
      <w:numFmt w:val="decimal"/>
      <w:lvlText w:val="%1. "/>
      <w:lvlJc w:val="left"/>
      <w:pPr>
        <w:ind w:left="283" w:hanging="283"/>
      </w:pPr>
      <w:rPr>
        <w:rFonts w:ascii="Times New Roman" w:hAnsi="Times New Roman" w:cs="Times New Roman" w:hint="default"/>
        <w:b/>
        <w:bCs w:val="0"/>
        <w:i w:val="0"/>
        <w:iCs w:val="0"/>
        <w:sz w:val="24"/>
        <w:szCs w:val="24"/>
        <w:u w:val="none"/>
      </w:rPr>
    </w:lvl>
  </w:abstractNum>
  <w:abstractNum w:abstractNumId="6">
    <w:nsid w:val="1E211057"/>
    <w:multiLevelType w:val="hybridMultilevel"/>
    <w:tmpl w:val="B4B40B5A"/>
    <w:lvl w:ilvl="0" w:tplc="EB0E161C">
      <w:start w:val="1"/>
      <w:numFmt w:val="decimal"/>
      <w:lvlText w:val="%1."/>
      <w:lvlJc w:val="left"/>
      <w:pPr>
        <w:ind w:left="720" w:hanging="360"/>
      </w:pPr>
      <w:rPr>
        <w:rFonts w:hint="default"/>
        <w:b/>
      </w:rPr>
    </w:lvl>
    <w:lvl w:ilvl="1" w:tplc="C5DE5C7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92445F"/>
    <w:multiLevelType w:val="hybridMultilevel"/>
    <w:tmpl w:val="BECE9846"/>
    <w:lvl w:ilvl="0" w:tplc="F7C87428">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nsid w:val="28CA0D81"/>
    <w:multiLevelType w:val="hybridMultilevel"/>
    <w:tmpl w:val="A3B4D5C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nsid w:val="314A27CB"/>
    <w:multiLevelType w:val="hybridMultilevel"/>
    <w:tmpl w:val="8F8ED752"/>
    <w:lvl w:ilvl="0" w:tplc="041B0017">
      <w:start w:val="1"/>
      <w:numFmt w:val="lowerLetter"/>
      <w:lvlText w:val="%1)"/>
      <w:lvlJc w:val="left"/>
      <w:pPr>
        <w:ind w:left="480" w:hanging="360"/>
      </w:pPr>
      <w:rPr>
        <w:rFonts w:hint="default"/>
      </w:rPr>
    </w:lvl>
    <w:lvl w:ilvl="1" w:tplc="041B0003" w:tentative="1">
      <w:start w:val="1"/>
      <w:numFmt w:val="bullet"/>
      <w:lvlText w:val="o"/>
      <w:lvlJc w:val="left"/>
      <w:pPr>
        <w:ind w:left="1200" w:hanging="360"/>
      </w:pPr>
      <w:rPr>
        <w:rFonts w:ascii="Courier New" w:hAnsi="Courier New" w:cs="Courier New" w:hint="default"/>
      </w:rPr>
    </w:lvl>
    <w:lvl w:ilvl="2" w:tplc="041B0005" w:tentative="1">
      <w:start w:val="1"/>
      <w:numFmt w:val="bullet"/>
      <w:lvlText w:val=""/>
      <w:lvlJc w:val="left"/>
      <w:pPr>
        <w:ind w:left="1920" w:hanging="360"/>
      </w:pPr>
      <w:rPr>
        <w:rFonts w:ascii="Wingdings" w:hAnsi="Wingdings" w:hint="default"/>
      </w:rPr>
    </w:lvl>
    <w:lvl w:ilvl="3" w:tplc="041B0001" w:tentative="1">
      <w:start w:val="1"/>
      <w:numFmt w:val="bullet"/>
      <w:lvlText w:val=""/>
      <w:lvlJc w:val="left"/>
      <w:pPr>
        <w:ind w:left="2640" w:hanging="360"/>
      </w:pPr>
      <w:rPr>
        <w:rFonts w:ascii="Symbol" w:hAnsi="Symbol" w:hint="default"/>
      </w:rPr>
    </w:lvl>
    <w:lvl w:ilvl="4" w:tplc="041B0003" w:tentative="1">
      <w:start w:val="1"/>
      <w:numFmt w:val="bullet"/>
      <w:lvlText w:val="o"/>
      <w:lvlJc w:val="left"/>
      <w:pPr>
        <w:ind w:left="3360" w:hanging="360"/>
      </w:pPr>
      <w:rPr>
        <w:rFonts w:ascii="Courier New" w:hAnsi="Courier New" w:cs="Courier New" w:hint="default"/>
      </w:rPr>
    </w:lvl>
    <w:lvl w:ilvl="5" w:tplc="041B0005" w:tentative="1">
      <w:start w:val="1"/>
      <w:numFmt w:val="bullet"/>
      <w:lvlText w:val=""/>
      <w:lvlJc w:val="left"/>
      <w:pPr>
        <w:ind w:left="4080" w:hanging="360"/>
      </w:pPr>
      <w:rPr>
        <w:rFonts w:ascii="Wingdings" w:hAnsi="Wingdings" w:hint="default"/>
      </w:rPr>
    </w:lvl>
    <w:lvl w:ilvl="6" w:tplc="041B0001" w:tentative="1">
      <w:start w:val="1"/>
      <w:numFmt w:val="bullet"/>
      <w:lvlText w:val=""/>
      <w:lvlJc w:val="left"/>
      <w:pPr>
        <w:ind w:left="4800" w:hanging="360"/>
      </w:pPr>
      <w:rPr>
        <w:rFonts w:ascii="Symbol" w:hAnsi="Symbol" w:hint="default"/>
      </w:rPr>
    </w:lvl>
    <w:lvl w:ilvl="7" w:tplc="041B0003" w:tentative="1">
      <w:start w:val="1"/>
      <w:numFmt w:val="bullet"/>
      <w:lvlText w:val="o"/>
      <w:lvlJc w:val="left"/>
      <w:pPr>
        <w:ind w:left="5520" w:hanging="360"/>
      </w:pPr>
      <w:rPr>
        <w:rFonts w:ascii="Courier New" w:hAnsi="Courier New" w:cs="Courier New" w:hint="default"/>
      </w:rPr>
    </w:lvl>
    <w:lvl w:ilvl="8" w:tplc="041B0005" w:tentative="1">
      <w:start w:val="1"/>
      <w:numFmt w:val="bullet"/>
      <w:lvlText w:val=""/>
      <w:lvlJc w:val="left"/>
      <w:pPr>
        <w:ind w:left="6240" w:hanging="360"/>
      </w:pPr>
      <w:rPr>
        <w:rFonts w:ascii="Wingdings" w:hAnsi="Wingdings" w:hint="default"/>
      </w:rPr>
    </w:lvl>
  </w:abstractNum>
  <w:abstractNum w:abstractNumId="10">
    <w:nsid w:val="35886320"/>
    <w:multiLevelType w:val="hybridMultilevel"/>
    <w:tmpl w:val="53F417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EAF6D70"/>
    <w:multiLevelType w:val="hybridMultilevel"/>
    <w:tmpl w:val="917E1D04"/>
    <w:lvl w:ilvl="0" w:tplc="8FD8CF68">
      <w:start w:val="1"/>
      <w:numFmt w:val="lowerLetter"/>
      <w:pStyle w:val="adda"/>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EEF6E21"/>
    <w:multiLevelType w:val="hybridMultilevel"/>
    <w:tmpl w:val="0DDAA23C"/>
    <w:lvl w:ilvl="0" w:tplc="BBEE45A8">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69C5FEE"/>
    <w:multiLevelType w:val="hybridMultilevel"/>
    <w:tmpl w:val="0470BA3C"/>
    <w:lvl w:ilvl="0" w:tplc="E02CA0CE">
      <w:start w:val="1"/>
      <w:numFmt w:val="decimal"/>
      <w:pStyle w:val="a"/>
      <w:lvlText w:val="§ %1"/>
      <w:lvlJc w:val="left"/>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F4B1D9F"/>
    <w:multiLevelType w:val="hybridMultilevel"/>
    <w:tmpl w:val="051EBE2A"/>
    <w:lvl w:ilvl="0" w:tplc="DF6CDB64">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1EA192C"/>
    <w:multiLevelType w:val="hybridMultilevel"/>
    <w:tmpl w:val="92AEC7CE"/>
    <w:lvl w:ilvl="0" w:tplc="A96AB740">
      <w:start w:val="1"/>
      <w:numFmt w:val="decimal"/>
      <w:lvlText w:val="(%1)"/>
      <w:lvlJc w:val="left"/>
      <w:pPr>
        <w:ind w:left="720" w:hanging="360"/>
      </w:pPr>
      <w:rPr>
        <w:rFonts w:ascii="Times New Roman" w:hAnsi="Times New Roman" w:cs="Times New Roman" w:hint="default"/>
        <w:b w:val="0"/>
        <w:i w:val="0"/>
        <w:spacing w:val="0"/>
        <w:w w:val="100"/>
        <w:kern w:val="0"/>
        <w:position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431773C"/>
    <w:multiLevelType w:val="hybridMultilevel"/>
    <w:tmpl w:val="8116C1B2"/>
    <w:lvl w:ilvl="0" w:tplc="447811C4">
      <w:start w:val="1"/>
      <w:numFmt w:val="decimal"/>
      <w:lvlText w:val="§ %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71AE01A9"/>
    <w:multiLevelType w:val="hybridMultilevel"/>
    <w:tmpl w:val="F96423A6"/>
    <w:lvl w:ilvl="0" w:tplc="0DEC7988">
      <w:start w:val="158"/>
      <w:numFmt w:val="bullet"/>
      <w:lvlText w:val="-"/>
      <w:lvlJc w:val="left"/>
      <w:pPr>
        <w:ind w:left="1140" w:hanging="360"/>
      </w:pPr>
      <w:rPr>
        <w:rFonts w:ascii="Times New Roman" w:eastAsiaTheme="minorHAnsi"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num w:numId="1">
    <w:abstractNumId w:val="15"/>
  </w:num>
  <w:num w:numId="2">
    <w:abstractNumId w:val="12"/>
  </w:num>
  <w:num w:numId="3">
    <w:abstractNumId w:val="16"/>
  </w:num>
  <w:num w:numId="4">
    <w:abstractNumId w:val="15"/>
  </w:num>
  <w:num w:numId="5">
    <w:abstractNumId w:val="12"/>
  </w:num>
  <w:num w:numId="6">
    <w:abstractNumId w:val="16"/>
  </w:num>
  <w:num w:numId="7">
    <w:abstractNumId w:val="10"/>
  </w:num>
  <w:num w:numId="8">
    <w:abstractNumId w:val="13"/>
  </w:num>
  <w:num w:numId="9">
    <w:abstractNumId w:val="11"/>
  </w:num>
  <w:num w:numId="10">
    <w:abstractNumId w:val="7"/>
  </w:num>
  <w:num w:numId="11">
    <w:abstractNumId w:val="3"/>
  </w:num>
  <w:num w:numId="12">
    <w:abstractNumId w:val="9"/>
  </w:num>
  <w:num w:numId="13">
    <w:abstractNumId w:val="14"/>
  </w:num>
  <w:num w:numId="14">
    <w:abstractNumId w:val="17"/>
  </w:num>
  <w:num w:numId="15">
    <w:abstractNumId w:val="5"/>
  </w:num>
  <w:num w:numId="16">
    <w:abstractNumId w:val="2"/>
  </w:num>
  <w:num w:numId="17">
    <w:abstractNumId w:val="2"/>
  </w:num>
  <w:num w:numId="18">
    <w:abstractNumId w:val="4"/>
  </w:num>
  <w:num w:numId="19">
    <w:abstractNumId w:val="6"/>
  </w:num>
  <w:num w:numId="20">
    <w:abstractNumId w:val="8"/>
  </w:num>
  <w:num w:numId="21">
    <w:abstractNumId w:val="0"/>
  </w:num>
  <w:num w:numId="22">
    <w:abstractNumId w:val="1"/>
  </w:num>
  <w:num w:numId="2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28"/>
    <w:rsid w:val="000200F2"/>
    <w:rsid w:val="00041853"/>
    <w:rsid w:val="000436E0"/>
    <w:rsid w:val="00071847"/>
    <w:rsid w:val="000873ED"/>
    <w:rsid w:val="0009422B"/>
    <w:rsid w:val="000B3D2C"/>
    <w:rsid w:val="000B7801"/>
    <w:rsid w:val="000C109E"/>
    <w:rsid w:val="000C29A9"/>
    <w:rsid w:val="000C679D"/>
    <w:rsid w:val="000D3D67"/>
    <w:rsid w:val="000E3B79"/>
    <w:rsid w:val="000F23C6"/>
    <w:rsid w:val="000F3EAA"/>
    <w:rsid w:val="000F428B"/>
    <w:rsid w:val="00123733"/>
    <w:rsid w:val="00126754"/>
    <w:rsid w:val="00144411"/>
    <w:rsid w:val="00157913"/>
    <w:rsid w:val="00157F48"/>
    <w:rsid w:val="00173C55"/>
    <w:rsid w:val="0019554C"/>
    <w:rsid w:val="001B0DED"/>
    <w:rsid w:val="001E38F8"/>
    <w:rsid w:val="00204418"/>
    <w:rsid w:val="00241258"/>
    <w:rsid w:val="00260789"/>
    <w:rsid w:val="002641E3"/>
    <w:rsid w:val="00281D29"/>
    <w:rsid w:val="002A51F0"/>
    <w:rsid w:val="002B59F2"/>
    <w:rsid w:val="002D462C"/>
    <w:rsid w:val="002F1AF4"/>
    <w:rsid w:val="003145F3"/>
    <w:rsid w:val="003231C9"/>
    <w:rsid w:val="003521EC"/>
    <w:rsid w:val="00377A55"/>
    <w:rsid w:val="0039573E"/>
    <w:rsid w:val="003A7CD3"/>
    <w:rsid w:val="003E2C1D"/>
    <w:rsid w:val="00432E3A"/>
    <w:rsid w:val="004503C3"/>
    <w:rsid w:val="0048469A"/>
    <w:rsid w:val="004B27FA"/>
    <w:rsid w:val="004C4E1B"/>
    <w:rsid w:val="004D51C5"/>
    <w:rsid w:val="004D6211"/>
    <w:rsid w:val="004E38E8"/>
    <w:rsid w:val="004E39F0"/>
    <w:rsid w:val="004E70EF"/>
    <w:rsid w:val="004F1A5E"/>
    <w:rsid w:val="00514D43"/>
    <w:rsid w:val="005358A2"/>
    <w:rsid w:val="005418CA"/>
    <w:rsid w:val="005712C2"/>
    <w:rsid w:val="00574B30"/>
    <w:rsid w:val="00581616"/>
    <w:rsid w:val="00587E2C"/>
    <w:rsid w:val="0059138B"/>
    <w:rsid w:val="005B15A4"/>
    <w:rsid w:val="005E42A0"/>
    <w:rsid w:val="005F160A"/>
    <w:rsid w:val="00612FA4"/>
    <w:rsid w:val="00627EB0"/>
    <w:rsid w:val="00646863"/>
    <w:rsid w:val="00681EC2"/>
    <w:rsid w:val="006C2528"/>
    <w:rsid w:val="006C7705"/>
    <w:rsid w:val="006D4024"/>
    <w:rsid w:val="006E277B"/>
    <w:rsid w:val="006E3B01"/>
    <w:rsid w:val="006F1E9F"/>
    <w:rsid w:val="0076017D"/>
    <w:rsid w:val="007607F9"/>
    <w:rsid w:val="0076724F"/>
    <w:rsid w:val="00781310"/>
    <w:rsid w:val="007C3F15"/>
    <w:rsid w:val="007C5451"/>
    <w:rsid w:val="008010C3"/>
    <w:rsid w:val="00833CF7"/>
    <w:rsid w:val="00836E12"/>
    <w:rsid w:val="00842C38"/>
    <w:rsid w:val="00843C85"/>
    <w:rsid w:val="00865C76"/>
    <w:rsid w:val="00885036"/>
    <w:rsid w:val="008B25A6"/>
    <w:rsid w:val="009012B2"/>
    <w:rsid w:val="009170F7"/>
    <w:rsid w:val="00917679"/>
    <w:rsid w:val="009255E9"/>
    <w:rsid w:val="009273E8"/>
    <w:rsid w:val="009556A6"/>
    <w:rsid w:val="00963612"/>
    <w:rsid w:val="00966C8F"/>
    <w:rsid w:val="009715A1"/>
    <w:rsid w:val="00973516"/>
    <w:rsid w:val="00986592"/>
    <w:rsid w:val="009973F3"/>
    <w:rsid w:val="009C053E"/>
    <w:rsid w:val="009C1BC6"/>
    <w:rsid w:val="009C5998"/>
    <w:rsid w:val="009D15B7"/>
    <w:rsid w:val="009D4433"/>
    <w:rsid w:val="009D6ED3"/>
    <w:rsid w:val="00A06C46"/>
    <w:rsid w:val="00A15758"/>
    <w:rsid w:val="00A325A9"/>
    <w:rsid w:val="00A337FE"/>
    <w:rsid w:val="00A4735E"/>
    <w:rsid w:val="00A63551"/>
    <w:rsid w:val="00A64D2D"/>
    <w:rsid w:val="00AB2465"/>
    <w:rsid w:val="00AC3E08"/>
    <w:rsid w:val="00AD3B23"/>
    <w:rsid w:val="00AE0A45"/>
    <w:rsid w:val="00B0162F"/>
    <w:rsid w:val="00B07548"/>
    <w:rsid w:val="00B24709"/>
    <w:rsid w:val="00B30FAC"/>
    <w:rsid w:val="00B42285"/>
    <w:rsid w:val="00B53774"/>
    <w:rsid w:val="00B6412B"/>
    <w:rsid w:val="00B86755"/>
    <w:rsid w:val="00B91EDC"/>
    <w:rsid w:val="00B93BB9"/>
    <w:rsid w:val="00B96D84"/>
    <w:rsid w:val="00BB5E4D"/>
    <w:rsid w:val="00BC250E"/>
    <w:rsid w:val="00BE3D39"/>
    <w:rsid w:val="00BF071F"/>
    <w:rsid w:val="00BF19C2"/>
    <w:rsid w:val="00C0333B"/>
    <w:rsid w:val="00C0489E"/>
    <w:rsid w:val="00C07E80"/>
    <w:rsid w:val="00C343D2"/>
    <w:rsid w:val="00C63163"/>
    <w:rsid w:val="00C63B7C"/>
    <w:rsid w:val="00C7412A"/>
    <w:rsid w:val="00C768F5"/>
    <w:rsid w:val="00C819B5"/>
    <w:rsid w:val="00C87559"/>
    <w:rsid w:val="00CA0BB2"/>
    <w:rsid w:val="00CA51F9"/>
    <w:rsid w:val="00CD0D01"/>
    <w:rsid w:val="00CE6368"/>
    <w:rsid w:val="00D12320"/>
    <w:rsid w:val="00D132D9"/>
    <w:rsid w:val="00D20353"/>
    <w:rsid w:val="00D4579B"/>
    <w:rsid w:val="00D637C4"/>
    <w:rsid w:val="00D86B5D"/>
    <w:rsid w:val="00D96239"/>
    <w:rsid w:val="00DB073C"/>
    <w:rsid w:val="00DB78A4"/>
    <w:rsid w:val="00DE1B17"/>
    <w:rsid w:val="00DF5FA6"/>
    <w:rsid w:val="00E00168"/>
    <w:rsid w:val="00E12B46"/>
    <w:rsid w:val="00E63EF3"/>
    <w:rsid w:val="00E67D75"/>
    <w:rsid w:val="00E844DB"/>
    <w:rsid w:val="00EA2699"/>
    <w:rsid w:val="00EA4E0A"/>
    <w:rsid w:val="00EA559A"/>
    <w:rsid w:val="00EA6408"/>
    <w:rsid w:val="00EB2BD5"/>
    <w:rsid w:val="00EC5D66"/>
    <w:rsid w:val="00F16D3F"/>
    <w:rsid w:val="00F3554D"/>
    <w:rsid w:val="00F71E2B"/>
    <w:rsid w:val="00F727D3"/>
    <w:rsid w:val="00FA5B06"/>
    <w:rsid w:val="00FB306A"/>
    <w:rsid w:val="00FB3525"/>
    <w:rsid w:val="00FB60FB"/>
    <w:rsid w:val="00FC1E6C"/>
    <w:rsid w:val="00FC55BF"/>
    <w:rsid w:val="00FE54BF"/>
    <w:rsid w:val="00FE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uiPriority="35" w:qFormat="1"/>
    <w:lsdException w:name="page number" w:uiPriority="0"/>
    <w:lsdException w:name="Title" w:locked="1" w:semiHidden="0" w:uiPriority="0" w:unhideWhenUsed="0"/>
    <w:lsdException w:name="Default Paragraph Font" w:locked="1" w:semiHidden="0" w:uiPriority="0" w:unhideWhenUsed="0"/>
    <w:lsdException w:name="Body Text" w:uiPriority="0"/>
    <w:lsdException w:name="Subtitle" w:locked="1" w:semiHidden="0" w:uiPriority="0" w:unhideWhenUsed="0"/>
    <w:lsdException w:name="Strong" w:locked="1" w:semiHidden="0" w:uiPriority="0" w:unhideWhenUsed="0"/>
    <w:lsdException w:name="Emphasis" w:locked="1" w:semiHidden="0" w:uiPriority="2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57913"/>
    <w:pPr>
      <w:keepNext/>
      <w:jc w:val="both"/>
    </w:pPr>
    <w:rPr>
      <w:sz w:val="24"/>
      <w:szCs w:val="24"/>
    </w:rPr>
  </w:style>
  <w:style w:type="paragraph" w:styleId="Nadpis1">
    <w:name w:val="heading 1"/>
    <w:basedOn w:val="Normlny"/>
    <w:next w:val="Normlny"/>
    <w:link w:val="Nadpis1Char"/>
    <w:uiPriority w:val="9"/>
    <w:qFormat/>
    <w:rsid w:val="00157913"/>
    <w:pPr>
      <w:keepLines/>
      <w:spacing w:before="360" w:after="120"/>
      <w:jc w:val="center"/>
      <w:outlineLvl w:val="0"/>
    </w:pPr>
    <w:rPr>
      <w:rFonts w:cs="Arial"/>
      <w:b/>
      <w:bCs/>
      <w:szCs w:val="28"/>
      <w:lang w:val="x-none" w:eastAsia="x-none"/>
    </w:rPr>
  </w:style>
  <w:style w:type="paragraph" w:styleId="Nadpis2">
    <w:name w:val="heading 2"/>
    <w:basedOn w:val="Normlny"/>
    <w:next w:val="Normlny"/>
    <w:link w:val="Nadpis2Char"/>
    <w:uiPriority w:val="9"/>
    <w:unhideWhenUsed/>
    <w:qFormat/>
    <w:rsid w:val="00157913"/>
    <w:pPr>
      <w:keepLines/>
      <w:spacing w:before="240" w:after="120"/>
      <w:jc w:val="center"/>
      <w:outlineLvl w:val="1"/>
    </w:pPr>
    <w:rPr>
      <w:rFonts w:cs="Arial"/>
      <w:b/>
      <w:bCs/>
      <w:szCs w:val="26"/>
      <w:lang w:val="x-none" w:eastAsia="x-none"/>
    </w:rPr>
  </w:style>
  <w:style w:type="paragraph" w:styleId="Nadpis3">
    <w:name w:val="heading 3"/>
    <w:basedOn w:val="Normlny"/>
    <w:next w:val="Normlny"/>
    <w:link w:val="Nadpis3Char"/>
    <w:uiPriority w:val="9"/>
    <w:unhideWhenUsed/>
    <w:qFormat/>
    <w:rsid w:val="00157913"/>
    <w:pPr>
      <w:keepLines/>
      <w:spacing w:before="120" w:after="120"/>
      <w:outlineLvl w:val="2"/>
    </w:pPr>
    <w:rPr>
      <w:rFonts w:cs="Arial"/>
      <w:b/>
      <w:bCs/>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157913"/>
    <w:rPr>
      <w:rFonts w:cs="Arial"/>
      <w:b/>
      <w:bCs/>
      <w:sz w:val="24"/>
      <w:szCs w:val="28"/>
      <w:lang w:val="x-none" w:eastAsia="x-none"/>
    </w:rPr>
  </w:style>
  <w:style w:type="character" w:customStyle="1" w:styleId="Nadpis2Char">
    <w:name w:val="Nadpis 2 Char"/>
    <w:link w:val="Nadpis2"/>
    <w:uiPriority w:val="9"/>
    <w:locked/>
    <w:rsid w:val="00157913"/>
    <w:rPr>
      <w:rFonts w:cs="Arial"/>
      <w:b/>
      <w:bCs/>
      <w:sz w:val="24"/>
      <w:szCs w:val="26"/>
      <w:lang w:val="x-none" w:eastAsia="x-none"/>
    </w:rPr>
  </w:style>
  <w:style w:type="character" w:customStyle="1" w:styleId="Nadpis3Char">
    <w:name w:val="Nadpis 3 Char"/>
    <w:link w:val="Nadpis3"/>
    <w:uiPriority w:val="9"/>
    <w:locked/>
    <w:rsid w:val="00157913"/>
    <w:rPr>
      <w:rFonts w:cs="Arial"/>
      <w:b/>
      <w:bCs/>
      <w:sz w:val="24"/>
      <w:lang w:val="x-none" w:eastAsia="x-none"/>
    </w:rPr>
  </w:style>
  <w:style w:type="character" w:styleId="Textzstupnhosymbolu">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rsid w:val="008B25A6"/>
    <w:rPr>
      <w:rFonts w:ascii="Tahoma" w:hAnsi="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imes New Roman"/>
      <w:sz w:val="16"/>
      <w:lang w:val="sk-SK" w:eastAsia="sk-SK"/>
    </w:rPr>
  </w:style>
  <w:style w:type="paragraph" w:customStyle="1" w:styleId="odsek1">
    <w:name w:val="odsek1"/>
    <w:basedOn w:val="odsek"/>
    <w:link w:val="odsek1Char"/>
    <w:qFormat/>
    <w:rsid w:val="00157913"/>
    <w:pPr>
      <w:numPr>
        <w:numId w:val="10"/>
      </w:numPr>
      <w:spacing w:before="120" w:after="120"/>
    </w:pPr>
  </w:style>
  <w:style w:type="character" w:customStyle="1" w:styleId="odsek1Char">
    <w:name w:val="odsek1 Char"/>
    <w:link w:val="odsek1"/>
    <w:locked/>
    <w:rsid w:val="00144411"/>
    <w:rPr>
      <w:sz w:val="24"/>
      <w:szCs w:val="24"/>
    </w:rPr>
  </w:style>
  <w:style w:type="paragraph" w:customStyle="1" w:styleId="adda">
    <w:name w:val="adda"/>
    <w:basedOn w:val="Normlny"/>
    <w:link w:val="addaChar"/>
    <w:uiPriority w:val="99"/>
    <w:qFormat/>
    <w:rsid w:val="00157913"/>
    <w:pPr>
      <w:numPr>
        <w:numId w:val="9"/>
      </w:numPr>
      <w:spacing w:before="60" w:after="60"/>
    </w:pPr>
  </w:style>
  <w:style w:type="character" w:customStyle="1" w:styleId="addaChar">
    <w:name w:val="adda Char"/>
    <w:link w:val="adda"/>
    <w:locked/>
    <w:rsid w:val="00144411"/>
    <w:rPr>
      <w:sz w:val="24"/>
      <w:szCs w:val="24"/>
    </w:rPr>
  </w:style>
  <w:style w:type="paragraph" w:customStyle="1" w:styleId="a">
    <w:name w:val="§"/>
    <w:basedOn w:val="Normlny"/>
    <w:link w:val="Char"/>
    <w:qFormat/>
    <w:rsid w:val="00157913"/>
    <w:pPr>
      <w:numPr>
        <w:numId w:val="8"/>
      </w:numPr>
      <w:tabs>
        <w:tab w:val="left" w:pos="425"/>
      </w:tabs>
      <w:spacing w:before="240" w:after="120"/>
      <w:jc w:val="center"/>
    </w:pPr>
  </w:style>
  <w:style w:type="character" w:customStyle="1" w:styleId="Char">
    <w:name w:val="§ Char"/>
    <w:link w:val="a"/>
    <w:locked/>
    <w:rsid w:val="00144411"/>
    <w:rPr>
      <w:sz w:val="24"/>
      <w:szCs w:val="24"/>
    </w:rPr>
  </w:style>
  <w:style w:type="paragraph" w:styleId="Odsekzoznamu">
    <w:name w:val="List Paragraph"/>
    <w:aliases w:val="Odsek"/>
    <w:basedOn w:val="Normlny"/>
    <w:link w:val="OdsekzoznamuChar"/>
    <w:uiPriority w:val="34"/>
    <w:qFormat/>
    <w:rsid w:val="00144411"/>
    <w:pPr>
      <w:keepLines/>
      <w:ind w:firstLine="709"/>
    </w:pPr>
  </w:style>
  <w:style w:type="paragraph" w:customStyle="1" w:styleId="tl">
    <w:name w:val="Štýl"/>
    <w:uiPriority w:val="99"/>
    <w:rsid w:val="009C5998"/>
    <w:pPr>
      <w:keepNext/>
      <w:spacing w:before="60" w:after="60"/>
      <w:jc w:val="both"/>
    </w:pPr>
    <w:rPr>
      <w:sz w:val="24"/>
    </w:rPr>
  </w:style>
  <w:style w:type="paragraph" w:styleId="Hlavika">
    <w:name w:val="header"/>
    <w:basedOn w:val="Normlny"/>
    <w:link w:val="HlavikaChar"/>
    <w:uiPriority w:val="99"/>
    <w:rsid w:val="000C109E"/>
    <w:pPr>
      <w:tabs>
        <w:tab w:val="center" w:pos="4536"/>
        <w:tab w:val="right" w:pos="9072"/>
      </w:tabs>
    </w:pPr>
  </w:style>
  <w:style w:type="character" w:customStyle="1" w:styleId="HlavikaChar">
    <w:name w:val="Hlavička Char"/>
    <w:basedOn w:val="Predvolenpsmoodseku"/>
    <w:link w:val="Hlavika"/>
    <w:uiPriority w:val="99"/>
    <w:locked/>
    <w:rsid w:val="000C109E"/>
    <w:rPr>
      <w:rFonts w:ascii="Times New Roman" w:hAnsi="Times New Roman" w:cs="Times New Roman"/>
      <w:sz w:val="22"/>
    </w:rPr>
  </w:style>
  <w:style w:type="paragraph" w:styleId="Pta">
    <w:name w:val="footer"/>
    <w:basedOn w:val="Normlny"/>
    <w:link w:val="PtaChar"/>
    <w:uiPriority w:val="99"/>
    <w:rsid w:val="000C109E"/>
    <w:pPr>
      <w:tabs>
        <w:tab w:val="center" w:pos="4536"/>
        <w:tab w:val="right" w:pos="9072"/>
      </w:tabs>
    </w:pPr>
  </w:style>
  <w:style w:type="character" w:customStyle="1" w:styleId="PtaChar">
    <w:name w:val="Päta Char"/>
    <w:basedOn w:val="Predvolenpsmoodseku"/>
    <w:link w:val="Pta"/>
    <w:uiPriority w:val="99"/>
    <w:locked/>
    <w:rsid w:val="000C109E"/>
    <w:rPr>
      <w:rFonts w:ascii="Times New Roman" w:hAnsi="Times New Roman" w:cs="Times New Roman"/>
      <w:sz w:val="22"/>
    </w:rPr>
  </w:style>
  <w:style w:type="paragraph" w:styleId="Nzov">
    <w:name w:val="Title"/>
    <w:basedOn w:val="Normlny"/>
    <w:next w:val="Normlny"/>
    <w:link w:val="NzovChar"/>
    <w:locked/>
    <w:rsid w:val="009556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9556A6"/>
    <w:rPr>
      <w:rFonts w:asciiTheme="majorHAnsi" w:eastAsiaTheme="majorEastAsia" w:hAnsiTheme="majorHAnsi" w:cstheme="majorBidi"/>
      <w:color w:val="17365D" w:themeColor="text2" w:themeShade="BF"/>
      <w:spacing w:val="5"/>
      <w:kern w:val="28"/>
      <w:sz w:val="52"/>
      <w:szCs w:val="52"/>
    </w:rPr>
  </w:style>
  <w:style w:type="character" w:styleId="slostrany">
    <w:name w:val="page number"/>
    <w:basedOn w:val="Predvolenpsmoodseku"/>
    <w:rsid w:val="00C7412A"/>
    <w:rPr>
      <w:rFonts w:cs="Times New Roman"/>
    </w:rPr>
  </w:style>
  <w:style w:type="paragraph" w:styleId="Normlnywebov">
    <w:name w:val="Normal (Web)"/>
    <w:basedOn w:val="Normlny"/>
    <w:uiPriority w:val="99"/>
    <w:rsid w:val="00C7412A"/>
    <w:pPr>
      <w:keepNext w:val="0"/>
      <w:spacing w:before="100" w:beforeAutospacing="1" w:after="100" w:afterAutospacing="1"/>
      <w:jc w:val="left"/>
    </w:pPr>
    <w:rPr>
      <w:rFonts w:eastAsia="Times New Roman"/>
    </w:rPr>
  </w:style>
  <w:style w:type="paragraph" w:customStyle="1" w:styleId="odsek">
    <w:name w:val="odsek"/>
    <w:basedOn w:val="Normlny"/>
    <w:link w:val="odsekChar"/>
    <w:qFormat/>
    <w:rsid w:val="00157913"/>
    <w:pPr>
      <w:ind w:firstLine="709"/>
    </w:pPr>
  </w:style>
  <w:style w:type="paragraph" w:customStyle="1" w:styleId="Poznmkapodiarou">
    <w:name w:val="Poznámka pod čiarou"/>
    <w:basedOn w:val="Textpoznmkypodiarou"/>
    <w:qFormat/>
    <w:rsid w:val="00157913"/>
    <w:rPr>
      <w:szCs w:val="24"/>
    </w:rPr>
  </w:style>
  <w:style w:type="paragraph" w:styleId="Textpoznmkypodiarou">
    <w:name w:val="footnote text"/>
    <w:basedOn w:val="Normlny"/>
    <w:link w:val="TextpoznmkypodiarouChar"/>
    <w:semiHidden/>
    <w:unhideWhenUsed/>
    <w:qFormat/>
    <w:rsid w:val="00157913"/>
    <w:pPr>
      <w:ind w:left="227" w:hanging="227"/>
    </w:pPr>
    <w:rPr>
      <w:sz w:val="20"/>
      <w:szCs w:val="20"/>
      <w:lang w:val="x-none" w:eastAsia="x-none"/>
    </w:rPr>
  </w:style>
  <w:style w:type="character" w:customStyle="1" w:styleId="TextpoznmkypodiarouChar">
    <w:name w:val="Text poznámky pod čiarou Char"/>
    <w:link w:val="Textpoznmkypodiarou"/>
    <w:semiHidden/>
    <w:rsid w:val="00157913"/>
    <w:rPr>
      <w:lang w:val="x-none" w:eastAsia="x-none"/>
    </w:rPr>
  </w:style>
  <w:style w:type="paragraph" w:styleId="Hlavikaobsahu">
    <w:name w:val="TOC Heading"/>
    <w:basedOn w:val="Nadpis1"/>
    <w:next w:val="Normlny"/>
    <w:uiPriority w:val="39"/>
    <w:semiHidden/>
    <w:unhideWhenUsed/>
    <w:qFormat/>
    <w:rsid w:val="00157913"/>
    <w:pPr>
      <w:spacing w:before="480" w:after="0"/>
      <w:jc w:val="both"/>
      <w:outlineLvl w:val="9"/>
    </w:pPr>
    <w:rPr>
      <w:rFonts w:ascii="Cambria" w:eastAsia="Times New Roman" w:hAnsi="Cambria" w:cs="Times New Roman"/>
      <w:color w:val="365F91"/>
      <w:sz w:val="28"/>
      <w:lang w:eastAsia="en-US"/>
    </w:rPr>
  </w:style>
  <w:style w:type="character" w:customStyle="1" w:styleId="odsekChar">
    <w:name w:val="odsek Char"/>
    <w:link w:val="odsek"/>
    <w:locked/>
    <w:rsid w:val="002641E3"/>
    <w:rPr>
      <w:sz w:val="24"/>
      <w:szCs w:val="24"/>
    </w:rPr>
  </w:style>
  <w:style w:type="table" w:styleId="Mriekatabuky">
    <w:name w:val="Table Grid"/>
    <w:basedOn w:val="Normlnatabuka"/>
    <w:uiPriority w:val="59"/>
    <w:locked/>
    <w:rsid w:val="009636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Odsek Char"/>
    <w:link w:val="Odsekzoznamu"/>
    <w:uiPriority w:val="34"/>
    <w:locked/>
    <w:rsid w:val="00963612"/>
    <w:rPr>
      <w:sz w:val="24"/>
      <w:szCs w:val="24"/>
    </w:rPr>
  </w:style>
  <w:style w:type="character" w:styleId="Zvraznenie">
    <w:name w:val="Emphasis"/>
    <w:uiPriority w:val="20"/>
    <w:qFormat/>
    <w:locked/>
    <w:rsid w:val="00C87559"/>
    <w:rPr>
      <w:i/>
      <w:iCs/>
    </w:rPr>
  </w:style>
  <w:style w:type="character" w:customStyle="1" w:styleId="ppp-input-value1">
    <w:name w:val="ppp-input-value1"/>
    <w:basedOn w:val="Predvolenpsmoodseku"/>
    <w:rsid w:val="00C87559"/>
    <w:rPr>
      <w:rFonts w:ascii="Tahoma" w:hAnsi="Tahoma" w:cs="Tahoma" w:hint="default"/>
      <w:color w:val="837A73"/>
      <w:sz w:val="16"/>
      <w:szCs w:val="16"/>
    </w:rPr>
  </w:style>
  <w:style w:type="paragraph" w:styleId="Zkladntext">
    <w:name w:val="Body Text"/>
    <w:basedOn w:val="Normlny"/>
    <w:link w:val="ZkladntextChar"/>
    <w:rsid w:val="00FC1E6C"/>
    <w:pPr>
      <w:keepNext w:val="0"/>
      <w:jc w:val="left"/>
    </w:pPr>
    <w:rPr>
      <w:rFonts w:eastAsia="Times New Roman"/>
      <w:b/>
      <w:szCs w:val="20"/>
    </w:rPr>
  </w:style>
  <w:style w:type="character" w:customStyle="1" w:styleId="ZkladntextChar">
    <w:name w:val="Základný text Char"/>
    <w:basedOn w:val="Predvolenpsmoodseku"/>
    <w:link w:val="Zkladntext"/>
    <w:rsid w:val="00FC1E6C"/>
    <w:rPr>
      <w:rFonts w:eastAsia="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uiPriority="35" w:qFormat="1"/>
    <w:lsdException w:name="page number" w:uiPriority="0"/>
    <w:lsdException w:name="Title" w:locked="1" w:semiHidden="0" w:uiPriority="0" w:unhideWhenUsed="0"/>
    <w:lsdException w:name="Default Paragraph Font" w:locked="1" w:semiHidden="0" w:uiPriority="0" w:unhideWhenUsed="0"/>
    <w:lsdException w:name="Body Text" w:uiPriority="0"/>
    <w:lsdException w:name="Subtitle" w:locked="1" w:semiHidden="0" w:uiPriority="0" w:unhideWhenUsed="0"/>
    <w:lsdException w:name="Strong" w:locked="1" w:semiHidden="0" w:uiPriority="0" w:unhideWhenUsed="0"/>
    <w:lsdException w:name="Emphasis" w:locked="1" w:semiHidden="0" w:uiPriority="2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57913"/>
    <w:pPr>
      <w:keepNext/>
      <w:jc w:val="both"/>
    </w:pPr>
    <w:rPr>
      <w:sz w:val="24"/>
      <w:szCs w:val="24"/>
    </w:rPr>
  </w:style>
  <w:style w:type="paragraph" w:styleId="Nadpis1">
    <w:name w:val="heading 1"/>
    <w:basedOn w:val="Normlny"/>
    <w:next w:val="Normlny"/>
    <w:link w:val="Nadpis1Char"/>
    <w:uiPriority w:val="9"/>
    <w:qFormat/>
    <w:rsid w:val="00157913"/>
    <w:pPr>
      <w:keepLines/>
      <w:spacing w:before="360" w:after="120"/>
      <w:jc w:val="center"/>
      <w:outlineLvl w:val="0"/>
    </w:pPr>
    <w:rPr>
      <w:rFonts w:cs="Arial"/>
      <w:b/>
      <w:bCs/>
      <w:szCs w:val="28"/>
      <w:lang w:val="x-none" w:eastAsia="x-none"/>
    </w:rPr>
  </w:style>
  <w:style w:type="paragraph" w:styleId="Nadpis2">
    <w:name w:val="heading 2"/>
    <w:basedOn w:val="Normlny"/>
    <w:next w:val="Normlny"/>
    <w:link w:val="Nadpis2Char"/>
    <w:uiPriority w:val="9"/>
    <w:unhideWhenUsed/>
    <w:qFormat/>
    <w:rsid w:val="00157913"/>
    <w:pPr>
      <w:keepLines/>
      <w:spacing w:before="240" w:after="120"/>
      <w:jc w:val="center"/>
      <w:outlineLvl w:val="1"/>
    </w:pPr>
    <w:rPr>
      <w:rFonts w:cs="Arial"/>
      <w:b/>
      <w:bCs/>
      <w:szCs w:val="26"/>
      <w:lang w:val="x-none" w:eastAsia="x-none"/>
    </w:rPr>
  </w:style>
  <w:style w:type="paragraph" w:styleId="Nadpis3">
    <w:name w:val="heading 3"/>
    <w:basedOn w:val="Normlny"/>
    <w:next w:val="Normlny"/>
    <w:link w:val="Nadpis3Char"/>
    <w:uiPriority w:val="9"/>
    <w:unhideWhenUsed/>
    <w:qFormat/>
    <w:rsid w:val="00157913"/>
    <w:pPr>
      <w:keepLines/>
      <w:spacing w:before="120" w:after="120"/>
      <w:outlineLvl w:val="2"/>
    </w:pPr>
    <w:rPr>
      <w:rFonts w:cs="Arial"/>
      <w:b/>
      <w:bCs/>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157913"/>
    <w:rPr>
      <w:rFonts w:cs="Arial"/>
      <w:b/>
      <w:bCs/>
      <w:sz w:val="24"/>
      <w:szCs w:val="28"/>
      <w:lang w:val="x-none" w:eastAsia="x-none"/>
    </w:rPr>
  </w:style>
  <w:style w:type="character" w:customStyle="1" w:styleId="Nadpis2Char">
    <w:name w:val="Nadpis 2 Char"/>
    <w:link w:val="Nadpis2"/>
    <w:uiPriority w:val="9"/>
    <w:locked/>
    <w:rsid w:val="00157913"/>
    <w:rPr>
      <w:rFonts w:cs="Arial"/>
      <w:b/>
      <w:bCs/>
      <w:sz w:val="24"/>
      <w:szCs w:val="26"/>
      <w:lang w:val="x-none" w:eastAsia="x-none"/>
    </w:rPr>
  </w:style>
  <w:style w:type="character" w:customStyle="1" w:styleId="Nadpis3Char">
    <w:name w:val="Nadpis 3 Char"/>
    <w:link w:val="Nadpis3"/>
    <w:uiPriority w:val="9"/>
    <w:locked/>
    <w:rsid w:val="00157913"/>
    <w:rPr>
      <w:rFonts w:cs="Arial"/>
      <w:b/>
      <w:bCs/>
      <w:sz w:val="24"/>
      <w:lang w:val="x-none" w:eastAsia="x-none"/>
    </w:rPr>
  </w:style>
  <w:style w:type="character" w:styleId="Textzstupnhosymbolu">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rsid w:val="008B25A6"/>
    <w:rPr>
      <w:rFonts w:ascii="Tahoma" w:hAnsi="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imes New Roman"/>
      <w:sz w:val="16"/>
      <w:lang w:val="sk-SK" w:eastAsia="sk-SK"/>
    </w:rPr>
  </w:style>
  <w:style w:type="paragraph" w:customStyle="1" w:styleId="odsek1">
    <w:name w:val="odsek1"/>
    <w:basedOn w:val="odsek"/>
    <w:link w:val="odsek1Char"/>
    <w:qFormat/>
    <w:rsid w:val="00157913"/>
    <w:pPr>
      <w:numPr>
        <w:numId w:val="10"/>
      </w:numPr>
      <w:spacing w:before="120" w:after="120"/>
    </w:pPr>
  </w:style>
  <w:style w:type="character" w:customStyle="1" w:styleId="odsek1Char">
    <w:name w:val="odsek1 Char"/>
    <w:link w:val="odsek1"/>
    <w:locked/>
    <w:rsid w:val="00144411"/>
    <w:rPr>
      <w:sz w:val="24"/>
      <w:szCs w:val="24"/>
    </w:rPr>
  </w:style>
  <w:style w:type="paragraph" w:customStyle="1" w:styleId="adda">
    <w:name w:val="adda"/>
    <w:basedOn w:val="Normlny"/>
    <w:link w:val="addaChar"/>
    <w:uiPriority w:val="99"/>
    <w:qFormat/>
    <w:rsid w:val="00157913"/>
    <w:pPr>
      <w:numPr>
        <w:numId w:val="9"/>
      </w:numPr>
      <w:spacing w:before="60" w:after="60"/>
    </w:pPr>
  </w:style>
  <w:style w:type="character" w:customStyle="1" w:styleId="addaChar">
    <w:name w:val="adda Char"/>
    <w:link w:val="adda"/>
    <w:locked/>
    <w:rsid w:val="00144411"/>
    <w:rPr>
      <w:sz w:val="24"/>
      <w:szCs w:val="24"/>
    </w:rPr>
  </w:style>
  <w:style w:type="paragraph" w:customStyle="1" w:styleId="a">
    <w:name w:val="§"/>
    <w:basedOn w:val="Normlny"/>
    <w:link w:val="Char"/>
    <w:qFormat/>
    <w:rsid w:val="00157913"/>
    <w:pPr>
      <w:numPr>
        <w:numId w:val="8"/>
      </w:numPr>
      <w:tabs>
        <w:tab w:val="left" w:pos="425"/>
      </w:tabs>
      <w:spacing w:before="240" w:after="120"/>
      <w:jc w:val="center"/>
    </w:pPr>
  </w:style>
  <w:style w:type="character" w:customStyle="1" w:styleId="Char">
    <w:name w:val="§ Char"/>
    <w:link w:val="a"/>
    <w:locked/>
    <w:rsid w:val="00144411"/>
    <w:rPr>
      <w:sz w:val="24"/>
      <w:szCs w:val="24"/>
    </w:rPr>
  </w:style>
  <w:style w:type="paragraph" w:styleId="Odsekzoznamu">
    <w:name w:val="List Paragraph"/>
    <w:aliases w:val="Odsek"/>
    <w:basedOn w:val="Normlny"/>
    <w:link w:val="OdsekzoznamuChar"/>
    <w:uiPriority w:val="34"/>
    <w:qFormat/>
    <w:rsid w:val="00144411"/>
    <w:pPr>
      <w:keepLines/>
      <w:ind w:firstLine="709"/>
    </w:pPr>
  </w:style>
  <w:style w:type="paragraph" w:customStyle="1" w:styleId="tl">
    <w:name w:val="Štýl"/>
    <w:uiPriority w:val="99"/>
    <w:rsid w:val="009C5998"/>
    <w:pPr>
      <w:keepNext/>
      <w:spacing w:before="60" w:after="60"/>
      <w:jc w:val="both"/>
    </w:pPr>
    <w:rPr>
      <w:sz w:val="24"/>
    </w:rPr>
  </w:style>
  <w:style w:type="paragraph" w:styleId="Hlavika">
    <w:name w:val="header"/>
    <w:basedOn w:val="Normlny"/>
    <w:link w:val="HlavikaChar"/>
    <w:uiPriority w:val="99"/>
    <w:rsid w:val="000C109E"/>
    <w:pPr>
      <w:tabs>
        <w:tab w:val="center" w:pos="4536"/>
        <w:tab w:val="right" w:pos="9072"/>
      </w:tabs>
    </w:pPr>
  </w:style>
  <w:style w:type="character" w:customStyle="1" w:styleId="HlavikaChar">
    <w:name w:val="Hlavička Char"/>
    <w:basedOn w:val="Predvolenpsmoodseku"/>
    <w:link w:val="Hlavika"/>
    <w:uiPriority w:val="99"/>
    <w:locked/>
    <w:rsid w:val="000C109E"/>
    <w:rPr>
      <w:rFonts w:ascii="Times New Roman" w:hAnsi="Times New Roman" w:cs="Times New Roman"/>
      <w:sz w:val="22"/>
    </w:rPr>
  </w:style>
  <w:style w:type="paragraph" w:styleId="Pta">
    <w:name w:val="footer"/>
    <w:basedOn w:val="Normlny"/>
    <w:link w:val="PtaChar"/>
    <w:uiPriority w:val="99"/>
    <w:rsid w:val="000C109E"/>
    <w:pPr>
      <w:tabs>
        <w:tab w:val="center" w:pos="4536"/>
        <w:tab w:val="right" w:pos="9072"/>
      </w:tabs>
    </w:pPr>
  </w:style>
  <w:style w:type="character" w:customStyle="1" w:styleId="PtaChar">
    <w:name w:val="Päta Char"/>
    <w:basedOn w:val="Predvolenpsmoodseku"/>
    <w:link w:val="Pta"/>
    <w:uiPriority w:val="99"/>
    <w:locked/>
    <w:rsid w:val="000C109E"/>
    <w:rPr>
      <w:rFonts w:ascii="Times New Roman" w:hAnsi="Times New Roman" w:cs="Times New Roman"/>
      <w:sz w:val="22"/>
    </w:rPr>
  </w:style>
  <w:style w:type="paragraph" w:styleId="Nzov">
    <w:name w:val="Title"/>
    <w:basedOn w:val="Normlny"/>
    <w:next w:val="Normlny"/>
    <w:link w:val="NzovChar"/>
    <w:locked/>
    <w:rsid w:val="009556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9556A6"/>
    <w:rPr>
      <w:rFonts w:asciiTheme="majorHAnsi" w:eastAsiaTheme="majorEastAsia" w:hAnsiTheme="majorHAnsi" w:cstheme="majorBidi"/>
      <w:color w:val="17365D" w:themeColor="text2" w:themeShade="BF"/>
      <w:spacing w:val="5"/>
      <w:kern w:val="28"/>
      <w:sz w:val="52"/>
      <w:szCs w:val="52"/>
    </w:rPr>
  </w:style>
  <w:style w:type="character" w:styleId="slostrany">
    <w:name w:val="page number"/>
    <w:basedOn w:val="Predvolenpsmoodseku"/>
    <w:rsid w:val="00C7412A"/>
    <w:rPr>
      <w:rFonts w:cs="Times New Roman"/>
    </w:rPr>
  </w:style>
  <w:style w:type="paragraph" w:styleId="Normlnywebov">
    <w:name w:val="Normal (Web)"/>
    <w:basedOn w:val="Normlny"/>
    <w:uiPriority w:val="99"/>
    <w:rsid w:val="00C7412A"/>
    <w:pPr>
      <w:keepNext w:val="0"/>
      <w:spacing w:before="100" w:beforeAutospacing="1" w:after="100" w:afterAutospacing="1"/>
      <w:jc w:val="left"/>
    </w:pPr>
    <w:rPr>
      <w:rFonts w:eastAsia="Times New Roman"/>
    </w:rPr>
  </w:style>
  <w:style w:type="paragraph" w:customStyle="1" w:styleId="odsek">
    <w:name w:val="odsek"/>
    <w:basedOn w:val="Normlny"/>
    <w:link w:val="odsekChar"/>
    <w:qFormat/>
    <w:rsid w:val="00157913"/>
    <w:pPr>
      <w:ind w:firstLine="709"/>
    </w:pPr>
  </w:style>
  <w:style w:type="paragraph" w:customStyle="1" w:styleId="Poznmkapodiarou">
    <w:name w:val="Poznámka pod čiarou"/>
    <w:basedOn w:val="Textpoznmkypodiarou"/>
    <w:qFormat/>
    <w:rsid w:val="00157913"/>
    <w:rPr>
      <w:szCs w:val="24"/>
    </w:rPr>
  </w:style>
  <w:style w:type="paragraph" w:styleId="Textpoznmkypodiarou">
    <w:name w:val="footnote text"/>
    <w:basedOn w:val="Normlny"/>
    <w:link w:val="TextpoznmkypodiarouChar"/>
    <w:semiHidden/>
    <w:unhideWhenUsed/>
    <w:qFormat/>
    <w:rsid w:val="00157913"/>
    <w:pPr>
      <w:ind w:left="227" w:hanging="227"/>
    </w:pPr>
    <w:rPr>
      <w:sz w:val="20"/>
      <w:szCs w:val="20"/>
      <w:lang w:val="x-none" w:eastAsia="x-none"/>
    </w:rPr>
  </w:style>
  <w:style w:type="character" w:customStyle="1" w:styleId="TextpoznmkypodiarouChar">
    <w:name w:val="Text poznámky pod čiarou Char"/>
    <w:link w:val="Textpoznmkypodiarou"/>
    <w:semiHidden/>
    <w:rsid w:val="00157913"/>
    <w:rPr>
      <w:lang w:val="x-none" w:eastAsia="x-none"/>
    </w:rPr>
  </w:style>
  <w:style w:type="paragraph" w:styleId="Hlavikaobsahu">
    <w:name w:val="TOC Heading"/>
    <w:basedOn w:val="Nadpis1"/>
    <w:next w:val="Normlny"/>
    <w:uiPriority w:val="39"/>
    <w:semiHidden/>
    <w:unhideWhenUsed/>
    <w:qFormat/>
    <w:rsid w:val="00157913"/>
    <w:pPr>
      <w:spacing w:before="480" w:after="0"/>
      <w:jc w:val="both"/>
      <w:outlineLvl w:val="9"/>
    </w:pPr>
    <w:rPr>
      <w:rFonts w:ascii="Cambria" w:eastAsia="Times New Roman" w:hAnsi="Cambria" w:cs="Times New Roman"/>
      <w:color w:val="365F91"/>
      <w:sz w:val="28"/>
      <w:lang w:eastAsia="en-US"/>
    </w:rPr>
  </w:style>
  <w:style w:type="character" w:customStyle="1" w:styleId="odsekChar">
    <w:name w:val="odsek Char"/>
    <w:link w:val="odsek"/>
    <w:locked/>
    <w:rsid w:val="002641E3"/>
    <w:rPr>
      <w:sz w:val="24"/>
      <w:szCs w:val="24"/>
    </w:rPr>
  </w:style>
  <w:style w:type="table" w:styleId="Mriekatabuky">
    <w:name w:val="Table Grid"/>
    <w:basedOn w:val="Normlnatabuka"/>
    <w:uiPriority w:val="59"/>
    <w:locked/>
    <w:rsid w:val="009636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Odsek Char"/>
    <w:link w:val="Odsekzoznamu"/>
    <w:uiPriority w:val="34"/>
    <w:locked/>
    <w:rsid w:val="00963612"/>
    <w:rPr>
      <w:sz w:val="24"/>
      <w:szCs w:val="24"/>
    </w:rPr>
  </w:style>
  <w:style w:type="character" w:styleId="Zvraznenie">
    <w:name w:val="Emphasis"/>
    <w:uiPriority w:val="20"/>
    <w:qFormat/>
    <w:locked/>
    <w:rsid w:val="00C87559"/>
    <w:rPr>
      <w:i/>
      <w:iCs/>
    </w:rPr>
  </w:style>
  <w:style w:type="character" w:customStyle="1" w:styleId="ppp-input-value1">
    <w:name w:val="ppp-input-value1"/>
    <w:basedOn w:val="Predvolenpsmoodseku"/>
    <w:rsid w:val="00C87559"/>
    <w:rPr>
      <w:rFonts w:ascii="Tahoma" w:hAnsi="Tahoma" w:cs="Tahoma" w:hint="default"/>
      <w:color w:val="837A73"/>
      <w:sz w:val="16"/>
      <w:szCs w:val="16"/>
    </w:rPr>
  </w:style>
  <w:style w:type="paragraph" w:styleId="Zkladntext">
    <w:name w:val="Body Text"/>
    <w:basedOn w:val="Normlny"/>
    <w:link w:val="ZkladntextChar"/>
    <w:rsid w:val="00FC1E6C"/>
    <w:pPr>
      <w:keepNext w:val="0"/>
      <w:jc w:val="left"/>
    </w:pPr>
    <w:rPr>
      <w:rFonts w:eastAsia="Times New Roman"/>
      <w:b/>
      <w:szCs w:val="20"/>
    </w:rPr>
  </w:style>
  <w:style w:type="character" w:customStyle="1" w:styleId="ZkladntextChar">
    <w:name w:val="Základný text Char"/>
    <w:basedOn w:val="Predvolenpsmoodseku"/>
    <w:link w:val="Zkladntext"/>
    <w:rsid w:val="00FC1E6C"/>
    <w:rPr>
      <w:rFonts w:eastAsia="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2832</Words>
  <Characters>17142</Characters>
  <Application>Microsoft Office Word</Application>
  <DocSecurity>0</DocSecurity>
  <Lines>142</Lines>
  <Paragraphs>39</Paragraphs>
  <ScaleCrop>false</ScaleCrop>
  <HeadingPairs>
    <vt:vector size="2" baseType="variant">
      <vt:variant>
        <vt:lpstr>Názov</vt:lpstr>
      </vt:variant>
      <vt:variant>
        <vt:i4>1</vt:i4>
      </vt:variant>
    </vt:vector>
  </HeadingPairs>
  <TitlesOfParts>
    <vt:vector size="1" baseType="lpstr">
      <vt:lpstr>Dôvodová správa</vt:lpstr>
    </vt:vector>
  </TitlesOfParts>
  <Company>Abyss</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Benová Timea</cp:lastModifiedBy>
  <cp:revision>21</cp:revision>
  <cp:lastPrinted>2014-07-04T08:01:00Z</cp:lastPrinted>
  <dcterms:created xsi:type="dcterms:W3CDTF">2014-06-16T06:53:00Z</dcterms:created>
  <dcterms:modified xsi:type="dcterms:W3CDTF">2014-09-18T09:35:00Z</dcterms:modified>
</cp:coreProperties>
</file>