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56" w:rsidRPr="00857AD0" w:rsidRDefault="00A50556" w:rsidP="00A50556">
      <w:pPr>
        <w:adjustRightInd w:val="0"/>
        <w:jc w:val="center"/>
        <w:rPr>
          <w:b/>
          <w:bCs/>
          <w:caps/>
          <w:lang w:eastAsia="en-US"/>
        </w:rPr>
      </w:pPr>
      <w:r w:rsidRPr="00857AD0">
        <w:rPr>
          <w:b/>
          <w:bCs/>
          <w:caps/>
          <w:lang w:eastAsia="en-US"/>
        </w:rPr>
        <w:t>Vyhodnotenie medzirezortného pripomienkového konania</w:t>
      </w:r>
    </w:p>
    <w:p w:rsidR="00A50556" w:rsidRPr="00857AD0" w:rsidRDefault="00A50556" w:rsidP="00A50556">
      <w:pPr>
        <w:adjustRightInd w:val="0"/>
        <w:jc w:val="center"/>
        <w:rPr>
          <w:lang w:eastAsia="en-US"/>
        </w:rPr>
      </w:pPr>
    </w:p>
    <w:p w:rsidR="00A50556" w:rsidRPr="00857AD0" w:rsidRDefault="007C6F9B" w:rsidP="00A50556">
      <w:pPr>
        <w:adjustRightInd w:val="0"/>
        <w:jc w:val="center"/>
        <w:rPr>
          <w:lang w:eastAsia="en-US"/>
        </w:rPr>
      </w:pPr>
      <w:r w:rsidRPr="00857AD0">
        <w:rPr>
          <w:iCs/>
        </w:rPr>
        <w:t xml:space="preserve">Správa o poľnohospodárstve a potravinárstve v Slovenskej republike </w:t>
      </w:r>
      <w:r w:rsidR="00371851">
        <w:rPr>
          <w:iCs/>
        </w:rPr>
        <w:t xml:space="preserve">za rok </w:t>
      </w:r>
      <w:r w:rsidRPr="00857AD0">
        <w:rPr>
          <w:iCs/>
        </w:rPr>
        <w:t>20</w:t>
      </w:r>
      <w:r w:rsidR="00861309">
        <w:rPr>
          <w:iCs/>
        </w:rPr>
        <w:t>1</w:t>
      </w:r>
      <w:r w:rsidR="00AB1873">
        <w:rPr>
          <w:iCs/>
        </w:rPr>
        <w:t>3</w:t>
      </w:r>
    </w:p>
    <w:p w:rsidR="00A50556" w:rsidRPr="00857AD0" w:rsidRDefault="00A50556" w:rsidP="00A50556">
      <w:pPr>
        <w:adjustRightInd w:val="0"/>
        <w:jc w:val="center"/>
        <w:rPr>
          <w:lang w:eastAsia="en-US"/>
        </w:rPr>
      </w:pPr>
    </w:p>
    <w:tbl>
      <w:tblPr>
        <w:tblW w:w="14322" w:type="dxa"/>
        <w:tblCellMar>
          <w:left w:w="0" w:type="dxa"/>
          <w:right w:w="0" w:type="dxa"/>
        </w:tblCellMar>
        <w:tblLook w:val="0000"/>
      </w:tblPr>
      <w:tblGrid>
        <w:gridCol w:w="6379"/>
        <w:gridCol w:w="7943"/>
      </w:tblGrid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Spôsob pripomienkového konania</w:t>
            </w:r>
          </w:p>
        </w:tc>
        <w:tc>
          <w:tcPr>
            <w:tcW w:w="7943" w:type="dxa"/>
          </w:tcPr>
          <w:p w:rsidR="00A50556" w:rsidRPr="00857AD0" w:rsidRDefault="00FB4002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bežný</w:t>
            </w: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Počet vznesených pripomienok, z toho zásadných</w:t>
            </w:r>
          </w:p>
        </w:tc>
        <w:tc>
          <w:tcPr>
            <w:tcW w:w="7943" w:type="dxa"/>
          </w:tcPr>
          <w:p w:rsidR="00A50556" w:rsidRPr="000E4755" w:rsidRDefault="00BC2C7D" w:rsidP="00BC2C7D">
            <w:pPr>
              <w:adjustRightInd w:val="0"/>
              <w:rPr>
                <w:lang w:eastAsia="en-US"/>
              </w:rPr>
            </w:pPr>
            <w:r w:rsidRPr="000E4755">
              <w:rPr>
                <w:lang w:eastAsia="en-US"/>
              </w:rPr>
              <w:t>26</w:t>
            </w:r>
            <w:r w:rsidR="00A50556" w:rsidRPr="000E4755">
              <w:rPr>
                <w:lang w:eastAsia="en-US"/>
              </w:rPr>
              <w:t>/</w:t>
            </w:r>
            <w:r w:rsidRPr="000E4755">
              <w:rPr>
                <w:lang w:eastAsia="en-US"/>
              </w:rPr>
              <w:t>5</w:t>
            </w: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Počet vyhodnotených pripomienok</w:t>
            </w:r>
          </w:p>
        </w:tc>
        <w:tc>
          <w:tcPr>
            <w:tcW w:w="7943" w:type="dxa"/>
          </w:tcPr>
          <w:p w:rsidR="00A50556" w:rsidRPr="000E4755" w:rsidRDefault="00BC2C7D" w:rsidP="003B066D">
            <w:pPr>
              <w:adjustRightInd w:val="0"/>
              <w:rPr>
                <w:lang w:val="en-US" w:eastAsia="en-US"/>
              </w:rPr>
            </w:pPr>
            <w:r w:rsidRPr="000E4755">
              <w:rPr>
                <w:lang w:val="en-US" w:eastAsia="en-US"/>
              </w:rPr>
              <w:t>26</w:t>
            </w: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</w:p>
        </w:tc>
        <w:tc>
          <w:tcPr>
            <w:tcW w:w="7943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Počet akceptovaných pripomienok, z toho zásadných</w:t>
            </w:r>
          </w:p>
        </w:tc>
        <w:tc>
          <w:tcPr>
            <w:tcW w:w="7943" w:type="dxa"/>
          </w:tcPr>
          <w:p w:rsidR="00A50556" w:rsidRPr="000E4755" w:rsidRDefault="000E4755" w:rsidP="000E4755">
            <w:pPr>
              <w:adjustRightInd w:val="0"/>
              <w:rPr>
                <w:lang w:eastAsia="en-US"/>
              </w:rPr>
            </w:pPr>
            <w:r w:rsidRPr="000E4755">
              <w:rPr>
                <w:lang w:eastAsia="en-US"/>
              </w:rPr>
              <w:t>17</w:t>
            </w:r>
            <w:r w:rsidR="00A50556" w:rsidRPr="000E4755">
              <w:rPr>
                <w:lang w:eastAsia="en-US"/>
              </w:rPr>
              <w:t>/</w:t>
            </w:r>
            <w:r w:rsidRPr="000E4755">
              <w:rPr>
                <w:lang w:eastAsia="en-US"/>
              </w:rPr>
              <w:t>1</w:t>
            </w: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Počet čiastočne akceptovaných pripomienok, z toho zásadných</w:t>
            </w:r>
            <w:r w:rsidR="00C56D9B">
              <w:rPr>
                <w:lang w:eastAsia="en-US"/>
              </w:rPr>
              <w:t xml:space="preserve"> </w:t>
            </w:r>
          </w:p>
        </w:tc>
        <w:tc>
          <w:tcPr>
            <w:tcW w:w="7943" w:type="dxa"/>
          </w:tcPr>
          <w:p w:rsidR="00A50556" w:rsidRPr="000E4755" w:rsidRDefault="000E4755" w:rsidP="00BC2C7D">
            <w:pPr>
              <w:adjustRightInd w:val="0"/>
              <w:rPr>
                <w:lang w:eastAsia="en-US"/>
              </w:rPr>
            </w:pPr>
            <w:r w:rsidRPr="000E4755">
              <w:rPr>
                <w:lang w:eastAsia="en-US"/>
              </w:rPr>
              <w:t>5</w:t>
            </w:r>
            <w:r w:rsidR="00A50556" w:rsidRPr="000E4755">
              <w:rPr>
                <w:lang w:eastAsia="en-US"/>
              </w:rPr>
              <w:t>/</w:t>
            </w:r>
            <w:r w:rsidRPr="000E4755">
              <w:rPr>
                <w:lang w:eastAsia="en-US"/>
              </w:rPr>
              <w:t>4</w:t>
            </w:r>
          </w:p>
        </w:tc>
      </w:tr>
      <w:tr w:rsidR="00A50556" w:rsidRPr="00857AD0">
        <w:tc>
          <w:tcPr>
            <w:tcW w:w="6379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Počet neakceptovaných pripomienok, z toho zásadných</w:t>
            </w:r>
          </w:p>
        </w:tc>
        <w:tc>
          <w:tcPr>
            <w:tcW w:w="7943" w:type="dxa"/>
          </w:tcPr>
          <w:p w:rsidR="00A50556" w:rsidRPr="000E4755" w:rsidRDefault="000E4755" w:rsidP="000E4755">
            <w:pPr>
              <w:adjustRightInd w:val="0"/>
              <w:rPr>
                <w:lang w:eastAsia="en-US"/>
              </w:rPr>
            </w:pPr>
            <w:r w:rsidRPr="000E4755">
              <w:rPr>
                <w:lang w:eastAsia="en-US"/>
              </w:rPr>
              <w:t>4</w:t>
            </w:r>
            <w:r w:rsidR="00A50556" w:rsidRPr="000E4755">
              <w:rPr>
                <w:lang w:eastAsia="en-US"/>
              </w:rPr>
              <w:t>/</w:t>
            </w:r>
            <w:r w:rsidRPr="000E4755">
              <w:rPr>
                <w:lang w:eastAsia="en-US"/>
              </w:rPr>
              <w:t>0</w:t>
            </w:r>
          </w:p>
        </w:tc>
      </w:tr>
      <w:tr w:rsidR="00A50556" w:rsidRPr="00857AD0">
        <w:tc>
          <w:tcPr>
            <w:tcW w:w="6379" w:type="dxa"/>
          </w:tcPr>
          <w:p w:rsidR="00A50556" w:rsidRPr="00BC2C7D" w:rsidRDefault="00A50556" w:rsidP="00A50556">
            <w:pPr>
              <w:adjustRightInd w:val="0"/>
              <w:rPr>
                <w:lang w:eastAsia="en-US"/>
              </w:rPr>
            </w:pPr>
          </w:p>
        </w:tc>
        <w:tc>
          <w:tcPr>
            <w:tcW w:w="7943" w:type="dxa"/>
          </w:tcPr>
          <w:p w:rsidR="00A50556" w:rsidRPr="00857AD0" w:rsidRDefault="00A50556" w:rsidP="00A50556">
            <w:pPr>
              <w:adjustRightInd w:val="0"/>
              <w:rPr>
                <w:lang w:eastAsia="en-US"/>
              </w:rPr>
            </w:pPr>
          </w:p>
        </w:tc>
      </w:tr>
      <w:tr w:rsidR="00510AAC" w:rsidRPr="00857AD0">
        <w:tc>
          <w:tcPr>
            <w:tcW w:w="6379" w:type="dxa"/>
          </w:tcPr>
          <w:p w:rsidR="000973CB" w:rsidRDefault="00510AAC" w:rsidP="000973CB">
            <w:pPr>
              <w:adjustRightInd w:val="0"/>
              <w:rPr>
                <w:lang w:eastAsia="en-US"/>
              </w:rPr>
            </w:pPr>
            <w:r w:rsidRPr="00510AAC">
              <w:rPr>
                <w:lang w:eastAsia="en-US"/>
              </w:rPr>
              <w:t>Rozporové konanie (s kým, kedy, s akým výsledkom)</w:t>
            </w:r>
            <w:r w:rsidR="00565438">
              <w:rPr>
                <w:lang w:eastAsia="en-US"/>
              </w:rPr>
              <w:t xml:space="preserve"> </w:t>
            </w:r>
          </w:p>
          <w:p w:rsidR="00510AAC" w:rsidRPr="00510AAC" w:rsidRDefault="00BC2C7D" w:rsidP="000E4755">
            <w:pPr>
              <w:numPr>
                <w:ilvl w:val="0"/>
                <w:numId w:val="8"/>
              </w:numPr>
              <w:adjustRightInd w:val="0"/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rozporové konani</w:t>
            </w:r>
            <w:r w:rsidR="000E4755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sa nekonal</w:t>
            </w:r>
            <w:r w:rsidR="000E4755">
              <w:rPr>
                <w:lang w:eastAsia="en-US"/>
              </w:rPr>
              <w:t>o</w:t>
            </w:r>
          </w:p>
        </w:tc>
        <w:tc>
          <w:tcPr>
            <w:tcW w:w="7943" w:type="dxa"/>
          </w:tcPr>
          <w:p w:rsidR="00510AAC" w:rsidRPr="00857AD0" w:rsidRDefault="00510AAC" w:rsidP="00A50556">
            <w:pPr>
              <w:adjustRightInd w:val="0"/>
              <w:rPr>
                <w:lang w:eastAsia="en-US"/>
              </w:rPr>
            </w:pPr>
          </w:p>
        </w:tc>
      </w:tr>
      <w:tr w:rsidR="00510AAC" w:rsidRPr="00857AD0">
        <w:tc>
          <w:tcPr>
            <w:tcW w:w="6379" w:type="dxa"/>
          </w:tcPr>
          <w:p w:rsidR="00510AAC" w:rsidRPr="00AB1873" w:rsidRDefault="00510AAC" w:rsidP="00BC2C7D">
            <w:pPr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7943" w:type="dxa"/>
          </w:tcPr>
          <w:p w:rsidR="00510AAC" w:rsidRPr="00DE3765" w:rsidRDefault="00510AAC" w:rsidP="00A50556">
            <w:pPr>
              <w:adjustRightInd w:val="0"/>
              <w:rPr>
                <w:color w:val="FF0000"/>
                <w:lang w:eastAsia="en-US"/>
              </w:rPr>
            </w:pPr>
          </w:p>
        </w:tc>
      </w:tr>
    </w:tbl>
    <w:p w:rsidR="00A50556" w:rsidRPr="00857AD0" w:rsidRDefault="00A50556" w:rsidP="00A50556">
      <w:pPr>
        <w:adjustRightInd w:val="0"/>
        <w:rPr>
          <w:b/>
          <w:bCs/>
          <w:lang w:eastAsia="en-US"/>
        </w:rPr>
      </w:pPr>
    </w:p>
    <w:p w:rsidR="00A50556" w:rsidRPr="00857AD0" w:rsidRDefault="00A50556" w:rsidP="00A50556">
      <w:pPr>
        <w:adjustRightInd w:val="0"/>
        <w:rPr>
          <w:lang w:eastAsia="en-US"/>
        </w:rPr>
      </w:pPr>
      <w:r w:rsidRPr="000542AE">
        <w:rPr>
          <w:lang w:eastAsia="en-US"/>
        </w:rPr>
        <w:t>Sumarizácia vznesených</w:t>
      </w:r>
      <w:r w:rsidRPr="00857AD0">
        <w:rPr>
          <w:lang w:eastAsia="en-US"/>
        </w:rPr>
        <w:t xml:space="preserve"> pripomienok podľa subjektov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93"/>
        <w:gridCol w:w="5891"/>
        <w:gridCol w:w="2214"/>
        <w:gridCol w:w="1850"/>
        <w:gridCol w:w="2016"/>
        <w:gridCol w:w="1804"/>
      </w:tblGrid>
      <w:tr w:rsidR="00A50556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Č.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Subjekt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Pripomienky do termínu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Pripomienky po termíne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Nemali prip</w:t>
            </w:r>
            <w:r w:rsidRPr="00857AD0">
              <w:rPr>
                <w:b/>
                <w:bCs/>
                <w:lang w:eastAsia="en-US"/>
              </w:rPr>
              <w:t>o</w:t>
            </w:r>
            <w:r w:rsidRPr="00857AD0">
              <w:rPr>
                <w:b/>
                <w:bCs/>
                <w:lang w:eastAsia="en-US"/>
              </w:rPr>
              <w:t>mienky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Vôbec nezaslali</w:t>
            </w:r>
          </w:p>
        </w:tc>
      </w:tr>
      <w:tr w:rsidR="00A50556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556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904D11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financií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E94083" w:rsidRDefault="00D85B02" w:rsidP="002A0538">
            <w:pPr>
              <w:adjustRightInd w:val="0"/>
              <w:jc w:val="center"/>
              <w:rPr>
                <w:lang w:eastAsia="en-US"/>
              </w:rPr>
            </w:pPr>
            <w:r w:rsidRPr="00E94083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88742E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904D11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4D11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861309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hospodárstva</w:t>
            </w:r>
            <w:r w:rsidR="00516AED">
              <w:rPr>
                <w:lang w:eastAsia="en-US"/>
              </w:rPr>
              <w:t xml:space="preserve"> </w:t>
            </w:r>
            <w:r w:rsidRPr="00857AD0">
              <w:rPr>
                <w:lang w:eastAsia="en-US"/>
              </w:rPr>
              <w:t>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535AF9" w:rsidRDefault="00535AF9" w:rsidP="00535AF9">
            <w:pPr>
              <w:adjustRightInd w:val="0"/>
              <w:jc w:val="center"/>
              <w:rPr>
                <w:lang w:eastAsia="en-US"/>
              </w:rPr>
            </w:pPr>
            <w:r w:rsidRPr="00535AF9">
              <w:rPr>
                <w:lang w:eastAsia="en-US"/>
              </w:rPr>
              <w:t>1 (0o,1z)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1E29A4" w:rsidRDefault="00D85B02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243E1F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857AD0" w:rsidRDefault="00DE3765" w:rsidP="004C4A88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4A88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857AD0" w:rsidRDefault="00243E1F" w:rsidP="0086130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Ministerstvo životného prostredia Slovenskej republiky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535AF9" w:rsidRDefault="00535AF9" w:rsidP="00535AF9">
            <w:pPr>
              <w:adjustRightInd w:val="0"/>
              <w:jc w:val="center"/>
              <w:rPr>
                <w:lang w:eastAsia="en-US"/>
              </w:rPr>
            </w:pPr>
            <w:r w:rsidRPr="00535AF9">
              <w:rPr>
                <w:lang w:eastAsia="en-US"/>
              </w:rPr>
              <w:t>1</w:t>
            </w:r>
            <w:r w:rsidR="00F36599" w:rsidRPr="00535AF9">
              <w:rPr>
                <w:lang w:eastAsia="en-US"/>
              </w:rPr>
              <w:t xml:space="preserve"> (</w:t>
            </w:r>
            <w:r w:rsidRPr="00535AF9">
              <w:rPr>
                <w:lang w:eastAsia="en-US"/>
              </w:rPr>
              <w:t>1</w:t>
            </w:r>
            <w:r w:rsidR="00F36599" w:rsidRPr="00535AF9">
              <w:rPr>
                <w:lang w:eastAsia="en-US"/>
              </w:rPr>
              <w:t>o,0z)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857AD0" w:rsidRDefault="00243E1F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857AD0" w:rsidRDefault="00243E1F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1F" w:rsidRPr="00857AD0" w:rsidRDefault="00243E1F" w:rsidP="00A50556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904D11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DE3765" w:rsidP="004C4A88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04D11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243E1F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dopravy</w:t>
            </w:r>
            <w:r w:rsidR="00243E1F">
              <w:rPr>
                <w:lang w:eastAsia="en-US"/>
              </w:rPr>
              <w:t xml:space="preserve">, výstavby a regionálneho rozvoja </w:t>
            </w:r>
            <w:r w:rsidRPr="00857AD0">
              <w:rPr>
                <w:lang w:eastAsia="en-US"/>
              </w:rPr>
              <w:t xml:space="preserve">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300E70" w:rsidP="00300E70">
            <w:pPr>
              <w:adjustRightInd w:val="0"/>
              <w:jc w:val="center"/>
              <w:rPr>
                <w:lang w:eastAsia="en-US"/>
              </w:rPr>
            </w:pPr>
            <w:r w:rsidRPr="00535AF9">
              <w:rPr>
                <w:lang w:eastAsia="en-US"/>
              </w:rPr>
              <w:t>1 (1o,0z)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C073CC" w:rsidRDefault="00D85B02" w:rsidP="00A50556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1E29A4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60385F" w:rsidRDefault="00B722D1" w:rsidP="00A50556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60385F">
              <w:rPr>
                <w:color w:val="FF0000"/>
                <w:lang w:eastAsia="en-US"/>
              </w:rPr>
              <w:t> </w:t>
            </w:r>
          </w:p>
        </w:tc>
      </w:tr>
      <w:tr w:rsidR="00904D11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04D11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vnútra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535AF9" w:rsidP="00695733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35AF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3</w:t>
            </w:r>
            <w:r w:rsidRPr="00535AF9">
              <w:rPr>
                <w:lang w:eastAsia="en-US"/>
              </w:rPr>
              <w:t>o,</w:t>
            </w:r>
            <w:r>
              <w:rPr>
                <w:lang w:eastAsia="en-US"/>
              </w:rPr>
              <w:t>0</w:t>
            </w:r>
            <w:r w:rsidRPr="00535AF9">
              <w:rPr>
                <w:lang w:eastAsia="en-US"/>
              </w:rPr>
              <w:t>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904D11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04D11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obrany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1E29A4" w:rsidRDefault="00D85B02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1" w:rsidRPr="00857AD0" w:rsidRDefault="00904D11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spravodlivosti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BD4A9B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60385F" w:rsidRDefault="00BD4A9B" w:rsidP="00C073CC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BD4A9B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2A0538" w:rsidRDefault="00F54FE5" w:rsidP="00B74853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  <w:r w:rsidR="002A0538" w:rsidRPr="002A0538">
              <w:rPr>
                <w:lang w:eastAsia="en-US"/>
              </w:rPr>
              <w:t>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zahraničných vecí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516AED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  <w:r w:rsidR="00F54FE5"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E94083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60385F" w:rsidRDefault="00B722D1" w:rsidP="00A50556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60385F">
              <w:rPr>
                <w:color w:val="FF0000"/>
                <w:lang w:eastAsia="en-US"/>
              </w:rPr>
              <w:t>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DE3765" w:rsidP="00A5055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práce, sociálnych vecí a rodiny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1E29A4" w:rsidRDefault="00227014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0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školstva</w:t>
            </w:r>
            <w:r w:rsidR="00F615FD">
              <w:rPr>
                <w:lang w:eastAsia="en-US"/>
              </w:rPr>
              <w:t>, vedy, výskumu a športu</w:t>
            </w:r>
            <w:r w:rsidRPr="00857AD0">
              <w:rPr>
                <w:lang w:eastAsia="en-US"/>
              </w:rPr>
              <w:t xml:space="preserve">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C073CC" w:rsidRDefault="00D85B02" w:rsidP="002A0538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70249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lastRenderedPageBreak/>
              <w:t>1</w:t>
            </w:r>
            <w:r w:rsidR="00DE3765">
              <w:rPr>
                <w:lang w:eastAsia="en-US"/>
              </w:rPr>
              <w:t>1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C073CC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kultúry</w:t>
            </w:r>
            <w:r w:rsidR="00C073CC">
              <w:rPr>
                <w:lang w:eastAsia="en-US"/>
              </w:rPr>
              <w:t xml:space="preserve"> </w:t>
            </w:r>
            <w:r w:rsidRPr="00857AD0">
              <w:rPr>
                <w:lang w:eastAsia="en-US"/>
              </w:rPr>
              <w:t>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1E29A4" w:rsidP="00D70249">
            <w:pPr>
              <w:adjustRightInd w:val="0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 w:rsidR="00F54FE5" w:rsidRPr="00857AD0">
              <w:rPr>
                <w:lang w:eastAsia="en-US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C073CC" w:rsidRDefault="00D85B02" w:rsidP="002A0538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 </w:t>
            </w:r>
          </w:p>
        </w:tc>
      </w:tr>
      <w:tr w:rsidR="00F54FE5" w:rsidRPr="00857AD0" w:rsidTr="00995BFC">
        <w:trPr>
          <w:trHeight w:val="33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2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Ministerstvo zdravotníctva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AB1873" w:rsidRDefault="00F54FE5" w:rsidP="00D70249">
            <w:pPr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60385F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3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Úrad vlády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404CC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70249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2A0538" w:rsidRDefault="00D85B02" w:rsidP="00A50556">
            <w:pPr>
              <w:adjustRightInd w:val="0"/>
              <w:jc w:val="center"/>
              <w:rPr>
                <w:lang w:eastAsia="en-US"/>
              </w:rPr>
            </w:pPr>
            <w:r w:rsidRPr="002A0538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4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Odbor vládnej agendy Úradu vlády SR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404CC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4478F3" w:rsidRDefault="00F54FE5" w:rsidP="00D70249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2A0538" w:rsidRDefault="00D85B02" w:rsidP="00A50556">
            <w:pPr>
              <w:adjustRightInd w:val="0"/>
              <w:jc w:val="center"/>
              <w:rPr>
                <w:lang w:eastAsia="en-US"/>
              </w:rPr>
            </w:pPr>
            <w:r w:rsidRPr="002A0538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5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Štatistický úrad Slovenskej republiky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60385F" w:rsidRDefault="0060385F" w:rsidP="0060385F">
            <w:pPr>
              <w:adjustRightInd w:val="0"/>
              <w:jc w:val="center"/>
              <w:rPr>
                <w:lang w:eastAsia="en-US"/>
              </w:rPr>
            </w:pPr>
            <w:r w:rsidRPr="0060385F">
              <w:rPr>
                <w:lang w:eastAsia="en-US"/>
              </w:rPr>
              <w:t>1</w:t>
            </w:r>
            <w:r w:rsidR="00F36599" w:rsidRPr="0060385F">
              <w:rPr>
                <w:lang w:eastAsia="en-US"/>
              </w:rPr>
              <w:t>5 (1</w:t>
            </w:r>
            <w:r w:rsidRPr="0060385F">
              <w:rPr>
                <w:lang w:eastAsia="en-US"/>
              </w:rPr>
              <w:t>5</w:t>
            </w:r>
            <w:r w:rsidR="00F36599" w:rsidRPr="0060385F">
              <w:rPr>
                <w:lang w:eastAsia="en-US"/>
              </w:rPr>
              <w:t>o,</w:t>
            </w:r>
            <w:r w:rsidRPr="0060385F">
              <w:rPr>
                <w:lang w:eastAsia="en-US"/>
              </w:rPr>
              <w:t>0</w:t>
            </w:r>
            <w:r w:rsidR="00F36599" w:rsidRPr="0060385F">
              <w:rPr>
                <w:lang w:eastAsia="en-US"/>
              </w:rPr>
              <w:t>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F4547B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6E0F5B" w:rsidP="00DE3765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1</w:t>
            </w:r>
            <w:r w:rsidR="00DE3765">
              <w:rPr>
                <w:lang w:eastAsia="en-US"/>
              </w:rPr>
              <w:t>6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F4547B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Národný bezpečnostný úrad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F4547B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F4547B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D85B02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B" w:rsidRPr="00857AD0" w:rsidRDefault="00F4547B" w:rsidP="00A50556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4C4A88" w:rsidP="00DE3765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482D">
              <w:rPr>
                <w:lang w:eastAsia="en-US"/>
              </w:rPr>
              <w:t>7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12AB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Slovenská poľnohospodárska a potravinárska komora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4A0ABF" w:rsidP="00A50556">
            <w:pPr>
              <w:adjustRightInd w:val="0"/>
              <w:jc w:val="center"/>
              <w:rPr>
                <w:lang w:eastAsia="en-US"/>
              </w:rPr>
            </w:pPr>
            <w:r w:rsidRPr="00535AF9">
              <w:rPr>
                <w:lang w:eastAsia="en-US"/>
              </w:rPr>
              <w:t>1 (1o,0z)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60385F" w:rsidRDefault="00F54FE5" w:rsidP="00A50556">
            <w:pPr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CC482D" w:rsidP="00A46C40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6C40">
              <w:rPr>
                <w:lang w:eastAsia="en-US"/>
              </w:rPr>
              <w:t>9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390505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Zväz poľnohospodárskych družstiev a obchodných sp</w:t>
            </w:r>
            <w:r w:rsidRPr="00857AD0">
              <w:rPr>
                <w:lang w:eastAsia="en-US"/>
              </w:rPr>
              <w:t>o</w:t>
            </w:r>
            <w:r w:rsidRPr="00857AD0">
              <w:rPr>
                <w:lang w:eastAsia="en-US"/>
              </w:rPr>
              <w:t>ločností SR</w:t>
            </w:r>
            <w:r w:rsidR="00A962FF">
              <w:rPr>
                <w:lang w:eastAsia="en-US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CF481A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A46C40" w:rsidP="00DE3765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54FE5"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Združenie vlastníkov pôdy a agropodnikateľov Slovenska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7708CA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6C40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1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A412AB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Zväz roľníkov a agropodnikateľov Slovenska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7708CA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 </w:t>
            </w:r>
          </w:p>
        </w:tc>
      </w:tr>
      <w:tr w:rsidR="003D202A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4C4A88" w:rsidP="00A46C40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3D202A" w:rsidP="00390505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Potravinárska komora Slovenska</w:t>
            </w:r>
            <w:r w:rsidR="00FC1714">
              <w:rPr>
                <w:lang w:eastAsia="en-US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651017" w:rsidP="00651017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35AF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</w:t>
            </w:r>
            <w:r w:rsidRPr="00535AF9">
              <w:rPr>
                <w:lang w:eastAsia="en-US"/>
              </w:rPr>
              <w:t>o,</w:t>
            </w:r>
            <w:r>
              <w:rPr>
                <w:lang w:eastAsia="en-US"/>
              </w:rPr>
              <w:t>3</w:t>
            </w:r>
            <w:r w:rsidRPr="00535AF9">
              <w:rPr>
                <w:lang w:eastAsia="en-US"/>
              </w:rPr>
              <w:t>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3D202A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3D202A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4A0540" w:rsidRDefault="003D202A" w:rsidP="00A50556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6C40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4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A412AB" w:rsidP="00A50556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Odborový zväz potravinárov SR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C30513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6C40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5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73" w:rsidRDefault="00A412AB" w:rsidP="00390505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 xml:space="preserve">Odborový zväz pracovníkov poľnohospodárstva </w:t>
            </w:r>
          </w:p>
          <w:p w:rsidR="00F54FE5" w:rsidRPr="00857AD0" w:rsidRDefault="00A412AB" w:rsidP="00390505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na Slovensku</w:t>
            </w:r>
            <w:r w:rsidR="001516D5">
              <w:rPr>
                <w:lang w:eastAsia="en-US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5C44FE" w:rsidP="003D202A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 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46C40">
            <w:pPr>
              <w:adjustRightInd w:val="0"/>
              <w:jc w:val="center"/>
              <w:rPr>
                <w:lang w:eastAsia="en-US"/>
              </w:rPr>
            </w:pPr>
            <w:r w:rsidRPr="00857AD0"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6</w:t>
            </w:r>
            <w:r w:rsidRPr="00857AD0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73" w:rsidRDefault="00F54FE5" w:rsidP="00390505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 xml:space="preserve">Asociácia zamestnávateľských zväzov a združení </w:t>
            </w:r>
          </w:p>
          <w:p w:rsidR="00F54FE5" w:rsidRPr="00857AD0" w:rsidRDefault="00F54FE5" w:rsidP="00390505">
            <w:pPr>
              <w:adjustRightInd w:val="0"/>
              <w:rPr>
                <w:lang w:eastAsia="en-US"/>
              </w:rPr>
            </w:pPr>
            <w:r w:rsidRPr="00857AD0">
              <w:rPr>
                <w:lang w:eastAsia="en-US"/>
              </w:rPr>
              <w:t>Slovenskej republiky</w:t>
            </w:r>
            <w:r w:rsidR="00D40555">
              <w:rPr>
                <w:lang w:eastAsia="en-US"/>
              </w:rPr>
              <w:t xml:space="preserve"> </w:t>
            </w:r>
            <w:r w:rsidRPr="00857AD0">
              <w:rPr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0D7D0C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3D202A" w:rsidRDefault="00D85B02" w:rsidP="002A0538">
            <w:pPr>
              <w:adjustRightInd w:val="0"/>
              <w:jc w:val="center"/>
              <w:rPr>
                <w:color w:val="FF0000"/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 </w:t>
            </w:r>
          </w:p>
        </w:tc>
      </w:tr>
      <w:tr w:rsidR="003D202A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4C4A88" w:rsidP="00CB5A8F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Default="003D202A" w:rsidP="00A5055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Republiková únia zamestnávateľov</w:t>
            </w:r>
          </w:p>
          <w:p w:rsidR="00DF5C61" w:rsidRPr="00857AD0" w:rsidRDefault="00DF5C61" w:rsidP="00E94083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E94083">
              <w:rPr>
                <w:lang w:eastAsia="en-US"/>
              </w:rPr>
              <w:t xml:space="preserve">v rámci RÚZ </w:t>
            </w:r>
            <w:r>
              <w:rPr>
                <w:lang w:eastAsia="en-US"/>
              </w:rPr>
              <w:t>pripomienky Agrárnej komory Slovenska)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995784" w:rsidP="00995784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1017" w:rsidRPr="00535AF9">
              <w:rPr>
                <w:lang w:eastAsia="en-US"/>
              </w:rPr>
              <w:t xml:space="preserve"> (</w:t>
            </w:r>
            <w:r w:rsidR="00651017">
              <w:rPr>
                <w:lang w:eastAsia="en-US"/>
              </w:rPr>
              <w:t>0</w:t>
            </w:r>
            <w:r w:rsidR="00651017" w:rsidRPr="00535AF9">
              <w:rPr>
                <w:lang w:eastAsia="en-US"/>
              </w:rPr>
              <w:t>o,</w:t>
            </w:r>
            <w:r>
              <w:rPr>
                <w:lang w:eastAsia="en-US"/>
              </w:rPr>
              <w:t>1</w:t>
            </w:r>
            <w:r w:rsidR="00651017" w:rsidRPr="00535AF9">
              <w:rPr>
                <w:lang w:eastAsia="en-US"/>
              </w:rPr>
              <w:t>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3D202A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3D202A" w:rsidRDefault="003D202A" w:rsidP="00A50556">
            <w:pPr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2A" w:rsidRPr="00857AD0" w:rsidRDefault="005C44FE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 </w:t>
            </w:r>
          </w:p>
        </w:tc>
      </w:tr>
      <w:tr w:rsidR="00CA2428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C482D" w:rsidP="00A46C40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8</w:t>
            </w:r>
            <w:r w:rsidR="004C4A88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Združenie miest a obcí Slovenska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583779" w:rsidRDefault="00D85B02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2A0538" w:rsidP="00A50556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</w:tr>
      <w:tr w:rsidR="00CA2428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C482D" w:rsidP="00A46C40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C40">
              <w:rPr>
                <w:lang w:eastAsia="en-US"/>
              </w:rPr>
              <w:t>9</w:t>
            </w:r>
            <w:r w:rsidR="004C4A88">
              <w:rPr>
                <w:lang w:eastAsia="en-US"/>
              </w:rPr>
              <w:t>.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Únia miest Slovenska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857AD0" w:rsidRDefault="00CA2428" w:rsidP="00A50556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28" w:rsidRPr="00583779" w:rsidRDefault="005C44FE" w:rsidP="002A0538">
            <w:pPr>
              <w:adjustRightInd w:val="0"/>
              <w:jc w:val="center"/>
              <w:rPr>
                <w:lang w:eastAsia="en-US"/>
              </w:rPr>
            </w:pPr>
            <w:r w:rsidRPr="001E29A4">
              <w:rPr>
                <w:lang w:eastAsia="en-US"/>
              </w:rPr>
              <w:t>x</w:t>
            </w:r>
          </w:p>
        </w:tc>
      </w:tr>
      <w:tr w:rsidR="00F54FE5" w:rsidRPr="00857AD0" w:rsidTr="00995BF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F54FE5" w:rsidP="00A50556">
            <w:pPr>
              <w:adjustRightInd w:val="0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SPOLU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2A0538" w:rsidRDefault="002A0538" w:rsidP="002A0538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A0538">
              <w:rPr>
                <w:b/>
                <w:lang w:eastAsia="en-US"/>
              </w:rPr>
              <w:t>26</w:t>
            </w:r>
            <w:r w:rsidR="00F90311" w:rsidRPr="002A0538">
              <w:rPr>
                <w:b/>
                <w:lang w:eastAsia="en-US"/>
              </w:rPr>
              <w:t xml:space="preserve"> (21o,</w:t>
            </w:r>
            <w:r w:rsidRPr="002A0538">
              <w:rPr>
                <w:b/>
                <w:lang w:eastAsia="en-US"/>
              </w:rPr>
              <w:t>5</w:t>
            </w:r>
            <w:r w:rsidR="00F90311" w:rsidRPr="002A0538">
              <w:rPr>
                <w:b/>
                <w:lang w:eastAsia="en-US"/>
              </w:rPr>
              <w:t>z)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857AD0" w:rsidRDefault="00B17564" w:rsidP="00CF481A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7373B3" w:rsidRDefault="001B40CF" w:rsidP="00971503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E5" w:rsidRPr="00AD465B" w:rsidRDefault="001B40CF" w:rsidP="002A0538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</w:tbl>
    <w:p w:rsidR="00A50556" w:rsidRPr="00857AD0" w:rsidRDefault="00A50556" w:rsidP="00A50556">
      <w:pPr>
        <w:adjustRightInd w:val="0"/>
        <w:jc w:val="both"/>
        <w:rPr>
          <w:color w:val="000000"/>
        </w:rPr>
      </w:pPr>
    </w:p>
    <w:p w:rsidR="00A50556" w:rsidRPr="00857AD0" w:rsidRDefault="00A50556" w:rsidP="005C0427">
      <w:pPr>
        <w:adjustRightInd w:val="0"/>
        <w:spacing w:after="120"/>
        <w:jc w:val="both"/>
        <w:rPr>
          <w:color w:val="000000"/>
        </w:rPr>
      </w:pPr>
      <w:r w:rsidRPr="00857AD0">
        <w:rPr>
          <w:color w:val="000000"/>
        </w:rPr>
        <w:t>Vyhodnotenie vecných pripomienok je uvedené v</w:t>
      </w:r>
      <w:r w:rsidR="00414783">
        <w:rPr>
          <w:color w:val="000000"/>
        </w:rPr>
        <w:t> </w:t>
      </w:r>
      <w:r w:rsidRPr="00857AD0">
        <w:rPr>
          <w:color w:val="000000"/>
        </w:rPr>
        <w:t>tabuľkovej časti</w:t>
      </w:r>
      <w:r w:rsidR="006D06C0">
        <w:rPr>
          <w:color w:val="000000"/>
        </w:rPr>
        <w:t>.</w:t>
      </w:r>
    </w:p>
    <w:tbl>
      <w:tblPr>
        <w:tblW w:w="15134" w:type="dxa"/>
        <w:tblLayout w:type="fixed"/>
        <w:tblLook w:val="0000"/>
      </w:tblPr>
      <w:tblGrid>
        <w:gridCol w:w="1242"/>
        <w:gridCol w:w="689"/>
        <w:gridCol w:w="3991"/>
        <w:gridCol w:w="3400"/>
        <w:gridCol w:w="709"/>
        <w:gridCol w:w="709"/>
        <w:gridCol w:w="4394"/>
      </w:tblGrid>
      <w:tr w:rsidR="005C0427" w:rsidRPr="00857AD0" w:rsidTr="00146556">
        <w:trPr>
          <w:gridAfter w:val="4"/>
          <w:wAfter w:w="9212" w:type="dxa"/>
        </w:trPr>
        <w:tc>
          <w:tcPr>
            <w:tcW w:w="5922" w:type="dxa"/>
            <w:gridSpan w:val="3"/>
          </w:tcPr>
          <w:p w:rsidR="00862C3F" w:rsidRDefault="00862C3F" w:rsidP="00390505">
            <w:pPr>
              <w:adjustRightInd w:val="0"/>
              <w:spacing w:after="120"/>
              <w:jc w:val="both"/>
              <w:rPr>
                <w:color w:val="000000"/>
              </w:rPr>
            </w:pPr>
          </w:p>
          <w:p w:rsidR="005C0427" w:rsidRPr="00857AD0" w:rsidRDefault="005C0427" w:rsidP="000973CB">
            <w:pPr>
              <w:adjustRightInd w:val="0"/>
              <w:jc w:val="both"/>
              <w:rPr>
                <w:color w:val="000000"/>
              </w:rPr>
            </w:pPr>
            <w:r w:rsidRPr="00857AD0">
              <w:rPr>
                <w:color w:val="000000"/>
              </w:rPr>
              <w:t>Vysvetlivky  k použitým skratkám v</w:t>
            </w:r>
            <w:r w:rsidR="0024497E">
              <w:rPr>
                <w:color w:val="000000"/>
              </w:rPr>
              <w:t> tabuľkovej časti</w:t>
            </w:r>
            <w:r w:rsidRPr="00857AD0">
              <w:rPr>
                <w:color w:val="000000"/>
              </w:rPr>
              <w:t>:</w:t>
            </w:r>
          </w:p>
        </w:tc>
      </w:tr>
      <w:tr w:rsidR="005C0427" w:rsidRPr="00857AD0" w:rsidTr="00146556">
        <w:trPr>
          <w:gridAfter w:val="4"/>
          <w:wAfter w:w="9212" w:type="dxa"/>
        </w:trPr>
        <w:tc>
          <w:tcPr>
            <w:tcW w:w="1931" w:type="dxa"/>
            <w:gridSpan w:val="2"/>
          </w:tcPr>
          <w:p w:rsidR="005C0427" w:rsidRPr="00535F1C" w:rsidRDefault="005C0427" w:rsidP="007A2810">
            <w:pPr>
              <w:adjustRightInd w:val="0"/>
              <w:jc w:val="both"/>
            </w:pPr>
            <w:r w:rsidRPr="00535F1C">
              <w:t>O – obyčajná</w:t>
            </w:r>
          </w:p>
        </w:tc>
        <w:tc>
          <w:tcPr>
            <w:tcW w:w="3991" w:type="dxa"/>
          </w:tcPr>
          <w:p w:rsidR="005C0427" w:rsidRPr="00535F1C" w:rsidRDefault="005C0427" w:rsidP="007A2810">
            <w:pPr>
              <w:adjustRightInd w:val="0"/>
              <w:jc w:val="both"/>
            </w:pPr>
            <w:r w:rsidRPr="00535F1C">
              <w:t>A – akceptovaná</w:t>
            </w:r>
          </w:p>
        </w:tc>
      </w:tr>
      <w:tr w:rsidR="005C0427" w:rsidRPr="00857AD0" w:rsidTr="00146556">
        <w:trPr>
          <w:gridAfter w:val="4"/>
          <w:wAfter w:w="9212" w:type="dxa"/>
        </w:trPr>
        <w:tc>
          <w:tcPr>
            <w:tcW w:w="1931" w:type="dxa"/>
            <w:gridSpan w:val="2"/>
          </w:tcPr>
          <w:p w:rsidR="005C0427" w:rsidRPr="00535F1C" w:rsidRDefault="005C0427" w:rsidP="007A2810">
            <w:pPr>
              <w:adjustRightInd w:val="0"/>
              <w:jc w:val="both"/>
            </w:pPr>
            <w:r w:rsidRPr="00535F1C">
              <w:t>Z – zásadná</w:t>
            </w:r>
          </w:p>
        </w:tc>
        <w:tc>
          <w:tcPr>
            <w:tcW w:w="3991" w:type="dxa"/>
          </w:tcPr>
          <w:p w:rsidR="005C0427" w:rsidRPr="00535F1C" w:rsidRDefault="005C0427" w:rsidP="007A2810">
            <w:pPr>
              <w:adjustRightInd w:val="0"/>
              <w:jc w:val="both"/>
            </w:pPr>
            <w:r w:rsidRPr="00535F1C">
              <w:t>ČA – čiastočne akceptovaná</w:t>
            </w:r>
          </w:p>
        </w:tc>
      </w:tr>
      <w:tr w:rsidR="005C0427" w:rsidRPr="00857AD0" w:rsidTr="00146556">
        <w:trPr>
          <w:gridAfter w:val="4"/>
          <w:wAfter w:w="9212" w:type="dxa"/>
        </w:trPr>
        <w:tc>
          <w:tcPr>
            <w:tcW w:w="1931" w:type="dxa"/>
            <w:gridSpan w:val="2"/>
          </w:tcPr>
          <w:p w:rsidR="005C0427" w:rsidRPr="00535F1C" w:rsidRDefault="005C0427" w:rsidP="007A2810">
            <w:pPr>
              <w:adjustRightInd w:val="0"/>
              <w:jc w:val="both"/>
            </w:pPr>
          </w:p>
        </w:tc>
        <w:tc>
          <w:tcPr>
            <w:tcW w:w="3991" w:type="dxa"/>
          </w:tcPr>
          <w:p w:rsidR="00B722D1" w:rsidRPr="00535F1C" w:rsidRDefault="000C02CA" w:rsidP="00F3132F">
            <w:pPr>
              <w:adjustRightInd w:val="0"/>
              <w:spacing w:after="120"/>
              <w:jc w:val="both"/>
            </w:pPr>
            <w:r w:rsidRPr="00535F1C">
              <w:t xml:space="preserve">N – neakceptovaná </w:t>
            </w:r>
          </w:p>
          <w:p w:rsidR="001454B4" w:rsidRPr="00535F1C" w:rsidRDefault="001454B4" w:rsidP="00F3132F">
            <w:pPr>
              <w:adjustRightInd w:val="0"/>
              <w:spacing w:after="120"/>
              <w:jc w:val="both"/>
            </w:pPr>
          </w:p>
        </w:tc>
      </w:tr>
      <w:tr w:rsidR="006B439D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lastRenderedPageBreak/>
              <w:t>Subjekt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Pripomienka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Vyh.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56" w:rsidRPr="00857AD0" w:rsidRDefault="00A5055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857AD0">
              <w:rPr>
                <w:b/>
                <w:bCs/>
                <w:lang w:eastAsia="en-US"/>
              </w:rPr>
              <w:t>Spôsob vyhodnotenia</w:t>
            </w:r>
          </w:p>
        </w:tc>
      </w:tr>
      <w:tr w:rsidR="00BF62A5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857AD0" w:rsidRDefault="00BF62A5" w:rsidP="00A8541C">
            <w:pPr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857AD0">
              <w:rPr>
                <w:b/>
                <w:bCs/>
                <w:lang w:val="en-US" w:eastAsia="en-US"/>
              </w:rPr>
              <w:t>M</w:t>
            </w:r>
            <w:r>
              <w:rPr>
                <w:b/>
                <w:bCs/>
                <w:lang w:val="en-US" w:eastAsia="en-US"/>
              </w:rPr>
              <w:t>H</w:t>
            </w:r>
            <w:r w:rsidRPr="00857AD0">
              <w:rPr>
                <w:b/>
                <w:bCs/>
                <w:lang w:val="en-US" w:eastAsia="en-US"/>
              </w:rPr>
              <w:t xml:space="preserve"> SR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33487B" w:rsidRDefault="00BF62A5" w:rsidP="00A8541C">
            <w:pPr>
              <w:rPr>
                <w:rFonts w:cs="Calibri"/>
                <w:b/>
                <w:iCs/>
              </w:rPr>
            </w:pPr>
            <w:r w:rsidRPr="0033487B">
              <w:rPr>
                <w:rFonts w:cs="Calibri"/>
                <w:b/>
                <w:iCs/>
              </w:rPr>
              <w:t>K materiálu </w:t>
            </w:r>
          </w:p>
          <w:p w:rsidR="00BF62A5" w:rsidRPr="000B3117" w:rsidRDefault="00BF62A5" w:rsidP="00535F1C">
            <w:pPr>
              <w:rPr>
                <w:rFonts w:cs="Calibri"/>
              </w:rPr>
            </w:pPr>
            <w:r w:rsidRPr="0033487B">
              <w:rPr>
                <w:rFonts w:cs="Calibri"/>
              </w:rPr>
              <w:t xml:space="preserve">Žiadame vypustiť v texte v prílohe č.11 a vo vlastnom materiáli v kapitole 8. Priebežné vyhodnotenie Koncepcie rozvoja pôdohospodárstva SR na roky 2013-2020 v šiestej odrážke konštatovanie "gestorované zo strany MH SR" a ponechať nasledovné znenie odseku: </w:t>
            </w:r>
            <w:r w:rsidRPr="0033487B">
              <w:rPr>
                <w:rFonts w:cs="Calibri"/>
              </w:rPr>
              <w:br/>
              <w:t>"fondové prostriedky EÚ pre zvyšovanie konkurencieschopnosti potravinárskeho a drevospracujúceho priemyslu sú zabezpečené prostredníctvom otvorenia štru</w:t>
            </w:r>
            <w:r w:rsidRPr="0033487B">
              <w:rPr>
                <w:rFonts w:cs="Calibri"/>
              </w:rPr>
              <w:t>k</w:t>
            </w:r>
            <w:r w:rsidRPr="0033487B">
              <w:rPr>
                <w:rFonts w:cs="Calibri"/>
              </w:rPr>
              <w:t xml:space="preserve">turálnych fondov EÚ" </w:t>
            </w:r>
            <w:r w:rsidRPr="0033487B">
              <w:rPr>
                <w:rFonts w:cs="Calibri"/>
              </w:rPr>
              <w:br/>
              <w:t xml:space="preserve">Odôvodnenie: </w:t>
            </w:r>
            <w:r w:rsidRPr="0033487B">
              <w:rPr>
                <w:rFonts w:cs="Calibri"/>
              </w:rPr>
              <w:br/>
              <w:t>V zmysle uznesenia vlády SR č. 139 z 20. marca 2013 k návrhu štruktúry op</w:t>
            </w:r>
            <w:r w:rsidRPr="0033487B">
              <w:rPr>
                <w:rFonts w:cs="Calibri"/>
              </w:rPr>
              <w:t>e</w:t>
            </w:r>
            <w:r w:rsidRPr="0033487B">
              <w:rPr>
                <w:rFonts w:cs="Calibri"/>
              </w:rPr>
              <w:t>račných programov financovaných z Európskych štrukturálnych a investičných fondov na programové obdobie 2014 - 2020, nebude MH SR plniť úlohu riadi</w:t>
            </w:r>
            <w:r w:rsidRPr="0033487B">
              <w:rPr>
                <w:rFonts w:cs="Calibri"/>
              </w:rPr>
              <w:t>a</w:t>
            </w:r>
            <w:r w:rsidRPr="0033487B">
              <w:rPr>
                <w:rFonts w:cs="Calibri"/>
              </w:rPr>
              <w:t>ceho orgánu k žiadnemu operačnému programu, preto MH SR nemôže byť uv</w:t>
            </w:r>
            <w:r w:rsidRPr="0033487B">
              <w:rPr>
                <w:rFonts w:cs="Calibri"/>
              </w:rPr>
              <w:t>á</w:t>
            </w:r>
            <w:r w:rsidRPr="0033487B">
              <w:rPr>
                <w:rFonts w:cs="Calibri"/>
              </w:rPr>
              <w:t>dzané ako gestor úlohy.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A5" w:rsidRPr="00B734B8" w:rsidRDefault="00BF62A5" w:rsidP="00A8541C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A5" w:rsidRPr="0053140B" w:rsidRDefault="00BF62A5" w:rsidP="00A8541C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140B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53140B" w:rsidRDefault="00BF62A5" w:rsidP="00A8541C">
            <w:pPr>
              <w:adjustRightInd w:val="0"/>
              <w:rPr>
                <w:lang w:eastAsia="en-US"/>
              </w:rPr>
            </w:pPr>
            <w:r w:rsidRPr="0053140B">
              <w:rPr>
                <w:lang w:eastAsia="en-US"/>
              </w:rPr>
              <w:t>Text je upravený.</w:t>
            </w:r>
          </w:p>
        </w:tc>
      </w:tr>
      <w:tr w:rsidR="00BF62A5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701DA6" w:rsidRDefault="00BF62A5" w:rsidP="0033487B">
            <w:pPr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33487B">
              <w:rPr>
                <w:b/>
                <w:bCs/>
                <w:lang w:val="en-US" w:eastAsia="en-US"/>
              </w:rPr>
              <w:t>MŽP SR</w:t>
            </w:r>
            <w:r w:rsidRPr="00A81B8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33487B" w:rsidRDefault="00BF62A5" w:rsidP="001201A2">
            <w:pPr>
              <w:rPr>
                <w:rFonts w:cs="Calibri"/>
                <w:b/>
                <w:iCs/>
              </w:rPr>
            </w:pPr>
            <w:r w:rsidRPr="0033487B">
              <w:rPr>
                <w:rFonts w:cs="Calibri"/>
                <w:b/>
                <w:iCs/>
              </w:rPr>
              <w:t>Vlastný materiál; príloha č. 2 </w:t>
            </w:r>
          </w:p>
          <w:p w:rsidR="00BF62A5" w:rsidRPr="00856FFA" w:rsidRDefault="00BF62A5" w:rsidP="00300E70">
            <w:pPr>
              <w:jc w:val="both"/>
              <w:rPr>
                <w:rFonts w:cs="Calibri"/>
                <w:sz w:val="20"/>
                <w:szCs w:val="20"/>
              </w:rPr>
            </w:pPr>
            <w:r w:rsidRPr="0033487B">
              <w:rPr>
                <w:rFonts w:cs="Calibri"/>
              </w:rPr>
              <w:t xml:space="preserve">Vo vlastnom materiáli, v kapitole 2.1 Poľnohospodárstvo, v odseku "Vplyv </w:t>
            </w:r>
            <w:r w:rsidR="00300E70">
              <w:rPr>
                <w:rFonts w:cs="Calibri"/>
              </w:rPr>
              <w:br/>
            </w:r>
            <w:r w:rsidRPr="0033487B">
              <w:rPr>
                <w:rFonts w:cs="Calibri"/>
              </w:rPr>
              <w:t>poľnohospodárstva na kvalitu ovzdušia a vodných zdrojov" a následne aj v príl</w:t>
            </w:r>
            <w:r w:rsidRPr="0033487B">
              <w:rPr>
                <w:rFonts w:cs="Calibri"/>
              </w:rPr>
              <w:t>o</w:t>
            </w:r>
            <w:r w:rsidRPr="0033487B">
              <w:rPr>
                <w:rFonts w:cs="Calibri"/>
              </w:rPr>
              <w:t>he č. 2 odporúčame zvážiť doplnenie spôsobu hospodárenia v súvislosti s ochr</w:t>
            </w:r>
            <w:r w:rsidRPr="0033487B">
              <w:rPr>
                <w:rFonts w:cs="Calibri"/>
              </w:rPr>
              <w:t>a</w:t>
            </w:r>
            <w:r w:rsidRPr="0033487B">
              <w:rPr>
                <w:rFonts w:cs="Calibri"/>
              </w:rPr>
              <w:t>nou vôd pred znečistením dusičnanmi z poľnohospodárskych zdrojov na poľn</w:t>
            </w:r>
            <w:r w:rsidRPr="0033487B">
              <w:rPr>
                <w:rFonts w:cs="Calibri"/>
              </w:rPr>
              <w:t>o</w:t>
            </w:r>
            <w:r w:rsidRPr="0033487B">
              <w:rPr>
                <w:rFonts w:cs="Calibri"/>
              </w:rPr>
              <w:t>hospodársky využívaných územiach v zraniteľných oblastiach podľa Smernice 91/676/ES o ochrane vodných zdrojov pred znečistením dusičnanmi pochádzaj</w:t>
            </w:r>
            <w:r w:rsidRPr="0033487B">
              <w:rPr>
                <w:rFonts w:cs="Calibri"/>
              </w:rPr>
              <w:t>ú</w:t>
            </w:r>
            <w:r w:rsidRPr="0033487B">
              <w:rPr>
                <w:rFonts w:cs="Calibri"/>
              </w:rPr>
              <w:t>cimi z poľnohospodárstva.</w:t>
            </w:r>
            <w:r w:rsidRPr="001C1EC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A5" w:rsidRPr="00B734B8" w:rsidRDefault="00BF62A5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33487B">
              <w:rPr>
                <w:b/>
                <w:bCs/>
                <w:lang w:eastAsia="en-US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A5" w:rsidRPr="001454B4" w:rsidRDefault="00BF62A5" w:rsidP="00A50556">
            <w:pPr>
              <w:adjustRightInd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B75F57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A5" w:rsidRPr="00B75F57" w:rsidRDefault="001454B4" w:rsidP="00174922">
            <w:pPr>
              <w:adjustRightInd w:val="0"/>
              <w:rPr>
                <w:lang w:eastAsia="en-US"/>
              </w:rPr>
            </w:pPr>
            <w:r w:rsidRPr="00B75F57">
              <w:rPr>
                <w:lang w:eastAsia="en-US"/>
              </w:rPr>
              <w:t>Text je doplnený v prílohe č. 2.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Default="00483EA3" w:rsidP="00A8541C">
            <w:pPr>
              <w:jc w:val="center"/>
              <w:rPr>
                <w:rFonts w:cs="Calibri"/>
                <w:b/>
              </w:rPr>
            </w:pPr>
            <w:r w:rsidRPr="00BF62A5">
              <w:rPr>
                <w:rFonts w:cs="Calibri"/>
                <w:b/>
              </w:rPr>
              <w:t>MDV</w:t>
            </w:r>
          </w:p>
          <w:p w:rsidR="00483EA3" w:rsidRPr="00BF62A5" w:rsidRDefault="00483EA3" w:rsidP="00A8541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 </w:t>
            </w:r>
            <w:r w:rsidRPr="00BF62A5">
              <w:rPr>
                <w:rFonts w:cs="Calibri"/>
                <w:b/>
              </w:rPr>
              <w:t>RR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BF62A5" w:rsidRDefault="00483EA3" w:rsidP="00A8541C">
            <w:pPr>
              <w:rPr>
                <w:rFonts w:cs="Calibri"/>
                <w:b/>
                <w:iCs/>
              </w:rPr>
            </w:pPr>
            <w:r w:rsidRPr="00BF62A5">
              <w:rPr>
                <w:rFonts w:cs="Calibri"/>
                <w:b/>
                <w:iCs/>
              </w:rPr>
              <w:t>K materiálu </w:t>
            </w:r>
          </w:p>
          <w:p w:rsidR="00483EA3" w:rsidRPr="00856FFA" w:rsidRDefault="00483EA3" w:rsidP="00535F1C">
            <w:pPr>
              <w:rPr>
                <w:rFonts w:cs="Calibri"/>
                <w:sz w:val="20"/>
                <w:szCs w:val="20"/>
              </w:rPr>
            </w:pPr>
            <w:r w:rsidRPr="00BF62A5">
              <w:rPr>
                <w:rFonts w:cs="Calibri"/>
              </w:rPr>
              <w:t xml:space="preserve">Navrhujeme doplniť do materiálu problematiku rozvoja vidieckeho cestovného ruchu. </w:t>
            </w:r>
            <w:r w:rsidRPr="00BF62A5">
              <w:rPr>
                <w:rFonts w:cs="Calibri"/>
              </w:rPr>
              <w:br/>
              <w:t xml:space="preserve">Odôvodnenie pripomienky: </w:t>
            </w:r>
            <w:r w:rsidRPr="00BF62A5">
              <w:rPr>
                <w:rFonts w:cs="Calibri"/>
              </w:rPr>
              <w:br/>
              <w:t>Predložený materiál sa nezaoberá v časti 3. (Rozvoj vidieka), ani v časti 4. (R</w:t>
            </w:r>
            <w:r w:rsidRPr="00BF62A5">
              <w:rPr>
                <w:rFonts w:cs="Calibri"/>
              </w:rPr>
              <w:t>e</w:t>
            </w:r>
            <w:r w:rsidRPr="00BF62A5">
              <w:rPr>
                <w:rFonts w:cs="Calibri"/>
              </w:rPr>
              <w:t>gionálny rozvoj) vidieckym cestovným ruchom. V druhej časti materiálu – Ko</w:t>
            </w:r>
            <w:r w:rsidRPr="00BF62A5">
              <w:rPr>
                <w:rFonts w:cs="Calibri"/>
              </w:rPr>
              <w:t>n</w:t>
            </w:r>
            <w:r w:rsidRPr="00BF62A5">
              <w:rPr>
                <w:rFonts w:cs="Calibri"/>
              </w:rPr>
              <w:t>cepcia rozvoja pôdohospodárstva na roky 2013 – 2020, ktorá bola schválená vo vláde SR 3. júla 2013 uznesením č. 357/2013, sa tiež nenachádza zmienka o v</w:t>
            </w:r>
            <w:r w:rsidRPr="00BF62A5">
              <w:rPr>
                <w:rFonts w:cs="Calibri"/>
              </w:rPr>
              <w:t>i</w:t>
            </w:r>
            <w:r w:rsidRPr="00BF62A5">
              <w:rPr>
                <w:rFonts w:cs="Calibri"/>
              </w:rPr>
              <w:t xml:space="preserve">dieckom cestovnom ruchu. </w:t>
            </w:r>
            <w:r w:rsidRPr="001C1EC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1454B4" w:rsidRDefault="00483EA3" w:rsidP="001454B4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454B4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1454B4" w:rsidRDefault="001454B4" w:rsidP="001454B4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454B4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B734B8" w:rsidRDefault="001454B4" w:rsidP="00A8541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Text je doplnený v prílohe č. 3. 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1454B4" w:rsidRDefault="00483EA3" w:rsidP="0033487B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454B4">
              <w:rPr>
                <w:b/>
                <w:bCs/>
                <w:lang w:eastAsia="en-US"/>
              </w:rPr>
              <w:lastRenderedPageBreak/>
              <w:t>MV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33487B" w:rsidRDefault="00483EA3" w:rsidP="001201A2">
            <w:pPr>
              <w:rPr>
                <w:rFonts w:cs="Calibri"/>
                <w:b/>
                <w:iCs/>
              </w:rPr>
            </w:pPr>
            <w:r w:rsidRPr="0033487B">
              <w:rPr>
                <w:rFonts w:cs="Calibri"/>
                <w:b/>
                <w:iCs/>
              </w:rPr>
              <w:t>K celému materiálu </w:t>
            </w:r>
          </w:p>
          <w:p w:rsidR="00483EA3" w:rsidRPr="0033487B" w:rsidRDefault="00483EA3" w:rsidP="001201A2">
            <w:pPr>
              <w:rPr>
                <w:rFonts w:cs="Calibri"/>
              </w:rPr>
            </w:pPr>
            <w:r w:rsidRPr="0033487B">
              <w:rPr>
                <w:rFonts w:cs="Calibri"/>
              </w:rPr>
              <w:t>Odporúčame zosúladiť používanie názvu správy v celom texte materiálu (najmä používanie skratky „SR“).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33487B" w:rsidRDefault="00483EA3" w:rsidP="0033487B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33487B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1454B4" w:rsidRDefault="0053140B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454B4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1454B4" w:rsidRDefault="0053140B" w:rsidP="00174922">
            <w:pPr>
              <w:adjustRightInd w:val="0"/>
              <w:rPr>
                <w:lang w:eastAsia="en-US"/>
              </w:rPr>
            </w:pPr>
            <w:r w:rsidRPr="001454B4">
              <w:rPr>
                <w:lang w:eastAsia="en-US"/>
              </w:rPr>
              <w:t>Názov správy je zosúladený.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33487B" w:rsidRDefault="00483EA3" w:rsidP="0033487B">
            <w:pPr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33487B">
              <w:rPr>
                <w:b/>
                <w:bCs/>
                <w:lang w:val="en-US" w:eastAsia="en-US"/>
              </w:rPr>
              <w:t>MV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33487B" w:rsidRDefault="00483EA3" w:rsidP="001201A2">
            <w:pPr>
              <w:rPr>
                <w:rFonts w:cs="Calibri"/>
                <w:b/>
                <w:iCs/>
              </w:rPr>
            </w:pPr>
            <w:r w:rsidRPr="0033487B">
              <w:rPr>
                <w:rFonts w:cs="Calibri"/>
                <w:b/>
                <w:iCs/>
              </w:rPr>
              <w:t>K návrhu uznesenia vlády </w:t>
            </w:r>
          </w:p>
          <w:p w:rsidR="00483EA3" w:rsidRPr="0033487B" w:rsidRDefault="00483EA3" w:rsidP="001201A2">
            <w:pPr>
              <w:rPr>
                <w:rFonts w:cs="Calibri"/>
              </w:rPr>
            </w:pPr>
            <w:r w:rsidRPr="0033487B">
              <w:rPr>
                <w:rFonts w:cs="Calibri"/>
              </w:rPr>
              <w:t>Odporúčame bod C.1. formulovať takto: „oboznámiť verejnosť so Správou o poľnohospodárstve a potravinárstve v SR za rok 2013 po jej prerokovaní v N</w:t>
            </w:r>
            <w:r w:rsidRPr="0033487B">
              <w:rPr>
                <w:rFonts w:cs="Calibri"/>
              </w:rPr>
              <w:t>á</w:t>
            </w:r>
            <w:r w:rsidRPr="0033487B">
              <w:rPr>
                <w:rFonts w:cs="Calibri"/>
              </w:rPr>
              <w:t>rodnej rade Slovenskej republiky prostredníctvom masmédií;“.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33487B" w:rsidRDefault="00483EA3" w:rsidP="0033487B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33487B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B734B8" w:rsidRDefault="0053140B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B734B8" w:rsidRDefault="0053140B" w:rsidP="00174922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upravený.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33487B" w:rsidRDefault="00483EA3" w:rsidP="0033487B">
            <w:pPr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33487B">
              <w:rPr>
                <w:b/>
                <w:bCs/>
                <w:lang w:val="en-US" w:eastAsia="en-US"/>
              </w:rPr>
              <w:t>MV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33487B" w:rsidRDefault="00483EA3" w:rsidP="001201A2">
            <w:pPr>
              <w:rPr>
                <w:rFonts w:cs="Calibri"/>
                <w:b/>
                <w:iCs/>
              </w:rPr>
            </w:pPr>
            <w:r w:rsidRPr="0033487B">
              <w:rPr>
                <w:rFonts w:cs="Calibri"/>
                <w:b/>
                <w:iCs/>
              </w:rPr>
              <w:t>K vlastnému materiálu </w:t>
            </w:r>
          </w:p>
          <w:p w:rsidR="00483EA3" w:rsidRPr="0033487B" w:rsidRDefault="00483EA3" w:rsidP="001201A2">
            <w:pPr>
              <w:rPr>
                <w:rFonts w:cs="Calibri"/>
              </w:rPr>
            </w:pPr>
            <w:r w:rsidRPr="0033487B">
              <w:rPr>
                <w:rFonts w:cs="Calibri"/>
              </w:rPr>
              <w:t>Odporúčame doplniť chýbajúce skratky, použité v materiáli, do prílohy č. 9 (napr. na s. 3 správy skratka HPH, na s. 4 pod tabuľkou 1 skratka SK NACE), ak skratka nebola zavedená v texte materiálu. Prípadne zjednotiť zavádzanie použ</w:t>
            </w:r>
            <w:r w:rsidRPr="0033487B">
              <w:rPr>
                <w:rFonts w:cs="Calibri"/>
              </w:rPr>
              <w:t>i</w:t>
            </w:r>
            <w:r w:rsidRPr="0033487B">
              <w:rPr>
                <w:rFonts w:cs="Calibri"/>
              </w:rPr>
              <w:t>tých skratiek, aby boli zavedené jednotne buď v texte materiálu alebo v prílohe č. 9 a dodržať ich používanie.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33487B" w:rsidRDefault="00483EA3" w:rsidP="0033487B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33487B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B734B8" w:rsidRDefault="0053140B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B734B8" w:rsidRDefault="0053140B" w:rsidP="009D054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Pri prvej skratke použitej v materiáli je odkaz na prílohu č. 9, kde sú </w:t>
            </w:r>
            <w:r w:rsidR="00241476">
              <w:rPr>
                <w:lang w:eastAsia="en-US"/>
              </w:rPr>
              <w:t xml:space="preserve">všetky </w:t>
            </w:r>
            <w:r>
              <w:rPr>
                <w:lang w:eastAsia="en-US"/>
              </w:rPr>
              <w:t>skra</w:t>
            </w:r>
            <w:r>
              <w:rPr>
                <w:lang w:eastAsia="en-US"/>
              </w:rPr>
              <w:t>t</w:t>
            </w:r>
            <w:r>
              <w:rPr>
                <w:lang w:eastAsia="en-US"/>
              </w:rPr>
              <w:t>ky vysvetlené.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535AF9" w:rsidRDefault="00483EA3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535AF9" w:rsidRDefault="00483EA3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  </w:t>
            </w:r>
          </w:p>
          <w:p w:rsidR="00483EA3" w:rsidRPr="00535AF9" w:rsidRDefault="00483EA3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2 v druhom odseku v prv</w:t>
            </w:r>
            <w:r>
              <w:rPr>
                <w:rFonts w:cs="Calibri"/>
              </w:rPr>
              <w:t>e</w:t>
            </w:r>
            <w:r w:rsidRPr="00535AF9">
              <w:rPr>
                <w:rFonts w:cs="Calibri"/>
              </w:rPr>
              <w:t>j vete slová „s rokom 2012 vzrástol o 1,4%“ nahradiť slovami „s rokom 2012 vzrástol o 1,5 %“.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535AF9" w:rsidRDefault="00483EA3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B734B8" w:rsidRDefault="001D3A4B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857AD0" w:rsidRDefault="001D3A4B" w:rsidP="009D054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nahradený.</w:t>
            </w:r>
          </w:p>
        </w:tc>
      </w:tr>
      <w:tr w:rsidR="00483EA3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535AF9" w:rsidRDefault="00483EA3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Pr="00535AF9" w:rsidRDefault="00483EA3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483EA3" w:rsidRPr="00535AF9" w:rsidRDefault="00483EA3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2 v štvrtom odseku slová „medziročne o 3,8 %“ nahradiť slovami „medziročne 4,3 %“.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535AF9" w:rsidRDefault="00483EA3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A3" w:rsidRPr="00790A67" w:rsidRDefault="00790A67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790A67">
              <w:rPr>
                <w:b/>
                <w:bCs/>
                <w:lang w:eastAsia="en-US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3" w:rsidRDefault="00790A67" w:rsidP="00BE505F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 dohode so ŠÚ SR sa p</w:t>
            </w:r>
            <w:r w:rsidRPr="00790A67">
              <w:rPr>
                <w:lang w:eastAsia="en-US"/>
              </w:rPr>
              <w:t>onecháva pôvo</w:t>
            </w:r>
            <w:r w:rsidRPr="00790A67">
              <w:rPr>
                <w:lang w:eastAsia="en-US"/>
              </w:rPr>
              <w:t>d</w:t>
            </w:r>
            <w:r w:rsidRPr="00790A67">
              <w:rPr>
                <w:lang w:eastAsia="en-US"/>
              </w:rPr>
              <w:t>ná hodnota</w:t>
            </w:r>
            <w:r w:rsidR="00BE505F">
              <w:rPr>
                <w:lang w:eastAsia="en-US"/>
              </w:rPr>
              <w:t>. ŠÚ SR odstúpil od pripomie</w:t>
            </w:r>
            <w:r w:rsidR="00BE505F">
              <w:rPr>
                <w:lang w:eastAsia="en-US"/>
              </w:rPr>
              <w:t>n</w:t>
            </w:r>
            <w:r w:rsidR="00BE505F">
              <w:rPr>
                <w:lang w:eastAsia="en-US"/>
              </w:rPr>
              <w:t>ky.</w:t>
            </w:r>
            <w:r w:rsidRPr="00790A67">
              <w:rPr>
                <w:lang w:eastAsia="en-US"/>
              </w:rPr>
              <w:t xml:space="preserve"> 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 xml:space="preserve">Odporúčame na strane 2 v šiestom odseku v poslednej vete slová „po zohľadnení inflácie, vzrástla o 1,1 %“ nahradiť slovami „po zohľadnení inflácie, vzrástla </w:t>
            </w:r>
            <w:r>
              <w:rPr>
                <w:rFonts w:cs="Calibri"/>
              </w:rPr>
              <w:br/>
            </w:r>
            <w:r w:rsidRPr="00535AF9">
              <w:rPr>
                <w:rFonts w:cs="Calibri"/>
              </w:rPr>
              <w:t>o 1 %“.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B734B8" w:rsidRDefault="001D3A4B" w:rsidP="00D34C60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857AD0" w:rsidRDefault="001D3A4B" w:rsidP="00D34C60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nahradený.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 xml:space="preserve">Odporúčame na strane 2 v časti Vývoj hlavných ukazovateľov pôdohospodárstva a potravinárstva za prvý odsek vložiť text: </w:t>
            </w:r>
            <w:r w:rsidRPr="00535AF9">
              <w:rPr>
                <w:rFonts w:cs="Calibri"/>
              </w:rPr>
              <w:br/>
              <w:t>Za poľnohospodárstvo hrubá produkcia ako aj medzispotreba, za rok 2013 oproti roku 2012, v bežných cenách ako aj stálych cenách počítaných reťazením pokle</w:t>
            </w:r>
            <w:r w:rsidRPr="00535AF9">
              <w:rPr>
                <w:rFonts w:cs="Calibri"/>
              </w:rPr>
              <w:t>s</w:t>
            </w:r>
            <w:r w:rsidRPr="00535AF9">
              <w:rPr>
                <w:rFonts w:cs="Calibri"/>
              </w:rPr>
              <w:t>la. Pridaná hodnota v bežných cenách za rok 2013 oproti roku 2012 za poľnoho</w:t>
            </w:r>
            <w:r w:rsidRPr="00535AF9">
              <w:rPr>
                <w:rFonts w:cs="Calibri"/>
              </w:rPr>
              <w:t>s</w:t>
            </w:r>
            <w:r w:rsidRPr="00535AF9">
              <w:rPr>
                <w:rFonts w:cs="Calibri"/>
              </w:rPr>
              <w:t>podárstvo takisto poklesla, avšak došlo k miernemu rastu pridanej hodnoty v st</w:t>
            </w:r>
            <w:r w:rsidRPr="00535AF9">
              <w:rPr>
                <w:rFonts w:cs="Calibri"/>
              </w:rPr>
              <w:t>á</w:t>
            </w:r>
            <w:r w:rsidRPr="00535AF9">
              <w:rPr>
                <w:rFonts w:cs="Calibri"/>
              </w:rPr>
              <w:t xml:space="preserve">lych cenách počítanej reťazením. </w:t>
            </w:r>
            <w:r w:rsidRPr="00535AF9">
              <w:rPr>
                <w:rFonts w:cs="Calibri"/>
              </w:rPr>
              <w:br/>
              <w:t>Za celú ekonomiku SR hrubá produkcia v bežných cenách ako aj v stálych c</w:t>
            </w:r>
            <w:r w:rsidRPr="00535AF9">
              <w:rPr>
                <w:rFonts w:cs="Calibri"/>
              </w:rPr>
              <w:t>e</w:t>
            </w:r>
            <w:r w:rsidRPr="00535AF9">
              <w:rPr>
                <w:rFonts w:cs="Calibri"/>
              </w:rPr>
              <w:lastRenderedPageBreak/>
              <w:t>nách počítaných reťazením v roku 2013 oproti roku 2012 vzrástla. Medzispotreba v bežných cenách vzrástla, ale v cenách počítaných reťazením v danom období poklesla. Pridaná hodnota v bežných cenách poklesla, ale v cenách počítaných reťazením mierne vzrástla.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lastRenderedPageBreak/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1D3A4B" w:rsidRDefault="00790A67" w:rsidP="00A50556">
            <w:pPr>
              <w:adjustRightInd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790A67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Default="00790A67" w:rsidP="00D973B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vložený.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lastRenderedPageBreak/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v časti Vývoj hlavných ukazovateľov pôdohospodárstva a potrav</w:t>
            </w:r>
            <w:r w:rsidRPr="00535AF9">
              <w:rPr>
                <w:rFonts w:cs="Calibri"/>
              </w:rPr>
              <w:t>i</w:t>
            </w:r>
            <w:r w:rsidRPr="00535AF9">
              <w:rPr>
                <w:rFonts w:cs="Calibri"/>
              </w:rPr>
              <w:t>nárstva na strane 2 v druhom odseku vetu „Hrubá pridaná hodnota vzrástla v hospodárstve SR ako aj pôdohospodárstve.“ nahradiť vetou „Hrubá pridaná ho</w:t>
            </w:r>
            <w:r w:rsidRPr="00535AF9">
              <w:rPr>
                <w:rFonts w:cs="Calibri"/>
              </w:rPr>
              <w:t>d</w:t>
            </w:r>
            <w:r w:rsidRPr="00535AF9">
              <w:rPr>
                <w:rFonts w:cs="Calibri"/>
              </w:rPr>
              <w:t>nota vzrástla v hospodárstve SR, v pôdohospodárstve klesla.“.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1D3A4B" w:rsidRDefault="00790A67" w:rsidP="00A50556">
            <w:pPr>
              <w:adjustRightInd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790A67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857AD0" w:rsidRDefault="00790A67" w:rsidP="00C2363F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Veta je nahradená</w:t>
            </w:r>
            <w:r w:rsidR="000D203B">
              <w:rPr>
                <w:lang w:eastAsia="en-US"/>
              </w:rPr>
              <w:t xml:space="preserve"> a upravená</w:t>
            </w:r>
            <w:r>
              <w:rPr>
                <w:lang w:eastAsia="en-US"/>
              </w:rPr>
              <w:t>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Upozorňuje, že text vlastného materiálu je uvedený správne iba v prípade, ak sú v jednotlivých odsekoch použité iné druhy cien HDP.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857AD0" w:rsidRDefault="001D3A4B" w:rsidP="00FB34A1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FB34A1"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FB34A1" w:rsidRDefault="00FB34A1" w:rsidP="00E902B9">
            <w:pPr>
              <w:adjustRightInd w:val="0"/>
              <w:rPr>
                <w:b/>
                <w:bCs/>
                <w:lang w:eastAsia="en-US"/>
              </w:rPr>
            </w:pPr>
            <w:r w:rsidRPr="00FB34A1">
              <w:rPr>
                <w:lang w:eastAsia="en-US"/>
              </w:rPr>
              <w:t>Text je upravený.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15 Tabuľka 11 stĺpec zelenina – opraviť index 2013/2012 na 104,9.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857AD0" w:rsidRDefault="00357BB0" w:rsidP="005E0E00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857AD0" w:rsidRDefault="00357BB0" w:rsidP="005E0E00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opravený.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vlastnému materiálu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16 Tabuľka 12 jasnejšie zapracovať nasledovnú vysvetľ</w:t>
            </w:r>
            <w:r w:rsidRPr="00535AF9">
              <w:rPr>
                <w:rFonts w:cs="Calibri"/>
              </w:rPr>
              <w:t>u</w:t>
            </w:r>
            <w:r w:rsidRPr="00535AF9">
              <w:rPr>
                <w:rFonts w:cs="Calibri"/>
              </w:rPr>
              <w:t>júcu poznámku pod tabuľkou aby bolo jasné jej význam „*) Hrubá domáca pr</w:t>
            </w:r>
            <w:r w:rsidRPr="00535AF9">
              <w:rPr>
                <w:rFonts w:cs="Calibri"/>
              </w:rPr>
              <w:t>o</w:t>
            </w:r>
            <w:r w:rsidRPr="00535AF9">
              <w:rPr>
                <w:rFonts w:cs="Calibri"/>
              </w:rPr>
              <w:t>dukcia = zabitia na bitúnkoch + odhad samozásobenia +/- zahraničný obchod“.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D27DC8" w:rsidRDefault="00DA720C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D27DC8" w:rsidRDefault="00DA720C" w:rsidP="004F2B5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upravený.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2 Situácia v poľnohospodárstve a potravinárstve SR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v časti Hlavné charakteristiky vývoja a postavenie pôdohospodá</w:t>
            </w:r>
            <w:r w:rsidRPr="00535AF9">
              <w:rPr>
                <w:rFonts w:cs="Calibri"/>
              </w:rPr>
              <w:t>r</w:t>
            </w:r>
            <w:r w:rsidRPr="00535AF9">
              <w:rPr>
                <w:rFonts w:cs="Calibri"/>
              </w:rPr>
              <w:t>stva a potravinárstva v hospodárstve SR na strane 3 vo štvrtom odseku v posle</w:t>
            </w:r>
            <w:r w:rsidRPr="00535AF9">
              <w:rPr>
                <w:rFonts w:cs="Calibri"/>
              </w:rPr>
              <w:t>d</w:t>
            </w:r>
            <w:r w:rsidRPr="00535AF9">
              <w:rPr>
                <w:rFonts w:cs="Calibri"/>
              </w:rPr>
              <w:t>nej vete slová „po zohľadnení inflácie, vzrástla o 1,1 %“ nahradiť slovami „po zohľadnení inflácie, vzrástla o 1 %“.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D27DC8" w:rsidRDefault="00DA720C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D27DC8" w:rsidRDefault="00DA720C" w:rsidP="00CD401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je nahradený.</w:t>
            </w:r>
          </w:p>
        </w:tc>
      </w:tr>
      <w:tr w:rsidR="001D3A4B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535AF9" w:rsidRDefault="001D3A4B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2 </w:t>
            </w:r>
          </w:p>
          <w:p w:rsidR="001D3A4B" w:rsidRPr="00535AF9" w:rsidRDefault="001D3A4B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28 v prvom odseku slová „ jačmeňa o 34,6 %“ nahradiť slovami „ jačmeňa o 15,7%“.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535AF9" w:rsidRDefault="001D3A4B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4B" w:rsidRPr="00D27DC8" w:rsidRDefault="00DA720C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B" w:rsidRPr="00D27DC8" w:rsidRDefault="00DA720C" w:rsidP="000D374F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ŠÚ SR vzal pripomienku späť.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2 </w:t>
            </w:r>
          </w:p>
          <w:p w:rsidR="00DA720C" w:rsidRPr="00535AF9" w:rsidRDefault="00DA720C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na strane 28 v druhom odseku slová „ jačmeni o 10,6 %“ nahradiť slovami „ jačmeni o 5,2%“.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535AF9" w:rsidRDefault="00DA720C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DA720C" w:rsidP="00D34C60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D27DC8" w:rsidRDefault="00DA720C" w:rsidP="00D34C60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ŠÚ SR vzal pripomienku späť.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2 </w:t>
            </w:r>
          </w:p>
          <w:p w:rsidR="00DA720C" w:rsidRPr="00535AF9" w:rsidRDefault="00DA720C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 xml:space="preserve">Odporúčame na strane 28 v Tabuľke 15 opraviť úrodnosť zeleniny spolu za rok </w:t>
            </w:r>
            <w:r w:rsidRPr="00535AF9">
              <w:rPr>
                <w:rFonts w:cs="Calibri"/>
              </w:rPr>
              <w:lastRenderedPageBreak/>
              <w:t>2013 na 10,63 a index na 108,1 a u kapusty opraviť úrodnosť na 15,65 a index na 121,2.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535AF9" w:rsidRDefault="00DA720C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lastRenderedPageBreak/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DA720C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D27DC8" w:rsidRDefault="00DA720C" w:rsidP="00227B4A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Údaje sú </w:t>
            </w:r>
            <w:r w:rsidR="00227B4A">
              <w:rPr>
                <w:lang w:eastAsia="en-US"/>
              </w:rPr>
              <w:t>upravené. N</w:t>
            </w:r>
            <w:r>
              <w:rPr>
                <w:lang w:eastAsia="en-US"/>
              </w:rPr>
              <w:t xml:space="preserve">a základe </w:t>
            </w:r>
            <w:r w:rsidR="00227B4A">
              <w:rPr>
                <w:lang w:eastAsia="en-US"/>
              </w:rPr>
              <w:t xml:space="preserve">ďalšej </w:t>
            </w:r>
            <w:r>
              <w:rPr>
                <w:lang w:eastAsia="en-US"/>
              </w:rPr>
              <w:t>rev</w:t>
            </w:r>
            <w:r>
              <w:rPr>
                <w:lang w:eastAsia="en-US"/>
              </w:rPr>
              <w:t>í</w:t>
            </w:r>
            <w:r>
              <w:rPr>
                <w:lang w:eastAsia="en-US"/>
              </w:rPr>
              <w:t>zie</w:t>
            </w:r>
            <w:r w:rsidR="00227B4A">
              <w:rPr>
                <w:lang w:eastAsia="en-US"/>
              </w:rPr>
              <w:t xml:space="preserve"> ŠÚ SR sa ešte upravila </w:t>
            </w:r>
            <w:r w:rsidR="00227B4A" w:rsidRPr="00535AF9">
              <w:rPr>
                <w:rFonts w:cs="Calibri"/>
              </w:rPr>
              <w:t xml:space="preserve">úrodnosť </w:t>
            </w:r>
            <w:r w:rsidR="00227B4A" w:rsidRPr="00E173D2">
              <w:rPr>
                <w:rFonts w:cs="Calibri"/>
              </w:rPr>
              <w:t>zel</w:t>
            </w:r>
            <w:r w:rsidR="00227B4A" w:rsidRPr="00E173D2">
              <w:rPr>
                <w:rFonts w:cs="Calibri"/>
              </w:rPr>
              <w:t>e</w:t>
            </w:r>
            <w:r w:rsidR="00227B4A" w:rsidRPr="00E173D2">
              <w:rPr>
                <w:rFonts w:cs="Calibri"/>
              </w:rPr>
              <w:lastRenderedPageBreak/>
              <w:t xml:space="preserve">niny na 11,48 a u kapusty index </w:t>
            </w:r>
            <w:r w:rsidR="00E173D2" w:rsidRPr="00E173D2">
              <w:rPr>
                <w:rFonts w:cs="Calibri"/>
              </w:rPr>
              <w:t>na 121,3</w:t>
            </w:r>
            <w:r w:rsidRPr="00E173D2">
              <w:rPr>
                <w:lang w:eastAsia="en-US"/>
              </w:rPr>
              <w:t>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lastRenderedPageBreak/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10 </w:t>
            </w:r>
          </w:p>
          <w:p w:rsidR="00DA720C" w:rsidRPr="00535AF9" w:rsidRDefault="00DA720C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v tabuľke č. 22 index za elektrinu zmeniť na správny index 100,8 ako je uvedený v tabuľke č. 31 na strane 64 súboru P_ 2.pdf.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535AF9" w:rsidRDefault="00DA720C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C24889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D27DC8" w:rsidRDefault="00C24889" w:rsidP="00A5055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Údaj je opravený.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10 </w:t>
            </w:r>
          </w:p>
          <w:p w:rsidR="00DA720C" w:rsidRPr="00535AF9" w:rsidRDefault="00DA720C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>Odporúčame upraviť v tabuľke č. 36 v stĺpci „B“ riadok 9 má byť asi uvedený index „2013/2012“, a v stĺpci „C“ riadok 43 chýba údaj o cene zemiakov nesk</w:t>
            </w:r>
            <w:r w:rsidRPr="00535AF9">
              <w:rPr>
                <w:rFonts w:cs="Calibri"/>
              </w:rPr>
              <w:t>o</w:t>
            </w:r>
            <w:r w:rsidRPr="00535AF9">
              <w:rPr>
                <w:rFonts w:cs="Calibri"/>
              </w:rPr>
              <w:t>rých konzumných – 260,6 Euro.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535AF9" w:rsidRDefault="00DA720C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C24889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D27DC8" w:rsidRDefault="00C24889" w:rsidP="00A0679A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Údaje sú upravené.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jc w:val="center"/>
              <w:rPr>
                <w:rFonts w:cs="Calibri"/>
                <w:b/>
              </w:rPr>
            </w:pPr>
            <w:r w:rsidRPr="00535AF9">
              <w:rPr>
                <w:rFonts w:cs="Calibri"/>
                <w:b/>
              </w:rPr>
              <w:t>ŠÚ SR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535AF9" w:rsidRDefault="00DA720C" w:rsidP="001201A2">
            <w:pPr>
              <w:rPr>
                <w:rFonts w:cs="Calibri"/>
                <w:b/>
                <w:iCs/>
              </w:rPr>
            </w:pPr>
            <w:r w:rsidRPr="00535AF9">
              <w:rPr>
                <w:rFonts w:cs="Calibri"/>
                <w:b/>
                <w:iCs/>
              </w:rPr>
              <w:t>K prílohe č. 10 </w:t>
            </w:r>
          </w:p>
          <w:p w:rsidR="00DA720C" w:rsidRPr="00535AF9" w:rsidRDefault="00DA720C" w:rsidP="0096503E">
            <w:pPr>
              <w:rPr>
                <w:rFonts w:cs="Calibri"/>
              </w:rPr>
            </w:pPr>
            <w:r w:rsidRPr="00535AF9">
              <w:rPr>
                <w:rFonts w:cs="Calibri"/>
              </w:rPr>
              <w:t xml:space="preserve">Odporúčame v tabuľke č. 37 správne uviesť ceny kurčiat za SR. Ako prameň je pri týchto údajoch uvedený ŠÚ SR, avšak ceny sú pravdepodobne z iného zdroja. ŠÚ SR publikoval zo zisťovania cien poľnohospodárskych výrobkov nasledovné ceny v Euro: </w:t>
            </w:r>
            <w:r w:rsidRPr="00535AF9">
              <w:rPr>
                <w:rFonts w:cs="Calibri"/>
              </w:rPr>
              <w:br/>
              <w:t xml:space="preserve">rok 2010 – 788,4 </w:t>
            </w:r>
            <w:r w:rsidRPr="00535AF9">
              <w:rPr>
                <w:rFonts w:cs="Calibri"/>
              </w:rPr>
              <w:br/>
              <w:t xml:space="preserve">rok 2011 – 911,8 </w:t>
            </w:r>
            <w:r w:rsidRPr="00535AF9">
              <w:rPr>
                <w:rFonts w:cs="Calibri"/>
              </w:rPr>
              <w:br/>
              <w:t xml:space="preserve">rok 2012 – 937,7 </w:t>
            </w:r>
            <w:r w:rsidRPr="00535AF9">
              <w:rPr>
                <w:rFonts w:cs="Calibri"/>
              </w:rPr>
              <w:br/>
              <w:t>rok 2013 – 998,5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535AF9" w:rsidRDefault="00DA720C" w:rsidP="00535AF9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535AF9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D92A46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D27DC8" w:rsidRDefault="00C24889" w:rsidP="00744CA1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Pripomienka je n</w:t>
            </w:r>
            <w:r w:rsidRPr="00C24889">
              <w:rPr>
                <w:lang w:eastAsia="en-US"/>
              </w:rPr>
              <w:t>eakceptovan</w:t>
            </w:r>
            <w:r>
              <w:rPr>
                <w:lang w:eastAsia="en-US"/>
              </w:rPr>
              <w:t>á, nako</w:t>
            </w:r>
            <w:r>
              <w:rPr>
                <w:lang w:eastAsia="en-US"/>
              </w:rPr>
              <w:t>ľ</w:t>
            </w:r>
            <w:r>
              <w:rPr>
                <w:lang w:eastAsia="en-US"/>
              </w:rPr>
              <w:t>ko</w:t>
            </w:r>
            <w:r w:rsidRPr="00C24889">
              <w:rPr>
                <w:lang w:eastAsia="en-US"/>
              </w:rPr>
              <w:t> </w:t>
            </w:r>
            <w:r>
              <w:rPr>
                <w:lang w:eastAsia="en-US"/>
              </w:rPr>
              <w:t>f</w:t>
            </w:r>
            <w:r w:rsidRPr="00C24889">
              <w:rPr>
                <w:lang w:eastAsia="en-US"/>
              </w:rPr>
              <w:t>armárske ceny kurčiat sú prepočítané na hmotnosť v mäse, aby sa mohli komp</w:t>
            </w:r>
            <w:r w:rsidRPr="00C24889">
              <w:rPr>
                <w:lang w:eastAsia="en-US"/>
              </w:rPr>
              <w:t>a</w:t>
            </w:r>
            <w:r w:rsidRPr="00C24889">
              <w:rPr>
                <w:lang w:eastAsia="en-US"/>
              </w:rPr>
              <w:t xml:space="preserve">rovať s údajmi, ktoré </w:t>
            </w:r>
            <w:r w:rsidR="00744CA1">
              <w:rPr>
                <w:lang w:eastAsia="en-US"/>
              </w:rPr>
              <w:t xml:space="preserve">uvádzame za krajiny </w:t>
            </w:r>
            <w:r w:rsidRPr="00C24889">
              <w:rPr>
                <w:lang w:eastAsia="en-US"/>
              </w:rPr>
              <w:t xml:space="preserve"> V4</w:t>
            </w:r>
            <w:r w:rsidR="00D92A46">
              <w:rPr>
                <w:lang w:eastAsia="en-US"/>
              </w:rPr>
              <w:t>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701DA6" w:rsidRDefault="00DA720C" w:rsidP="00A854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83EA3">
              <w:rPr>
                <w:rFonts w:cs="Calibri"/>
                <w:b/>
              </w:rPr>
              <w:t>SPPK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483EA3" w:rsidRDefault="00DA720C" w:rsidP="00A8541C">
            <w:pPr>
              <w:rPr>
                <w:rFonts w:cs="Calibri"/>
                <w:b/>
                <w:iCs/>
              </w:rPr>
            </w:pPr>
            <w:r w:rsidRPr="00483EA3">
              <w:rPr>
                <w:rFonts w:cs="Calibri"/>
                <w:b/>
                <w:iCs/>
              </w:rPr>
              <w:t>Všeobecná pripomienka k vlastnému materiálu </w:t>
            </w:r>
          </w:p>
          <w:p w:rsidR="00DA720C" w:rsidRPr="00856FFA" w:rsidRDefault="00DA720C" w:rsidP="00800DB1">
            <w:pPr>
              <w:rPr>
                <w:rFonts w:cs="Calibri"/>
                <w:sz w:val="20"/>
                <w:szCs w:val="20"/>
              </w:rPr>
            </w:pPr>
            <w:r w:rsidRPr="00483EA3">
              <w:rPr>
                <w:rFonts w:cs="Calibri"/>
              </w:rPr>
              <w:t>Pre zmysluplnosť predkladania výročných správ tohto typu je potrebné z obsah</w:t>
            </w:r>
            <w:r w:rsidRPr="00483EA3">
              <w:rPr>
                <w:rFonts w:cs="Calibri"/>
              </w:rPr>
              <w:t>o</w:t>
            </w:r>
            <w:r w:rsidRPr="00483EA3">
              <w:rPr>
                <w:rFonts w:cs="Calibri"/>
              </w:rPr>
              <w:t>vého hľadiska vyhodnotiť závery a odporúčania z takejto minuloročnej správy. Z tohto vyhodnotenia treba využiť pozitívne tendencie a ponúknuť konkrétne rieš</w:t>
            </w:r>
            <w:r w:rsidRPr="00483EA3">
              <w:rPr>
                <w:rFonts w:cs="Calibri"/>
              </w:rPr>
              <w:t>e</w:t>
            </w:r>
            <w:r w:rsidRPr="00483EA3">
              <w:rPr>
                <w:rFonts w:cs="Calibri"/>
              </w:rPr>
              <w:t xml:space="preserve">nia nesplnených zámerov. </w:t>
            </w:r>
            <w:r w:rsidRPr="00483EA3">
              <w:rPr>
                <w:rFonts w:cs="Calibri"/>
              </w:rPr>
              <w:br/>
              <w:t>V záveroch a odporúčaniach je správa príliš všeobecná, bez konkrétneho cieľa, vo väčšine bodov sa opakujú ako odporúčania závery už predchádzajúcich d</w:t>
            </w:r>
            <w:r w:rsidRPr="00483EA3">
              <w:rPr>
                <w:rFonts w:cs="Calibri"/>
              </w:rPr>
              <w:t>o</w:t>
            </w:r>
            <w:r w:rsidRPr="00483EA3">
              <w:rPr>
                <w:rFonts w:cs="Calibri"/>
              </w:rPr>
              <w:t>kumentov /ako Koncepcia, Akčný plán.../ Takto viacnásobne opakované závery a odporúčania je potrebné konkretizovať a usporiadať podľa váhy a priorít rieš</w:t>
            </w:r>
            <w:r w:rsidRPr="00483EA3">
              <w:rPr>
                <w:rFonts w:cs="Calibri"/>
              </w:rPr>
              <w:t>e</w:t>
            </w:r>
            <w:r w:rsidRPr="00483EA3">
              <w:rPr>
                <w:rFonts w:cs="Calibri"/>
              </w:rPr>
              <w:t xml:space="preserve">ných problémov. </w:t>
            </w:r>
            <w:r w:rsidRPr="00483EA3">
              <w:rPr>
                <w:rFonts w:cs="Calibri"/>
              </w:rPr>
              <w:br/>
              <w:t>Odporúčania na presadzovanie rovnakých podmienok SPP, na vytváranie odb</w:t>
            </w:r>
            <w:r w:rsidRPr="00483EA3">
              <w:rPr>
                <w:rFonts w:cs="Calibri"/>
              </w:rPr>
              <w:t>y</w:t>
            </w:r>
            <w:r w:rsidRPr="00483EA3">
              <w:rPr>
                <w:rFonts w:cs="Calibri"/>
              </w:rPr>
              <w:t xml:space="preserve">tových združení pre posilnenie sily prvovýrobcov a podobne by oveľa viac, ako sústavné opakovanie týchto problémov, pomohlo vytýčenie konkrétnych krokov. </w:t>
            </w:r>
            <w:r w:rsidRPr="00483EA3">
              <w:rPr>
                <w:rFonts w:cs="Calibri"/>
              </w:rPr>
              <w:br/>
            </w:r>
            <w:r w:rsidRPr="001C1EC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CF13FC" w:rsidRDefault="00DA720C" w:rsidP="00CF13FC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CF13FC">
              <w:rPr>
                <w:b/>
                <w:bCs/>
                <w:lang w:eastAsia="en-US"/>
              </w:rPr>
              <w:t>O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CF13FC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B1" w:rsidRDefault="00CF13FC" w:rsidP="00A0679A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Text je </w:t>
            </w:r>
            <w:r w:rsidR="002C6FB1">
              <w:rPr>
                <w:lang w:eastAsia="en-US"/>
              </w:rPr>
              <w:t xml:space="preserve">čiastočne </w:t>
            </w:r>
            <w:r>
              <w:rPr>
                <w:lang w:eastAsia="en-US"/>
              </w:rPr>
              <w:t>doplnený v časti 9. Záv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ry a odporúčania. </w:t>
            </w:r>
          </w:p>
          <w:p w:rsidR="00DA720C" w:rsidRDefault="00CF13FC" w:rsidP="002C6FB1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Vzhľadom k tomu, že</w:t>
            </w:r>
            <w:r w:rsidR="002C6FB1">
              <w:rPr>
                <w:lang w:eastAsia="en-US"/>
              </w:rPr>
              <w:t xml:space="preserve"> Správa o poľnohospodárstve a potravinárstve je informatívny materiál nesúhlasíme, aby do nej bolo doplnené vytýčenie konkrétnych krokov resp. úloh. Konkrétne kroky na plnenie vytýčených cieľov budú uvedené v materiáloch, ktoré budú príslušnú pro</w:t>
            </w:r>
            <w:r w:rsidR="002C6FB1">
              <w:rPr>
                <w:lang w:eastAsia="en-US"/>
              </w:rPr>
              <w:t>b</w:t>
            </w:r>
            <w:r w:rsidR="002C6FB1">
              <w:rPr>
                <w:lang w:eastAsia="en-US"/>
              </w:rPr>
              <w:t>lematiku riešiť</w:t>
            </w:r>
            <w:r w:rsidR="00B54338">
              <w:rPr>
                <w:lang w:eastAsia="en-US"/>
              </w:rPr>
              <w:t>.</w:t>
            </w:r>
          </w:p>
          <w:p w:rsidR="00FB34A1" w:rsidRPr="00D27DC8" w:rsidRDefault="00FB34A1" w:rsidP="002C6FB1">
            <w:pPr>
              <w:adjustRightInd w:val="0"/>
              <w:rPr>
                <w:lang w:eastAsia="en-US"/>
              </w:rPr>
            </w:pPr>
            <w:r w:rsidRPr="00FB34A1">
              <w:rPr>
                <w:lang w:eastAsia="en-US"/>
              </w:rPr>
              <w:t>Uznesením vlády SR č. 613/2009 bolo zrušené hodnotiť v správe plnenie opatrení, nakoľko správa má mať informatívny ch</w:t>
            </w:r>
            <w:r w:rsidRPr="00FB34A1">
              <w:rPr>
                <w:lang w:eastAsia="en-US"/>
              </w:rPr>
              <w:t>a</w:t>
            </w:r>
            <w:r w:rsidRPr="00FB34A1">
              <w:rPr>
                <w:lang w:eastAsia="en-US"/>
              </w:rPr>
              <w:t>rakter.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jc w:val="center"/>
              <w:rPr>
                <w:rFonts w:cs="Calibri"/>
                <w:b/>
              </w:rPr>
            </w:pPr>
            <w:r w:rsidRPr="001201A2">
              <w:rPr>
                <w:rFonts w:cs="Calibri"/>
                <w:b/>
              </w:rPr>
              <w:lastRenderedPageBreak/>
              <w:t>PKS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rPr>
                <w:rFonts w:cs="Calibri"/>
                <w:b/>
                <w:iCs/>
              </w:rPr>
            </w:pPr>
            <w:r w:rsidRPr="001201A2">
              <w:rPr>
                <w:rFonts w:cs="Calibri"/>
                <w:b/>
                <w:iCs/>
              </w:rPr>
              <w:t>vlastný materiál </w:t>
            </w:r>
          </w:p>
          <w:p w:rsidR="00DA720C" w:rsidRPr="001201A2" w:rsidRDefault="00DA720C" w:rsidP="00CE0F49">
            <w:pPr>
              <w:rPr>
                <w:rFonts w:cs="Calibri"/>
              </w:rPr>
            </w:pPr>
            <w:r w:rsidRPr="001201A2">
              <w:rPr>
                <w:rFonts w:cs="Calibri"/>
              </w:rPr>
              <w:t>PKS si dovoľuje poukázať na skutočnosť, že správa síce obsahuje množstvo i</w:t>
            </w:r>
            <w:r w:rsidRPr="001201A2">
              <w:rPr>
                <w:rFonts w:cs="Calibri"/>
              </w:rPr>
              <w:t>n</w:t>
            </w:r>
            <w:r w:rsidRPr="001201A2">
              <w:rPr>
                <w:rFonts w:cs="Calibri"/>
              </w:rPr>
              <w:t>formácií, častokrát však jednotlivé číselné údaje nekorešpondujú. Kým vlastný materiál v bode 2.2 Potravinárstvo uvádza, že v roku 2013 pracovalo v potrav</w:t>
            </w:r>
            <w:r w:rsidRPr="001201A2">
              <w:rPr>
                <w:rFonts w:cs="Calibri"/>
              </w:rPr>
              <w:t>i</w:t>
            </w:r>
            <w:r w:rsidRPr="001201A2">
              <w:rPr>
                <w:rFonts w:cs="Calibri"/>
              </w:rPr>
              <w:t>nárskej výrobe 57,7 tis. Osôb, tak v tabuľke č. 44 Vývoj priemerného evidenčn</w:t>
            </w:r>
            <w:r w:rsidRPr="001201A2">
              <w:rPr>
                <w:rFonts w:cs="Calibri"/>
              </w:rPr>
              <w:t>é</w:t>
            </w:r>
            <w:r w:rsidRPr="001201A2">
              <w:rPr>
                <w:rFonts w:cs="Calibri"/>
              </w:rPr>
              <w:t xml:space="preserve">ho počtu zamestnancov je uvedené, že odvetví výroba potravín a nápojov v roku 2013 pracovalo 28 315 osôb. Rozdiel je 29,4 tis. osôb. Nie je pravdepodobné, že by tento rozdiel tvorili zamestnanci v potravinárskych podnikoch s menej ako 20 zamestnancami. </w:t>
            </w:r>
            <w:r w:rsidRPr="001201A2">
              <w:rPr>
                <w:rFonts w:cs="Calibri"/>
              </w:rPr>
              <w:br/>
              <w:t>PKS konštatuje, že vo vlastnom materiáli v bode 9.2 Odporúčania sú takmer všetky zamerané na podporu poľnohospodárstva. Ak MPRV SR chce naďalej podporovať spotrebu slovenských potravín, tak je potrebné zamerať sa aj na po</w:t>
            </w:r>
            <w:r w:rsidRPr="001201A2">
              <w:rPr>
                <w:rFonts w:cs="Calibri"/>
              </w:rPr>
              <w:t>d</w:t>
            </w:r>
            <w:r w:rsidRPr="001201A2">
              <w:rPr>
                <w:rFonts w:cs="Calibri"/>
              </w:rPr>
              <w:t>poru potravinárskeho priemyslu v záujme zvyšovania jeho konkurencieschopno</w:t>
            </w:r>
            <w:r w:rsidRPr="001201A2">
              <w:rPr>
                <w:rFonts w:cs="Calibri"/>
              </w:rPr>
              <w:t>s</w:t>
            </w:r>
            <w:r w:rsidRPr="001201A2">
              <w:rPr>
                <w:rFonts w:cs="Calibri"/>
              </w:rPr>
              <w:t>ti. PKS žiada, aby MPRV SR podporovalo využiteľnosť kapacít všetkých odvetví potravinárskeho priemyslu, nie len konzervárenského.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1201A2" w:rsidRDefault="00DA720C" w:rsidP="001201A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201A2">
              <w:rPr>
                <w:b/>
                <w:bCs/>
                <w:lang w:eastAsia="en-US"/>
              </w:rPr>
              <w:t>Z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B54338" w:rsidP="001201A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0" w:rsidRPr="00DD7B19" w:rsidRDefault="00B54338" w:rsidP="00A0679A">
            <w:pPr>
              <w:adjustRightInd w:val="0"/>
              <w:rPr>
                <w:lang w:eastAsia="en-US"/>
              </w:rPr>
            </w:pPr>
            <w:r w:rsidRPr="00DD7B19">
              <w:rPr>
                <w:lang w:eastAsia="en-US"/>
              </w:rPr>
              <w:t>Údaje</w:t>
            </w:r>
            <w:r w:rsidR="00765250" w:rsidRPr="00DD7B19">
              <w:rPr>
                <w:lang w:eastAsia="en-US"/>
              </w:rPr>
              <w:t xml:space="preserve"> sú prevzaté zo ŠÚ SR. </w:t>
            </w:r>
          </w:p>
          <w:p w:rsidR="00DA720C" w:rsidRPr="00DD7B19" w:rsidRDefault="00E03DDA" w:rsidP="00A0679A">
            <w:pPr>
              <w:adjustRightInd w:val="0"/>
              <w:rPr>
                <w:lang w:eastAsia="en-US"/>
              </w:rPr>
            </w:pPr>
            <w:r w:rsidRPr="00DD7B19">
              <w:rPr>
                <w:lang w:eastAsia="en-US"/>
              </w:rPr>
              <w:t>Uvedený r</w:t>
            </w:r>
            <w:r w:rsidR="00765250" w:rsidRPr="00DD7B19">
              <w:rPr>
                <w:lang w:eastAsia="en-US"/>
              </w:rPr>
              <w:t xml:space="preserve">ozdiel </w:t>
            </w:r>
            <w:r w:rsidRPr="00DD7B19">
              <w:rPr>
                <w:lang w:eastAsia="en-US"/>
              </w:rPr>
              <w:t>vyplýva z oficiálnych štatistických údajov ŠÚ SR (</w:t>
            </w:r>
            <w:r w:rsidR="00765250" w:rsidRPr="00DD7B19">
              <w:rPr>
                <w:lang w:eastAsia="en-US"/>
              </w:rPr>
              <w:t>tvoria</w:t>
            </w:r>
            <w:r w:rsidRPr="00DD7B19">
              <w:rPr>
                <w:lang w:eastAsia="en-US"/>
              </w:rPr>
              <w:t xml:space="preserve"> ho</w:t>
            </w:r>
            <w:r w:rsidR="00765250" w:rsidRPr="00DD7B19">
              <w:rPr>
                <w:lang w:eastAsia="en-US"/>
              </w:rPr>
              <w:t xml:space="preserve"> z</w:t>
            </w:r>
            <w:r w:rsidR="00765250" w:rsidRPr="00DD7B19">
              <w:rPr>
                <w:lang w:eastAsia="en-US"/>
              </w:rPr>
              <w:t>a</w:t>
            </w:r>
            <w:r w:rsidR="00765250" w:rsidRPr="00DD7B19">
              <w:rPr>
                <w:lang w:eastAsia="en-US"/>
              </w:rPr>
              <w:t>mestnanci v potravinárskych podnikoch s menej ako 20 zamestnancami</w:t>
            </w:r>
            <w:r w:rsidRPr="00DD7B19">
              <w:rPr>
                <w:lang w:eastAsia="en-US"/>
              </w:rPr>
              <w:t>)</w:t>
            </w:r>
            <w:r w:rsidR="00765250" w:rsidRPr="00DD7B19">
              <w:rPr>
                <w:lang w:eastAsia="en-US"/>
              </w:rPr>
              <w:t>.</w:t>
            </w:r>
          </w:p>
          <w:p w:rsidR="00805574" w:rsidRPr="00DD7B19" w:rsidRDefault="00805574" w:rsidP="00A0679A">
            <w:pPr>
              <w:adjustRightInd w:val="0"/>
              <w:rPr>
                <w:lang w:eastAsia="en-US"/>
              </w:rPr>
            </w:pPr>
          </w:p>
          <w:p w:rsidR="00B54338" w:rsidRPr="00D27DC8" w:rsidRDefault="00805574" w:rsidP="00CE0F49">
            <w:pPr>
              <w:adjustRightInd w:val="0"/>
              <w:rPr>
                <w:lang w:eastAsia="en-US"/>
              </w:rPr>
            </w:pPr>
            <w:r w:rsidRPr="00DD7B19">
              <w:rPr>
                <w:lang w:eastAsia="en-US"/>
              </w:rPr>
              <w:t>Závery a o</w:t>
            </w:r>
            <w:r w:rsidR="00B54338" w:rsidRPr="00DD7B19">
              <w:rPr>
                <w:lang w:eastAsia="en-US"/>
              </w:rPr>
              <w:t>dporúčania sú doplnené</w:t>
            </w:r>
            <w:r w:rsidR="00790A67" w:rsidRPr="00DD7B19">
              <w:rPr>
                <w:lang w:eastAsia="en-US"/>
              </w:rPr>
              <w:t xml:space="preserve"> </w:t>
            </w:r>
            <w:r w:rsidR="00CE0F49">
              <w:rPr>
                <w:lang w:eastAsia="en-US"/>
              </w:rPr>
              <w:t>a</w:t>
            </w:r>
            <w:r w:rsidR="00790A67" w:rsidRPr="00DD7B19">
              <w:rPr>
                <w:lang w:eastAsia="en-US"/>
              </w:rPr>
              <w:t xml:space="preserve"> ni</w:t>
            </w:r>
            <w:r w:rsidR="00790A67" w:rsidRPr="00DD7B19">
              <w:rPr>
                <w:lang w:eastAsia="en-US"/>
              </w:rPr>
              <w:t>e</w:t>
            </w:r>
            <w:r w:rsidR="00790A67" w:rsidRPr="00DD7B19">
              <w:rPr>
                <w:lang w:eastAsia="en-US"/>
              </w:rPr>
              <w:t>ktoré sú preformulované</w:t>
            </w:r>
            <w:r w:rsidR="00B54338" w:rsidRPr="00DD7B19">
              <w:rPr>
                <w:lang w:eastAsia="en-US"/>
              </w:rPr>
              <w:t>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jc w:val="center"/>
              <w:rPr>
                <w:rFonts w:cs="Calibri"/>
                <w:b/>
              </w:rPr>
            </w:pPr>
            <w:r w:rsidRPr="001201A2">
              <w:rPr>
                <w:rFonts w:cs="Calibri"/>
                <w:b/>
              </w:rPr>
              <w:t>PKS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rPr>
                <w:rFonts w:cs="Calibri"/>
                <w:b/>
                <w:iCs/>
              </w:rPr>
            </w:pPr>
            <w:r w:rsidRPr="001201A2">
              <w:rPr>
                <w:rFonts w:cs="Calibri"/>
                <w:b/>
                <w:iCs/>
              </w:rPr>
              <w:t>príloha č. 2 </w:t>
            </w:r>
          </w:p>
          <w:p w:rsidR="00DA720C" w:rsidRPr="001201A2" w:rsidRDefault="00DA720C" w:rsidP="0096503E">
            <w:pPr>
              <w:rPr>
                <w:rFonts w:cs="Calibri"/>
              </w:rPr>
            </w:pPr>
            <w:r w:rsidRPr="001201A2">
              <w:rPr>
                <w:rFonts w:cs="Calibri"/>
              </w:rPr>
              <w:t>V Prílohe č. 2 sú v bode 3.2 Spotreba potravín poskytované údaje z roku 2012 (tabuľka č. 23, tabuľka č. 24, tabuľka č. 26, graf č. 22), resp. v grafe č. 21 len za rok 2010. Pokiaľ ide o poskytnuté informácie, PKS poukazuje na skutočnosť, že chýba informácia o podiele potravín na spotrebných výdavkoch, t. j. potraviny a nápoje bez tabaku. Údaj v grafe č. 21 za Slovenskú republiku 22,3 nekorešpond</w:t>
            </w:r>
            <w:r w:rsidRPr="001201A2">
              <w:rPr>
                <w:rFonts w:cs="Calibri"/>
              </w:rPr>
              <w:t>u</w:t>
            </w:r>
            <w:r w:rsidRPr="001201A2">
              <w:rPr>
                <w:rFonts w:cs="Calibri"/>
              </w:rPr>
              <w:t>je s údajom v tabuľke č. 24, kde je uvedený 28,21 %ný podiel.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1201A2" w:rsidRDefault="00DA720C" w:rsidP="001201A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1201A2">
              <w:rPr>
                <w:b/>
                <w:bCs/>
                <w:lang w:eastAsia="en-US"/>
              </w:rPr>
              <w:t>Z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B54338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FE" w:rsidRDefault="00207DFE" w:rsidP="00B54338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Údaje v grafe č. 21 sú z roku 2010, nako</w:t>
            </w:r>
            <w:r>
              <w:rPr>
                <w:lang w:eastAsia="en-US"/>
              </w:rPr>
              <w:t>ľ</w:t>
            </w:r>
            <w:r>
              <w:rPr>
                <w:lang w:eastAsia="en-US"/>
              </w:rPr>
              <w:t>ko Eurostat novšie údaje nezverejnil.</w:t>
            </w:r>
          </w:p>
          <w:p w:rsidR="00D26003" w:rsidRDefault="00D26003" w:rsidP="00B54338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Štatistické údaje za spotrebné výdavky za rok 2013 nemáme k dispozícii nakoľko ich ŠÚ SR nesledoval, o čom informuje p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známka č. 15 pod čiarou na str. 44 v prílohe č. 2.</w:t>
            </w:r>
          </w:p>
          <w:p w:rsidR="00222D1B" w:rsidRPr="00DD7B19" w:rsidRDefault="00222D1B" w:rsidP="00B54338">
            <w:pPr>
              <w:adjustRightInd w:val="0"/>
              <w:rPr>
                <w:lang w:eastAsia="en-US"/>
              </w:rPr>
            </w:pPr>
            <w:r w:rsidRPr="00DD7B19">
              <w:rPr>
                <w:lang w:eastAsia="en-US"/>
              </w:rPr>
              <w:t>V tabuľke č. 26 Spotreba mäsa a mlieka vo vybraných krajinách EÚ je za rok 2012, nakoľko Eurostat novšie údaje nezverejnil</w:t>
            </w:r>
            <w:r w:rsidR="00D82336">
              <w:rPr>
                <w:lang w:eastAsia="en-US"/>
              </w:rPr>
              <w:t>.</w:t>
            </w:r>
          </w:p>
          <w:p w:rsidR="00B54338" w:rsidRPr="00D27DC8" w:rsidRDefault="00B54338" w:rsidP="00B54338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Údaj v grafe č. 21 je opravený.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jc w:val="center"/>
              <w:rPr>
                <w:rFonts w:cs="Calibri"/>
                <w:b/>
              </w:rPr>
            </w:pPr>
            <w:r w:rsidRPr="001201A2">
              <w:rPr>
                <w:rFonts w:cs="Calibri"/>
                <w:b/>
              </w:rPr>
              <w:t>PKS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rPr>
                <w:rFonts w:cs="Calibri"/>
                <w:b/>
                <w:iCs/>
              </w:rPr>
            </w:pPr>
            <w:r w:rsidRPr="001201A2">
              <w:rPr>
                <w:rFonts w:cs="Calibri"/>
                <w:b/>
                <w:iCs/>
              </w:rPr>
              <w:t>Príloha č. 11 </w:t>
            </w:r>
          </w:p>
          <w:p w:rsidR="00DA720C" w:rsidRPr="001201A2" w:rsidRDefault="00DA720C" w:rsidP="005B6AA4">
            <w:pPr>
              <w:rPr>
                <w:rFonts w:cs="Calibri"/>
              </w:rPr>
            </w:pPr>
            <w:r w:rsidRPr="001201A2">
              <w:rPr>
                <w:rFonts w:cs="Calibri"/>
              </w:rPr>
              <w:t>PKS poukazuje na skutočnosť, že v 35 stranovej prílohe č. 11 Priebežné vyho</w:t>
            </w:r>
            <w:r w:rsidRPr="001201A2">
              <w:rPr>
                <w:rFonts w:cs="Calibri"/>
              </w:rPr>
              <w:t>d</w:t>
            </w:r>
            <w:r w:rsidRPr="001201A2">
              <w:rPr>
                <w:rFonts w:cs="Calibri"/>
              </w:rPr>
              <w:t>notenie Koncepcie rozvoja pôdohospodárstva SR na roky 2013 – 2020 sa potr</w:t>
            </w:r>
            <w:r w:rsidRPr="001201A2">
              <w:rPr>
                <w:rFonts w:cs="Calibri"/>
              </w:rPr>
              <w:t>a</w:t>
            </w:r>
            <w:r w:rsidRPr="001201A2">
              <w:rPr>
                <w:rFonts w:cs="Calibri"/>
              </w:rPr>
              <w:t>vinárskemu priemyslu venuje týchto 6 riadkov: „V rámci podporných opatrení definovaných v Koncepcii, sekcia potravinárstva a obchodu môže poskytnúť s</w:t>
            </w:r>
            <w:r w:rsidRPr="001201A2">
              <w:rPr>
                <w:rFonts w:cs="Calibri"/>
              </w:rPr>
              <w:t>ú</w:t>
            </w:r>
            <w:r w:rsidRPr="001201A2">
              <w:rPr>
                <w:rFonts w:cs="Calibri"/>
              </w:rPr>
              <w:t xml:space="preserve">činnosť pri realizácii opatrenia „podpora produkcie a odbytu tradičnej slovenskej </w:t>
            </w:r>
            <w:r w:rsidRPr="001201A2">
              <w:rPr>
                <w:rFonts w:cs="Calibri"/>
              </w:rPr>
              <w:lastRenderedPageBreak/>
              <w:t>bryndze s podielom ovčej hrudky najmenej vo výške 50 % a ďalších výrobkov z ovčieho mlieka s chráneným označením pôvodu“. Vzhľadnom na to, že na real</w:t>
            </w:r>
            <w:r w:rsidRPr="001201A2">
              <w:rPr>
                <w:rFonts w:cs="Calibri"/>
              </w:rPr>
              <w:t>i</w:t>
            </w:r>
            <w:r w:rsidRPr="001201A2">
              <w:rPr>
                <w:rFonts w:cs="Calibri"/>
              </w:rPr>
              <w:t>záciu neboli v roku 2013 vyčlenené finančné prostriedky, uvedené opatrenie n</w:t>
            </w:r>
            <w:r w:rsidRPr="001201A2">
              <w:rPr>
                <w:rFonts w:cs="Calibri"/>
              </w:rPr>
              <w:t>e</w:t>
            </w:r>
            <w:r w:rsidRPr="001201A2">
              <w:rPr>
                <w:rFonts w:cs="Calibri"/>
              </w:rPr>
              <w:t>boli v roku 2013 realizované.“ PKS žiada prílohu č. 11 doplniť o Koncepciu ro</w:t>
            </w:r>
            <w:r w:rsidRPr="001201A2">
              <w:rPr>
                <w:rFonts w:cs="Calibri"/>
              </w:rPr>
              <w:t>z</w:t>
            </w:r>
            <w:r w:rsidRPr="001201A2">
              <w:rPr>
                <w:rFonts w:cs="Calibri"/>
              </w:rPr>
              <w:t>voja potravinárskeho priemyslu na roky 2014 – 2020 napriek tomu, že je v pr</w:t>
            </w:r>
            <w:r w:rsidRPr="001201A2">
              <w:rPr>
                <w:rFonts w:cs="Calibri"/>
              </w:rPr>
              <w:t>i</w:t>
            </w:r>
            <w:r w:rsidRPr="001201A2">
              <w:rPr>
                <w:rFonts w:cs="Calibri"/>
              </w:rPr>
              <w:t xml:space="preserve">pomienkovom konaní. </w:t>
            </w:r>
            <w:r w:rsidRPr="001201A2">
              <w:rPr>
                <w:rFonts w:cs="Calibri"/>
              </w:rPr>
              <w:br/>
              <w:t xml:space="preserve">Záver: </w:t>
            </w:r>
            <w:r w:rsidRPr="001201A2">
              <w:rPr>
                <w:rFonts w:cs="Calibri"/>
              </w:rPr>
              <w:br/>
              <w:t>PKS na záver konštatuje, že úlohou pripomienkujúcich subjektov v rámci prip</w:t>
            </w:r>
            <w:r w:rsidRPr="001201A2">
              <w:rPr>
                <w:rFonts w:cs="Calibri"/>
              </w:rPr>
              <w:t>o</w:t>
            </w:r>
            <w:r w:rsidRPr="001201A2">
              <w:rPr>
                <w:rFonts w:cs="Calibri"/>
              </w:rPr>
              <w:t>mienkového konania nie je odstraňovanie zásadných nepresností a chýb v tak rozsiahlom dokumente. Keďže Správa o poľnohospodárstve a potravinárstve je výsledkom niekoľkomesačnej práce tímu pracovníkov celého rezortu MPRV SR, ako aj ďalších organizácií ako napríklad VÚEPP a ŠÚ SR, na pripomienkové konanie by mal byť predložený dokument bez zásadných chýb. PKS na základe uvedených skutočností odporúča dokument podrobiť revízii a opäť predložiť do pripomienkového konania.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856FFA" w:rsidRDefault="00DA720C" w:rsidP="001201A2">
            <w:pPr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01A2">
              <w:rPr>
                <w:b/>
                <w:bCs/>
                <w:lang w:eastAsia="en-US"/>
              </w:rPr>
              <w:lastRenderedPageBreak/>
              <w:t>Z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D27DC8" w:rsidRDefault="00EF3A34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89" w:rsidRPr="00C61AB5" w:rsidRDefault="00EF3A34" w:rsidP="00DC298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Text prílohy č. 11 je doplnený</w:t>
            </w:r>
            <w:r w:rsidR="00883C90">
              <w:rPr>
                <w:lang w:eastAsia="en-US"/>
              </w:rPr>
              <w:t xml:space="preserve"> o informáciu o zameraní „</w:t>
            </w:r>
            <w:r w:rsidR="00883C90" w:rsidRPr="00C61AB5">
              <w:rPr>
                <w:lang w:eastAsia="en-US"/>
              </w:rPr>
              <w:t>Koncepcie ro</w:t>
            </w:r>
            <w:r w:rsidR="00883C90" w:rsidRPr="00C61AB5">
              <w:rPr>
                <w:lang w:eastAsia="en-US"/>
              </w:rPr>
              <w:t>z</w:t>
            </w:r>
            <w:r w:rsidR="00883C90" w:rsidRPr="00C61AB5">
              <w:rPr>
                <w:lang w:eastAsia="en-US"/>
              </w:rPr>
              <w:t>voja potravinárskeho priemyslu 2014-2020“, ktorá je v súčasnosti na medzir</w:t>
            </w:r>
            <w:r w:rsidR="00883C90" w:rsidRPr="00C61AB5">
              <w:rPr>
                <w:lang w:eastAsia="en-US"/>
              </w:rPr>
              <w:t>e</w:t>
            </w:r>
            <w:r w:rsidR="00883C90" w:rsidRPr="00C61AB5">
              <w:rPr>
                <w:lang w:eastAsia="en-US"/>
              </w:rPr>
              <w:t>zortnom pripomienkovom konaní</w:t>
            </w:r>
            <w:r w:rsidR="00DC2989" w:rsidRPr="00C61AB5">
              <w:rPr>
                <w:lang w:eastAsia="en-US"/>
              </w:rPr>
              <w:t xml:space="preserve"> (MPK)</w:t>
            </w:r>
            <w:r>
              <w:rPr>
                <w:lang w:eastAsia="en-US"/>
              </w:rPr>
              <w:t>.</w:t>
            </w:r>
            <w:r w:rsidR="00883C90">
              <w:rPr>
                <w:lang w:eastAsia="en-US"/>
              </w:rPr>
              <w:t xml:space="preserve"> Príloha č. 11 hodnotí rok 2013 </w:t>
            </w:r>
            <w:r w:rsidR="00C61AB5">
              <w:rPr>
                <w:lang w:eastAsia="en-US"/>
              </w:rPr>
              <w:t>(</w:t>
            </w:r>
            <w:r w:rsidR="00883C90">
              <w:rPr>
                <w:lang w:eastAsia="en-US"/>
              </w:rPr>
              <w:t>ako vypl</w:t>
            </w:r>
            <w:r w:rsidR="00883C90">
              <w:rPr>
                <w:lang w:eastAsia="en-US"/>
              </w:rPr>
              <w:t>ý</w:t>
            </w:r>
            <w:r w:rsidR="00883C90">
              <w:rPr>
                <w:lang w:eastAsia="en-US"/>
              </w:rPr>
              <w:lastRenderedPageBreak/>
              <w:t>va z</w:t>
            </w:r>
            <w:r w:rsidR="00DC2989">
              <w:rPr>
                <w:lang w:eastAsia="en-US"/>
              </w:rPr>
              <w:t xml:space="preserve"> jej </w:t>
            </w:r>
            <w:r w:rsidR="00883C90">
              <w:rPr>
                <w:lang w:eastAsia="en-US"/>
              </w:rPr>
              <w:t>názvu</w:t>
            </w:r>
            <w:r w:rsidR="00C61AB5">
              <w:rPr>
                <w:lang w:eastAsia="en-US"/>
              </w:rPr>
              <w:t>)</w:t>
            </w:r>
            <w:r w:rsidR="00DC2989">
              <w:rPr>
                <w:lang w:eastAsia="en-US"/>
              </w:rPr>
              <w:t>, a preto nie je možné ho</w:t>
            </w:r>
            <w:r w:rsidR="00DC2989">
              <w:rPr>
                <w:lang w:eastAsia="en-US"/>
              </w:rPr>
              <w:t>d</w:t>
            </w:r>
            <w:r w:rsidR="00DC2989">
              <w:rPr>
                <w:lang w:eastAsia="en-US"/>
              </w:rPr>
              <w:t>notiť</w:t>
            </w:r>
            <w:r w:rsidR="00DC2989" w:rsidRPr="00C61AB5">
              <w:rPr>
                <w:lang w:eastAsia="en-US"/>
              </w:rPr>
              <w:t xml:space="preserve"> Koncepciu rozvoja potravinárskeho priemyslu 2014-2020, ktorá sa netýka roku 2013 a okrem toho </w:t>
            </w:r>
            <w:r w:rsidR="00C61AB5">
              <w:rPr>
                <w:lang w:eastAsia="en-US"/>
              </w:rPr>
              <w:t xml:space="preserve">ešte nebola schválená vo vláde SR, nakoľko </w:t>
            </w:r>
            <w:r w:rsidR="00DC2989" w:rsidRPr="00C61AB5">
              <w:rPr>
                <w:lang w:eastAsia="en-US"/>
              </w:rPr>
              <w:t>je v súčasnosti v MPK.</w:t>
            </w:r>
          </w:p>
          <w:p w:rsidR="00DA720C" w:rsidRDefault="00DC2989" w:rsidP="00DC298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F3A34" w:rsidRPr="00D27DC8" w:rsidRDefault="00DC2989" w:rsidP="00DC298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Charakter pripomienok </w:t>
            </w:r>
            <w:r w:rsidR="00EF3A34">
              <w:rPr>
                <w:lang w:eastAsia="en-US"/>
              </w:rPr>
              <w:t>uplatnen</w:t>
            </w:r>
            <w:r>
              <w:rPr>
                <w:lang w:eastAsia="en-US"/>
              </w:rPr>
              <w:t>ých</w:t>
            </w:r>
            <w:r w:rsidR="00EF3A34">
              <w:rPr>
                <w:lang w:eastAsia="en-US"/>
              </w:rPr>
              <w:t xml:space="preserve"> v rámci medzirezortného pripomienkového konania </w:t>
            </w:r>
            <w:r>
              <w:rPr>
                <w:lang w:eastAsia="en-US"/>
              </w:rPr>
              <w:t xml:space="preserve">nie je </w:t>
            </w:r>
            <w:r w:rsidR="00EF3A34">
              <w:rPr>
                <w:lang w:eastAsia="en-US"/>
              </w:rPr>
              <w:t>tak závažn</w:t>
            </w:r>
            <w:r>
              <w:rPr>
                <w:lang w:eastAsia="en-US"/>
              </w:rPr>
              <w:t>ý</w:t>
            </w:r>
            <w:r w:rsidR="00EF3A34">
              <w:rPr>
                <w:lang w:eastAsia="en-US"/>
              </w:rPr>
              <w:t>, aby bolo p</w:t>
            </w:r>
            <w:r w:rsidR="00EF3A34">
              <w:rPr>
                <w:lang w:eastAsia="en-US"/>
              </w:rPr>
              <w:t>o</w:t>
            </w:r>
            <w:r w:rsidR="00EF3A34">
              <w:rPr>
                <w:lang w:eastAsia="en-US"/>
              </w:rPr>
              <w:t>trebné materiál podrobiť revízii a opäť predložiť do pripomienkového konania.</w:t>
            </w:r>
          </w:p>
        </w:tc>
      </w:tr>
      <w:tr w:rsidR="00DA720C" w:rsidRPr="00857AD0" w:rsidTr="000B3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Default="00DA720C" w:rsidP="001201A2">
            <w:pPr>
              <w:jc w:val="center"/>
              <w:rPr>
                <w:rFonts w:cs="Calibri"/>
                <w:b/>
              </w:rPr>
            </w:pPr>
            <w:r w:rsidRPr="001201A2">
              <w:rPr>
                <w:rFonts w:cs="Calibri"/>
                <w:b/>
              </w:rPr>
              <w:lastRenderedPageBreak/>
              <w:t>R</w:t>
            </w:r>
            <w:r>
              <w:rPr>
                <w:rFonts w:cs="Calibri"/>
                <w:b/>
              </w:rPr>
              <w:t>Ú</w:t>
            </w:r>
            <w:r w:rsidRPr="001201A2">
              <w:rPr>
                <w:rFonts w:cs="Calibri"/>
                <w:b/>
              </w:rPr>
              <w:t>Z </w:t>
            </w:r>
          </w:p>
          <w:p w:rsidR="00DA720C" w:rsidRPr="001201A2" w:rsidRDefault="00DA720C" w:rsidP="001201A2">
            <w:pPr>
              <w:jc w:val="center"/>
              <w:rPr>
                <w:rFonts w:cs="Calibri"/>
                <w:b/>
              </w:rPr>
            </w:pPr>
            <w:r>
              <w:rPr>
                <w:lang w:eastAsia="en-US"/>
              </w:rPr>
              <w:t>(v rámci RÚZ pr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pomienky Agrárnej komory Slove</w:t>
            </w:r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t>ska)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Pr="001201A2" w:rsidRDefault="00DA720C" w:rsidP="001201A2">
            <w:pPr>
              <w:rPr>
                <w:rFonts w:cs="Calibri"/>
                <w:b/>
                <w:iCs/>
              </w:rPr>
            </w:pPr>
            <w:r w:rsidRPr="001201A2">
              <w:rPr>
                <w:rFonts w:cs="Calibri"/>
                <w:b/>
                <w:iCs/>
              </w:rPr>
              <w:t>1. Zásadná pripomienka k časti 2.1 Poľnohospodárstvo </w:t>
            </w:r>
          </w:p>
          <w:p w:rsidR="00DA720C" w:rsidRPr="001201A2" w:rsidRDefault="00DA720C" w:rsidP="0096503E">
            <w:pPr>
              <w:rPr>
                <w:rFonts w:cs="Calibri"/>
              </w:rPr>
            </w:pPr>
            <w:r w:rsidRPr="001201A2">
              <w:rPr>
                <w:rFonts w:cs="Calibri"/>
              </w:rPr>
              <w:t xml:space="preserve">RÚZ navrhuje v uvedenej časti na vecne vhodnom mieste doplniť: </w:t>
            </w:r>
            <w:r w:rsidRPr="001201A2">
              <w:rPr>
                <w:rFonts w:cs="Calibri"/>
              </w:rPr>
              <w:br/>
              <w:t>- Hospodársky výsledok v agrárnom sektore v roku 2013 bol stratový a je potre</w:t>
            </w:r>
            <w:r w:rsidRPr="001201A2">
              <w:rPr>
                <w:rFonts w:cs="Calibri"/>
              </w:rPr>
              <w:t>b</w:t>
            </w:r>
            <w:r w:rsidRPr="001201A2">
              <w:rPr>
                <w:rFonts w:cs="Calibri"/>
              </w:rPr>
              <w:t>né poznamenať, že podnikateľské subjekty, ktorí sa zaoberajú so živočíšnou v</w:t>
            </w:r>
            <w:r w:rsidRPr="001201A2">
              <w:rPr>
                <w:rFonts w:cs="Calibri"/>
              </w:rPr>
              <w:t>ý</w:t>
            </w:r>
            <w:r w:rsidRPr="001201A2">
              <w:rPr>
                <w:rFonts w:cs="Calibri"/>
              </w:rPr>
              <w:t xml:space="preserve">robou, ovocinárstvom a zeleninárstvom zamestnávajú najväčší počet ľudí majú aj najvyššie straty. V týchto odvetviach sú podnikatelia najviac odkázaný na ľudskú prácu (o ktorú prácu je stále menší záujem). </w:t>
            </w:r>
            <w:r w:rsidRPr="001201A2">
              <w:rPr>
                <w:rFonts w:cs="Calibri"/>
              </w:rPr>
              <w:br/>
              <w:t>- V roku 2013 dopady modulácie naďalej najviac postihli podnikateľské subjekty, ktoré sa zaoberajú so živočíšnou výrobou nakoľko platby na veľké dobytčie je</w:t>
            </w:r>
            <w:r w:rsidRPr="001201A2">
              <w:rPr>
                <w:rFonts w:cs="Calibri"/>
              </w:rPr>
              <w:t>d</w:t>
            </w:r>
            <w:r w:rsidRPr="001201A2">
              <w:rPr>
                <w:rFonts w:cs="Calibri"/>
              </w:rPr>
              <w:t>notky obdŕžali s rozhodnutím z PPA na nulovej hodnote (žiadosti boli predložené na cca 50mil.€). Rozhodujúci bol aj následok z cenových nožníc tj. zo vzťahu medzi vývojom cien poľnohospodárskych výrobkov a cien dodávok (vstupov) do poľnohospodárstva. Značný cenový rozdiel sa prejavuje v poklese cien poľn</w:t>
            </w:r>
            <w:r w:rsidRPr="001201A2">
              <w:rPr>
                <w:rFonts w:cs="Calibri"/>
              </w:rPr>
              <w:t>o</w:t>
            </w:r>
            <w:r w:rsidRPr="001201A2">
              <w:rPr>
                <w:rFonts w:cs="Calibri"/>
              </w:rPr>
              <w:t>hospodárskych výrobkov a v náraste cien dodávok do poľnohospodárskej prv</w:t>
            </w:r>
            <w:r w:rsidRPr="001201A2">
              <w:rPr>
                <w:rFonts w:cs="Calibri"/>
              </w:rPr>
              <w:t>o</w:t>
            </w:r>
            <w:r w:rsidRPr="001201A2">
              <w:rPr>
                <w:rFonts w:cs="Calibri"/>
              </w:rPr>
              <w:t>výroby, ktoré v značnej miere ovplyvnili náklady a tým aj výsledok hospodár</w:t>
            </w:r>
            <w:r w:rsidRPr="001201A2">
              <w:rPr>
                <w:rFonts w:cs="Calibri"/>
              </w:rPr>
              <w:t>e</w:t>
            </w:r>
            <w:r w:rsidRPr="001201A2">
              <w:rPr>
                <w:rFonts w:cs="Calibri"/>
              </w:rPr>
              <w:t xml:space="preserve">nia. </w:t>
            </w:r>
            <w:r w:rsidRPr="001201A2">
              <w:rPr>
                <w:rFonts w:cs="Calibri"/>
              </w:rPr>
              <w:br/>
              <w:t xml:space="preserve">- Značná časť poľnohospodárov je odkázaná na založenie úrody odobrať osivá, </w:t>
            </w:r>
            <w:r w:rsidRPr="001201A2">
              <w:rPr>
                <w:rFonts w:cs="Calibri"/>
              </w:rPr>
              <w:lastRenderedPageBreak/>
              <w:t>hnojivá, pesticídy od dodávateľských firiem zálohovane tzn. že platba sa realiz</w:t>
            </w:r>
            <w:r w:rsidRPr="001201A2">
              <w:rPr>
                <w:rFonts w:cs="Calibri"/>
              </w:rPr>
              <w:t>u</w:t>
            </w:r>
            <w:r w:rsidRPr="001201A2">
              <w:rPr>
                <w:rFonts w:cs="Calibri"/>
              </w:rPr>
              <w:t xml:space="preserve">je kompenzáciou z novej úrody, tým pádom ceny vstupov a výstupov diktuje predajca a poľnohospodár je nútený to rešpektovať. Zo susedných krajín sú u nás najvyššie ceny osív, hnojív a pesticídov (min o 20-30%). Finančne stabilnejší farmári nakupujú tieto produkty mimo SR </w:t>
            </w:r>
            <w:r w:rsidRPr="001201A2">
              <w:rPr>
                <w:rFonts w:cs="Calibri"/>
              </w:rPr>
              <w:br/>
              <w:t>- Uplatňovanie zákona o miestnych daniach. naďalej dáva priestor obecným z</w:t>
            </w:r>
            <w:r w:rsidRPr="001201A2">
              <w:rPr>
                <w:rFonts w:cs="Calibri"/>
              </w:rPr>
              <w:t>a</w:t>
            </w:r>
            <w:r w:rsidRPr="001201A2">
              <w:rPr>
                <w:rFonts w:cs="Calibri"/>
              </w:rPr>
              <w:t xml:space="preserve">stupiteľstvám na rozdielne vyrúbanie z daní z poľnohospodárskych pozemkov a hospodárskych budov, sú veľké rozdiely medzi jednotlivými obcami (farmári neplatia vo väčšine krajín EÚ) </w:t>
            </w:r>
            <w:r w:rsidRPr="001201A2">
              <w:rPr>
                <w:rFonts w:cs="Calibri"/>
              </w:rPr>
              <w:br/>
              <w:t>- Veľké rozdiely sú aj pri platení nájomného za užívanie poľnohospodárskej p</w:t>
            </w:r>
            <w:r w:rsidRPr="001201A2">
              <w:rPr>
                <w:rFonts w:cs="Calibri"/>
              </w:rPr>
              <w:t>o</w:t>
            </w:r>
            <w:r w:rsidRPr="001201A2">
              <w:rPr>
                <w:rFonts w:cs="Calibri"/>
              </w:rPr>
              <w:t xml:space="preserve">zemkov, najviac platili v regiónoch, kde sa dosiahla najvyššia strata na jeden hektár užívaných pozemkov, naďalej cirkev požaduje najvyššie nájomné. </w:t>
            </w:r>
            <w:r w:rsidRPr="001201A2">
              <w:rPr>
                <w:rFonts w:cs="Calibri"/>
              </w:rPr>
              <w:br/>
              <w:t>- Za rok 2013 najviac podpôr bolo poskytnutých v rámci Osi 2 na LFA - znev</w:t>
            </w:r>
            <w:r w:rsidRPr="001201A2">
              <w:rPr>
                <w:rFonts w:cs="Calibri"/>
              </w:rPr>
              <w:t>ý</w:t>
            </w:r>
            <w:r w:rsidRPr="001201A2">
              <w:rPr>
                <w:rFonts w:cs="Calibri"/>
              </w:rPr>
              <w:t>hodnené oblasti. Cieľom tejto podpory je pokračovať poľnohospodárskej činnosti aj v oblastiach s prírodnými alebo inými osobitnými obmedzeniami, čo má dopad na zabezpečenie príjmov a udržanie zamestnanosti. Ku spôsobu uplatnenia krit</w:t>
            </w:r>
            <w:r w:rsidRPr="001201A2">
              <w:rPr>
                <w:rFonts w:cs="Calibri"/>
              </w:rPr>
              <w:t>é</w:t>
            </w:r>
            <w:r w:rsidRPr="001201A2">
              <w:rPr>
                <w:rFonts w:cs="Calibri"/>
              </w:rPr>
              <w:t>rií pre zaradenie do znevýhodnených oblasti máme výhrady. Za východisko pro</w:t>
            </w:r>
            <w:r w:rsidRPr="001201A2">
              <w:rPr>
                <w:rFonts w:cs="Calibri"/>
              </w:rPr>
              <w:t>b</w:t>
            </w:r>
            <w:r w:rsidRPr="001201A2">
              <w:rPr>
                <w:rFonts w:cs="Calibri"/>
              </w:rPr>
              <w:t>lémov považujeme dva okruhy, a to že : základnou územnou jednotkou pre zar</w:t>
            </w:r>
            <w:r w:rsidRPr="001201A2">
              <w:rPr>
                <w:rFonts w:cs="Calibri"/>
              </w:rPr>
              <w:t>a</w:t>
            </w:r>
            <w:r w:rsidRPr="001201A2">
              <w:rPr>
                <w:rFonts w:cs="Calibri"/>
              </w:rPr>
              <w:t>denie do horských a ostatných znevýhodnených oblasti je obec, do oblasti so šp</w:t>
            </w:r>
            <w:r w:rsidRPr="001201A2">
              <w:rPr>
                <w:rFonts w:cs="Calibri"/>
              </w:rPr>
              <w:t>e</w:t>
            </w:r>
            <w:r w:rsidRPr="001201A2">
              <w:rPr>
                <w:rFonts w:cs="Calibri"/>
              </w:rPr>
              <w:t>cifickými nevýhodnými katastrálne územie, nie konkrétny pôdny blok. Vytvára sa týmto významná nerovnosť medzi poľnohospodármi v rámci tej istej obce, medzi susediacimi obcami, ale aj medzi obcami celého Slovenska. Preto aj po</w:t>
            </w:r>
            <w:r w:rsidRPr="001201A2">
              <w:rPr>
                <w:rFonts w:cs="Calibri"/>
              </w:rPr>
              <w:t>d</w:t>
            </w:r>
            <w:r w:rsidRPr="001201A2">
              <w:rPr>
                <w:rFonts w:cs="Calibri"/>
              </w:rPr>
              <w:t xml:space="preserve">pora hospodárenia by sa mala viazať na konkrétne pôdne bloky, najjednoduchším spôsobom podľa BPEJ v novom plánovacom období SPP v SR. </w:t>
            </w:r>
            <w:r w:rsidRPr="001201A2">
              <w:rPr>
                <w:rFonts w:cs="Calibri"/>
              </w:rPr>
              <w:br/>
              <w:t>- Žiaduce je uviesť aj environmentálne zdôvodnenie, resp. možné environmentá</w:t>
            </w:r>
            <w:r w:rsidRPr="001201A2">
              <w:rPr>
                <w:rFonts w:cs="Calibri"/>
              </w:rPr>
              <w:t>l</w:t>
            </w:r>
            <w:r w:rsidRPr="001201A2">
              <w:rPr>
                <w:rFonts w:cs="Calibri"/>
              </w:rPr>
              <w:t>ne dopady výrazných rozdielov výšky a miery podpory medzi jednotlivými typmi výrobného zamerania podnikov, napr. zdôvodnenie a dopad 3-násobného zv</w:t>
            </w:r>
            <w:r w:rsidRPr="001201A2">
              <w:rPr>
                <w:rFonts w:cs="Calibri"/>
              </w:rPr>
              <w:t>ý</w:t>
            </w:r>
            <w:r w:rsidRPr="001201A2">
              <w:rPr>
                <w:rFonts w:cs="Calibri"/>
              </w:rPr>
              <w:t xml:space="preserve">hodnenia živočíšnej výroby voči rastlinnej. </w:t>
            </w:r>
            <w:r w:rsidRPr="001201A2">
              <w:rPr>
                <w:rFonts w:cs="Calibri"/>
              </w:rPr>
              <w:b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856FFA" w:rsidRDefault="00DA720C" w:rsidP="001201A2">
            <w:pPr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01A2">
              <w:rPr>
                <w:b/>
                <w:bCs/>
                <w:lang w:eastAsia="en-US"/>
              </w:rPr>
              <w:lastRenderedPageBreak/>
              <w:t>Z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0C" w:rsidRPr="0083210E" w:rsidRDefault="005D7958" w:rsidP="00A50556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C" w:rsidRDefault="00F1163D" w:rsidP="00AC0885">
            <w:pPr>
              <w:adjustRightInd w:val="0"/>
              <w:rPr>
                <w:lang w:eastAsia="en-US"/>
              </w:rPr>
            </w:pPr>
            <w:r w:rsidRPr="00DD7B19">
              <w:rPr>
                <w:lang w:eastAsia="en-US"/>
              </w:rPr>
              <w:t>Vo vlastnom materiáli a</w:t>
            </w:r>
            <w:r w:rsidR="00007E08" w:rsidRPr="00DD7B19">
              <w:rPr>
                <w:lang w:eastAsia="en-US"/>
              </w:rPr>
              <w:t xml:space="preserve"> </w:t>
            </w:r>
            <w:r w:rsidR="00AC0885" w:rsidRPr="00DD7B19">
              <w:rPr>
                <w:lang w:eastAsia="en-US"/>
              </w:rPr>
              <w:t>v prílohe č. 2</w:t>
            </w:r>
            <w:r w:rsidR="005D7958">
              <w:rPr>
                <w:lang w:eastAsia="en-US"/>
              </w:rPr>
              <w:t xml:space="preserve"> je</w:t>
            </w:r>
            <w:r w:rsidR="00AC0885">
              <w:rPr>
                <w:lang w:eastAsia="en-US"/>
              </w:rPr>
              <w:t xml:space="preserve"> text čiastočne</w:t>
            </w:r>
            <w:r w:rsidR="005D7958">
              <w:rPr>
                <w:lang w:eastAsia="en-US"/>
              </w:rPr>
              <w:t xml:space="preserve"> preformulovaný </w:t>
            </w:r>
            <w:r w:rsidR="00AC0885">
              <w:rPr>
                <w:lang w:eastAsia="en-US"/>
              </w:rPr>
              <w:t>v zmysle pripomienky.</w:t>
            </w:r>
            <w:r w:rsidR="005D7958">
              <w:rPr>
                <w:lang w:eastAsia="en-US"/>
              </w:rPr>
              <w:t xml:space="preserve"> </w:t>
            </w:r>
          </w:p>
          <w:p w:rsidR="00AC0885" w:rsidRDefault="00DD7B19" w:rsidP="00AC0885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Upozorňujeme, </w:t>
            </w:r>
            <w:r w:rsidR="00AC0885" w:rsidRPr="00AC0885">
              <w:rPr>
                <w:lang w:eastAsia="en-US"/>
              </w:rPr>
              <w:t>že dopady na  poľnoho</w:t>
            </w:r>
            <w:r w:rsidR="00AC0885" w:rsidRPr="00AC0885">
              <w:rPr>
                <w:lang w:eastAsia="en-US"/>
              </w:rPr>
              <w:t>s</w:t>
            </w:r>
            <w:r w:rsidR="00AC0885" w:rsidRPr="00AC0885">
              <w:rPr>
                <w:lang w:eastAsia="en-US"/>
              </w:rPr>
              <w:t>podárske podniky zaoberajúce sa živočí</w:t>
            </w:r>
            <w:r w:rsidR="00AC0885" w:rsidRPr="00AC0885">
              <w:rPr>
                <w:lang w:eastAsia="en-US"/>
              </w:rPr>
              <w:t>š</w:t>
            </w:r>
            <w:r w:rsidR="00AC0885" w:rsidRPr="00AC0885">
              <w:rPr>
                <w:lang w:eastAsia="en-US"/>
              </w:rPr>
              <w:t>nou výrobou boli výrazné, avšak platby na VDJ nepredstavovali nulovú hodnotu</w:t>
            </w:r>
            <w:r w:rsidR="00AC0885">
              <w:rPr>
                <w:lang w:eastAsia="en-US"/>
              </w:rPr>
              <w:t xml:space="preserve"> (viď príloha č. 3, tabuľ</w:t>
            </w:r>
            <w:r w:rsidR="00AC0885" w:rsidRPr="00AC0885">
              <w:rPr>
                <w:lang w:eastAsia="en-US"/>
              </w:rPr>
              <w:t>ka 4 – Prechodná vnútr</w:t>
            </w:r>
            <w:r w:rsidR="00AC0885" w:rsidRPr="00AC0885">
              <w:rPr>
                <w:lang w:eastAsia="en-US"/>
              </w:rPr>
              <w:t>o</w:t>
            </w:r>
            <w:r w:rsidR="00AC0885" w:rsidRPr="00AC0885">
              <w:rPr>
                <w:lang w:eastAsia="en-US"/>
              </w:rPr>
              <w:t>štátna platba na VDJ predstavovala objem 1 132 562 €</w:t>
            </w:r>
            <w:r w:rsidR="00AC0885">
              <w:rPr>
                <w:lang w:eastAsia="en-US"/>
              </w:rPr>
              <w:t>).</w:t>
            </w:r>
          </w:p>
          <w:p w:rsidR="008F2D1E" w:rsidRDefault="008F2D1E" w:rsidP="003C24FE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Uvedený jav v zdaňovaní   poľnohospodá</w:t>
            </w:r>
            <w:r>
              <w:rPr>
                <w:lang w:eastAsia="en-US"/>
              </w:rPr>
              <w:t>r</w:t>
            </w:r>
            <w:r>
              <w:rPr>
                <w:lang w:eastAsia="en-US"/>
              </w:rPr>
              <w:t>skych a lesných pozemkov MPRV SR ev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duje a pracuje na jeho riešení.</w:t>
            </w:r>
          </w:p>
          <w:p w:rsidR="00007E08" w:rsidRPr="003C24FE" w:rsidRDefault="003C24FE" w:rsidP="003C24FE">
            <w:pPr>
              <w:adjustRightInd w:val="0"/>
              <w:rPr>
                <w:lang w:eastAsia="en-US"/>
              </w:rPr>
            </w:pPr>
            <w:r w:rsidRPr="003C24FE">
              <w:rPr>
                <w:lang w:eastAsia="en-US"/>
              </w:rPr>
              <w:t>Návrh viazať p</w:t>
            </w:r>
            <w:r w:rsidR="00007E08" w:rsidRPr="003C24FE">
              <w:rPr>
                <w:lang w:eastAsia="en-US"/>
              </w:rPr>
              <w:t>odporu v LFA na konkrétne pôdne bloky</w:t>
            </w:r>
            <w:r w:rsidRPr="003C24FE">
              <w:rPr>
                <w:lang w:eastAsia="en-US"/>
              </w:rPr>
              <w:t xml:space="preserve"> neakceptujeme, nakoľko u</w:t>
            </w:r>
            <w:r w:rsidR="00007E08" w:rsidRPr="003C24FE">
              <w:rPr>
                <w:lang w:eastAsia="en-US"/>
              </w:rPr>
              <w:t>v</w:t>
            </w:r>
            <w:r w:rsidR="00007E08" w:rsidRPr="003C24FE">
              <w:rPr>
                <w:lang w:eastAsia="en-US"/>
              </w:rPr>
              <w:t>e</w:t>
            </w:r>
            <w:r w:rsidR="00007E08" w:rsidRPr="003C24FE">
              <w:rPr>
                <w:lang w:eastAsia="en-US"/>
              </w:rPr>
              <w:t>dený návrh je v rozpore s článkom 32 n</w:t>
            </w:r>
            <w:r w:rsidR="00007E08" w:rsidRPr="003C24FE">
              <w:rPr>
                <w:lang w:eastAsia="en-US"/>
              </w:rPr>
              <w:t>a</w:t>
            </w:r>
            <w:r w:rsidR="00007E08" w:rsidRPr="003C24FE">
              <w:rPr>
                <w:lang w:eastAsia="en-US"/>
              </w:rPr>
              <w:t xml:space="preserve">riadenia </w:t>
            </w:r>
            <w:r w:rsidR="0080588E">
              <w:rPr>
                <w:lang w:eastAsia="en-US"/>
              </w:rPr>
              <w:t xml:space="preserve">(EÚ) č. </w:t>
            </w:r>
            <w:r w:rsidR="00007E08" w:rsidRPr="003C24FE">
              <w:rPr>
                <w:lang w:eastAsia="en-US"/>
              </w:rPr>
              <w:t>1305/2013</w:t>
            </w:r>
            <w:r w:rsidR="0080588E">
              <w:rPr>
                <w:lang w:eastAsia="en-US"/>
              </w:rPr>
              <w:t xml:space="preserve"> EP a Rady</w:t>
            </w:r>
            <w:r w:rsidR="00007E08" w:rsidRPr="003C24FE">
              <w:rPr>
                <w:lang w:eastAsia="en-US"/>
              </w:rPr>
              <w:t xml:space="preserve">, </w:t>
            </w:r>
            <w:r w:rsidR="00007E08" w:rsidRPr="003C24FE">
              <w:rPr>
                <w:lang w:eastAsia="en-US"/>
              </w:rPr>
              <w:lastRenderedPageBreak/>
              <w:t>ktorý stanovuje:</w:t>
            </w:r>
          </w:p>
          <w:p w:rsidR="00007E08" w:rsidRPr="003C24FE" w:rsidRDefault="00007E08" w:rsidP="003C24FE">
            <w:pPr>
              <w:adjustRightInd w:val="0"/>
              <w:rPr>
                <w:lang w:eastAsia="en-US"/>
              </w:rPr>
            </w:pPr>
            <w:r w:rsidRPr="003C24FE">
              <w:rPr>
                <w:i/>
                <w:iCs/>
                <w:color w:val="000000"/>
              </w:rPr>
              <w:t>„Dodržiavanie týchto podmienok sa z</w:t>
            </w:r>
            <w:r w:rsidRPr="003C24FE">
              <w:rPr>
                <w:i/>
                <w:iCs/>
                <w:color w:val="000000"/>
              </w:rPr>
              <w:t>a</w:t>
            </w:r>
            <w:r w:rsidRPr="003C24FE">
              <w:rPr>
                <w:i/>
                <w:iCs/>
                <w:color w:val="000000"/>
              </w:rPr>
              <w:t>bezpečuje na úrovni miestnych administr</w:t>
            </w:r>
            <w:r w:rsidRPr="003C24FE">
              <w:rPr>
                <w:i/>
                <w:iCs/>
                <w:color w:val="000000"/>
              </w:rPr>
              <w:t>a</w:t>
            </w:r>
            <w:r w:rsidRPr="003C24FE">
              <w:rPr>
                <w:i/>
                <w:iCs/>
                <w:color w:val="000000"/>
              </w:rPr>
              <w:t>tívnych jednotiek (úroveň „LAU 2“) alebo na úrovni jasne vymedzenej miestnej je</w:t>
            </w:r>
            <w:r w:rsidRPr="003C24FE">
              <w:rPr>
                <w:i/>
                <w:iCs/>
                <w:color w:val="000000"/>
              </w:rPr>
              <w:t>d</w:t>
            </w:r>
            <w:r w:rsidRPr="003C24FE">
              <w:rPr>
                <w:i/>
                <w:iCs/>
                <w:color w:val="000000"/>
              </w:rPr>
              <w:t>notky, ktorá pokrýva jedinú jasnú a súvislú zemepisnú oblasť s vymedzenou hospodá</w:t>
            </w:r>
            <w:r w:rsidRPr="003C24FE">
              <w:rPr>
                <w:i/>
                <w:iCs/>
                <w:color w:val="000000"/>
              </w:rPr>
              <w:t>r</w:t>
            </w:r>
            <w:r w:rsidRPr="003C24FE">
              <w:rPr>
                <w:i/>
                <w:iCs/>
                <w:color w:val="000000"/>
              </w:rPr>
              <w:t>skou a administratívnou identitou“.</w:t>
            </w:r>
            <w:r w:rsidR="003C24FE" w:rsidRPr="003C24FE">
              <w:rPr>
                <w:i/>
                <w:iCs/>
                <w:color w:val="000000"/>
              </w:rPr>
              <w:t xml:space="preserve"> </w:t>
            </w:r>
            <w:r w:rsidRPr="003C24FE">
              <w:rPr>
                <w:lang w:eastAsia="en-US"/>
              </w:rPr>
              <w:t>Pôdny blok nemá administratívnu identitu.</w:t>
            </w:r>
          </w:p>
          <w:p w:rsidR="003C24FE" w:rsidRDefault="003C24FE" w:rsidP="00600F31">
            <w:pPr>
              <w:adjustRightInd w:val="0"/>
              <w:rPr>
                <w:lang w:eastAsia="en-US"/>
              </w:rPr>
            </w:pPr>
            <w:r w:rsidRPr="003C24FE">
              <w:rPr>
                <w:lang w:eastAsia="en-US"/>
              </w:rPr>
              <w:t>Neakceptujeme ani požiadavku enviro</w:t>
            </w:r>
            <w:r w:rsidRPr="003C24FE">
              <w:rPr>
                <w:lang w:eastAsia="en-US"/>
              </w:rPr>
              <w:t>n</w:t>
            </w:r>
            <w:r w:rsidRPr="003C24FE">
              <w:rPr>
                <w:lang w:eastAsia="en-US"/>
              </w:rPr>
              <w:t xml:space="preserve">mentálneho zdôvodnenia, nakoľko platby za LFA sa </w:t>
            </w:r>
            <w:r w:rsidR="00600F31">
              <w:rPr>
                <w:lang w:eastAsia="en-US"/>
              </w:rPr>
              <w:t>(</w:t>
            </w:r>
            <w:r w:rsidRPr="003C24FE">
              <w:rPr>
                <w:lang w:eastAsia="en-US"/>
              </w:rPr>
              <w:t xml:space="preserve">v zmysle </w:t>
            </w:r>
            <w:r w:rsidR="00600F31">
              <w:rPr>
                <w:lang w:eastAsia="en-US"/>
              </w:rPr>
              <w:t xml:space="preserve">čl. 31 </w:t>
            </w:r>
            <w:r w:rsidRPr="003C24FE">
              <w:rPr>
                <w:lang w:eastAsia="en-US"/>
              </w:rPr>
              <w:t xml:space="preserve">nariadenia </w:t>
            </w:r>
            <w:r w:rsidR="00600F31">
              <w:rPr>
                <w:lang w:eastAsia="en-US"/>
              </w:rPr>
              <w:t>/</w:t>
            </w:r>
            <w:r w:rsidR="0080588E">
              <w:rPr>
                <w:lang w:eastAsia="en-US"/>
              </w:rPr>
              <w:t>EÚ</w:t>
            </w:r>
            <w:r w:rsidR="00600F31">
              <w:rPr>
                <w:lang w:eastAsia="en-US"/>
              </w:rPr>
              <w:t>/</w:t>
            </w:r>
            <w:r w:rsidR="0080588E">
              <w:rPr>
                <w:lang w:eastAsia="en-US"/>
              </w:rPr>
              <w:t xml:space="preserve"> č. </w:t>
            </w:r>
            <w:r w:rsidR="0080588E" w:rsidRPr="003C24FE">
              <w:rPr>
                <w:lang w:eastAsia="en-US"/>
              </w:rPr>
              <w:t>1305/2013</w:t>
            </w:r>
            <w:r w:rsidR="0080588E">
              <w:rPr>
                <w:lang w:eastAsia="en-US"/>
              </w:rPr>
              <w:t xml:space="preserve"> EP a</w:t>
            </w:r>
            <w:r w:rsidR="00600F31">
              <w:rPr>
                <w:lang w:eastAsia="en-US"/>
              </w:rPr>
              <w:t> </w:t>
            </w:r>
            <w:r w:rsidR="0080588E">
              <w:rPr>
                <w:lang w:eastAsia="en-US"/>
              </w:rPr>
              <w:t>Rady</w:t>
            </w:r>
            <w:r w:rsidR="00600F31">
              <w:rPr>
                <w:lang w:eastAsia="en-US"/>
              </w:rPr>
              <w:t>)</w:t>
            </w:r>
            <w:r w:rsidRPr="003C24FE">
              <w:rPr>
                <w:lang w:eastAsia="en-US"/>
              </w:rPr>
              <w:t xml:space="preserve"> zdôvodňujú z ekonomického hľadiska a nie </w:t>
            </w:r>
            <w:r w:rsidR="00600F31">
              <w:rPr>
                <w:lang w:eastAsia="en-US"/>
              </w:rPr>
              <w:t xml:space="preserve">z </w:t>
            </w:r>
            <w:r w:rsidRPr="003C24FE">
              <w:rPr>
                <w:lang w:eastAsia="en-US"/>
              </w:rPr>
              <w:t>enviro</w:t>
            </w:r>
            <w:r w:rsidRPr="003C24FE">
              <w:rPr>
                <w:lang w:eastAsia="en-US"/>
              </w:rPr>
              <w:t>n</w:t>
            </w:r>
            <w:r w:rsidRPr="003C24FE">
              <w:rPr>
                <w:lang w:eastAsia="en-US"/>
              </w:rPr>
              <w:t>mentálneho.</w:t>
            </w:r>
          </w:p>
          <w:p w:rsidR="00DC4984" w:rsidRPr="00D27DC8" w:rsidRDefault="00DC4984" w:rsidP="00600F31">
            <w:pPr>
              <w:adjustRightInd w:val="0"/>
              <w:rPr>
                <w:lang w:eastAsia="en-US"/>
              </w:rPr>
            </w:pPr>
          </w:p>
        </w:tc>
      </w:tr>
    </w:tbl>
    <w:p w:rsidR="00A0024D" w:rsidRPr="00857AD0" w:rsidRDefault="00A0024D"/>
    <w:sectPr w:rsidR="00A0024D" w:rsidRPr="00857AD0" w:rsidSect="00432D64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5A" w:rsidRDefault="00294C5A">
      <w:r>
        <w:separator/>
      </w:r>
    </w:p>
  </w:endnote>
  <w:endnote w:type="continuationSeparator" w:id="0">
    <w:p w:rsidR="00294C5A" w:rsidRDefault="0029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A2" w:rsidRDefault="00F10BE1" w:rsidP="00A31D7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01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01A2" w:rsidRDefault="001201A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A2" w:rsidRDefault="00F10BE1" w:rsidP="00A31D7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01A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1193">
      <w:rPr>
        <w:rStyle w:val="slostrany"/>
        <w:noProof/>
      </w:rPr>
      <w:t>1</w:t>
    </w:r>
    <w:r>
      <w:rPr>
        <w:rStyle w:val="slostrany"/>
      </w:rPr>
      <w:fldChar w:fldCharType="end"/>
    </w:r>
  </w:p>
  <w:p w:rsidR="001201A2" w:rsidRDefault="001201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5A" w:rsidRDefault="00294C5A">
      <w:r>
        <w:separator/>
      </w:r>
    </w:p>
  </w:footnote>
  <w:footnote w:type="continuationSeparator" w:id="0">
    <w:p w:rsidR="00294C5A" w:rsidRDefault="0029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17"/>
    <w:multiLevelType w:val="hybridMultilevel"/>
    <w:tmpl w:val="75444EB6"/>
    <w:lvl w:ilvl="0" w:tplc="C054F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059C3"/>
    <w:multiLevelType w:val="hybridMultilevel"/>
    <w:tmpl w:val="E6888C50"/>
    <w:lvl w:ilvl="0" w:tplc="223A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FFD"/>
    <w:multiLevelType w:val="multilevel"/>
    <w:tmpl w:val="1EDC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B0D562F"/>
    <w:multiLevelType w:val="hybridMultilevel"/>
    <w:tmpl w:val="01FC855A"/>
    <w:lvl w:ilvl="0" w:tplc="F59A9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6AC6"/>
    <w:multiLevelType w:val="hybridMultilevel"/>
    <w:tmpl w:val="D286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46A"/>
    <w:multiLevelType w:val="hybridMultilevel"/>
    <w:tmpl w:val="0000733C"/>
    <w:lvl w:ilvl="0" w:tplc="0D5C08E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784E25E8"/>
    <w:multiLevelType w:val="hybridMultilevel"/>
    <w:tmpl w:val="7690F534"/>
    <w:lvl w:ilvl="0" w:tplc="2FE0356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D199B"/>
    <w:multiLevelType w:val="hybridMultilevel"/>
    <w:tmpl w:val="ED487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556"/>
    <w:rsid w:val="00000DF6"/>
    <w:rsid w:val="00002E75"/>
    <w:rsid w:val="000036D9"/>
    <w:rsid w:val="00003A2A"/>
    <w:rsid w:val="00003BEB"/>
    <w:rsid w:val="00005EE2"/>
    <w:rsid w:val="00007E08"/>
    <w:rsid w:val="000106BC"/>
    <w:rsid w:val="000116F8"/>
    <w:rsid w:val="00012E53"/>
    <w:rsid w:val="0001388D"/>
    <w:rsid w:val="00021538"/>
    <w:rsid w:val="00023883"/>
    <w:rsid w:val="00023CC5"/>
    <w:rsid w:val="0003314D"/>
    <w:rsid w:val="00035839"/>
    <w:rsid w:val="0003767C"/>
    <w:rsid w:val="0004236A"/>
    <w:rsid w:val="00043297"/>
    <w:rsid w:val="0004542B"/>
    <w:rsid w:val="00045767"/>
    <w:rsid w:val="00046E9B"/>
    <w:rsid w:val="00047B49"/>
    <w:rsid w:val="00050639"/>
    <w:rsid w:val="000542AE"/>
    <w:rsid w:val="0005525A"/>
    <w:rsid w:val="000607F3"/>
    <w:rsid w:val="0006366E"/>
    <w:rsid w:val="00066A43"/>
    <w:rsid w:val="00067764"/>
    <w:rsid w:val="00067D2B"/>
    <w:rsid w:val="000701A0"/>
    <w:rsid w:val="00071AE2"/>
    <w:rsid w:val="000760BF"/>
    <w:rsid w:val="00080CC4"/>
    <w:rsid w:val="00083C72"/>
    <w:rsid w:val="000852B5"/>
    <w:rsid w:val="00090102"/>
    <w:rsid w:val="00090CE2"/>
    <w:rsid w:val="00090DC8"/>
    <w:rsid w:val="00091412"/>
    <w:rsid w:val="00094617"/>
    <w:rsid w:val="0009525B"/>
    <w:rsid w:val="000973CB"/>
    <w:rsid w:val="00097489"/>
    <w:rsid w:val="000A2372"/>
    <w:rsid w:val="000A258B"/>
    <w:rsid w:val="000A2A0A"/>
    <w:rsid w:val="000A7B42"/>
    <w:rsid w:val="000B02FB"/>
    <w:rsid w:val="000B0408"/>
    <w:rsid w:val="000B0E90"/>
    <w:rsid w:val="000B1698"/>
    <w:rsid w:val="000B3117"/>
    <w:rsid w:val="000B6EC0"/>
    <w:rsid w:val="000C02CA"/>
    <w:rsid w:val="000C220B"/>
    <w:rsid w:val="000C2775"/>
    <w:rsid w:val="000C6C0E"/>
    <w:rsid w:val="000D203B"/>
    <w:rsid w:val="000D336F"/>
    <w:rsid w:val="000D374F"/>
    <w:rsid w:val="000D3895"/>
    <w:rsid w:val="000D4C30"/>
    <w:rsid w:val="000D56EC"/>
    <w:rsid w:val="000D65D8"/>
    <w:rsid w:val="000D7590"/>
    <w:rsid w:val="000D7D0C"/>
    <w:rsid w:val="000D7EBB"/>
    <w:rsid w:val="000E0951"/>
    <w:rsid w:val="000E22C3"/>
    <w:rsid w:val="000E3A3B"/>
    <w:rsid w:val="000E4755"/>
    <w:rsid w:val="000E60FC"/>
    <w:rsid w:val="000E770E"/>
    <w:rsid w:val="000F03AB"/>
    <w:rsid w:val="000F1844"/>
    <w:rsid w:val="000F1A2E"/>
    <w:rsid w:val="000F20A4"/>
    <w:rsid w:val="000F48F0"/>
    <w:rsid w:val="000F54E6"/>
    <w:rsid w:val="000F58C8"/>
    <w:rsid w:val="000F6015"/>
    <w:rsid w:val="000F64E3"/>
    <w:rsid w:val="00100929"/>
    <w:rsid w:val="00100C29"/>
    <w:rsid w:val="00106B6F"/>
    <w:rsid w:val="00107A23"/>
    <w:rsid w:val="00111075"/>
    <w:rsid w:val="00111417"/>
    <w:rsid w:val="00112AB1"/>
    <w:rsid w:val="001162BC"/>
    <w:rsid w:val="001162F1"/>
    <w:rsid w:val="001170A6"/>
    <w:rsid w:val="001201A2"/>
    <w:rsid w:val="00120365"/>
    <w:rsid w:val="00120B70"/>
    <w:rsid w:val="00123585"/>
    <w:rsid w:val="00132935"/>
    <w:rsid w:val="00135CFF"/>
    <w:rsid w:val="001454B4"/>
    <w:rsid w:val="00146427"/>
    <w:rsid w:val="00146556"/>
    <w:rsid w:val="00146773"/>
    <w:rsid w:val="001516D5"/>
    <w:rsid w:val="001530F1"/>
    <w:rsid w:val="00153224"/>
    <w:rsid w:val="00153318"/>
    <w:rsid w:val="00153B6F"/>
    <w:rsid w:val="00153C24"/>
    <w:rsid w:val="0015473B"/>
    <w:rsid w:val="00154FDB"/>
    <w:rsid w:val="0016122F"/>
    <w:rsid w:val="00162226"/>
    <w:rsid w:val="00162720"/>
    <w:rsid w:val="00163A2B"/>
    <w:rsid w:val="00174922"/>
    <w:rsid w:val="001769D9"/>
    <w:rsid w:val="00181459"/>
    <w:rsid w:val="0018151D"/>
    <w:rsid w:val="001833E7"/>
    <w:rsid w:val="001903EA"/>
    <w:rsid w:val="00193597"/>
    <w:rsid w:val="00193765"/>
    <w:rsid w:val="001953AB"/>
    <w:rsid w:val="001960DF"/>
    <w:rsid w:val="001961EF"/>
    <w:rsid w:val="00197AC4"/>
    <w:rsid w:val="001A0FC4"/>
    <w:rsid w:val="001A10BA"/>
    <w:rsid w:val="001A2738"/>
    <w:rsid w:val="001A55F0"/>
    <w:rsid w:val="001A5DAC"/>
    <w:rsid w:val="001B30B8"/>
    <w:rsid w:val="001B40CF"/>
    <w:rsid w:val="001B4165"/>
    <w:rsid w:val="001C0E65"/>
    <w:rsid w:val="001C22FA"/>
    <w:rsid w:val="001D028E"/>
    <w:rsid w:val="001D3A4B"/>
    <w:rsid w:val="001D5073"/>
    <w:rsid w:val="001D622E"/>
    <w:rsid w:val="001E29A4"/>
    <w:rsid w:val="001E4070"/>
    <w:rsid w:val="001E5355"/>
    <w:rsid w:val="001E7F14"/>
    <w:rsid w:val="001F0B9F"/>
    <w:rsid w:val="001F0E5D"/>
    <w:rsid w:val="001F636A"/>
    <w:rsid w:val="00201AF7"/>
    <w:rsid w:val="002021CD"/>
    <w:rsid w:val="00207154"/>
    <w:rsid w:val="00207DFE"/>
    <w:rsid w:val="002120CE"/>
    <w:rsid w:val="00220294"/>
    <w:rsid w:val="00222579"/>
    <w:rsid w:val="00222588"/>
    <w:rsid w:val="00222D1B"/>
    <w:rsid w:val="00223AAB"/>
    <w:rsid w:val="002244FF"/>
    <w:rsid w:val="00225522"/>
    <w:rsid w:val="00226F1F"/>
    <w:rsid w:val="00227014"/>
    <w:rsid w:val="00227576"/>
    <w:rsid w:val="002275CF"/>
    <w:rsid w:val="00227B4A"/>
    <w:rsid w:val="00227DDD"/>
    <w:rsid w:val="00235578"/>
    <w:rsid w:val="00235927"/>
    <w:rsid w:val="0023619E"/>
    <w:rsid w:val="00236C5E"/>
    <w:rsid w:val="002373DF"/>
    <w:rsid w:val="00237831"/>
    <w:rsid w:val="00237B60"/>
    <w:rsid w:val="0024009B"/>
    <w:rsid w:val="00241476"/>
    <w:rsid w:val="00243E1F"/>
    <w:rsid w:val="0024497E"/>
    <w:rsid w:val="002468CD"/>
    <w:rsid w:val="00256BAA"/>
    <w:rsid w:val="00263D45"/>
    <w:rsid w:val="00263D7C"/>
    <w:rsid w:val="00264046"/>
    <w:rsid w:val="00265A49"/>
    <w:rsid w:val="00267604"/>
    <w:rsid w:val="0027150B"/>
    <w:rsid w:val="00271ADA"/>
    <w:rsid w:val="002725D3"/>
    <w:rsid w:val="00282A71"/>
    <w:rsid w:val="00282DC7"/>
    <w:rsid w:val="00284E3A"/>
    <w:rsid w:val="00291D38"/>
    <w:rsid w:val="00291E7A"/>
    <w:rsid w:val="00293CAB"/>
    <w:rsid w:val="00294737"/>
    <w:rsid w:val="00294C5A"/>
    <w:rsid w:val="002955FA"/>
    <w:rsid w:val="002957BD"/>
    <w:rsid w:val="002A0538"/>
    <w:rsid w:val="002A1EDD"/>
    <w:rsid w:val="002A256B"/>
    <w:rsid w:val="002A2C87"/>
    <w:rsid w:val="002B27C3"/>
    <w:rsid w:val="002B46A0"/>
    <w:rsid w:val="002B5B2C"/>
    <w:rsid w:val="002B671B"/>
    <w:rsid w:val="002C4EF7"/>
    <w:rsid w:val="002C6FB1"/>
    <w:rsid w:val="002C7D1F"/>
    <w:rsid w:val="002D0C05"/>
    <w:rsid w:val="002D29A2"/>
    <w:rsid w:val="002D4869"/>
    <w:rsid w:val="002D54F1"/>
    <w:rsid w:val="002D65AC"/>
    <w:rsid w:val="002E2420"/>
    <w:rsid w:val="002E5ED9"/>
    <w:rsid w:val="002E7AAF"/>
    <w:rsid w:val="002F2063"/>
    <w:rsid w:val="00300245"/>
    <w:rsid w:val="00300E70"/>
    <w:rsid w:val="00305A20"/>
    <w:rsid w:val="00305A55"/>
    <w:rsid w:val="0030634D"/>
    <w:rsid w:val="0031116E"/>
    <w:rsid w:val="0031237C"/>
    <w:rsid w:val="00317D89"/>
    <w:rsid w:val="00320496"/>
    <w:rsid w:val="0032049D"/>
    <w:rsid w:val="00320970"/>
    <w:rsid w:val="00325569"/>
    <w:rsid w:val="003259FD"/>
    <w:rsid w:val="00327410"/>
    <w:rsid w:val="00331F05"/>
    <w:rsid w:val="0033311B"/>
    <w:rsid w:val="003345DA"/>
    <w:rsid w:val="0033487B"/>
    <w:rsid w:val="0033568C"/>
    <w:rsid w:val="003361FD"/>
    <w:rsid w:val="00337DA9"/>
    <w:rsid w:val="00341B1D"/>
    <w:rsid w:val="00351185"/>
    <w:rsid w:val="00352ADC"/>
    <w:rsid w:val="00357BB0"/>
    <w:rsid w:val="00361193"/>
    <w:rsid w:val="003632D7"/>
    <w:rsid w:val="00371851"/>
    <w:rsid w:val="00371A25"/>
    <w:rsid w:val="003730FE"/>
    <w:rsid w:val="00376BA9"/>
    <w:rsid w:val="00376D88"/>
    <w:rsid w:val="00390505"/>
    <w:rsid w:val="00391AD5"/>
    <w:rsid w:val="00393CA4"/>
    <w:rsid w:val="003942F0"/>
    <w:rsid w:val="003949FB"/>
    <w:rsid w:val="00394FA6"/>
    <w:rsid w:val="0039511A"/>
    <w:rsid w:val="003A1A55"/>
    <w:rsid w:val="003A1DC4"/>
    <w:rsid w:val="003A46DC"/>
    <w:rsid w:val="003B03DD"/>
    <w:rsid w:val="003B066D"/>
    <w:rsid w:val="003B2D33"/>
    <w:rsid w:val="003B5675"/>
    <w:rsid w:val="003C2450"/>
    <w:rsid w:val="003C24FE"/>
    <w:rsid w:val="003C79C8"/>
    <w:rsid w:val="003D0652"/>
    <w:rsid w:val="003D2000"/>
    <w:rsid w:val="003D202A"/>
    <w:rsid w:val="003D3711"/>
    <w:rsid w:val="003D52BF"/>
    <w:rsid w:val="003E0B8D"/>
    <w:rsid w:val="003E418A"/>
    <w:rsid w:val="003E46A1"/>
    <w:rsid w:val="003E53C0"/>
    <w:rsid w:val="003E7B17"/>
    <w:rsid w:val="003F09B0"/>
    <w:rsid w:val="003F0CEC"/>
    <w:rsid w:val="003F65EF"/>
    <w:rsid w:val="003F6959"/>
    <w:rsid w:val="00402C97"/>
    <w:rsid w:val="00404ADE"/>
    <w:rsid w:val="00404CC7"/>
    <w:rsid w:val="00405252"/>
    <w:rsid w:val="00405EA6"/>
    <w:rsid w:val="004061CF"/>
    <w:rsid w:val="00412D11"/>
    <w:rsid w:val="00413A30"/>
    <w:rsid w:val="00414783"/>
    <w:rsid w:val="00415537"/>
    <w:rsid w:val="00416E52"/>
    <w:rsid w:val="004173AC"/>
    <w:rsid w:val="0042122E"/>
    <w:rsid w:val="004220DE"/>
    <w:rsid w:val="00427539"/>
    <w:rsid w:val="00427A81"/>
    <w:rsid w:val="00427ECD"/>
    <w:rsid w:val="004311A6"/>
    <w:rsid w:val="00431A64"/>
    <w:rsid w:val="00432D64"/>
    <w:rsid w:val="004336C1"/>
    <w:rsid w:val="004339D3"/>
    <w:rsid w:val="00436FF2"/>
    <w:rsid w:val="004374FB"/>
    <w:rsid w:val="0044087E"/>
    <w:rsid w:val="00442351"/>
    <w:rsid w:val="00443954"/>
    <w:rsid w:val="004467F2"/>
    <w:rsid w:val="004478F3"/>
    <w:rsid w:val="00451D4C"/>
    <w:rsid w:val="004522F8"/>
    <w:rsid w:val="004523D4"/>
    <w:rsid w:val="0045261E"/>
    <w:rsid w:val="00453B42"/>
    <w:rsid w:val="00455C6D"/>
    <w:rsid w:val="00462FF1"/>
    <w:rsid w:val="00463389"/>
    <w:rsid w:val="004654E1"/>
    <w:rsid w:val="004767AB"/>
    <w:rsid w:val="00480B1E"/>
    <w:rsid w:val="00480C46"/>
    <w:rsid w:val="00483EA3"/>
    <w:rsid w:val="00490657"/>
    <w:rsid w:val="00493F3A"/>
    <w:rsid w:val="00493F4B"/>
    <w:rsid w:val="00497790"/>
    <w:rsid w:val="004A0540"/>
    <w:rsid w:val="004A06EA"/>
    <w:rsid w:val="004A0ABF"/>
    <w:rsid w:val="004A0B6F"/>
    <w:rsid w:val="004A15C3"/>
    <w:rsid w:val="004A2959"/>
    <w:rsid w:val="004A33A2"/>
    <w:rsid w:val="004A3724"/>
    <w:rsid w:val="004A6F12"/>
    <w:rsid w:val="004B0327"/>
    <w:rsid w:val="004B47AE"/>
    <w:rsid w:val="004C1A79"/>
    <w:rsid w:val="004C4A88"/>
    <w:rsid w:val="004C4FF8"/>
    <w:rsid w:val="004C5E4F"/>
    <w:rsid w:val="004C777B"/>
    <w:rsid w:val="004C7BED"/>
    <w:rsid w:val="004D0451"/>
    <w:rsid w:val="004D14F6"/>
    <w:rsid w:val="004D7A20"/>
    <w:rsid w:val="004D7EC9"/>
    <w:rsid w:val="004E4AD2"/>
    <w:rsid w:val="004E5C42"/>
    <w:rsid w:val="004E5D0C"/>
    <w:rsid w:val="004E7AFE"/>
    <w:rsid w:val="004F02F5"/>
    <w:rsid w:val="004F2B5C"/>
    <w:rsid w:val="004F4639"/>
    <w:rsid w:val="00501962"/>
    <w:rsid w:val="00502E17"/>
    <w:rsid w:val="00503EC9"/>
    <w:rsid w:val="005057E5"/>
    <w:rsid w:val="00505DB2"/>
    <w:rsid w:val="005100F5"/>
    <w:rsid w:val="005103C5"/>
    <w:rsid w:val="00510485"/>
    <w:rsid w:val="00510AAC"/>
    <w:rsid w:val="00510B17"/>
    <w:rsid w:val="00516AED"/>
    <w:rsid w:val="0051707E"/>
    <w:rsid w:val="0052409C"/>
    <w:rsid w:val="00526088"/>
    <w:rsid w:val="005273A2"/>
    <w:rsid w:val="0053140B"/>
    <w:rsid w:val="00531B56"/>
    <w:rsid w:val="00534D66"/>
    <w:rsid w:val="00535AF9"/>
    <w:rsid w:val="00535F1C"/>
    <w:rsid w:val="00536E2E"/>
    <w:rsid w:val="0054272A"/>
    <w:rsid w:val="005441FF"/>
    <w:rsid w:val="00547F8D"/>
    <w:rsid w:val="00550513"/>
    <w:rsid w:val="0055089A"/>
    <w:rsid w:val="00552B8A"/>
    <w:rsid w:val="00554AE5"/>
    <w:rsid w:val="00555505"/>
    <w:rsid w:val="00561428"/>
    <w:rsid w:val="00561438"/>
    <w:rsid w:val="0056149A"/>
    <w:rsid w:val="00562B0B"/>
    <w:rsid w:val="00565438"/>
    <w:rsid w:val="00567377"/>
    <w:rsid w:val="00571D73"/>
    <w:rsid w:val="00573A06"/>
    <w:rsid w:val="005747C5"/>
    <w:rsid w:val="00575F28"/>
    <w:rsid w:val="0057755B"/>
    <w:rsid w:val="005806AC"/>
    <w:rsid w:val="00581F4C"/>
    <w:rsid w:val="00583779"/>
    <w:rsid w:val="00591A26"/>
    <w:rsid w:val="00591B23"/>
    <w:rsid w:val="00591C71"/>
    <w:rsid w:val="00592E09"/>
    <w:rsid w:val="0059312D"/>
    <w:rsid w:val="005937F5"/>
    <w:rsid w:val="005A3EDF"/>
    <w:rsid w:val="005A558F"/>
    <w:rsid w:val="005A5A55"/>
    <w:rsid w:val="005A6EF0"/>
    <w:rsid w:val="005A75F4"/>
    <w:rsid w:val="005B0F15"/>
    <w:rsid w:val="005B1F3E"/>
    <w:rsid w:val="005B525C"/>
    <w:rsid w:val="005B67DE"/>
    <w:rsid w:val="005B6AA4"/>
    <w:rsid w:val="005B7639"/>
    <w:rsid w:val="005C0427"/>
    <w:rsid w:val="005C3C61"/>
    <w:rsid w:val="005C44FE"/>
    <w:rsid w:val="005C4624"/>
    <w:rsid w:val="005C6BD9"/>
    <w:rsid w:val="005D11E2"/>
    <w:rsid w:val="005D2695"/>
    <w:rsid w:val="005D3996"/>
    <w:rsid w:val="005D443C"/>
    <w:rsid w:val="005D6894"/>
    <w:rsid w:val="005D7958"/>
    <w:rsid w:val="005E0E00"/>
    <w:rsid w:val="005E34B6"/>
    <w:rsid w:val="005E40DC"/>
    <w:rsid w:val="005E4504"/>
    <w:rsid w:val="005F65F7"/>
    <w:rsid w:val="00600012"/>
    <w:rsid w:val="00600F31"/>
    <w:rsid w:val="00602503"/>
    <w:rsid w:val="0060385F"/>
    <w:rsid w:val="006038DD"/>
    <w:rsid w:val="00611E1A"/>
    <w:rsid w:val="00613140"/>
    <w:rsid w:val="006138AC"/>
    <w:rsid w:val="00614D03"/>
    <w:rsid w:val="00622115"/>
    <w:rsid w:val="00625B93"/>
    <w:rsid w:val="00633797"/>
    <w:rsid w:val="00633EBC"/>
    <w:rsid w:val="006353A2"/>
    <w:rsid w:val="00636E98"/>
    <w:rsid w:val="0064257D"/>
    <w:rsid w:val="006432B2"/>
    <w:rsid w:val="00647571"/>
    <w:rsid w:val="00651017"/>
    <w:rsid w:val="00651B37"/>
    <w:rsid w:val="00652AF9"/>
    <w:rsid w:val="006530E9"/>
    <w:rsid w:val="00657A7D"/>
    <w:rsid w:val="00662203"/>
    <w:rsid w:val="00662642"/>
    <w:rsid w:val="0066457F"/>
    <w:rsid w:val="00670D60"/>
    <w:rsid w:val="00673311"/>
    <w:rsid w:val="0067630E"/>
    <w:rsid w:val="00676565"/>
    <w:rsid w:val="0068230B"/>
    <w:rsid w:val="00683ADE"/>
    <w:rsid w:val="006849C6"/>
    <w:rsid w:val="006876C6"/>
    <w:rsid w:val="00695733"/>
    <w:rsid w:val="006A05D5"/>
    <w:rsid w:val="006A4594"/>
    <w:rsid w:val="006A5E6A"/>
    <w:rsid w:val="006A5EDC"/>
    <w:rsid w:val="006B2A5B"/>
    <w:rsid w:val="006B439D"/>
    <w:rsid w:val="006B5346"/>
    <w:rsid w:val="006B6A3C"/>
    <w:rsid w:val="006C371A"/>
    <w:rsid w:val="006D06C0"/>
    <w:rsid w:val="006D24D1"/>
    <w:rsid w:val="006D7C9D"/>
    <w:rsid w:val="006E0C3C"/>
    <w:rsid w:val="006E0F5B"/>
    <w:rsid w:val="006E484A"/>
    <w:rsid w:val="006E52F4"/>
    <w:rsid w:val="006E5EEA"/>
    <w:rsid w:val="006E7BCB"/>
    <w:rsid w:val="006F1002"/>
    <w:rsid w:val="006F1DC1"/>
    <w:rsid w:val="006F1ED2"/>
    <w:rsid w:val="006F24EA"/>
    <w:rsid w:val="006F4A4C"/>
    <w:rsid w:val="006F5B50"/>
    <w:rsid w:val="006F752B"/>
    <w:rsid w:val="006F78D8"/>
    <w:rsid w:val="006F7B65"/>
    <w:rsid w:val="00701B1D"/>
    <w:rsid w:val="0070789A"/>
    <w:rsid w:val="00707B12"/>
    <w:rsid w:val="00722B9A"/>
    <w:rsid w:val="00724A20"/>
    <w:rsid w:val="007272A0"/>
    <w:rsid w:val="00730011"/>
    <w:rsid w:val="007301BA"/>
    <w:rsid w:val="007301D5"/>
    <w:rsid w:val="00733AE0"/>
    <w:rsid w:val="00735803"/>
    <w:rsid w:val="007373B3"/>
    <w:rsid w:val="0074102A"/>
    <w:rsid w:val="0074157A"/>
    <w:rsid w:val="007422EE"/>
    <w:rsid w:val="00743A0F"/>
    <w:rsid w:val="00744CA1"/>
    <w:rsid w:val="00746730"/>
    <w:rsid w:val="00747B0A"/>
    <w:rsid w:val="0075134C"/>
    <w:rsid w:val="00754038"/>
    <w:rsid w:val="00754C5C"/>
    <w:rsid w:val="00757C6A"/>
    <w:rsid w:val="00757F4F"/>
    <w:rsid w:val="00764965"/>
    <w:rsid w:val="00765250"/>
    <w:rsid w:val="00767219"/>
    <w:rsid w:val="007708CA"/>
    <w:rsid w:val="007745F1"/>
    <w:rsid w:val="0077554F"/>
    <w:rsid w:val="00776939"/>
    <w:rsid w:val="00777D9B"/>
    <w:rsid w:val="0078055A"/>
    <w:rsid w:val="0078073A"/>
    <w:rsid w:val="00783C56"/>
    <w:rsid w:val="00785793"/>
    <w:rsid w:val="00785FFB"/>
    <w:rsid w:val="00786430"/>
    <w:rsid w:val="0079020F"/>
    <w:rsid w:val="00790A67"/>
    <w:rsid w:val="00791629"/>
    <w:rsid w:val="00791716"/>
    <w:rsid w:val="00793B9B"/>
    <w:rsid w:val="00795F7E"/>
    <w:rsid w:val="00796FC4"/>
    <w:rsid w:val="007A26F8"/>
    <w:rsid w:val="007A2810"/>
    <w:rsid w:val="007A35A1"/>
    <w:rsid w:val="007A5B94"/>
    <w:rsid w:val="007A6814"/>
    <w:rsid w:val="007B17C0"/>
    <w:rsid w:val="007B6933"/>
    <w:rsid w:val="007B7F68"/>
    <w:rsid w:val="007C0FE5"/>
    <w:rsid w:val="007C3898"/>
    <w:rsid w:val="007C3B70"/>
    <w:rsid w:val="007C3D8A"/>
    <w:rsid w:val="007C6E6D"/>
    <w:rsid w:val="007C6F9B"/>
    <w:rsid w:val="007D0145"/>
    <w:rsid w:val="007D2606"/>
    <w:rsid w:val="007D4193"/>
    <w:rsid w:val="007D7123"/>
    <w:rsid w:val="007D7C69"/>
    <w:rsid w:val="007E60C4"/>
    <w:rsid w:val="007F1FB5"/>
    <w:rsid w:val="007F2AFE"/>
    <w:rsid w:val="007F552F"/>
    <w:rsid w:val="007F63A8"/>
    <w:rsid w:val="007F72E2"/>
    <w:rsid w:val="007F738F"/>
    <w:rsid w:val="007F7534"/>
    <w:rsid w:val="007F79B1"/>
    <w:rsid w:val="00800DB1"/>
    <w:rsid w:val="00805574"/>
    <w:rsid w:val="0080588E"/>
    <w:rsid w:val="008077C7"/>
    <w:rsid w:val="00811AA5"/>
    <w:rsid w:val="008128B2"/>
    <w:rsid w:val="00813816"/>
    <w:rsid w:val="00814EC2"/>
    <w:rsid w:val="00815095"/>
    <w:rsid w:val="00827A43"/>
    <w:rsid w:val="0083210E"/>
    <w:rsid w:val="008329AF"/>
    <w:rsid w:val="00836F50"/>
    <w:rsid w:val="00840480"/>
    <w:rsid w:val="00841CFB"/>
    <w:rsid w:val="0084449D"/>
    <w:rsid w:val="00856768"/>
    <w:rsid w:val="00857AD0"/>
    <w:rsid w:val="00861309"/>
    <w:rsid w:val="00861963"/>
    <w:rsid w:val="00862054"/>
    <w:rsid w:val="00862C3F"/>
    <w:rsid w:val="00863691"/>
    <w:rsid w:val="008639FD"/>
    <w:rsid w:val="00865FB7"/>
    <w:rsid w:val="008723F5"/>
    <w:rsid w:val="00876162"/>
    <w:rsid w:val="00883C90"/>
    <w:rsid w:val="00886604"/>
    <w:rsid w:val="0088742E"/>
    <w:rsid w:val="00890EF8"/>
    <w:rsid w:val="00897685"/>
    <w:rsid w:val="008A0AD0"/>
    <w:rsid w:val="008A0DCF"/>
    <w:rsid w:val="008A1569"/>
    <w:rsid w:val="008A63FD"/>
    <w:rsid w:val="008A6970"/>
    <w:rsid w:val="008A6F29"/>
    <w:rsid w:val="008A7028"/>
    <w:rsid w:val="008C1FBF"/>
    <w:rsid w:val="008C4443"/>
    <w:rsid w:val="008D2488"/>
    <w:rsid w:val="008D62D0"/>
    <w:rsid w:val="008E0BB9"/>
    <w:rsid w:val="008E0E75"/>
    <w:rsid w:val="008E3BBA"/>
    <w:rsid w:val="008E6E6F"/>
    <w:rsid w:val="008E6F7B"/>
    <w:rsid w:val="008E7CC3"/>
    <w:rsid w:val="008F10DA"/>
    <w:rsid w:val="008F2D1E"/>
    <w:rsid w:val="008F480B"/>
    <w:rsid w:val="008F79FA"/>
    <w:rsid w:val="009025F4"/>
    <w:rsid w:val="00902A15"/>
    <w:rsid w:val="00904D11"/>
    <w:rsid w:val="00906067"/>
    <w:rsid w:val="009064F3"/>
    <w:rsid w:val="00907FDF"/>
    <w:rsid w:val="009227F6"/>
    <w:rsid w:val="00923F54"/>
    <w:rsid w:val="00931A9C"/>
    <w:rsid w:val="00931C02"/>
    <w:rsid w:val="00934CEC"/>
    <w:rsid w:val="009357EE"/>
    <w:rsid w:val="00941103"/>
    <w:rsid w:val="0094227F"/>
    <w:rsid w:val="009422EF"/>
    <w:rsid w:val="00945BD3"/>
    <w:rsid w:val="00947E23"/>
    <w:rsid w:val="00947E50"/>
    <w:rsid w:val="009518E3"/>
    <w:rsid w:val="0096503E"/>
    <w:rsid w:val="00971503"/>
    <w:rsid w:val="00971E5F"/>
    <w:rsid w:val="00975F61"/>
    <w:rsid w:val="009819E7"/>
    <w:rsid w:val="00982F43"/>
    <w:rsid w:val="009835E5"/>
    <w:rsid w:val="00985290"/>
    <w:rsid w:val="00987014"/>
    <w:rsid w:val="00991B76"/>
    <w:rsid w:val="009936EF"/>
    <w:rsid w:val="00994AF7"/>
    <w:rsid w:val="00995784"/>
    <w:rsid w:val="00995BFC"/>
    <w:rsid w:val="00996197"/>
    <w:rsid w:val="009969D5"/>
    <w:rsid w:val="00997049"/>
    <w:rsid w:val="009A3497"/>
    <w:rsid w:val="009A3AE1"/>
    <w:rsid w:val="009A421D"/>
    <w:rsid w:val="009A43CA"/>
    <w:rsid w:val="009A4D4D"/>
    <w:rsid w:val="009A7C75"/>
    <w:rsid w:val="009B1B2C"/>
    <w:rsid w:val="009B3249"/>
    <w:rsid w:val="009B434D"/>
    <w:rsid w:val="009C0A3D"/>
    <w:rsid w:val="009C1489"/>
    <w:rsid w:val="009C18CD"/>
    <w:rsid w:val="009C5E0A"/>
    <w:rsid w:val="009C634D"/>
    <w:rsid w:val="009C63D7"/>
    <w:rsid w:val="009C737D"/>
    <w:rsid w:val="009D0327"/>
    <w:rsid w:val="009D054C"/>
    <w:rsid w:val="009D05E0"/>
    <w:rsid w:val="009D5563"/>
    <w:rsid w:val="009E3255"/>
    <w:rsid w:val="009F1A27"/>
    <w:rsid w:val="009F3A08"/>
    <w:rsid w:val="009F5AD2"/>
    <w:rsid w:val="009F5BCD"/>
    <w:rsid w:val="00A0024D"/>
    <w:rsid w:val="00A029CE"/>
    <w:rsid w:val="00A03E33"/>
    <w:rsid w:val="00A0679A"/>
    <w:rsid w:val="00A11C62"/>
    <w:rsid w:val="00A11F0C"/>
    <w:rsid w:val="00A1263D"/>
    <w:rsid w:val="00A1287B"/>
    <w:rsid w:val="00A1621A"/>
    <w:rsid w:val="00A26446"/>
    <w:rsid w:val="00A31D7B"/>
    <w:rsid w:val="00A34C31"/>
    <w:rsid w:val="00A37396"/>
    <w:rsid w:val="00A37811"/>
    <w:rsid w:val="00A412AB"/>
    <w:rsid w:val="00A423DA"/>
    <w:rsid w:val="00A426C7"/>
    <w:rsid w:val="00A4290A"/>
    <w:rsid w:val="00A43009"/>
    <w:rsid w:val="00A4302A"/>
    <w:rsid w:val="00A43E1F"/>
    <w:rsid w:val="00A46C40"/>
    <w:rsid w:val="00A478F4"/>
    <w:rsid w:val="00A50556"/>
    <w:rsid w:val="00A52D83"/>
    <w:rsid w:val="00A53224"/>
    <w:rsid w:val="00A537DE"/>
    <w:rsid w:val="00A549B3"/>
    <w:rsid w:val="00A575A4"/>
    <w:rsid w:val="00A622A3"/>
    <w:rsid w:val="00A70375"/>
    <w:rsid w:val="00A7424F"/>
    <w:rsid w:val="00A74539"/>
    <w:rsid w:val="00A818DF"/>
    <w:rsid w:val="00A818F4"/>
    <w:rsid w:val="00A82A2E"/>
    <w:rsid w:val="00A83B6C"/>
    <w:rsid w:val="00A8541C"/>
    <w:rsid w:val="00A87318"/>
    <w:rsid w:val="00A873BE"/>
    <w:rsid w:val="00A92E8C"/>
    <w:rsid w:val="00A9352D"/>
    <w:rsid w:val="00A94C82"/>
    <w:rsid w:val="00A96201"/>
    <w:rsid w:val="00A962FF"/>
    <w:rsid w:val="00A975E6"/>
    <w:rsid w:val="00AA01FD"/>
    <w:rsid w:val="00AA023F"/>
    <w:rsid w:val="00AA23D3"/>
    <w:rsid w:val="00AA2578"/>
    <w:rsid w:val="00AA2622"/>
    <w:rsid w:val="00AB1873"/>
    <w:rsid w:val="00AB40DA"/>
    <w:rsid w:val="00AB4BA3"/>
    <w:rsid w:val="00AC0885"/>
    <w:rsid w:val="00AC33EC"/>
    <w:rsid w:val="00AD0E1D"/>
    <w:rsid w:val="00AD1172"/>
    <w:rsid w:val="00AD259E"/>
    <w:rsid w:val="00AD388C"/>
    <w:rsid w:val="00AD465B"/>
    <w:rsid w:val="00AD57D9"/>
    <w:rsid w:val="00AD611B"/>
    <w:rsid w:val="00AD68FB"/>
    <w:rsid w:val="00AD7A00"/>
    <w:rsid w:val="00AE65CF"/>
    <w:rsid w:val="00AE6CC7"/>
    <w:rsid w:val="00AE7ABB"/>
    <w:rsid w:val="00AF0B6F"/>
    <w:rsid w:val="00AF1941"/>
    <w:rsid w:val="00AF6194"/>
    <w:rsid w:val="00B06552"/>
    <w:rsid w:val="00B11343"/>
    <w:rsid w:val="00B16291"/>
    <w:rsid w:val="00B1632D"/>
    <w:rsid w:val="00B164D9"/>
    <w:rsid w:val="00B170B3"/>
    <w:rsid w:val="00B171F3"/>
    <w:rsid w:val="00B17564"/>
    <w:rsid w:val="00B17F94"/>
    <w:rsid w:val="00B22173"/>
    <w:rsid w:val="00B258B8"/>
    <w:rsid w:val="00B26B9B"/>
    <w:rsid w:val="00B30214"/>
    <w:rsid w:val="00B3781C"/>
    <w:rsid w:val="00B411C1"/>
    <w:rsid w:val="00B457C9"/>
    <w:rsid w:val="00B4751D"/>
    <w:rsid w:val="00B50774"/>
    <w:rsid w:val="00B50DE0"/>
    <w:rsid w:val="00B51560"/>
    <w:rsid w:val="00B53026"/>
    <w:rsid w:val="00B54338"/>
    <w:rsid w:val="00B55537"/>
    <w:rsid w:val="00B61F49"/>
    <w:rsid w:val="00B70F5F"/>
    <w:rsid w:val="00B71DA2"/>
    <w:rsid w:val="00B722D1"/>
    <w:rsid w:val="00B734B8"/>
    <w:rsid w:val="00B738BA"/>
    <w:rsid w:val="00B74853"/>
    <w:rsid w:val="00B74EF3"/>
    <w:rsid w:val="00B75F57"/>
    <w:rsid w:val="00B86185"/>
    <w:rsid w:val="00B86F7E"/>
    <w:rsid w:val="00B9069C"/>
    <w:rsid w:val="00B93202"/>
    <w:rsid w:val="00B93595"/>
    <w:rsid w:val="00B937A1"/>
    <w:rsid w:val="00B95FC9"/>
    <w:rsid w:val="00B96A80"/>
    <w:rsid w:val="00BA68DB"/>
    <w:rsid w:val="00BA6EAA"/>
    <w:rsid w:val="00BA72DD"/>
    <w:rsid w:val="00BA7DB5"/>
    <w:rsid w:val="00BB02B0"/>
    <w:rsid w:val="00BB16F6"/>
    <w:rsid w:val="00BB45CD"/>
    <w:rsid w:val="00BB7420"/>
    <w:rsid w:val="00BB7597"/>
    <w:rsid w:val="00BB7F75"/>
    <w:rsid w:val="00BC214D"/>
    <w:rsid w:val="00BC2C7D"/>
    <w:rsid w:val="00BD4A9B"/>
    <w:rsid w:val="00BD6A56"/>
    <w:rsid w:val="00BE0F8F"/>
    <w:rsid w:val="00BE3C4B"/>
    <w:rsid w:val="00BE505F"/>
    <w:rsid w:val="00BE671B"/>
    <w:rsid w:val="00BF2738"/>
    <w:rsid w:val="00BF2905"/>
    <w:rsid w:val="00BF3E1C"/>
    <w:rsid w:val="00BF47B0"/>
    <w:rsid w:val="00BF62A5"/>
    <w:rsid w:val="00BF7901"/>
    <w:rsid w:val="00BF7BC1"/>
    <w:rsid w:val="00C010B0"/>
    <w:rsid w:val="00C02D6A"/>
    <w:rsid w:val="00C073CC"/>
    <w:rsid w:val="00C11627"/>
    <w:rsid w:val="00C12FB2"/>
    <w:rsid w:val="00C13B4B"/>
    <w:rsid w:val="00C217BF"/>
    <w:rsid w:val="00C21E15"/>
    <w:rsid w:val="00C22843"/>
    <w:rsid w:val="00C2363F"/>
    <w:rsid w:val="00C24889"/>
    <w:rsid w:val="00C24E33"/>
    <w:rsid w:val="00C2660C"/>
    <w:rsid w:val="00C30513"/>
    <w:rsid w:val="00C31BCE"/>
    <w:rsid w:val="00C32DC7"/>
    <w:rsid w:val="00C33D19"/>
    <w:rsid w:val="00C465DD"/>
    <w:rsid w:val="00C53E57"/>
    <w:rsid w:val="00C56CC2"/>
    <w:rsid w:val="00C56D9B"/>
    <w:rsid w:val="00C61078"/>
    <w:rsid w:val="00C61AB5"/>
    <w:rsid w:val="00C65686"/>
    <w:rsid w:val="00C66C2B"/>
    <w:rsid w:val="00C70F18"/>
    <w:rsid w:val="00C71D26"/>
    <w:rsid w:val="00C74E4D"/>
    <w:rsid w:val="00C83BB9"/>
    <w:rsid w:val="00C85ECB"/>
    <w:rsid w:val="00C86EC5"/>
    <w:rsid w:val="00C90540"/>
    <w:rsid w:val="00C92D58"/>
    <w:rsid w:val="00C930E4"/>
    <w:rsid w:val="00C97B05"/>
    <w:rsid w:val="00CA0E93"/>
    <w:rsid w:val="00CA2428"/>
    <w:rsid w:val="00CA2579"/>
    <w:rsid w:val="00CA28BE"/>
    <w:rsid w:val="00CA28FA"/>
    <w:rsid w:val="00CA37A4"/>
    <w:rsid w:val="00CA6DED"/>
    <w:rsid w:val="00CB0D2E"/>
    <w:rsid w:val="00CB24FB"/>
    <w:rsid w:val="00CB36F3"/>
    <w:rsid w:val="00CB5A8F"/>
    <w:rsid w:val="00CB60EE"/>
    <w:rsid w:val="00CB74F9"/>
    <w:rsid w:val="00CC482D"/>
    <w:rsid w:val="00CC49A7"/>
    <w:rsid w:val="00CC5774"/>
    <w:rsid w:val="00CC5D10"/>
    <w:rsid w:val="00CC7020"/>
    <w:rsid w:val="00CC7BD2"/>
    <w:rsid w:val="00CD4017"/>
    <w:rsid w:val="00CD6B16"/>
    <w:rsid w:val="00CE0F49"/>
    <w:rsid w:val="00CE16BF"/>
    <w:rsid w:val="00CE4091"/>
    <w:rsid w:val="00CE4421"/>
    <w:rsid w:val="00CE6DEE"/>
    <w:rsid w:val="00CF12A7"/>
    <w:rsid w:val="00CF13FC"/>
    <w:rsid w:val="00CF481A"/>
    <w:rsid w:val="00D01659"/>
    <w:rsid w:val="00D019A9"/>
    <w:rsid w:val="00D02F2A"/>
    <w:rsid w:val="00D0405D"/>
    <w:rsid w:val="00D0733F"/>
    <w:rsid w:val="00D11AE5"/>
    <w:rsid w:val="00D154D0"/>
    <w:rsid w:val="00D15543"/>
    <w:rsid w:val="00D24E70"/>
    <w:rsid w:val="00D25183"/>
    <w:rsid w:val="00D26003"/>
    <w:rsid w:val="00D27C34"/>
    <w:rsid w:val="00D27DC8"/>
    <w:rsid w:val="00D3005C"/>
    <w:rsid w:val="00D34C60"/>
    <w:rsid w:val="00D351F9"/>
    <w:rsid w:val="00D36120"/>
    <w:rsid w:val="00D373DE"/>
    <w:rsid w:val="00D40555"/>
    <w:rsid w:val="00D459C4"/>
    <w:rsid w:val="00D50CBC"/>
    <w:rsid w:val="00D50EE4"/>
    <w:rsid w:val="00D50F28"/>
    <w:rsid w:val="00D51A43"/>
    <w:rsid w:val="00D53870"/>
    <w:rsid w:val="00D546AA"/>
    <w:rsid w:val="00D61FF4"/>
    <w:rsid w:val="00D625FD"/>
    <w:rsid w:val="00D66173"/>
    <w:rsid w:val="00D70249"/>
    <w:rsid w:val="00D70CC7"/>
    <w:rsid w:val="00D73EB2"/>
    <w:rsid w:val="00D750CA"/>
    <w:rsid w:val="00D82336"/>
    <w:rsid w:val="00D82D63"/>
    <w:rsid w:val="00D832CA"/>
    <w:rsid w:val="00D83402"/>
    <w:rsid w:val="00D8490D"/>
    <w:rsid w:val="00D8495B"/>
    <w:rsid w:val="00D851F7"/>
    <w:rsid w:val="00D85B02"/>
    <w:rsid w:val="00D92A46"/>
    <w:rsid w:val="00D973B6"/>
    <w:rsid w:val="00D97427"/>
    <w:rsid w:val="00DA13D0"/>
    <w:rsid w:val="00DA259F"/>
    <w:rsid w:val="00DA3906"/>
    <w:rsid w:val="00DA44D3"/>
    <w:rsid w:val="00DA5D7E"/>
    <w:rsid w:val="00DA65A3"/>
    <w:rsid w:val="00DA6B50"/>
    <w:rsid w:val="00DA720C"/>
    <w:rsid w:val="00DB36AC"/>
    <w:rsid w:val="00DB3B58"/>
    <w:rsid w:val="00DC09B9"/>
    <w:rsid w:val="00DC2989"/>
    <w:rsid w:val="00DC3103"/>
    <w:rsid w:val="00DC3340"/>
    <w:rsid w:val="00DC3B58"/>
    <w:rsid w:val="00DC4984"/>
    <w:rsid w:val="00DC7010"/>
    <w:rsid w:val="00DD0FD0"/>
    <w:rsid w:val="00DD5B6C"/>
    <w:rsid w:val="00DD7B19"/>
    <w:rsid w:val="00DE1BA4"/>
    <w:rsid w:val="00DE3765"/>
    <w:rsid w:val="00DE6F9B"/>
    <w:rsid w:val="00DF0225"/>
    <w:rsid w:val="00DF5C61"/>
    <w:rsid w:val="00DF6C9E"/>
    <w:rsid w:val="00DF6D31"/>
    <w:rsid w:val="00DF6D8F"/>
    <w:rsid w:val="00E013E6"/>
    <w:rsid w:val="00E01790"/>
    <w:rsid w:val="00E03DDA"/>
    <w:rsid w:val="00E1533C"/>
    <w:rsid w:val="00E1552E"/>
    <w:rsid w:val="00E173D2"/>
    <w:rsid w:val="00E23909"/>
    <w:rsid w:val="00E25BD8"/>
    <w:rsid w:val="00E26B97"/>
    <w:rsid w:val="00E27180"/>
    <w:rsid w:val="00E32937"/>
    <w:rsid w:val="00E35EBE"/>
    <w:rsid w:val="00E40277"/>
    <w:rsid w:val="00E46F2F"/>
    <w:rsid w:val="00E5082C"/>
    <w:rsid w:val="00E50EED"/>
    <w:rsid w:val="00E51218"/>
    <w:rsid w:val="00E563FA"/>
    <w:rsid w:val="00E63484"/>
    <w:rsid w:val="00E635FC"/>
    <w:rsid w:val="00E6513F"/>
    <w:rsid w:val="00E66865"/>
    <w:rsid w:val="00E66EEC"/>
    <w:rsid w:val="00E6730F"/>
    <w:rsid w:val="00E71D3E"/>
    <w:rsid w:val="00E73E3D"/>
    <w:rsid w:val="00E74F0B"/>
    <w:rsid w:val="00E80A88"/>
    <w:rsid w:val="00E81A56"/>
    <w:rsid w:val="00E81C2B"/>
    <w:rsid w:val="00E878F0"/>
    <w:rsid w:val="00E902B9"/>
    <w:rsid w:val="00E916B9"/>
    <w:rsid w:val="00E94083"/>
    <w:rsid w:val="00EA3228"/>
    <w:rsid w:val="00EA5567"/>
    <w:rsid w:val="00EA6FC7"/>
    <w:rsid w:val="00EB0717"/>
    <w:rsid w:val="00EB08FF"/>
    <w:rsid w:val="00EB0E71"/>
    <w:rsid w:val="00EB182C"/>
    <w:rsid w:val="00EB3AB8"/>
    <w:rsid w:val="00EB3ADF"/>
    <w:rsid w:val="00EC2DE9"/>
    <w:rsid w:val="00EC6597"/>
    <w:rsid w:val="00ED595F"/>
    <w:rsid w:val="00EE1077"/>
    <w:rsid w:val="00EE2D93"/>
    <w:rsid w:val="00EE6CDF"/>
    <w:rsid w:val="00EF1499"/>
    <w:rsid w:val="00EF3021"/>
    <w:rsid w:val="00EF3A34"/>
    <w:rsid w:val="00EF45B3"/>
    <w:rsid w:val="00EF481B"/>
    <w:rsid w:val="00EF5643"/>
    <w:rsid w:val="00F06052"/>
    <w:rsid w:val="00F067EA"/>
    <w:rsid w:val="00F10BE1"/>
    <w:rsid w:val="00F1163D"/>
    <w:rsid w:val="00F11AE0"/>
    <w:rsid w:val="00F16185"/>
    <w:rsid w:val="00F1643C"/>
    <w:rsid w:val="00F2383C"/>
    <w:rsid w:val="00F23945"/>
    <w:rsid w:val="00F25C8A"/>
    <w:rsid w:val="00F26019"/>
    <w:rsid w:val="00F26AED"/>
    <w:rsid w:val="00F26CE4"/>
    <w:rsid w:val="00F2716E"/>
    <w:rsid w:val="00F27398"/>
    <w:rsid w:val="00F3132F"/>
    <w:rsid w:val="00F32189"/>
    <w:rsid w:val="00F34692"/>
    <w:rsid w:val="00F36599"/>
    <w:rsid w:val="00F36E40"/>
    <w:rsid w:val="00F40BE0"/>
    <w:rsid w:val="00F44484"/>
    <w:rsid w:val="00F4547B"/>
    <w:rsid w:val="00F462F3"/>
    <w:rsid w:val="00F475D4"/>
    <w:rsid w:val="00F529C0"/>
    <w:rsid w:val="00F52B1B"/>
    <w:rsid w:val="00F54FE5"/>
    <w:rsid w:val="00F55359"/>
    <w:rsid w:val="00F56C84"/>
    <w:rsid w:val="00F602C8"/>
    <w:rsid w:val="00F60A8A"/>
    <w:rsid w:val="00F615FD"/>
    <w:rsid w:val="00F61E68"/>
    <w:rsid w:val="00F624CC"/>
    <w:rsid w:val="00F73746"/>
    <w:rsid w:val="00F740DB"/>
    <w:rsid w:val="00F77841"/>
    <w:rsid w:val="00F81B84"/>
    <w:rsid w:val="00F84899"/>
    <w:rsid w:val="00F84BD9"/>
    <w:rsid w:val="00F90311"/>
    <w:rsid w:val="00F92258"/>
    <w:rsid w:val="00F954C9"/>
    <w:rsid w:val="00F97EDE"/>
    <w:rsid w:val="00FA497A"/>
    <w:rsid w:val="00FA58E3"/>
    <w:rsid w:val="00FA6F52"/>
    <w:rsid w:val="00FA7B9B"/>
    <w:rsid w:val="00FB01E4"/>
    <w:rsid w:val="00FB0439"/>
    <w:rsid w:val="00FB089E"/>
    <w:rsid w:val="00FB0AD7"/>
    <w:rsid w:val="00FB34A1"/>
    <w:rsid w:val="00FB3B62"/>
    <w:rsid w:val="00FB4002"/>
    <w:rsid w:val="00FB589B"/>
    <w:rsid w:val="00FC1714"/>
    <w:rsid w:val="00FC1DF9"/>
    <w:rsid w:val="00FC34B6"/>
    <w:rsid w:val="00FC37FC"/>
    <w:rsid w:val="00FC7317"/>
    <w:rsid w:val="00FD15DD"/>
    <w:rsid w:val="00FD3955"/>
    <w:rsid w:val="00FD407C"/>
    <w:rsid w:val="00FD4CD6"/>
    <w:rsid w:val="00FD5061"/>
    <w:rsid w:val="00FD6D2A"/>
    <w:rsid w:val="00FD7167"/>
    <w:rsid w:val="00FE1338"/>
    <w:rsid w:val="00FE2F68"/>
    <w:rsid w:val="00FE40AE"/>
    <w:rsid w:val="00FE63E4"/>
    <w:rsid w:val="00FF08DE"/>
    <w:rsid w:val="00FF0E29"/>
    <w:rsid w:val="00FF3519"/>
    <w:rsid w:val="00FF4FFD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3BE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A2738"/>
    <w:pPr>
      <w:keepNext/>
      <w:adjustRightInd w:val="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semiHidden/>
    <w:locked/>
    <w:rsid w:val="00A50556"/>
    <w:rPr>
      <w:b/>
      <w:bCs/>
      <w:sz w:val="28"/>
      <w:szCs w:val="28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A50556"/>
    <w:pPr>
      <w:widowControl w:val="0"/>
      <w:adjustRightInd w:val="0"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rsid w:val="001A27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2">
    <w:name w:val="Body Text 2"/>
    <w:basedOn w:val="Normlny"/>
    <w:rsid w:val="00611E1A"/>
    <w:pPr>
      <w:spacing w:after="120" w:line="480" w:lineRule="auto"/>
    </w:pPr>
  </w:style>
  <w:style w:type="paragraph" w:styleId="Odsekzoznamu">
    <w:name w:val="List Paragraph"/>
    <w:basedOn w:val="Normlny"/>
    <w:uiPriority w:val="99"/>
    <w:qFormat/>
    <w:rsid w:val="00E23909"/>
    <w:pPr>
      <w:spacing w:after="200" w:line="276" w:lineRule="auto"/>
      <w:ind w:left="720"/>
      <w:jc w:val="both"/>
    </w:pPr>
    <w:rPr>
      <w:rFonts w:ascii="Cambria" w:eastAsia="Cambria" w:hAnsi="Cambria"/>
      <w:sz w:val="20"/>
      <w:szCs w:val="20"/>
      <w:lang w:val="en-US" w:eastAsia="en-US"/>
    </w:rPr>
  </w:style>
  <w:style w:type="paragraph" w:styleId="Pta">
    <w:name w:val="footer"/>
    <w:basedOn w:val="Normlny"/>
    <w:rsid w:val="004D045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D0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VYHODNOTENIE MEDZIREZORTNÉHO PRIPOMIENKOVÉHO KONANIA</vt:lpstr>
    </vt:vector>
  </TitlesOfParts>
  <Company/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MEDZIREZORTNÉHO PRIPOMIENKOVÉHO KONANIA</dc:title>
  <dc:creator>stanislav.goga</dc:creator>
  <cp:lastModifiedBy>stanislav.goga</cp:lastModifiedBy>
  <cp:revision>2</cp:revision>
  <cp:lastPrinted>2012-08-02T07:00:00Z</cp:lastPrinted>
  <dcterms:created xsi:type="dcterms:W3CDTF">2014-07-29T06:54:00Z</dcterms:created>
  <dcterms:modified xsi:type="dcterms:W3CDTF">2014-07-29T06:54:00Z</dcterms:modified>
</cp:coreProperties>
</file>