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8B" w:rsidRPr="00856FFA" w:rsidRDefault="00112D54" w:rsidP="00112D54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  <w:lang w:val="sk-SK"/>
        </w:rPr>
      </w:pPr>
      <w:r w:rsidRPr="00856FFA">
        <w:rPr>
          <w:rFonts w:ascii="Times New Roman" w:hAnsi="Times New Roman" w:cs="Calibri"/>
          <w:b/>
          <w:caps/>
          <w:sz w:val="20"/>
          <w:szCs w:val="20"/>
          <w:lang w:val="sk-SK"/>
        </w:rPr>
        <w:t>Vyhodnotenie medzirezortného pripomienkového konania</w:t>
      </w:r>
    </w:p>
    <w:p w:rsidR="00A63365" w:rsidRPr="00856FFA" w:rsidRDefault="00A63365" w:rsidP="00112D54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</w:p>
    <w:p w:rsidR="00112D54" w:rsidRPr="00856FFA" w:rsidRDefault="00FA67A7" w:rsidP="00112D54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  <w:r w:rsidRPr="00FA67A7">
        <w:rPr>
          <w:rFonts w:ascii="Times New Roman" w:hAnsi="Times New Roman" w:cs="Calibri"/>
          <w:iCs/>
          <w:sz w:val="20"/>
          <w:szCs w:val="20"/>
          <w:lang w:val="sk-SK"/>
        </w:rPr>
        <w:t>Návrh správy o plnení Národného akčného plánu rodovej rovnosti na roky 2010 - 2013 </w:t>
      </w:r>
    </w:p>
    <w:p w:rsidR="00A63365" w:rsidRPr="00856FFA" w:rsidRDefault="00A63365" w:rsidP="00112D54">
      <w:pPr>
        <w:widowControl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val="sk-SK"/>
        </w:rPr>
      </w:pPr>
    </w:p>
    <w:p w:rsidR="00112D54" w:rsidRPr="00856FFA" w:rsidRDefault="00112D54" w:rsidP="00112D5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tbl>
      <w:tblPr>
        <w:tblW w:w="14322" w:type="dxa"/>
        <w:tblCellMar>
          <w:left w:w="0" w:type="dxa"/>
          <w:right w:w="0" w:type="dxa"/>
        </w:tblCellMar>
        <w:tblLook w:val="0000"/>
      </w:tblPr>
      <w:tblGrid>
        <w:gridCol w:w="6379"/>
        <w:gridCol w:w="7943"/>
      </w:tblGrid>
      <w:tr w:rsidR="000E0D8B" w:rsidRPr="00DD3F6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Spôsob pripomienkového konania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DD3F66" w:rsidRDefault="00A2596C" w:rsidP="00763374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A2596C">
              <w:rPr>
                <w:rFonts w:ascii="Times New Roman" w:hAnsi="Times New Roman" w:cs="Calibri"/>
                <w:sz w:val="20"/>
                <w:szCs w:val="20"/>
                <w:lang w:val="sk-SK"/>
              </w:rPr>
              <w:t>informatívny materiál a z dôvodu dodržania termínu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15 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0 </w:t>
            </w:r>
          </w:p>
        </w:tc>
      </w:tr>
      <w:tr w:rsidR="00E92A3F" w:rsidRPr="00542B6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856FFA" w:rsidRDefault="00E92A3F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2A3F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vyhodnotených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542B6A" w:rsidRDefault="00141E5C" w:rsidP="00141E5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141E5C">
              <w:rPr>
                <w:rFonts w:ascii="Times New Roman" w:hAnsi="Times New Roman" w:cs="Calibri"/>
                <w:sz w:val="20"/>
                <w:szCs w:val="20"/>
              </w:rPr>
              <w:t>15 </w:t>
            </w:r>
          </w:p>
        </w:tc>
      </w:tr>
      <w:tr w:rsidR="00E92A3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856FFA" w:rsidRDefault="00E92A3F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92A3F" w:rsidRDefault="00E92A3F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14 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0 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8C0CA8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</w:t>
            </w:r>
            <w:r w:rsidR="008C0CA8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čiastočne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0 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0 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neakceptovaných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1 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0 </w:t>
            </w: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Rozporové konanie (s kým, kedy, s akým výsledkom)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</w:tbl>
    <w:p w:rsidR="000E0D8B" w:rsidRPr="00856FFA" w:rsidRDefault="000E0D8B" w:rsidP="00112D54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442145" w:rsidRPr="00856FFA" w:rsidRDefault="00442145" w:rsidP="00112D5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  <w:r w:rsidRPr="00856FFA">
        <w:rPr>
          <w:rFonts w:ascii="Times New Roman" w:hAnsi="Times New Roman" w:cs="Calibri"/>
          <w:sz w:val="20"/>
          <w:szCs w:val="20"/>
          <w:lang w:val="sk-SK"/>
        </w:rPr>
        <w:t>Sumarizácia vznesených pripomienok</w:t>
      </w:r>
      <w:r w:rsidR="006E1AE4">
        <w:rPr>
          <w:rFonts w:ascii="Times New Roman" w:hAnsi="Times New Roman" w:cs="Calibri"/>
          <w:sz w:val="20"/>
          <w:szCs w:val="20"/>
          <w:lang w:val="sk-SK"/>
        </w:rPr>
        <w:t xml:space="preserve"> podľa subjektov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6"/>
        <w:gridCol w:w="8327"/>
        <w:gridCol w:w="1443"/>
        <w:gridCol w:w="1443"/>
        <w:gridCol w:w="1428"/>
        <w:gridCol w:w="1197"/>
      </w:tblGrid>
      <w:tr w:rsidR="00442145" w:rsidRPr="00856FFA">
        <w:tc>
          <w:tcPr>
            <w:tcW w:w="168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Č.</w:t>
            </w:r>
          </w:p>
        </w:tc>
        <w:tc>
          <w:tcPr>
            <w:tcW w:w="2903" w:type="pct"/>
            <w:vAlign w:val="center"/>
          </w:tcPr>
          <w:p w:rsidR="00442145" w:rsidRPr="00856FFA" w:rsidRDefault="00542B6A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</w:t>
            </w:r>
            <w:r w:rsidR="00442145"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ubjekt</w:t>
            </w:r>
          </w:p>
        </w:tc>
        <w:tc>
          <w:tcPr>
            <w:tcW w:w="505" w:type="pct"/>
            <w:vAlign w:val="center"/>
          </w:tcPr>
          <w:p w:rsidR="00442145" w:rsidRPr="00856FFA" w:rsidRDefault="00442145" w:rsidP="00CA36F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</w:t>
            </w:r>
            <w:r w:rsidR="00CA36FC"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 xml:space="preserve"> </w:t>
            </w: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do termínu</w:t>
            </w:r>
          </w:p>
        </w:tc>
        <w:tc>
          <w:tcPr>
            <w:tcW w:w="505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 po termíne</w:t>
            </w:r>
          </w:p>
        </w:tc>
        <w:tc>
          <w:tcPr>
            <w:tcW w:w="500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Nemali pripomienky</w:t>
            </w:r>
          </w:p>
        </w:tc>
        <w:tc>
          <w:tcPr>
            <w:tcW w:w="419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Vôbec nezaslali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spravodlivosti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vnútra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3 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financií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4 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kultúry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5 (5o,0z)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5 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hospodárstva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6 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dopravy, výstavby a regionálneho rozvoja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7 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pôdohospodárstva a rozvoja vidieka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8 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obrany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9 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zahraničných vecí a európskych záležitostí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10 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práce, sociálnych vecí a rodiny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životného prostredia Slovenskej republiky 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školstva, vedy, výskumu a športu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3 (3o,0z)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13 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zdravotníctva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14 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vlády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15 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Protimonopolný úrad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16 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Štatistický úrad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3 (3o,0z)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17 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geodézie, kartografie a katastra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18 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jadrového dozoru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19 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pre normalizáciu, metrológiu a skúšobníctvo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>20 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pre verejné obstarávanie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priemyselného vlastníctva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Správa štátnych hmotných rezerv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23 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Národný bezpečnostný úrad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24 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Odbor vládnej agendy Úradu vlády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25 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Odbor zmeny klímy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26 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Asociácia zamestnávateľských zväzov a združení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27 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Verejnosť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28 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Konfederácia odborových zväzov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E5C03" w:rsidRPr="00074151">
        <w:tc>
          <w:tcPr>
            <w:tcW w:w="168" w:type="pct"/>
            <w:vAlign w:val="center"/>
          </w:tcPr>
          <w:p w:rsidR="00EE5C03" w:rsidRPr="00856FFA" w:rsidRDefault="00EE5C03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</w:p>
        </w:tc>
        <w:tc>
          <w:tcPr>
            <w:tcW w:w="2903" w:type="pct"/>
            <w:vAlign w:val="center"/>
          </w:tcPr>
          <w:p w:rsidR="00EE5C03" w:rsidRPr="00856FFA" w:rsidRDefault="00EE5C03" w:rsidP="00CA36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  <w:t>SPOLU</w:t>
            </w:r>
          </w:p>
        </w:tc>
        <w:tc>
          <w:tcPr>
            <w:tcW w:w="505" w:type="pct"/>
            <w:vAlign w:val="center"/>
          </w:tcPr>
          <w:p w:rsidR="00EE5C03" w:rsidRPr="00074151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15 (15o,0z) </w:t>
            </w:r>
          </w:p>
        </w:tc>
        <w:tc>
          <w:tcPr>
            <w:tcW w:w="505" w:type="pct"/>
            <w:vAlign w:val="center"/>
          </w:tcPr>
          <w:p w:rsidR="00EE5C03" w:rsidRPr="00074151" w:rsidRDefault="00074151" w:rsidP="00763374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0 (0o,0z) </w:t>
            </w:r>
          </w:p>
        </w:tc>
        <w:tc>
          <w:tcPr>
            <w:tcW w:w="500" w:type="pct"/>
            <w:vAlign w:val="center"/>
          </w:tcPr>
          <w:p w:rsidR="00EE5C03" w:rsidRPr="00074151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14 </w:t>
            </w:r>
          </w:p>
        </w:tc>
        <w:tc>
          <w:tcPr>
            <w:tcW w:w="419" w:type="pct"/>
            <w:vAlign w:val="center"/>
          </w:tcPr>
          <w:p w:rsidR="00EE5C03" w:rsidRPr="00074151" w:rsidRDefault="008C29A6" w:rsidP="007211BF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7 </w:t>
            </w:r>
          </w:p>
        </w:tc>
      </w:tr>
    </w:tbl>
    <w:p w:rsidR="00442145" w:rsidRPr="00856FFA" w:rsidRDefault="00442145" w:rsidP="00112D54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194B7B" w:rsidRPr="00856FFA" w:rsidRDefault="00194B7B" w:rsidP="00984FB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984FB1" w:rsidRPr="00856FFA" w:rsidRDefault="00984FB1" w:rsidP="00984FB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  <w:r w:rsidRPr="00856FFA">
        <w:rPr>
          <w:b w:val="0"/>
          <w:bCs w:val="0"/>
          <w:color w:val="000000"/>
          <w:sz w:val="20"/>
          <w:szCs w:val="20"/>
        </w:rPr>
        <w:t>Vyhodnotenie vecných pripomienok je uvedené v tabuľkovej časti.</w:t>
      </w:r>
    </w:p>
    <w:p w:rsidR="00984FB1" w:rsidRPr="00856FFA" w:rsidRDefault="00984FB1" w:rsidP="00A6336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/>
      </w:tblPr>
      <w:tblGrid>
        <w:gridCol w:w="1809"/>
        <w:gridCol w:w="3119"/>
      </w:tblGrid>
      <w:tr w:rsidR="00984FB1" w:rsidRPr="00856FFA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1A373C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ČA</w:t>
            </w:r>
            <w:r w:rsidR="001A373C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856FFA">
              <w:rPr>
                <w:b w:val="0"/>
                <w:color w:val="000000"/>
                <w:sz w:val="20"/>
                <w:szCs w:val="20"/>
              </w:rPr>
              <w:t>– čiastočne akceptovaná</w:t>
            </w:r>
          </w:p>
        </w:tc>
      </w:tr>
    </w:tbl>
    <w:p w:rsidR="000E0D8B" w:rsidRPr="00856FFA" w:rsidRDefault="000E0D8B">
      <w:pPr>
        <w:widowControl/>
        <w:rPr>
          <w:rFonts w:ascii="Times New Roman" w:hAnsi="Times New Roman" w:cs="Calibri"/>
          <w:sz w:val="20"/>
          <w:szCs w:val="20"/>
          <w:lang w:val="sk-SK"/>
        </w:rPr>
      </w:pPr>
      <w:r w:rsidRPr="00856FFA">
        <w:rPr>
          <w:rFonts w:ascii="Times New Roman" w:hAnsi="Times New Roman" w:cs="Calibri"/>
          <w:sz w:val="20"/>
          <w:szCs w:val="20"/>
          <w:lang w:val="sk-SK"/>
        </w:rPr>
        <w:br w:type="page"/>
      </w: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7"/>
        <w:gridCol w:w="6519"/>
        <w:gridCol w:w="708"/>
        <w:gridCol w:w="708"/>
        <w:gridCol w:w="4679"/>
      </w:tblGrid>
      <w:tr w:rsidR="00E92A3F" w:rsidRPr="00856FFA">
        <w:tc>
          <w:tcPr>
            <w:tcW w:w="495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Subjekt</w:t>
            </w:r>
          </w:p>
        </w:tc>
        <w:tc>
          <w:tcPr>
            <w:tcW w:w="2328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Pripomienka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Typ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Vyh.</w:t>
            </w:r>
          </w:p>
        </w:tc>
        <w:tc>
          <w:tcPr>
            <w:tcW w:w="1671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Spôsob vyhodnotenia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MK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plneniu úlohy č. 8 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Navrhujeme doplniť do časti - konkrétne plnenie - nasledovný text: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Ministerstvo kultúry SR má na podporu kultúrnych aktivít prispievajúcich k implementácii rodovej rovnosti vytvorený finančný systémový nástroj - dotačný program Kultúra znevýhodnených skupín obyvateľstva (od roku 2005). Jeho základným cieľom je napomáhať integrácii znevýhodnených skupín obyvateľstva do spoločnosti v oblasti kultúry a tiež podporovať implementáciu rodovej rovnosti prostredníctvom kultúrnych aktivít pre ženy po 45 roku života, ženy - migrantky, rómske ženy, týrané ženy, ženy – osamelé matky a pod. s cieľom predchádzať diskriminácii a všetkým formám násilia.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Ministerstvo kultúry SR plnilo úlohu prostredníctvom organizácie v zriaďovateľskej pôsobnosti - Národného osvetového centra, ktorého základnou náplňou je podporovať neformálno-vzdelávacie a prosociálne aktivity v oblasti kultúry vrátane zvyšovania informovanosti o problematike rodovej rovnosti medzi laickou i odbornou kultúrnou verejnosťou. Národné osvetové centrum zaradilo na svoju webovú stránku zoznam publikácií a e-materiálov venovaných danej téme. Inštitúcia v rámci projektu sociálnej prevencie – realizuje každoročne informačno-vzdelávací bulletin - Sociálna prevencia, kde boli v sledovanom období v rámci sociálnej prevencie zaradené aj témy na podporu implementácie rodovej rovnosti (podrobný odpočet plnenia jednotlivých opatrení vyplývajúcich z Národného akčného plánu rodovej rovnosti za roky 2010 - 2013 Ministerstvo kultúry SR zaslalo Ministerstvu práce sociálnych vecí a rodiny SR listom č.: MK–1016/2014-110/5551 zo dňa 27. marca 2014).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doplnený.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MK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plneniu úlohy č. 9 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Navrhujeme doplniť do časti - konkrétne plnenie - nasledovný text: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Ministerstvo kultúry SR poskytlo svojim organizačným útvarom a organizáciám vo svojej zriaďovateľskej pôsobnosti (písomnou formou) informáciu o internetovej stránke MPSVR SR k problematike rodovej rovnosti a možnosti elektronického vzdelávania sa v oblasti rodovej rovnosti (e-learning). Implementácia rodovej rovnosti bola realizovaná tiež na úrovni organizácií v zriaďovateľskej pôsobnosti Ministerstva kultúry SR, najmä akvizíciami a realizáciou periodických a neperiodických publikácií, výstavkami kníh, interaktívnymi podujatiami atď.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doplnený.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MK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plneniu úlohy č. 23 – 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Navrhujeme doplniť do časti - konkrétne plnenie - nasledovný text: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Zakomponovanie témy rodovej rovnosti v rámci Ministerstva kultúry SR bolo upravené v Štatúte Ministerstva kultúry Slovenskej republiky, článok 5 – Zásady činnosti a riadenia ministerstva, odsek (6) Ministerstvo uplatňuje pri svojej činnosti zásady rovnakého zaobchádzania, rodovej rovnosti a rovnosti príležitostí. Ministerstvo kultúry SR v súlade so svojim štatútom aj týmto spôsobom prispieva k plneniu úloh rezortu v oblasti rodovej rovnosti.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Organizačným útvarom pre predmetnú problematiku je od roku 2005 odbor kultúry nehmotného kultúrneho dedičstva a kultúry znevýhodnených skupín obyvateľstva, kde je aktuálne jednu zamestnankyňa určená na výkon agendy - kultúra znevýhodnených skupín obyvateľstva vrátane rodovej rovnosti a rovnosti príležitostí (agenda tiež zahŕňa problematiku nediskriminácie, ochrany kultúrnych práv ľudí ohrozených chudobou a sociálnym vylúčením – marginalizovaných rómskych komunít, ľudí bez domova, zraniteľných skupín detí apod.).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doplnený.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MK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plneniu úlohy č. 35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Navrhujeme doplniť do časti - konkrétne plnenie - nasledovný text: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Ministerstvo kultúry SR pravidelne sleduje štatistické údaje v rezorte kultúry z hľadiska zisťovania počtu zamestnankýň a zamestnancov a ich odmeňovania podľa jednotlivých platových tried a pracovných pozícií. Od januára 2012 sú v rámci MK SR elektronicky spracovávaná, štatistiky, ktoré rešpektujú rodové členenie v oblasti mzdových rozdielov.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doplnený.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MK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Lingvistický výskum a manuál rodovo korektného jazyka (str. 13)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Odporúčame, aby všetky aktivity súvisiace s „vypracovaním argumentačnej základne a spôsobu zavedenia rodovo korektného jazyka do praxe (vrátane vyčlenenia oblastí aplikácie a legislatívneho ukotvenia)“ a príslušné materiály týkajúce sa rodovo citlivého jazyka, napríklad „manuál rodovo korektného jazyka“ (str. 7 a 13) rešpektovali platné kodifikačné normy slovenského spisovného jazyka a príslušné ustanovenia zákona NR SR č. 270/1995 Z. z. o štátnom jazyku Slovenskej republiky v znení neskorších predpisov, preto je potrebné konzultovať ich s odborníkmi z odboru štátneho jazyka Ministerstva kultúry Slovenskej republiky, ktoré je ústredným orgánom štátnej správy v oblasti starostlivosti o štátny jazyk.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Odporúčanie akceptované.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MPRV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Pri úlohe č. 23 na strane 29 odporúčame doplniť, že na MPRV SR je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>problematika rodovej rovnosti na základe Organizačného poriadku začlenená do pôsobnosti odboru stratégií a koncepcií. 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Doplnené.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MO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vlastný materiál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Na strane 39, v časti venovanej oblasti „Zefektívnenie zostavovania rodovo členených štatistík:“, v poslednom odseku venovanom MO SR odporúčame vypustiť prvú časť vety v znení „Ako naznačuje graf č.1,“. Veta by tak začala slovami: „Podiel žien v štátnej službe...“ Zdôvodnenie: Graf č.1, na ktorý je vo vete odvolávka, nie je súčasťou predloženého materiálu.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Vypustené.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MŠVVaŠ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odsek 4, s. 12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„V oblasti ďalšieho vzdelávania je akreditácia programov... ...Ďalšia úprava v oblasti celoživotného vzdelávania bude predmetom nového zákona o celoživotnom vzdelávaní, ktorý je v Pláne legislatívnych úloh vlády v VI. volebnom období na rok 2014.“ žiadame upraviť nasledovne, pričom žiadame vypustiť poslednú vetu odseku: „V oblasti ďalšieho vzdelávania sú v oblasti rodovej rovnosti predmetom akreditácie, ktorá je upravená zákonom č. 568/2009 Z. z. o celoživotnom vzdelávaní v znení neskorších predpisov, tie vzdelávacie programy, ktorými si osoby pracujúce v uvedenej oblasti rozširujú alebo prehlbujú svoju kvalifikáciu na výkon odbornej činnosti, a teda sú považované za odborné vzdelávanie potrebné pre výkon ich práce.“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Informácia uvedená v pôvodnom znení odseku na s. 12 je v rozpore s informáciou uvedenou na s. 13, posledný odsek, týkajúcou sa výstupov národného projektu Inštitútu rodovej rovnosti, v rámci ktorého boli vytvorené vzdelávacie programy, ktoré boli akreditované MŠVVaŠ SR.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Uvedená formulácia je nesprávna, pretože podľa zákona o celoživotnom vzdelávaní sa akreditujú nielen vzdelávacie programy, ktoré vedú k získaniu kvalifikácie, ale aj vzdelávacie programy, ktorými si možno rozšíriť alebo prehĺbiť svoju kvalifikáciu na výkon odbornej činnosti.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Na rok 2014 nie je naplánovaná žiadna legislatívna úprava zákona o celoživotnom vzdelávaní. Okrem toho sa žiadna legislatívna úprava uvedenej problematiky netýka, a teda nemá v materiáli opodstatnenie.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upravený na základe pripomienky.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MŠVVaŠ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Operačný cieľ 2, v tabuľke bod 7., str. 7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- v stĺpci „Plnenie“ zmeniť textáciu z „čiastočne splnené“ na „splnené“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do stĺpca „Poznámka resp. spôsob plnenia“ doplniť textáciu „Pedagogicko-organizačné pokyny na školský rok 2011/2012, Pedagogicko-organizačné pokyny na školský rok 2012/ 2013, Pedagogicko-organizačné pokyny na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 xml:space="preserve">školský rok 2013/2014, Pedagogicko-organizačné pokyny na školský rok 2014/2015 : časť 1.6. Výchovno-vzdelávací proces, konkrétne 1.6.10. Ľudské a detské práva“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Doplnené.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MŠVVaŠ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obsahovej stránke materiálu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Sekcia vedy a techniky predložila vo februári 2014 podklady za svoju oblasť pôsobnosti k plneniu úloh Národného akčného plánu rodovej rovnosti na roky 2010 – 2013. Tieto podklady sa však do materiálu predloženého na MPK nedostali, ale sú v ňom staršie údaje, ktoré sa predkladali pred rokom. Preto navrhujeme drobné úpravy v zmysle opätovne priloženého podkladu, predovšetkým – publikácia „She Figures“ sa nepripravuje, ale je už vydaná, podľa zváženia doplniť niektoré uskutočnené aktivity za rok 2012 z dodaných podkladov a pod.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Podklad za sekciu vedy a techniky do odpočtu NAP rodovej rovnosti na roky 2010 - 2013: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V oblasti vedy a techniky bol na informačné zabezpečenie výskumu a vývoja vybudovaný Centrálny informačný portál pre výskum, vývoj a inovácie (CIP VVI), z ktorého sa odborná i laická verejnosť dozvedá informácie z oblasti výskumu, vývoja a inovácií. (Správcom portálu je Ministerstvo školstva, vedy, výskumu a športu SR – MŠVVaŠ SR. Prevádzkovateľom portálu je Centrum vedecko-technických informácií SR – CVTI SR). V rámci tohto portálu sa venuje veľký priestor aj popularizácii vedy a techniky, nevynímajúc otázky rodovej rovnosti. Nájdeme tu údaje z histórie žien vo vede, informácie o európskych iniciatívach a platformách žien vo vede, informácie o konferenciách, summitoch a materiáloch vydávaných v oblasti rodovej problematiky výskumu a vývoja na Slovensku a v EÚ. Na portáli sú zverejňované rozhovory s úspešnými slovenskými vedkyňami. V r. 2011 bolo 10 otázok položených doc. PhDr. Mariane Szapuovej, PhD. (ktorá sa zaoberá epistemológiou a feministickou filozofiou, na čo sa orientuje aj vo výskume), v roku 2012 významnej mikrobiologičke, vysokoškolskej pedagogičke a bývalej prednostke Mikrobiologického ústavu LF UK v Bratislave prof. MUDr. Daniele Kotulovej, PhD.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Ako podporný nástroj v oblasti popularizácie vedy a techniky na celoslovenskej úrovni a smerom voči zahraničiu je Národné centrum pre popularizáciu vedy a techniky v spoločnosti, ktoré bolo zriadené Ministerstvom školstva, vedy, výskumu a športu SR v rámci CVTI SR. Jeho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 xml:space="preserve">úlohou je zabezpečovať činnosti spojené s popularizáciou vedy a techniky v spoločnosti.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V rámci Národného centra pre popularizáciu vedy a techniky v spoločnosti sa pravidelne organizujú vedecké kaviarne „Veda v centre“ - neformálne stretnutia verejnosti s vedeckými osobnosťami pri káve a vedecké cukrárne - stretnutia mládeže s vedeckými osobnosťami. Týmito akciami sa popularizuje svet vedy a výskumu, prezentujú sa aktuálne témy z oblasti vedy a techniky. V roku 2011, 2012 a 2013 boli na tieto podujatia pozvané aj významné ženy - vedkyne z rôznych odborov vedy a techniky.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Vedecká cukráreň: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Doc. Dr. Ing. arch. Henrieta Moravčíková s témou „Môže byť architektúra totalitná?“ (16.12.2013)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Ing. Ivana Budinská, PhD. s témou "Swarm robotics - Čo sa môžu roboty naučiť od mravcov?“ (19.11.2013)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PhDr. Mária Šimková s témou „Globalizácia – Informatizácia – Anglikanizácia Prežije slovenčina?“ (22.10.2013)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MVDr. Markéta Derdáková, PhD. s témou „Kliešte v meste“ (19.6.2012)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RNDr. Barbara Sviežená, PhD. s témou „Od stopy k páchteľovi – od Šalamúna po nanočipy“ (27.2.2012)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PhDr. Gabriela Kiliánová, CSc. s témou „Načo sú nám symboly? Čomu sa venuje etnológia?“ (21.12.2011)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Ing. Edita Nemcová, PhD. s témou „Teoretické a metodologické zázemie prognózovania vývoja spoločnosti“ (15.2.2011)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Vedecká kaviareň - Bratislava: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Doc. PaedDr. Soňa Čeretková, PhD. s témou „Ako (ne) (na) učiť matematiku“ (12. 12. 2013)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Doc. Ing. Melánia Feszterová, PhD. s témou „Kontaminácia zložiek životného prostredia. Mesto Šaľa – ovzdušie a pôda“ (24. 10. 2013)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Mgr. Dana Peškovičová, PhD. s témou „Potrebujeme dnes šľachtiť hospodárske zvieratá? Matematické modely a genetika v službách šľachtenia“ (19. 9. 2013)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Ing. Anna Dobrucká, PhD. s témou „Historické krajinné štruktúry v rozvoji vidieka“ (20. 6. 2013)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prof. RNDr. Katarína Cechlárová, CSc. s témou „Šťastie, zdravie, lži a ... matematika“ (28. 2. 2013)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prof. RNDr. Katarína Horáková, DrSc. s témou „Zdravie a vitalita až do vysokého veku“ (25.10.2012)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MA Monika Gullerová, PhD. s témou „Vypínanie génov – dizajn pre ideálnu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 xml:space="preserve">bunku“ (19.7.2012)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prof. PhDr. Jela Steinerová, PhD. s témou „Prečo potrebujeme informačnú ekológiu?“ (29.3.2012)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RNDr. Katarína Bíliková, PhD. s témou „Včelí med ako liek“ (23.2.2012)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RNDr. Andrea Fedorková, PhD. s témou „Zachránia elektromobily svet?“ (21.7.2011)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RNDr. Anna Totková, PhD. s témou „Črevné parazity – nevítaní hostia v našom tele“ (30.6.2011)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prof. RNDr. Marta Kollárová, DrSc. s témou „Tajomný svet DNA“ (27.1.2011)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Vedecká kaviareň - Nitra: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Doc. PaedDr. Soňa Čeretková, PhD. s témou „Ako (ne) (na) učiť matematiku“ (12. 12. 2013)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doc. Ing. Melánia Feszterová, PhD. s témou „Kontaminácia zložiek životného prostredia. Mesto Šaľa – ovzdušie a pôda“ (24. 10. 2013)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Mgr. Dana Peškovičová, PhD. s témou „Potrebujeme dnes šľachtiť hospodárske zvieratá? Matematické modely a genetika v službách šľachtenia“ (19. 9. 2013)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Ing. Anna Dobrucká, PhD. s témou „Historické krajinné štruktúry v rozvoji vidieka“ (20. 6. 2013)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Doc. RNDr. Alžbeta Hegedűsová, PhD. s témou „Rastliny v úlohe dekontaminácie zložiek životného prostredia“ (10. 11. 2011)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Doc. RNDr. Ľudmila Illášová, PhD., prof. RNDr. Ivan Kraus, DrSc. s témou „Gemológia - jej úloha a poslanie“ (20. 10. 2011)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RNDr. Zuzana Krumpálová, PhD., prof. UAM Dr hab. Leszek Rychlik „Pôdne živočíchy ako objekt skúmania“ (22. 9. 2011)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Doc. Ing. arch. Roberta Štěpánková, PhD., „Verejné prieSTORY o nás“ (23. 6. 2011)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Prostredníctvom portálu je prezentované, že aj ženy môžu byť pri skĺbení rodinných a pracovných povinností a akceptácii prostredia veľmi úspešné.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V rámci Týždňa vedy a techniky na Slovensku 2013, ktorý je organizovaný MŠVVaŠ SR, v spolupráci s CVTI SR, prebiehalo dňa 14. novembra 2013 udeľovanie cien ministra školstva, vedy, výskumu a športu Slovenskej republiky, ako aj odovzdanie cien partnerov podujatia za významné výsledky dosiahnuté v oblasti vedy a techniky. Udeľovanie cien sa uskutočnilo vo viacerých kategóriách, pričom v kategórii „Osobnosť vedy a techniky do 35 rokov“ boli v tomto roku udelené ceny aj dvom mladým ženám: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 xml:space="preserve">- Ing. Kristíne Kukurovej, PhD. za vedecký prínos v oblasti výskumu eliminácie obsahu akrylamidu v potravinách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RNDr. Zuzane Pribulovej, PhD. za významný prínos k poznaniu mechanizmu párovania nových typov supravodičov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a v kategórii: Celoživotné zásluhy v oblasti vedy a techniky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Ing. Márii Fišerovej, PhD. za dlhodobé výskumné a aplikačné aktivity pri zvyšovaní technologickej a ekologickej úrovne výroby buničiny a papiera s dôrazom na kvalitu a vyššie využívanie drevnej suroviny, znižovanie spotreby chemikálií a vody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V roku 2012 boli udelené ceny v kategórii „Osobnosť vedy a techniky do 35 rokov“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RNDr. Zuzane Horvátovej, PhD. za dosiahnuté výsledky v oblasti hodnotenia pesticídov a ich dopadov na životné prostredie, v rámci národnej úrovne aj pre účely európskeho registračného procesu,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Ing. Márii Bihuňovej, PhD. za rozvoj vedy v odbore Krajinná a záhradná architektúra, za dosiahnuté výsledky vo výskume a ich prezentáciu na medzinárodnej úrovni.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Cieľom každoročne organizovaného Týždňa vedy a techniky na Slovensku je zlepšiť vnímanie vedy a techniky v povedomí celej spoločnosti, popularizovať a prezentovať ich, vzbudiť záujem mladých ľudí o štúdium vedeckých a technických disciplín, informovať verejnosť o poznatkoch vedy a techniky a o nutnosti podporovať vedu a techniku, ktoré sú základom hospodárskeho a spoločenského pokroku a pomáhajú riešiť globálne problémy a výzvy.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Sprievodným podujatím Týždňa vedy a techniky 2012 bol seminár pod názvom: Súčasný stav rodovej rovnosti v Európe a na Slovensku, ktorý sa uskutočnil dňa 05.11.2012. Na predmetnom vedeckom kolokviu boli prezentované výsledky zistení o stave rodovej rovnosti v Európe a na Slovensku. Organizátorom podujatia bola Katedra sociológie FF UKF v Nitre / Inštitút pre výskum práce a rodiny pri MPaSVR.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V posledných rokoch bol odštartovaný popularizačný projekt Spektrum vedy, ktorým je cyklus televíznych dokumentov o práci a úspechoch slovenských vedcov, o ich mimoriadnych objavoch. Garantmi týchto projektov sú významní slovenskí vedci, vrátane úspešných žien: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Rok 2011: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Dňa 25.5.2011 bol odvysielaný dokument „Veľká nanoveda“, garantkou ktorého bola RNDr. Eva Majková, DrSc. – podpredsedníčka SAV.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 xml:space="preserve">- Garantkou dokumentu “Matematika a informatika ako základ znalostných systémov“ vysielaného dňa 14.9.2011 bola prof. RNDr. Katarína Cechlárová, CSc. z UPJŠ v Košiciach.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Rok 2012: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- 4.12.2012 bol odvysielaný dokument „Umenie vedou“, ktorý prezentovala doc. Katarína Mišíková, PhD.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Odbornými garantami dokumentu „Živí proti živým“, odvysielaného 30.10.2012, boli MVDr. Markéta Derdáková, PhD. a RNDr. Boris Klempa, PhD.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Sekcia vedy a techniky MŠVVaŠ SR sa významnou mierou podieľa na tvorbe európskych štatistík v oblasti rodovej rovnosti. V minulom roku bola vydaná publikácia She Figures 2012 (oficiálna publikácia Európskej komisie), ktorá podáva štatistické dáta a ukazovatele o ženách vo vede v krajinách EÚ i mimo nej. She Figures 2012 je štvrtou publikáciou (nasledujúcou po She Figures 2003, 2006 a 2009) kľúčového súboru indikátorov, ktoré sú dôležité pre správne pochopenie situácie žien vo vede. Poskytuje štatistiku o ženách vo vede od tretieho stupňa vysokoškolského vzdelávania až po trh práce. Predmetné publikácie sú využívané pre rôzne porovnávacie analýzy, štúdie v oblasti rodovej rovnosti, vo vystúpeniach, prezentáciách a prejavoch na konferenciách, workshopoch v rámci celej Európy i mimo nej a slúžia tiež pre tvorcov politík pre prípravu rozhodnutí v oblasti rodovej rovnosti na úrovni národnej, regionálnej a európskej.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29. septembra 2011 sa konala na Univerzite Mateja Bela v Banskej Bystrici konferencia s medzinárodnou účasťou pod názvom „Ženy v slovenskom/európskom akademickom a výskumnom prostredí“. Organizoval ju kolektív výskumných pracovníčok Inštitútu sociálnych a kultúrnych štúdií Fakulty humanitných vied UMB, ktorý participoval v projekte 7. Rámcového programu EÚ pod názvom „Gender Debate in the European Research Area“ (Rodový diskurz v Európskom výskumnom priestore; GENDERA; www.gendera.eu).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Hlavným cieľom projektu bolo sledovať a zlepšiť rodovú rovnosť vo vede a podporiť prostredie umožňujúce integráciu rodovej rovnosti do vedeckých stratégií a politík vo viacerých európskych krajinách. Špecifické ciele projektu sa sústredili na zber a analýzu skúseností z rodových politík a praktík zameraných na zlepšenie rodovej rovnosti v rôznych akademických a vedecko-výskumných inštitúciách; identifikáciu najlepších praktík na posilnenie vedeckých kapacít žien – vedkýň; a na iniciovanie národnej a európskej diskusie o týchto otázkach s predstaviteľmi akademických a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 xml:space="preserve">vedeckovýskumných inštitúcií a rozhodovacích orgánov.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Národné centrum pre popularizáciu vedy a techniky v spoločnosti pri Centre vedecko-technických informácií SR pripravilo výstavu Ženy vo vede, jedno zo sprievodných podujatí medzinárodnej súťaže Európskej únie pre mladých vedcov do 20 rokov – EUCYS 2012, ktoré sa konalo v priestoroch Incheby Expo v Bratislave v septembri 2012. Výstava mala za cieľ nielen inšpirovať mladé nadané študentky pri kariérnom rozhodovaní sa pre vedu a techniku, ale malo tiež upozorniť na problematiku rodovej rovnosti. Výstava predstavila významné ženy v histórii slovenskej vedy a profily ôsmich súčasných úspešných slovenských vedkýň.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Dňa 28. 11. 2013 sa v Slovenskom banskom múzeu v Banskej Štiavnici konalo významné podujatie, na ktorom bolo udelené po prvýkrát vyznamenanie ministra školstva, vedy, výskumu a športu Slovenskej republiky za mimoriadny prínos v oblasti vedy a techniky - Cena Samuela Mikovíniho. V rámci podujatia boli odovzdané vyznamenania v troch kategóriách, pričom v dvoch z nich boli udelené ceny aj úspešným ženám: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v kategórii Malá medaila Samuela Mikovíniho udeľovaná za prínosy v oblasti vedy a techniky v zahraničí: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Ing. Márii Chrenkovej, CSc. za úspešné získanie a riešenie medzinárodných projektov v 5. a 7. rámcovom programe EÚ, bilaterálnych projektov APVV a za aktívnu prednáškovú a vedeckú činnosť v zahraničí,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prof. Ing. Kristíne Zgodavovej, PhD. za prínosy v oblasti inžinierstva a manažérstva kvality, prezentáciu Slovenska doma a v zahraničí, vedenie projektov, doktorandov, publikovanie a spoluprácu s praxou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a v kategórii Pamätný list ministra školstva, vedy, výskumu a športu SR udeľovaný mladým pracovníkom výskumu a vývoja do 35 rokov: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Ing. Zuzane Dankovej, PhD. za publikované výsledky v oblasti štúdia štruktúrnych vlastností kompozitov na báze bentonitu a oxidov železa a ich využitia pre environmentálne účely,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Ing. Vlaste Ondrejka Harbuľákovej, PhD. za mimoriadne výsledky v oblasti štúdia biokorózie stavebných materiálov a výskumnú prácu hodnotenia deteriorizačných procesov betónových vzoriek vplyvom biologických a chemických činiteľov,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- RNDr. Barbare Bačovej, PhD. za významný vedecký prínos v oblasti výskumu zameraného na sledovanie úlohy srdcového konexínu-43 vo vývine a prevencii vzniku malígnych arytmií.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Predložené podklady boli v skrátenej forme použité. </w:t>
            </w: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Na základe pripomienky správa doplnená.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ŠÚ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Operačnému cieľu č. 5 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 xml:space="preserve">Odporúčame materiál dopracovať aj na úrovni Trenčianskeho a Košického samosprávneho kraja. Upozorňujeme, že v celom materiáli vo vyhodnotení plnenia plánu podľa operačných cieľov a aktivít chýba zhodnotenie za Trenčiansky a Košický samosprávny kraj. Keďže Národný akčný plán rodovej rovnosti na roky 2010 – 2013 hovorí aj o úlohách úradov samosprávnych krajov, obcí a miest, bolo by vhodné v tejto časti správy túto skutočnosť uviesť komplexne za všetky samosprávne kraje.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Vzhľadom na rozsah materiálu je konkrétne plnenie </w:t>
            </w: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>uvedené iba príkladmo. 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ŠÚ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Operačnému cieľu 7 Identifikovať nerovnosti žien a mužov prostredníctvom posilnenia výskumov a štatistík členených na základe pohlavia, k úlohe č. 33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na str. 36 v piatom odseku slová „www.statistics.sk (starej)“ nahradiť slovami „www.statistics.sk (Rodový aspekt)“. V čase zasielania podkladov do Návrhu správy o plnení Národného akčného plánu rodovej rovnosti na roky 2010 – 2013 menil Štatistický úrad SR dizajn svojho webového sídla. Predmetné dáta a informácie o gender štatistikách boli verejne dostupné len na pôvodnom (starom) portáli. V súčasnosti sú predmetné dáta sprístupnené už aj novom portáli, čím sa slovo „starej“ v zátvorke stáva nadbytočným.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upravený.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ŠÚ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Operačného cieľa č. 7 časť Zefektívnenie zostavovania rodovo členených štatistík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pri hodnotení MO SR vypustiť slová „Ako naznačuje graf č. 1“, nakoľko súčasťou materiálu nie je grafická príloha.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vypustený.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Verejnosť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Návrh správy o plnení Národného akčného plánu rodovej rovnosti na roky 2010 - 2013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Zásadná pripomienka: v časti o hodnotení rodovo citlivého vzdelávania a výchovy žiadame zapracovať výhrady odbornej verejnosti k rodovo citlivej výchove v duchu tzv. rodovej ideológie a presadzovania feministických rodových teórií, ktoré boli zverejnené na tlačovej besede dňa 2.6.2014 (text vyhlásenia a zoznam signatárov: http://www.scribd.com/doc/227634926/Vyjadrenie-a-v%C3%BDzva-lekarov-psychologov-a-in%C3%BDch-odbornikov-ku-vplyvu-rodovej-ideologie-na-du%C5%A1evne-zdravie-deti).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Zdôvodnenie: Súčasťou hodnotiacej správy je aj rodovo citlivé vzdelávanie a výchova, ktorej konkrétne úlohy č. 5, 7, 8, 9 sú pod operačným cieľom 2, na stranách 7, 10 a 14, a taktiež úloha č. 27 na strane 30. Pri hodnotení týchto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 xml:space="preserve">úloh, aj v perspektíve budúcich rokov, je nevyhnutné vziať do úvahy, že rodovo citlivá výchova a vzdelávanie v duchu tzv. rodovej ideológie a presadzovania feministických rodových teórií sú v časti nielen laickej i odbornej verejnosti spochybňované a odmietané a považované za rizikové pre zdravý vývoj dieťaťa. Súvisí to predovšetkým z rozširovaním termínu "rod" a "rodová rovnosť, ktoré už nezahŕňajú len rovnosť príležitostí mužov a žien, ale aj rovnosť rodov ako sociálnych konštruktov, ktoré sa môžu odlišovať od biologického pohlavia, preto si človek môže sám určiť svoju príslušnosť k rodu. Termíny "rod" a "rodový" sa napĺňajú novými obsahmi a konceptami súvisiacimi s LGBTI problematikou a špeciálne s transgender problematikou. Práve takáto rodovo citlivá výchova je podľa vyše sto slovenských odborníkov riziková pre zdravý psycho-sexuálny vývoj dieťaťa a môže mať negatívny vplyv pri formovaní jeho pohlavnej identity. Ďalšou výhradou voči zavádzaniu rodovo citlivej výchovy je jej odborná nepodloženosť: chýbajú odborné a vedecké štúdie (evidence-based) alebo výskumy, ktoré by dokladovali jej vplyv na dieťa z pohľadu psychologického, pedagogického, či sociálneho. Preto ju možno považovať za projekt v experimentálnom štádiu, bez oficiálneho schválenia príslušnými zodpovednými inštitúciami. Navyše celoplošné zavádzanie rodovo citlivej výchovy proti vôli rodičov je aj v rozpore s niekoľkými záväznými medzinárodnými dokumentmi, ktoré potvrdzujú právo rodičov rozhodovať o výchove svojich detí (Všeobecná deklarácia ľudských práv, čl. 26, ods. 3; Dohovor OSN o právach dieťaťa čl.5,18, Európsky dohovor o ľudských právach a základných slobodách, dodatkový protokol,čl. 2).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Fórum života, o.z.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kontakt: marcela.dobesova@gmail.com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Správa je odpočtom plnenia za roky 2010 - 2013. Uvedená tlačová konferencia sa konala dňa 02.06.2014.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KOZ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Stanovisko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K predloženému návrh správy o plnení Národného akčného plánu rodovej rovnosti na roky 2010 – 2013má KOZ SR toto stanovisko: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V hodnotenom období prišlo k zmenám v legislatíve, ktoré sa týkali zákazu diskriminácie vo všeobecnom a pracovnom práve a to v Zákonníku práce, Zákone o inšpekcii práce a bola schválená aj novela antidiskriminačného zákona, ktorá rozšírila definíciu nepriamej diskriminácie. Problematika rodovej rovnosti má multidisciplinárny charakter a pri jej realizácii je dôležitá úzka kooperácia štátnych orgánov, sociálnych partnerov, samosprávy, mimovládnych organizácií a všetkých subjektov, ktoré sa flexibilne a aktívne zúčastňujú na postupnom odstraňovaní diskriminácie vo všetkých oblastiach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 xml:space="preserve">života s cieľom garantovať zásadu rovnakého zaobchádzania s mužmi a ženami.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Obsah Správy o plnení Národného akčného plánu rodovej rovnosti na roky 2010-2013 hodnotíme pozitívne a podporujeme jednotlivé aktivity MPSVaR SR. Princíp uplatňovania rodového hľadiska prispieva tiež k riešeniu problémov nastavenia politík a mechanizmov na zvýšenie zamestnanosti a kvality života.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Akceptované. </w:t>
            </w:r>
          </w:p>
        </w:tc>
      </w:tr>
    </w:tbl>
    <w:p w:rsidR="000E0D8B" w:rsidRPr="00856FFA" w:rsidRDefault="000E0D8B" w:rsidP="002E5BFC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p w:rsidR="008A0DCB" w:rsidRPr="00856FFA" w:rsidRDefault="008A0DCB" w:rsidP="002E5BFC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sectPr w:rsidR="008A0DCB" w:rsidRPr="00856FFA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935"/>
    <w:rsid w:val="00021029"/>
    <w:rsid w:val="00054B9D"/>
    <w:rsid w:val="00074151"/>
    <w:rsid w:val="000E0D8B"/>
    <w:rsid w:val="00112D54"/>
    <w:rsid w:val="00141E5C"/>
    <w:rsid w:val="00194B7B"/>
    <w:rsid w:val="001A373C"/>
    <w:rsid w:val="001C1EC9"/>
    <w:rsid w:val="002E5BFC"/>
    <w:rsid w:val="003877F7"/>
    <w:rsid w:val="003C45FA"/>
    <w:rsid w:val="00442145"/>
    <w:rsid w:val="0046672B"/>
    <w:rsid w:val="00542B6A"/>
    <w:rsid w:val="005678B7"/>
    <w:rsid w:val="00685203"/>
    <w:rsid w:val="006E1AE4"/>
    <w:rsid w:val="00701DA6"/>
    <w:rsid w:val="007211BF"/>
    <w:rsid w:val="00763374"/>
    <w:rsid w:val="00856FFA"/>
    <w:rsid w:val="008A0DCB"/>
    <w:rsid w:val="008B4935"/>
    <w:rsid w:val="008C0CA8"/>
    <w:rsid w:val="008C29A6"/>
    <w:rsid w:val="009424B0"/>
    <w:rsid w:val="00984FB1"/>
    <w:rsid w:val="00A2596C"/>
    <w:rsid w:val="00A63365"/>
    <w:rsid w:val="00A81B86"/>
    <w:rsid w:val="00AF58FC"/>
    <w:rsid w:val="00B0044B"/>
    <w:rsid w:val="00C35D8B"/>
    <w:rsid w:val="00CA36FC"/>
    <w:rsid w:val="00DB178E"/>
    <w:rsid w:val="00DD3F66"/>
    <w:rsid w:val="00E92A3F"/>
    <w:rsid w:val="00E942DE"/>
    <w:rsid w:val="00EE5C03"/>
    <w:rsid w:val="00FA67A7"/>
    <w:rsid w:val="00FB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12D54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2145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63365"/>
    <w:rPr>
      <w:rFonts w:ascii="Times New Roman" w:hAnsi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4329</Words>
  <Characters>24681</Characters>
  <Application>Microsoft Office Word</Application>
  <DocSecurity>0</DocSecurity>
  <Lines>205</Lines>
  <Paragraphs>57</Paragraphs>
  <ScaleCrop>false</ScaleCrop>
  <Company>Abyss Studios, Ltd.</Company>
  <LinksUpToDate>false</LinksUpToDate>
  <CharactersWithSpaces>28953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jackova</cp:lastModifiedBy>
  <cp:revision>2</cp:revision>
  <dcterms:created xsi:type="dcterms:W3CDTF">2014-06-13T06:23:00Z</dcterms:created>
  <dcterms:modified xsi:type="dcterms:W3CDTF">2014-06-13T06:23:00Z</dcterms:modified>
</cp:coreProperties>
</file>